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287FA9" w14:textId="6FECF2FF" w:rsidR="004F2915" w:rsidRDefault="004F2915" w:rsidP="0027373D">
      <w:pPr>
        <w:pStyle w:val="Title"/>
      </w:pPr>
    </w:p>
    <w:p w14:paraId="70331F7D" w14:textId="744BEC2D" w:rsidR="00FE598F" w:rsidRDefault="00FE598F" w:rsidP="00FE598F"/>
    <w:p w14:paraId="1FB07E99" w14:textId="50F57DFC" w:rsidR="00FE598F" w:rsidRDefault="00FE598F" w:rsidP="00FE598F"/>
    <w:p w14:paraId="74EF148B" w14:textId="12F41D32" w:rsidR="00FE598F" w:rsidRDefault="00FE598F" w:rsidP="00FE598F"/>
    <w:p w14:paraId="3A10D504" w14:textId="32C8C9BA" w:rsidR="00FE598F" w:rsidRDefault="00FE598F" w:rsidP="00FE598F"/>
    <w:p w14:paraId="5BEFC527" w14:textId="186B482E" w:rsidR="00FE598F" w:rsidRDefault="00FE598F" w:rsidP="00FE598F"/>
    <w:p w14:paraId="66BCCC79" w14:textId="73FD2DE6" w:rsidR="00FE598F" w:rsidRDefault="00FE598F" w:rsidP="00FE598F"/>
    <w:p w14:paraId="52D6B8A1" w14:textId="77777777" w:rsidR="00FE598F" w:rsidRPr="00FE598F" w:rsidRDefault="00FE598F" w:rsidP="00FE598F"/>
    <w:p w14:paraId="2191FA40" w14:textId="3CA3E21B" w:rsidR="00C10B0F" w:rsidRPr="009D4285" w:rsidRDefault="00556845" w:rsidP="0027373D">
      <w:pPr>
        <w:pStyle w:val="Title"/>
      </w:pPr>
      <w:r w:rsidRPr="009D4285">
        <w:t>Surviving the Futures?</w:t>
      </w:r>
    </w:p>
    <w:p w14:paraId="7125FC2D" w14:textId="0B28C849" w:rsidR="000F7DBC" w:rsidRPr="00FE598F" w:rsidRDefault="00556845" w:rsidP="00FE598F">
      <w:pPr>
        <w:pStyle w:val="Title"/>
        <w:rPr>
          <w:sz w:val="32"/>
          <w:szCs w:val="32"/>
        </w:rPr>
      </w:pPr>
      <w:r w:rsidRPr="00C6517A">
        <w:rPr>
          <w:sz w:val="32"/>
          <w:szCs w:val="32"/>
        </w:rPr>
        <w:t xml:space="preserve">Anthropocene Ustopia in the Speculative Fiction works of Margaret Atwood’s </w:t>
      </w:r>
      <w:r w:rsidRPr="00C6517A">
        <w:rPr>
          <w:i/>
          <w:iCs/>
          <w:sz w:val="32"/>
          <w:szCs w:val="32"/>
        </w:rPr>
        <w:t>Maddaddam</w:t>
      </w:r>
      <w:r w:rsidRPr="00C6517A">
        <w:rPr>
          <w:sz w:val="32"/>
          <w:szCs w:val="32"/>
        </w:rPr>
        <w:t xml:space="preserve"> series</w:t>
      </w:r>
    </w:p>
    <w:p w14:paraId="0EE701F0" w14:textId="77777777" w:rsidR="00FE598F" w:rsidRDefault="00FE598F" w:rsidP="000036A0">
      <w:pPr>
        <w:jc w:val="center"/>
      </w:pPr>
    </w:p>
    <w:p w14:paraId="32D97A2E" w14:textId="77777777" w:rsidR="00FE598F" w:rsidRDefault="00FE598F" w:rsidP="000036A0">
      <w:pPr>
        <w:jc w:val="center"/>
      </w:pPr>
    </w:p>
    <w:p w14:paraId="61ED1C0A" w14:textId="77777777" w:rsidR="00FE598F" w:rsidRDefault="00FE598F" w:rsidP="000036A0">
      <w:pPr>
        <w:jc w:val="center"/>
      </w:pPr>
    </w:p>
    <w:p w14:paraId="67145119" w14:textId="77777777" w:rsidR="00FE598F" w:rsidRDefault="00FE598F" w:rsidP="000036A0">
      <w:pPr>
        <w:jc w:val="center"/>
      </w:pPr>
    </w:p>
    <w:p w14:paraId="48F1AD95" w14:textId="77777777" w:rsidR="00FE598F" w:rsidRDefault="00FE598F" w:rsidP="000036A0">
      <w:pPr>
        <w:jc w:val="center"/>
      </w:pPr>
    </w:p>
    <w:p w14:paraId="38AA960D" w14:textId="1178235F" w:rsidR="000F7DBC" w:rsidRDefault="000F7DBC" w:rsidP="000036A0">
      <w:pPr>
        <w:jc w:val="center"/>
      </w:pPr>
      <w:r>
        <w:t>David Nevin</w:t>
      </w:r>
      <w:r w:rsidR="00031880">
        <w:t xml:space="preserve"> B</w:t>
      </w:r>
      <w:r w:rsidR="00A90356">
        <w:t>.</w:t>
      </w:r>
      <w:r w:rsidR="00031880">
        <w:t>Sc</w:t>
      </w:r>
      <w:r w:rsidR="00A90356">
        <w:t>.</w:t>
      </w:r>
    </w:p>
    <w:p w14:paraId="43A6D0E4" w14:textId="77777777" w:rsidR="00FE598F" w:rsidRDefault="00FE598F" w:rsidP="000036A0">
      <w:pPr>
        <w:jc w:val="center"/>
      </w:pPr>
    </w:p>
    <w:p w14:paraId="03C6022B" w14:textId="098EF039" w:rsidR="000F7DBC" w:rsidRDefault="000874DD" w:rsidP="000036A0">
      <w:pPr>
        <w:jc w:val="center"/>
      </w:pPr>
      <w:r>
        <w:t>Supervis</w:t>
      </w:r>
      <w:r w:rsidR="00FE598F">
        <w:t>or</w:t>
      </w:r>
      <w:r>
        <w:t>: Dr Jeni Williams</w:t>
      </w:r>
    </w:p>
    <w:p w14:paraId="7ECC9D61" w14:textId="1F5BD917" w:rsidR="00C10B0F" w:rsidRDefault="00C10B0F" w:rsidP="000036A0">
      <w:pPr>
        <w:jc w:val="center"/>
      </w:pPr>
    </w:p>
    <w:p w14:paraId="131444D5" w14:textId="77777777" w:rsidR="00FE598F" w:rsidRDefault="00FE598F" w:rsidP="000036A0">
      <w:pPr>
        <w:jc w:val="center"/>
      </w:pPr>
    </w:p>
    <w:p w14:paraId="4C30E771" w14:textId="77777777" w:rsidR="007563BA" w:rsidRDefault="00A9663B" w:rsidP="000036A0">
      <w:pPr>
        <w:jc w:val="center"/>
      </w:pPr>
      <w:r>
        <w:t>Dissertation submitted in partial fulfilment of requirements</w:t>
      </w:r>
    </w:p>
    <w:p w14:paraId="6458B749" w14:textId="02174C72" w:rsidR="007563BA" w:rsidRDefault="00A9663B" w:rsidP="000036A0">
      <w:pPr>
        <w:jc w:val="center"/>
      </w:pPr>
      <w:r>
        <w:t>for the degree of MA Modern Literat</w:t>
      </w:r>
      <w:r w:rsidR="00C10B0F">
        <w:t>ure</w:t>
      </w:r>
    </w:p>
    <w:p w14:paraId="52DC5E98" w14:textId="0BA16BE2" w:rsidR="000874DD" w:rsidRDefault="000874DD" w:rsidP="000036A0">
      <w:pPr>
        <w:jc w:val="center"/>
      </w:pPr>
    </w:p>
    <w:p w14:paraId="28582F63" w14:textId="6812F5C7" w:rsidR="00C10B0F" w:rsidRDefault="00C10B0F" w:rsidP="000036A0">
      <w:pPr>
        <w:jc w:val="center"/>
      </w:pPr>
      <w:r>
        <w:t>University of Wales</w:t>
      </w:r>
      <w:r w:rsidR="004F2915">
        <w:t xml:space="preserve"> </w:t>
      </w:r>
      <w:r>
        <w:t>Trinity St. David, Lampeter</w:t>
      </w:r>
    </w:p>
    <w:p w14:paraId="67555F54" w14:textId="720D44DA" w:rsidR="00C10B0F" w:rsidRDefault="00C92F18" w:rsidP="000036A0">
      <w:pPr>
        <w:jc w:val="center"/>
      </w:pPr>
      <w:r>
        <w:t>2020</w:t>
      </w:r>
    </w:p>
    <w:p w14:paraId="0A9C3A80" w14:textId="77777777" w:rsidR="00C92F18" w:rsidRDefault="00C92F18" w:rsidP="000036A0">
      <w:pPr>
        <w:jc w:val="center"/>
      </w:pPr>
    </w:p>
    <w:p w14:paraId="2046C35A" w14:textId="69004729" w:rsidR="00DE173C" w:rsidRPr="00403602" w:rsidRDefault="00DE173C" w:rsidP="000036A0">
      <w:pPr>
        <w:jc w:val="center"/>
      </w:pPr>
      <w:r w:rsidRPr="00403602">
        <w:br w:type="page"/>
      </w:r>
      <w:r w:rsidRPr="00403602">
        <w:rPr>
          <w:noProof/>
        </w:rPr>
        <w:lastRenderedPageBreak/>
        <w:drawing>
          <wp:inline distT="0" distB="0" distL="0" distR="0" wp14:anchorId="0E78B9C9" wp14:editId="487C19ED">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55C11389" w14:textId="77777777" w:rsidR="00DE173C" w:rsidRPr="007C211A" w:rsidRDefault="00DE173C" w:rsidP="008E2B2D">
      <w:pPr>
        <w:jc w:val="center"/>
        <w:rPr>
          <w:b/>
          <w:bCs/>
        </w:rPr>
      </w:pPr>
      <w:r w:rsidRPr="007C211A">
        <w:rPr>
          <w:b/>
          <w:bCs/>
        </w:rPr>
        <w:t>Master’s Degrees by Examination and Dissertation</w:t>
      </w:r>
    </w:p>
    <w:p w14:paraId="6B175651" w14:textId="77777777" w:rsidR="00DE173C" w:rsidRPr="007C211A" w:rsidRDefault="00DE173C" w:rsidP="008E2B2D">
      <w:pPr>
        <w:jc w:val="center"/>
        <w:rPr>
          <w:b/>
          <w:bCs/>
        </w:rPr>
      </w:pPr>
      <w:r w:rsidRPr="007C211A">
        <w:rPr>
          <w:b/>
          <w:bCs/>
        </w:rPr>
        <w:t>Declaration Form</w:t>
      </w:r>
    </w:p>
    <w:p w14:paraId="795762AD" w14:textId="77777777" w:rsidR="00DE173C" w:rsidRPr="00403602" w:rsidRDefault="00DE173C" w:rsidP="0027373D">
      <w:r w:rsidRPr="00403602">
        <w:t>1. This work has not previously been accepted in substance for any degree and is not being concurrently submitted in candidature for any degree.</w:t>
      </w:r>
    </w:p>
    <w:p w14:paraId="28716D6D" w14:textId="77777777" w:rsidR="00DE173C" w:rsidRPr="00403602" w:rsidRDefault="00DE173C" w:rsidP="007C211A">
      <w:pPr>
        <w:ind w:left="720"/>
      </w:pPr>
      <w:r w:rsidRPr="00403602">
        <w:t>Name: David Nevin</w:t>
      </w:r>
    </w:p>
    <w:p w14:paraId="227FBBB3" w14:textId="77777777" w:rsidR="00DE173C" w:rsidRPr="00403602" w:rsidRDefault="00DE173C" w:rsidP="007C211A">
      <w:pPr>
        <w:ind w:left="720"/>
      </w:pPr>
      <w:r w:rsidRPr="00403602">
        <w:t>Date:  September 27</w:t>
      </w:r>
      <w:r w:rsidRPr="00403602">
        <w:rPr>
          <w:vertAlign w:val="superscript"/>
        </w:rPr>
        <w:t>th</w:t>
      </w:r>
      <w:r w:rsidRPr="00403602">
        <w:t>, 2020</w:t>
      </w:r>
    </w:p>
    <w:p w14:paraId="43F14B66" w14:textId="77777777" w:rsidR="00DE173C" w:rsidRPr="00403602" w:rsidRDefault="00DE173C" w:rsidP="0027373D">
      <w:r w:rsidRPr="00403602">
        <w:t xml:space="preserve">2. This dissertation is being submitted in partial fulfilment of the requirements for the degree of Modern Literature (MA) </w:t>
      </w:r>
    </w:p>
    <w:p w14:paraId="1AE66352" w14:textId="77777777" w:rsidR="00DE173C" w:rsidRPr="00403602" w:rsidRDefault="00DE173C" w:rsidP="007C211A">
      <w:pPr>
        <w:ind w:left="720"/>
      </w:pPr>
      <w:r w:rsidRPr="00403602">
        <w:t>Name: David Nevin</w:t>
      </w:r>
    </w:p>
    <w:p w14:paraId="137CFD69" w14:textId="77777777" w:rsidR="00DE173C" w:rsidRPr="00403602" w:rsidRDefault="00DE173C" w:rsidP="007C211A">
      <w:pPr>
        <w:ind w:left="720"/>
      </w:pPr>
      <w:r w:rsidRPr="00403602">
        <w:t>Date:  September 27</w:t>
      </w:r>
      <w:r w:rsidRPr="00403602">
        <w:rPr>
          <w:vertAlign w:val="superscript"/>
        </w:rPr>
        <w:t>th</w:t>
      </w:r>
      <w:r w:rsidRPr="00403602">
        <w:t>, 2020</w:t>
      </w:r>
    </w:p>
    <w:p w14:paraId="039100EE" w14:textId="77777777" w:rsidR="00DE173C" w:rsidRPr="00403602" w:rsidRDefault="00DE173C" w:rsidP="0027373D">
      <w:r w:rsidRPr="00403602">
        <w:t>3. This dissertation is the result of my own independent work/investigation, except where otherwise stated.</w:t>
      </w:r>
    </w:p>
    <w:p w14:paraId="6CDD59AA" w14:textId="77777777" w:rsidR="00DE173C" w:rsidRPr="00403602" w:rsidRDefault="00DE173C" w:rsidP="0027373D">
      <w:r w:rsidRPr="00403602">
        <w:t xml:space="preserve">Other sources are acknowledged by footnotes giving explicit references. </w:t>
      </w:r>
    </w:p>
    <w:p w14:paraId="02C5B93C" w14:textId="77777777" w:rsidR="00DE173C" w:rsidRPr="00403602" w:rsidRDefault="00DE173C" w:rsidP="0027373D">
      <w:r w:rsidRPr="00403602">
        <w:t>A bibliography is appended.</w:t>
      </w:r>
    </w:p>
    <w:p w14:paraId="765FEA9E" w14:textId="77777777" w:rsidR="00DE173C" w:rsidRPr="00403602" w:rsidRDefault="00DE173C" w:rsidP="007C211A">
      <w:pPr>
        <w:ind w:left="720"/>
      </w:pPr>
      <w:r w:rsidRPr="00403602">
        <w:t>Name: David Nevin</w:t>
      </w:r>
    </w:p>
    <w:p w14:paraId="3C501C92" w14:textId="52C9134C" w:rsidR="00DE173C" w:rsidRPr="00403602" w:rsidRDefault="00DE173C" w:rsidP="007C211A">
      <w:pPr>
        <w:ind w:left="720"/>
      </w:pPr>
      <w:r w:rsidRPr="00403602">
        <w:t>Date:  September 27</w:t>
      </w:r>
      <w:r w:rsidRPr="00403602">
        <w:rPr>
          <w:vertAlign w:val="superscript"/>
        </w:rPr>
        <w:t>th</w:t>
      </w:r>
      <w:r w:rsidRPr="00403602">
        <w:t>, 2020</w:t>
      </w:r>
    </w:p>
    <w:p w14:paraId="6864EEE5" w14:textId="77777777" w:rsidR="00DE173C" w:rsidRPr="00403602" w:rsidRDefault="00DE173C" w:rsidP="0027373D">
      <w:r w:rsidRPr="00403602">
        <w:t xml:space="preserve">4. I hereby give consent for my dissertation, if accepted, to be available for photocopying, inter- library loan, and for deposit in the University’s digital repository </w:t>
      </w:r>
    </w:p>
    <w:p w14:paraId="032DA994" w14:textId="77777777" w:rsidR="00DE173C" w:rsidRPr="00403602" w:rsidRDefault="00DE173C" w:rsidP="007C211A">
      <w:pPr>
        <w:ind w:left="720"/>
      </w:pPr>
      <w:r w:rsidRPr="00403602">
        <w:t>Name: David Nevin</w:t>
      </w:r>
    </w:p>
    <w:p w14:paraId="09CF32D7" w14:textId="77777777" w:rsidR="00DE173C" w:rsidRPr="00403602" w:rsidRDefault="00DE173C" w:rsidP="007C211A">
      <w:pPr>
        <w:ind w:left="720"/>
      </w:pPr>
      <w:r w:rsidRPr="00403602">
        <w:t>Date:  September 27</w:t>
      </w:r>
      <w:r w:rsidRPr="00403602">
        <w:rPr>
          <w:vertAlign w:val="superscript"/>
        </w:rPr>
        <w:t>th</w:t>
      </w:r>
      <w:r w:rsidRPr="00403602">
        <w:t>, 2020</w:t>
      </w:r>
    </w:p>
    <w:p w14:paraId="6CDE0BB1" w14:textId="77777777" w:rsidR="00DE173C" w:rsidRPr="00403602" w:rsidRDefault="00DE173C" w:rsidP="0027373D">
      <w:r w:rsidRPr="00403602">
        <w:t>Supervisor’s Declaration.</w:t>
      </w:r>
    </w:p>
    <w:p w14:paraId="1D736EDE" w14:textId="77777777" w:rsidR="00DE173C" w:rsidRPr="00403602" w:rsidRDefault="00DE173C" w:rsidP="0027373D">
      <w:r w:rsidRPr="00403602">
        <w:t>I am satisfied that this work is the result of the student’s own efforts.</w:t>
      </w:r>
    </w:p>
    <w:p w14:paraId="707102A7" w14:textId="77777777" w:rsidR="00DE173C" w:rsidRPr="00403602" w:rsidRDefault="00DE173C" w:rsidP="0027373D">
      <w:r w:rsidRPr="00403602">
        <w:t>Signed:  …………………………………………………………………………...</w:t>
      </w:r>
    </w:p>
    <w:p w14:paraId="3A7FAFDD" w14:textId="77777777" w:rsidR="00DE173C" w:rsidRPr="00403602" w:rsidRDefault="00DE173C" w:rsidP="0027373D">
      <w:r w:rsidRPr="00403602">
        <w:t>Date: …………………………………………………………………………..</w:t>
      </w:r>
    </w:p>
    <w:p w14:paraId="4F8A7A0A" w14:textId="625DF669" w:rsidR="0086616E" w:rsidRDefault="0086616E">
      <w:pPr>
        <w:spacing w:after="160" w:line="259" w:lineRule="auto"/>
      </w:pPr>
      <w:r>
        <w:br w:type="page"/>
      </w:r>
    </w:p>
    <w:p w14:paraId="49C2F243" w14:textId="04DAB136" w:rsidR="00DE173C" w:rsidRPr="00403602" w:rsidRDefault="00E27C15" w:rsidP="008E2B2D">
      <w:pPr>
        <w:pStyle w:val="Heading1"/>
        <w:numPr>
          <w:ilvl w:val="0"/>
          <w:numId w:val="0"/>
        </w:numPr>
        <w:jc w:val="center"/>
      </w:pPr>
      <w:r>
        <w:lastRenderedPageBreak/>
        <w:t>Acknowledgements</w:t>
      </w:r>
    </w:p>
    <w:p w14:paraId="64B55FE5" w14:textId="77777777" w:rsidR="001E71A1" w:rsidRDefault="00ED0DC7" w:rsidP="0027373D">
      <w:r>
        <w:t xml:space="preserve">Thank you to my supervisor, Dr Jeni Williams, for providing </w:t>
      </w:r>
      <w:r w:rsidR="00F01218">
        <w:t xml:space="preserve">invaluable </w:t>
      </w:r>
      <w:r>
        <w:t>guidance</w:t>
      </w:r>
      <w:r w:rsidR="00F01218">
        <w:t>,</w:t>
      </w:r>
      <w:r>
        <w:t xml:space="preserve"> </w:t>
      </w:r>
      <w:r w:rsidR="00F01218">
        <w:t>feedback and encouragement</w:t>
      </w:r>
      <w:r>
        <w:t xml:space="preserve"> th</w:t>
      </w:r>
      <w:r w:rsidR="00F01218">
        <w:t>roughout this project</w:t>
      </w:r>
      <w:r w:rsidR="009839AE">
        <w:t>.</w:t>
      </w:r>
    </w:p>
    <w:p w14:paraId="5B2DA040" w14:textId="77777777" w:rsidR="001E71A1" w:rsidRDefault="001E71A1">
      <w:pPr>
        <w:spacing w:after="160" w:line="259" w:lineRule="auto"/>
      </w:pPr>
      <w:r>
        <w:br w:type="page"/>
      </w:r>
    </w:p>
    <w:p w14:paraId="0069A5D9" w14:textId="248ABD64" w:rsidR="001E71A1" w:rsidRPr="00403602" w:rsidRDefault="007C27E5" w:rsidP="007C27E5">
      <w:pPr>
        <w:pStyle w:val="Heading1"/>
        <w:numPr>
          <w:ilvl w:val="0"/>
          <w:numId w:val="0"/>
        </w:numPr>
        <w:jc w:val="center"/>
      </w:pPr>
      <w:r>
        <w:lastRenderedPageBreak/>
        <w:t>Dedication</w:t>
      </w:r>
    </w:p>
    <w:p w14:paraId="2F32740A" w14:textId="77777777" w:rsidR="001A2A59" w:rsidRDefault="008E2B2D" w:rsidP="008E2B2D">
      <w:pPr>
        <w:jc w:val="center"/>
      </w:pPr>
      <w:r>
        <w:t xml:space="preserve">This dissertation is dedicated to </w:t>
      </w:r>
      <w:r w:rsidR="003E0078">
        <w:t>my partner in life, Inma.</w:t>
      </w:r>
    </w:p>
    <w:p w14:paraId="5AC56F0F" w14:textId="6A3EAF85" w:rsidR="0030694F" w:rsidRDefault="003E0078" w:rsidP="008E2B2D">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Your </w:t>
      </w:r>
      <w:r w:rsidR="0096233E">
        <w:t xml:space="preserve">encouragement, </w:t>
      </w:r>
      <w:r>
        <w:t>patience</w:t>
      </w:r>
      <w:r w:rsidR="005D097A">
        <w:t>,</w:t>
      </w:r>
      <w:r>
        <w:t xml:space="preserve"> and support made this </w:t>
      </w:r>
      <w:r w:rsidR="001A2A59">
        <w:t>work possible.</w:t>
      </w:r>
      <w:r>
        <w:t xml:space="preserve"> </w:t>
      </w:r>
      <w:r w:rsidR="001E71A1">
        <w:t xml:space="preserve"> </w:t>
      </w:r>
      <w:r w:rsidR="0030694F">
        <w:br w:type="page"/>
      </w:r>
    </w:p>
    <w:sdt>
      <w:sdtPr>
        <w:rPr>
          <w:b/>
          <w:bCs/>
          <w:sz w:val="28"/>
          <w:szCs w:val="28"/>
        </w:rPr>
        <w:id w:val="1564595332"/>
        <w:docPartObj>
          <w:docPartGallery w:val="Table of Contents"/>
          <w:docPartUnique/>
        </w:docPartObj>
      </w:sdtPr>
      <w:sdtEndPr>
        <w:rPr>
          <w:noProof/>
          <w:sz w:val="24"/>
          <w:szCs w:val="24"/>
        </w:rPr>
      </w:sdtEndPr>
      <w:sdtContent>
        <w:p w14:paraId="06D0049D" w14:textId="3ED28E10" w:rsidR="000036A0" w:rsidRPr="007A32A4" w:rsidRDefault="000036A0" w:rsidP="007A32A4">
          <w:pPr>
            <w:rPr>
              <w:b/>
              <w:bCs/>
              <w:sz w:val="28"/>
              <w:szCs w:val="28"/>
            </w:rPr>
          </w:pPr>
          <w:r w:rsidRPr="007A32A4">
            <w:rPr>
              <w:b/>
              <w:bCs/>
              <w:sz w:val="28"/>
              <w:szCs w:val="28"/>
            </w:rPr>
            <w:t>Table of Contents</w:t>
          </w:r>
        </w:p>
        <w:p w14:paraId="7C73112C" w14:textId="25B73247" w:rsidR="006D3B26" w:rsidRDefault="006D3B26">
          <w:pPr>
            <w:pStyle w:val="TOC1"/>
            <w:rPr>
              <w:rStyle w:val="Hyperlink"/>
              <w:noProof/>
            </w:rPr>
          </w:pPr>
          <w:r>
            <w:t xml:space="preserve">Declaration </w:t>
          </w:r>
          <w:r w:rsidR="00E27C15">
            <w:t>Form</w:t>
          </w:r>
          <w:r>
            <w:t xml:space="preserve"> </w:t>
          </w:r>
          <w:r>
            <w:rPr>
              <w:noProof/>
              <w:webHidden/>
            </w:rPr>
            <w:tab/>
          </w:r>
          <w:r w:rsidR="000B23F9">
            <w:rPr>
              <w:noProof/>
              <w:webHidden/>
            </w:rPr>
            <w:t>ii</w:t>
          </w:r>
        </w:p>
        <w:p w14:paraId="7867D428" w14:textId="0B918444" w:rsidR="00A072F4" w:rsidRDefault="00E27C15" w:rsidP="00A072F4">
          <w:pPr>
            <w:pStyle w:val="TOC1"/>
            <w:rPr>
              <w:rStyle w:val="Hyperlink"/>
              <w:noProof/>
            </w:rPr>
          </w:pPr>
          <w:r>
            <w:t>Acknowledgements</w:t>
          </w:r>
          <w:r w:rsidR="00A072F4">
            <w:t xml:space="preserve"> </w:t>
          </w:r>
          <w:hyperlink w:anchor="_Toc52308260" w:history="1">
            <w:r w:rsidR="00A072F4">
              <w:rPr>
                <w:noProof/>
                <w:webHidden/>
              </w:rPr>
              <w:tab/>
              <w:t>i</w:t>
            </w:r>
            <w:r>
              <w:rPr>
                <w:noProof/>
                <w:webHidden/>
              </w:rPr>
              <w:t>i</w:t>
            </w:r>
            <w:r w:rsidR="00A072F4">
              <w:rPr>
                <w:noProof/>
                <w:webHidden/>
              </w:rPr>
              <w:t>i</w:t>
            </w:r>
          </w:hyperlink>
        </w:p>
        <w:p w14:paraId="4014A3AA" w14:textId="3EC1D317" w:rsidR="005D097A" w:rsidRDefault="005D097A" w:rsidP="005D097A">
          <w:pPr>
            <w:pStyle w:val="TOC1"/>
            <w:rPr>
              <w:rStyle w:val="Hyperlink"/>
              <w:noProof/>
            </w:rPr>
          </w:pPr>
          <w:r>
            <w:t xml:space="preserve">Dedication </w:t>
          </w:r>
          <w:hyperlink w:anchor="_Toc52308260" w:history="1">
            <w:r>
              <w:rPr>
                <w:noProof/>
                <w:webHidden/>
              </w:rPr>
              <w:tab/>
              <w:t>iii</w:t>
            </w:r>
          </w:hyperlink>
        </w:p>
        <w:p w14:paraId="56CEDB72" w14:textId="6D091445" w:rsidR="00E27C15" w:rsidRPr="00A072F4" w:rsidRDefault="00E27C15" w:rsidP="00E27C15">
          <w:pPr>
            <w:pStyle w:val="TOC1"/>
            <w:rPr>
              <w:rFonts w:eastAsiaTheme="minorEastAsia" w:cstheme="minorBidi"/>
              <w:b w:val="0"/>
              <w:bCs w:val="0"/>
              <w:i w:val="0"/>
              <w:iCs w:val="0"/>
              <w:noProof/>
              <w:lang w:val="es-ES"/>
            </w:rPr>
          </w:pPr>
          <w:r>
            <w:t xml:space="preserve">Table of Contents </w:t>
          </w:r>
          <w:hyperlink w:anchor="_Toc52308260" w:history="1">
            <w:r>
              <w:rPr>
                <w:noProof/>
                <w:webHidden/>
              </w:rPr>
              <w:tab/>
              <w:t>iv</w:t>
            </w:r>
          </w:hyperlink>
        </w:p>
        <w:p w14:paraId="09250D51" w14:textId="5B879BDB" w:rsidR="00964D36" w:rsidRDefault="000036A0">
          <w:pPr>
            <w:pStyle w:val="TOC1"/>
            <w:rPr>
              <w:rFonts w:eastAsiaTheme="minorEastAsia" w:cstheme="minorBidi"/>
              <w:b w:val="0"/>
              <w:bCs w:val="0"/>
              <w:i w:val="0"/>
              <w:iCs w:val="0"/>
              <w:noProof/>
              <w:lang w:val="es-ES"/>
            </w:rPr>
          </w:pPr>
          <w:r>
            <w:fldChar w:fldCharType="begin"/>
          </w:r>
          <w:r>
            <w:instrText xml:space="preserve"> TOC \o "1-3" \h \z \u </w:instrText>
          </w:r>
          <w:r>
            <w:fldChar w:fldCharType="separate"/>
          </w:r>
          <w:hyperlink w:anchor="_Toc52308260" w:history="1">
            <w:r w:rsidR="00964D36" w:rsidRPr="00E04016">
              <w:rPr>
                <w:rStyle w:val="Hyperlink"/>
                <w:noProof/>
              </w:rPr>
              <w:t>Abstract</w:t>
            </w:r>
            <w:r w:rsidR="00964D36">
              <w:rPr>
                <w:noProof/>
                <w:webHidden/>
              </w:rPr>
              <w:tab/>
            </w:r>
            <w:r w:rsidR="00964D36">
              <w:rPr>
                <w:noProof/>
                <w:webHidden/>
              </w:rPr>
              <w:fldChar w:fldCharType="begin"/>
            </w:r>
            <w:r w:rsidR="00964D36">
              <w:rPr>
                <w:noProof/>
                <w:webHidden/>
              </w:rPr>
              <w:instrText xml:space="preserve"> PAGEREF _Toc52308260 \h </w:instrText>
            </w:r>
            <w:r w:rsidR="00964D36">
              <w:rPr>
                <w:noProof/>
                <w:webHidden/>
              </w:rPr>
            </w:r>
            <w:r w:rsidR="00964D36">
              <w:rPr>
                <w:noProof/>
                <w:webHidden/>
              </w:rPr>
              <w:fldChar w:fldCharType="separate"/>
            </w:r>
            <w:r w:rsidR="00042111">
              <w:rPr>
                <w:noProof/>
                <w:webHidden/>
              </w:rPr>
              <w:t>v</w:t>
            </w:r>
            <w:r w:rsidR="00964D36">
              <w:rPr>
                <w:noProof/>
                <w:webHidden/>
              </w:rPr>
              <w:fldChar w:fldCharType="end"/>
            </w:r>
          </w:hyperlink>
        </w:p>
        <w:p w14:paraId="6D7C86D5" w14:textId="0DD04410" w:rsidR="00964D36" w:rsidRDefault="000722DA">
          <w:pPr>
            <w:pStyle w:val="TOC1"/>
            <w:rPr>
              <w:rFonts w:eastAsiaTheme="minorEastAsia" w:cstheme="minorBidi"/>
              <w:b w:val="0"/>
              <w:bCs w:val="0"/>
              <w:i w:val="0"/>
              <w:iCs w:val="0"/>
              <w:noProof/>
              <w:lang w:val="es-ES"/>
            </w:rPr>
          </w:pPr>
          <w:hyperlink w:anchor="_Toc52308261" w:history="1">
            <w:r w:rsidR="00964D36" w:rsidRPr="00E04016">
              <w:rPr>
                <w:rStyle w:val="Hyperlink"/>
                <w:noProof/>
              </w:rPr>
              <w:t>Introduction</w:t>
            </w:r>
            <w:r w:rsidR="00964D36">
              <w:rPr>
                <w:noProof/>
                <w:webHidden/>
              </w:rPr>
              <w:tab/>
            </w:r>
            <w:r w:rsidR="00964D36">
              <w:rPr>
                <w:noProof/>
                <w:webHidden/>
              </w:rPr>
              <w:fldChar w:fldCharType="begin"/>
            </w:r>
            <w:r w:rsidR="00964D36">
              <w:rPr>
                <w:noProof/>
                <w:webHidden/>
              </w:rPr>
              <w:instrText xml:space="preserve"> PAGEREF _Toc52308261 \h </w:instrText>
            </w:r>
            <w:r w:rsidR="00964D36">
              <w:rPr>
                <w:noProof/>
                <w:webHidden/>
              </w:rPr>
            </w:r>
            <w:r w:rsidR="00964D36">
              <w:rPr>
                <w:noProof/>
                <w:webHidden/>
              </w:rPr>
              <w:fldChar w:fldCharType="separate"/>
            </w:r>
            <w:r w:rsidR="00042111">
              <w:rPr>
                <w:noProof/>
                <w:webHidden/>
              </w:rPr>
              <w:t>vi</w:t>
            </w:r>
            <w:r w:rsidR="00964D36">
              <w:rPr>
                <w:noProof/>
                <w:webHidden/>
              </w:rPr>
              <w:fldChar w:fldCharType="end"/>
            </w:r>
          </w:hyperlink>
        </w:p>
        <w:p w14:paraId="5D4D923D" w14:textId="05F1CB51" w:rsidR="00964D36" w:rsidRDefault="000722DA">
          <w:pPr>
            <w:pStyle w:val="TOC1"/>
            <w:rPr>
              <w:rFonts w:eastAsiaTheme="minorEastAsia" w:cstheme="minorBidi"/>
              <w:b w:val="0"/>
              <w:bCs w:val="0"/>
              <w:i w:val="0"/>
              <w:iCs w:val="0"/>
              <w:noProof/>
              <w:lang w:val="es-ES"/>
            </w:rPr>
          </w:pPr>
          <w:hyperlink w:anchor="_Toc52308262" w:history="1">
            <w:r w:rsidR="00964D36" w:rsidRPr="00E04016">
              <w:rPr>
                <w:rStyle w:val="Hyperlink"/>
                <w:noProof/>
              </w:rPr>
              <w:t>Chapter 1 Atwood’s Ustopic Response to the Anthropocene Crisis: Speculative Fiction</w:t>
            </w:r>
            <w:r w:rsidR="00964D36">
              <w:rPr>
                <w:noProof/>
                <w:webHidden/>
              </w:rPr>
              <w:tab/>
            </w:r>
            <w:r w:rsidR="00964D36">
              <w:rPr>
                <w:noProof/>
                <w:webHidden/>
              </w:rPr>
              <w:fldChar w:fldCharType="begin"/>
            </w:r>
            <w:r w:rsidR="00964D36">
              <w:rPr>
                <w:noProof/>
                <w:webHidden/>
              </w:rPr>
              <w:instrText xml:space="preserve"> PAGEREF _Toc52308262 \h </w:instrText>
            </w:r>
            <w:r w:rsidR="00964D36">
              <w:rPr>
                <w:noProof/>
                <w:webHidden/>
              </w:rPr>
            </w:r>
            <w:r w:rsidR="00964D36">
              <w:rPr>
                <w:noProof/>
                <w:webHidden/>
              </w:rPr>
              <w:fldChar w:fldCharType="separate"/>
            </w:r>
            <w:r w:rsidR="00042111">
              <w:rPr>
                <w:noProof/>
                <w:webHidden/>
              </w:rPr>
              <w:t>1</w:t>
            </w:r>
            <w:r w:rsidR="00964D36">
              <w:rPr>
                <w:noProof/>
                <w:webHidden/>
              </w:rPr>
              <w:fldChar w:fldCharType="end"/>
            </w:r>
          </w:hyperlink>
        </w:p>
        <w:p w14:paraId="03F0078E" w14:textId="42E1F0EC" w:rsidR="00964D36" w:rsidRDefault="000722DA">
          <w:pPr>
            <w:pStyle w:val="TOC2"/>
            <w:tabs>
              <w:tab w:val="right" w:leader="dot" w:pos="9350"/>
            </w:tabs>
            <w:rPr>
              <w:rFonts w:eastAsiaTheme="minorEastAsia" w:cstheme="minorBidi"/>
              <w:b w:val="0"/>
              <w:bCs w:val="0"/>
              <w:noProof/>
              <w:sz w:val="24"/>
              <w:szCs w:val="24"/>
              <w:lang w:val="es-ES"/>
            </w:rPr>
          </w:pPr>
          <w:hyperlink w:anchor="_Toc52308263" w:history="1">
            <w:r w:rsidR="00964D36" w:rsidRPr="00E04016">
              <w:rPr>
                <w:rStyle w:val="Hyperlink"/>
                <w:noProof/>
              </w:rPr>
              <w:t>1.1 Anthropocene Fiction: Imagining a cultural transformation of the species</w:t>
            </w:r>
            <w:r w:rsidR="00964D36">
              <w:rPr>
                <w:noProof/>
                <w:webHidden/>
              </w:rPr>
              <w:tab/>
            </w:r>
            <w:r w:rsidR="00964D36">
              <w:rPr>
                <w:noProof/>
                <w:webHidden/>
              </w:rPr>
              <w:fldChar w:fldCharType="begin"/>
            </w:r>
            <w:r w:rsidR="00964D36">
              <w:rPr>
                <w:noProof/>
                <w:webHidden/>
              </w:rPr>
              <w:instrText xml:space="preserve"> PAGEREF _Toc52308263 \h </w:instrText>
            </w:r>
            <w:r w:rsidR="00964D36">
              <w:rPr>
                <w:noProof/>
                <w:webHidden/>
              </w:rPr>
            </w:r>
            <w:r w:rsidR="00964D36">
              <w:rPr>
                <w:noProof/>
                <w:webHidden/>
              </w:rPr>
              <w:fldChar w:fldCharType="separate"/>
            </w:r>
            <w:r w:rsidR="00042111">
              <w:rPr>
                <w:noProof/>
                <w:webHidden/>
              </w:rPr>
              <w:t>1</w:t>
            </w:r>
            <w:r w:rsidR="00964D36">
              <w:rPr>
                <w:noProof/>
                <w:webHidden/>
              </w:rPr>
              <w:fldChar w:fldCharType="end"/>
            </w:r>
          </w:hyperlink>
        </w:p>
        <w:p w14:paraId="2A5E7A73" w14:textId="04804E6D" w:rsidR="00964D36" w:rsidRDefault="000722DA">
          <w:pPr>
            <w:pStyle w:val="TOC2"/>
            <w:tabs>
              <w:tab w:val="right" w:leader="dot" w:pos="9350"/>
            </w:tabs>
            <w:rPr>
              <w:rFonts w:eastAsiaTheme="minorEastAsia" w:cstheme="minorBidi"/>
              <w:b w:val="0"/>
              <w:bCs w:val="0"/>
              <w:noProof/>
              <w:sz w:val="24"/>
              <w:szCs w:val="24"/>
              <w:lang w:val="es-ES"/>
            </w:rPr>
          </w:pPr>
          <w:hyperlink w:anchor="_Toc52308264" w:history="1">
            <w:r w:rsidR="00964D36" w:rsidRPr="00E04016">
              <w:rPr>
                <w:rStyle w:val="Hyperlink"/>
                <w:noProof/>
              </w:rPr>
              <w:t>1.2 Atwood’s Ustopian Responses.</w:t>
            </w:r>
            <w:r w:rsidR="00964D36">
              <w:rPr>
                <w:noProof/>
                <w:webHidden/>
              </w:rPr>
              <w:tab/>
            </w:r>
            <w:r w:rsidR="00964D36">
              <w:rPr>
                <w:noProof/>
                <w:webHidden/>
              </w:rPr>
              <w:fldChar w:fldCharType="begin"/>
            </w:r>
            <w:r w:rsidR="00964D36">
              <w:rPr>
                <w:noProof/>
                <w:webHidden/>
              </w:rPr>
              <w:instrText xml:space="preserve"> PAGEREF _Toc52308264 \h </w:instrText>
            </w:r>
            <w:r w:rsidR="00964D36">
              <w:rPr>
                <w:noProof/>
                <w:webHidden/>
              </w:rPr>
            </w:r>
            <w:r w:rsidR="00964D36">
              <w:rPr>
                <w:noProof/>
                <w:webHidden/>
              </w:rPr>
              <w:fldChar w:fldCharType="separate"/>
            </w:r>
            <w:r w:rsidR="00042111">
              <w:rPr>
                <w:noProof/>
                <w:webHidden/>
              </w:rPr>
              <w:t>4</w:t>
            </w:r>
            <w:r w:rsidR="00964D36">
              <w:rPr>
                <w:noProof/>
                <w:webHidden/>
              </w:rPr>
              <w:fldChar w:fldCharType="end"/>
            </w:r>
          </w:hyperlink>
        </w:p>
        <w:p w14:paraId="058C5989" w14:textId="35E3C8FE" w:rsidR="00964D36" w:rsidRDefault="000722DA">
          <w:pPr>
            <w:pStyle w:val="TOC2"/>
            <w:tabs>
              <w:tab w:val="right" w:leader="dot" w:pos="9350"/>
            </w:tabs>
            <w:rPr>
              <w:rFonts w:eastAsiaTheme="minorEastAsia" w:cstheme="minorBidi"/>
              <w:b w:val="0"/>
              <w:bCs w:val="0"/>
              <w:noProof/>
              <w:sz w:val="24"/>
              <w:szCs w:val="24"/>
              <w:lang w:val="es-ES"/>
            </w:rPr>
          </w:pPr>
          <w:hyperlink w:anchor="_Toc52308265" w:history="1">
            <w:r w:rsidR="00964D36" w:rsidRPr="00E04016">
              <w:rPr>
                <w:rStyle w:val="Hyperlink"/>
                <w:noProof/>
              </w:rPr>
              <w:t>1.3 Speculative fiction: Extrapolating the plausible</w:t>
            </w:r>
            <w:r w:rsidR="00964D36">
              <w:rPr>
                <w:noProof/>
                <w:webHidden/>
              </w:rPr>
              <w:tab/>
            </w:r>
            <w:r w:rsidR="00964D36">
              <w:rPr>
                <w:noProof/>
                <w:webHidden/>
              </w:rPr>
              <w:fldChar w:fldCharType="begin"/>
            </w:r>
            <w:r w:rsidR="00964D36">
              <w:rPr>
                <w:noProof/>
                <w:webHidden/>
              </w:rPr>
              <w:instrText xml:space="preserve"> PAGEREF _Toc52308265 \h </w:instrText>
            </w:r>
            <w:r w:rsidR="00964D36">
              <w:rPr>
                <w:noProof/>
                <w:webHidden/>
              </w:rPr>
            </w:r>
            <w:r w:rsidR="00964D36">
              <w:rPr>
                <w:noProof/>
                <w:webHidden/>
              </w:rPr>
              <w:fldChar w:fldCharType="separate"/>
            </w:r>
            <w:r w:rsidR="00042111">
              <w:rPr>
                <w:noProof/>
                <w:webHidden/>
              </w:rPr>
              <w:t>7</w:t>
            </w:r>
            <w:r w:rsidR="00964D36">
              <w:rPr>
                <w:noProof/>
                <w:webHidden/>
              </w:rPr>
              <w:fldChar w:fldCharType="end"/>
            </w:r>
          </w:hyperlink>
        </w:p>
        <w:p w14:paraId="74538261" w14:textId="3C6D83FC" w:rsidR="00964D36" w:rsidRDefault="000722DA">
          <w:pPr>
            <w:pStyle w:val="TOC1"/>
            <w:rPr>
              <w:rFonts w:eastAsiaTheme="minorEastAsia" w:cstheme="minorBidi"/>
              <w:b w:val="0"/>
              <w:bCs w:val="0"/>
              <w:i w:val="0"/>
              <w:iCs w:val="0"/>
              <w:noProof/>
              <w:lang w:val="es-ES"/>
            </w:rPr>
          </w:pPr>
          <w:hyperlink w:anchor="_Toc52308266" w:history="1">
            <w:r w:rsidR="00964D36" w:rsidRPr="00E04016">
              <w:rPr>
                <w:rStyle w:val="Hyperlink"/>
                <w:noProof/>
              </w:rPr>
              <w:t>Chapter 2 Biocapitalism: Transformations in the way we think of life</w:t>
            </w:r>
            <w:r w:rsidR="00964D36">
              <w:rPr>
                <w:noProof/>
                <w:webHidden/>
              </w:rPr>
              <w:tab/>
            </w:r>
            <w:r w:rsidR="00964D36">
              <w:rPr>
                <w:noProof/>
                <w:webHidden/>
              </w:rPr>
              <w:fldChar w:fldCharType="begin"/>
            </w:r>
            <w:r w:rsidR="00964D36">
              <w:rPr>
                <w:noProof/>
                <w:webHidden/>
              </w:rPr>
              <w:instrText xml:space="preserve"> PAGEREF _Toc52308266 \h </w:instrText>
            </w:r>
            <w:r w:rsidR="00964D36">
              <w:rPr>
                <w:noProof/>
                <w:webHidden/>
              </w:rPr>
            </w:r>
            <w:r w:rsidR="00964D36">
              <w:rPr>
                <w:noProof/>
                <w:webHidden/>
              </w:rPr>
              <w:fldChar w:fldCharType="separate"/>
            </w:r>
            <w:r w:rsidR="00042111">
              <w:rPr>
                <w:noProof/>
                <w:webHidden/>
              </w:rPr>
              <w:t>12</w:t>
            </w:r>
            <w:r w:rsidR="00964D36">
              <w:rPr>
                <w:noProof/>
                <w:webHidden/>
              </w:rPr>
              <w:fldChar w:fldCharType="end"/>
            </w:r>
          </w:hyperlink>
        </w:p>
        <w:p w14:paraId="42BDCA7C" w14:textId="0909856F" w:rsidR="00964D36" w:rsidRDefault="000722DA">
          <w:pPr>
            <w:pStyle w:val="TOC2"/>
            <w:tabs>
              <w:tab w:val="right" w:leader="dot" w:pos="9350"/>
            </w:tabs>
            <w:rPr>
              <w:rFonts w:eastAsiaTheme="minorEastAsia" w:cstheme="minorBidi"/>
              <w:b w:val="0"/>
              <w:bCs w:val="0"/>
              <w:noProof/>
              <w:sz w:val="24"/>
              <w:szCs w:val="24"/>
              <w:lang w:val="es-ES"/>
            </w:rPr>
          </w:pPr>
          <w:hyperlink w:anchor="_Toc52308267" w:history="1">
            <w:r w:rsidR="00964D36" w:rsidRPr="00E04016">
              <w:rPr>
                <w:rStyle w:val="Hyperlink"/>
                <w:noProof/>
              </w:rPr>
              <w:t>2.1 Biotechnology: The Uses of Life</w:t>
            </w:r>
            <w:r w:rsidR="00964D36">
              <w:rPr>
                <w:noProof/>
                <w:webHidden/>
              </w:rPr>
              <w:tab/>
            </w:r>
            <w:r w:rsidR="00964D36">
              <w:rPr>
                <w:noProof/>
                <w:webHidden/>
              </w:rPr>
              <w:fldChar w:fldCharType="begin"/>
            </w:r>
            <w:r w:rsidR="00964D36">
              <w:rPr>
                <w:noProof/>
                <w:webHidden/>
              </w:rPr>
              <w:instrText xml:space="preserve"> PAGEREF _Toc52308267 \h </w:instrText>
            </w:r>
            <w:r w:rsidR="00964D36">
              <w:rPr>
                <w:noProof/>
                <w:webHidden/>
              </w:rPr>
            </w:r>
            <w:r w:rsidR="00964D36">
              <w:rPr>
                <w:noProof/>
                <w:webHidden/>
              </w:rPr>
              <w:fldChar w:fldCharType="separate"/>
            </w:r>
            <w:r w:rsidR="00042111">
              <w:rPr>
                <w:noProof/>
                <w:webHidden/>
              </w:rPr>
              <w:t>12</w:t>
            </w:r>
            <w:r w:rsidR="00964D36">
              <w:rPr>
                <w:noProof/>
                <w:webHidden/>
              </w:rPr>
              <w:fldChar w:fldCharType="end"/>
            </w:r>
          </w:hyperlink>
        </w:p>
        <w:p w14:paraId="060DCBA5" w14:textId="2924A345" w:rsidR="00964D36" w:rsidRDefault="000722DA">
          <w:pPr>
            <w:pStyle w:val="TOC2"/>
            <w:tabs>
              <w:tab w:val="right" w:leader="dot" w:pos="9350"/>
            </w:tabs>
            <w:rPr>
              <w:rFonts w:eastAsiaTheme="minorEastAsia" w:cstheme="minorBidi"/>
              <w:b w:val="0"/>
              <w:bCs w:val="0"/>
              <w:noProof/>
              <w:sz w:val="24"/>
              <w:szCs w:val="24"/>
              <w:lang w:val="es-ES"/>
            </w:rPr>
          </w:pPr>
          <w:hyperlink w:anchor="_Toc52308268" w:history="1">
            <w:r w:rsidR="00964D36" w:rsidRPr="00E04016">
              <w:rPr>
                <w:rStyle w:val="Hyperlink"/>
                <w:rFonts w:eastAsiaTheme="minorHAnsi"/>
                <w:noProof/>
              </w:rPr>
              <w:t>2.2 Biocapitalism: Commodified Cannibalism</w:t>
            </w:r>
            <w:r w:rsidR="00964D36">
              <w:rPr>
                <w:noProof/>
                <w:webHidden/>
              </w:rPr>
              <w:tab/>
            </w:r>
            <w:r w:rsidR="00964D36">
              <w:rPr>
                <w:noProof/>
                <w:webHidden/>
              </w:rPr>
              <w:fldChar w:fldCharType="begin"/>
            </w:r>
            <w:r w:rsidR="00964D36">
              <w:rPr>
                <w:noProof/>
                <w:webHidden/>
              </w:rPr>
              <w:instrText xml:space="preserve"> PAGEREF _Toc52308268 \h </w:instrText>
            </w:r>
            <w:r w:rsidR="00964D36">
              <w:rPr>
                <w:noProof/>
                <w:webHidden/>
              </w:rPr>
            </w:r>
            <w:r w:rsidR="00964D36">
              <w:rPr>
                <w:noProof/>
                <w:webHidden/>
              </w:rPr>
              <w:fldChar w:fldCharType="separate"/>
            </w:r>
            <w:r w:rsidR="00042111">
              <w:rPr>
                <w:noProof/>
                <w:webHidden/>
              </w:rPr>
              <w:t>17</w:t>
            </w:r>
            <w:r w:rsidR="00964D36">
              <w:rPr>
                <w:noProof/>
                <w:webHidden/>
              </w:rPr>
              <w:fldChar w:fldCharType="end"/>
            </w:r>
          </w:hyperlink>
        </w:p>
        <w:p w14:paraId="5A4A2F30" w14:textId="5664B42A" w:rsidR="00964D36" w:rsidRDefault="000722DA">
          <w:pPr>
            <w:pStyle w:val="TOC1"/>
            <w:rPr>
              <w:rFonts w:eastAsiaTheme="minorEastAsia" w:cstheme="minorBidi"/>
              <w:b w:val="0"/>
              <w:bCs w:val="0"/>
              <w:i w:val="0"/>
              <w:iCs w:val="0"/>
              <w:noProof/>
              <w:lang w:val="es-ES"/>
            </w:rPr>
          </w:pPr>
          <w:hyperlink w:anchor="_Toc52308269" w:history="1">
            <w:r w:rsidR="00964D36" w:rsidRPr="00E04016">
              <w:rPr>
                <w:rStyle w:val="Hyperlink"/>
                <w:noProof/>
              </w:rPr>
              <w:t>Chapter 3 A Relationship with Posthumanism</w:t>
            </w:r>
            <w:r w:rsidR="00964D36">
              <w:rPr>
                <w:noProof/>
                <w:webHidden/>
              </w:rPr>
              <w:tab/>
            </w:r>
            <w:r w:rsidR="00964D36">
              <w:rPr>
                <w:noProof/>
                <w:webHidden/>
              </w:rPr>
              <w:fldChar w:fldCharType="begin"/>
            </w:r>
            <w:r w:rsidR="00964D36">
              <w:rPr>
                <w:noProof/>
                <w:webHidden/>
              </w:rPr>
              <w:instrText xml:space="preserve"> PAGEREF _Toc52308269 \h </w:instrText>
            </w:r>
            <w:r w:rsidR="00964D36">
              <w:rPr>
                <w:noProof/>
                <w:webHidden/>
              </w:rPr>
            </w:r>
            <w:r w:rsidR="00964D36">
              <w:rPr>
                <w:noProof/>
                <w:webHidden/>
              </w:rPr>
              <w:fldChar w:fldCharType="separate"/>
            </w:r>
            <w:r w:rsidR="00042111">
              <w:rPr>
                <w:noProof/>
                <w:webHidden/>
              </w:rPr>
              <w:t>22</w:t>
            </w:r>
            <w:r w:rsidR="00964D36">
              <w:rPr>
                <w:noProof/>
                <w:webHidden/>
              </w:rPr>
              <w:fldChar w:fldCharType="end"/>
            </w:r>
          </w:hyperlink>
        </w:p>
        <w:p w14:paraId="6B0131C1" w14:textId="45863294" w:rsidR="00964D36" w:rsidRDefault="000722DA">
          <w:pPr>
            <w:pStyle w:val="TOC2"/>
            <w:tabs>
              <w:tab w:val="right" w:leader="dot" w:pos="9350"/>
            </w:tabs>
            <w:rPr>
              <w:rFonts w:eastAsiaTheme="minorEastAsia" w:cstheme="minorBidi"/>
              <w:b w:val="0"/>
              <w:bCs w:val="0"/>
              <w:noProof/>
              <w:sz w:val="24"/>
              <w:szCs w:val="24"/>
              <w:lang w:val="es-ES"/>
            </w:rPr>
          </w:pPr>
          <w:hyperlink w:anchor="_Toc52308270" w:history="1">
            <w:r w:rsidR="00964D36" w:rsidRPr="00E04016">
              <w:rPr>
                <w:rStyle w:val="Hyperlink"/>
                <w:noProof/>
              </w:rPr>
              <w:t>3.1</w:t>
            </w:r>
            <w:r w:rsidR="00964D36" w:rsidRPr="00E04016">
              <w:rPr>
                <w:rStyle w:val="Hyperlink"/>
                <w:noProof/>
                <w:lang w:val="en-US"/>
              </w:rPr>
              <w:t xml:space="preserve"> An Attack on the ‘Human’</w:t>
            </w:r>
            <w:r w:rsidR="00964D36">
              <w:rPr>
                <w:noProof/>
                <w:webHidden/>
              </w:rPr>
              <w:tab/>
            </w:r>
            <w:r w:rsidR="00964D36">
              <w:rPr>
                <w:noProof/>
                <w:webHidden/>
              </w:rPr>
              <w:fldChar w:fldCharType="begin"/>
            </w:r>
            <w:r w:rsidR="00964D36">
              <w:rPr>
                <w:noProof/>
                <w:webHidden/>
              </w:rPr>
              <w:instrText xml:space="preserve"> PAGEREF _Toc52308270 \h </w:instrText>
            </w:r>
            <w:r w:rsidR="00964D36">
              <w:rPr>
                <w:noProof/>
                <w:webHidden/>
              </w:rPr>
            </w:r>
            <w:r w:rsidR="00964D36">
              <w:rPr>
                <w:noProof/>
                <w:webHidden/>
              </w:rPr>
              <w:fldChar w:fldCharType="separate"/>
            </w:r>
            <w:r w:rsidR="00042111">
              <w:rPr>
                <w:noProof/>
                <w:webHidden/>
              </w:rPr>
              <w:t>22</w:t>
            </w:r>
            <w:r w:rsidR="00964D36">
              <w:rPr>
                <w:noProof/>
                <w:webHidden/>
              </w:rPr>
              <w:fldChar w:fldCharType="end"/>
            </w:r>
          </w:hyperlink>
        </w:p>
        <w:p w14:paraId="27DEB9D8" w14:textId="1FE167FC" w:rsidR="00964D36" w:rsidRDefault="000722DA">
          <w:pPr>
            <w:pStyle w:val="TOC2"/>
            <w:tabs>
              <w:tab w:val="right" w:leader="dot" w:pos="9350"/>
            </w:tabs>
            <w:rPr>
              <w:rFonts w:eastAsiaTheme="minorEastAsia" w:cstheme="minorBidi"/>
              <w:b w:val="0"/>
              <w:bCs w:val="0"/>
              <w:noProof/>
              <w:sz w:val="24"/>
              <w:szCs w:val="24"/>
              <w:lang w:val="es-ES"/>
            </w:rPr>
          </w:pPr>
          <w:hyperlink w:anchor="_Toc52308271" w:history="1">
            <w:r w:rsidR="00964D36" w:rsidRPr="00E04016">
              <w:rPr>
                <w:rStyle w:val="Hyperlink"/>
                <w:iCs/>
                <w:noProof/>
                <w:lang w:val="en-US"/>
              </w:rPr>
              <w:t>3.2</w:t>
            </w:r>
            <w:r w:rsidR="00964D36" w:rsidRPr="00E04016">
              <w:rPr>
                <w:rStyle w:val="Hyperlink"/>
                <w:noProof/>
              </w:rPr>
              <w:t xml:space="preserve"> Literary Critics’ Responses in Relation to the Posthuman</w:t>
            </w:r>
            <w:r w:rsidR="00964D36">
              <w:rPr>
                <w:noProof/>
                <w:webHidden/>
              </w:rPr>
              <w:tab/>
            </w:r>
            <w:r w:rsidR="00964D36">
              <w:rPr>
                <w:noProof/>
                <w:webHidden/>
              </w:rPr>
              <w:fldChar w:fldCharType="begin"/>
            </w:r>
            <w:r w:rsidR="00964D36">
              <w:rPr>
                <w:noProof/>
                <w:webHidden/>
              </w:rPr>
              <w:instrText xml:space="preserve"> PAGEREF _Toc52308271 \h </w:instrText>
            </w:r>
            <w:r w:rsidR="00964D36">
              <w:rPr>
                <w:noProof/>
                <w:webHidden/>
              </w:rPr>
            </w:r>
            <w:r w:rsidR="00964D36">
              <w:rPr>
                <w:noProof/>
                <w:webHidden/>
              </w:rPr>
              <w:fldChar w:fldCharType="separate"/>
            </w:r>
            <w:r w:rsidR="00042111">
              <w:rPr>
                <w:noProof/>
                <w:webHidden/>
              </w:rPr>
              <w:t>27</w:t>
            </w:r>
            <w:r w:rsidR="00964D36">
              <w:rPr>
                <w:noProof/>
                <w:webHidden/>
              </w:rPr>
              <w:fldChar w:fldCharType="end"/>
            </w:r>
          </w:hyperlink>
        </w:p>
        <w:p w14:paraId="268C4958" w14:textId="46A6F41B" w:rsidR="00964D36" w:rsidRDefault="000722DA">
          <w:pPr>
            <w:pStyle w:val="TOC2"/>
            <w:tabs>
              <w:tab w:val="right" w:leader="dot" w:pos="9350"/>
            </w:tabs>
            <w:rPr>
              <w:rFonts w:eastAsiaTheme="minorEastAsia" w:cstheme="minorBidi"/>
              <w:b w:val="0"/>
              <w:bCs w:val="0"/>
              <w:noProof/>
              <w:sz w:val="24"/>
              <w:szCs w:val="24"/>
              <w:lang w:val="es-ES"/>
            </w:rPr>
          </w:pPr>
          <w:hyperlink w:anchor="_Toc52308272" w:history="1">
            <w:r w:rsidR="00964D36" w:rsidRPr="00E04016">
              <w:rPr>
                <w:rStyle w:val="Hyperlink"/>
                <w:noProof/>
              </w:rPr>
              <w:t>3.3 Blurring boundaries between the Human and the Engineered</w:t>
            </w:r>
            <w:r w:rsidR="00964D36">
              <w:rPr>
                <w:noProof/>
                <w:webHidden/>
              </w:rPr>
              <w:tab/>
            </w:r>
            <w:r w:rsidR="00964D36">
              <w:rPr>
                <w:noProof/>
                <w:webHidden/>
              </w:rPr>
              <w:fldChar w:fldCharType="begin"/>
            </w:r>
            <w:r w:rsidR="00964D36">
              <w:rPr>
                <w:noProof/>
                <w:webHidden/>
              </w:rPr>
              <w:instrText xml:space="preserve"> PAGEREF _Toc52308272 \h </w:instrText>
            </w:r>
            <w:r w:rsidR="00964D36">
              <w:rPr>
                <w:noProof/>
                <w:webHidden/>
              </w:rPr>
            </w:r>
            <w:r w:rsidR="00964D36">
              <w:rPr>
                <w:noProof/>
                <w:webHidden/>
              </w:rPr>
              <w:fldChar w:fldCharType="separate"/>
            </w:r>
            <w:r w:rsidR="00042111">
              <w:rPr>
                <w:noProof/>
                <w:webHidden/>
              </w:rPr>
              <w:t>30</w:t>
            </w:r>
            <w:r w:rsidR="00964D36">
              <w:rPr>
                <w:noProof/>
                <w:webHidden/>
              </w:rPr>
              <w:fldChar w:fldCharType="end"/>
            </w:r>
          </w:hyperlink>
        </w:p>
        <w:p w14:paraId="6EE67F72" w14:textId="3B1E645B" w:rsidR="00964D36" w:rsidRDefault="000722DA">
          <w:pPr>
            <w:pStyle w:val="TOC1"/>
            <w:rPr>
              <w:rFonts w:eastAsiaTheme="minorEastAsia" w:cstheme="minorBidi"/>
              <w:b w:val="0"/>
              <w:bCs w:val="0"/>
              <w:i w:val="0"/>
              <w:iCs w:val="0"/>
              <w:noProof/>
              <w:lang w:val="es-ES"/>
            </w:rPr>
          </w:pPr>
          <w:hyperlink w:anchor="_Toc52308273" w:history="1">
            <w:r w:rsidR="00964D36" w:rsidRPr="00E04016">
              <w:rPr>
                <w:rStyle w:val="Hyperlink"/>
                <w:noProof/>
                <w:lang w:val="en-US"/>
              </w:rPr>
              <w:t>Chapter 4 What God can survive the Anthropocene Crisis?</w:t>
            </w:r>
            <w:r w:rsidR="00964D36">
              <w:rPr>
                <w:noProof/>
                <w:webHidden/>
              </w:rPr>
              <w:tab/>
            </w:r>
            <w:r w:rsidR="00964D36">
              <w:rPr>
                <w:noProof/>
                <w:webHidden/>
              </w:rPr>
              <w:fldChar w:fldCharType="begin"/>
            </w:r>
            <w:r w:rsidR="00964D36">
              <w:rPr>
                <w:noProof/>
                <w:webHidden/>
              </w:rPr>
              <w:instrText xml:space="preserve"> PAGEREF _Toc52308273 \h </w:instrText>
            </w:r>
            <w:r w:rsidR="00964D36">
              <w:rPr>
                <w:noProof/>
                <w:webHidden/>
              </w:rPr>
            </w:r>
            <w:r w:rsidR="00964D36">
              <w:rPr>
                <w:noProof/>
                <w:webHidden/>
              </w:rPr>
              <w:fldChar w:fldCharType="separate"/>
            </w:r>
            <w:r w:rsidR="00042111">
              <w:rPr>
                <w:noProof/>
                <w:webHidden/>
              </w:rPr>
              <w:t>33</w:t>
            </w:r>
            <w:r w:rsidR="00964D36">
              <w:rPr>
                <w:noProof/>
                <w:webHidden/>
              </w:rPr>
              <w:fldChar w:fldCharType="end"/>
            </w:r>
          </w:hyperlink>
        </w:p>
        <w:p w14:paraId="1BB42763" w14:textId="5623B90A" w:rsidR="00964D36" w:rsidRDefault="000722DA">
          <w:pPr>
            <w:pStyle w:val="TOC2"/>
            <w:tabs>
              <w:tab w:val="right" w:leader="dot" w:pos="9350"/>
            </w:tabs>
            <w:rPr>
              <w:rFonts w:eastAsiaTheme="minorEastAsia" w:cstheme="minorBidi"/>
              <w:b w:val="0"/>
              <w:bCs w:val="0"/>
              <w:noProof/>
              <w:sz w:val="24"/>
              <w:szCs w:val="24"/>
              <w:lang w:val="es-ES"/>
            </w:rPr>
          </w:pPr>
          <w:hyperlink w:anchor="_Toc52308274" w:history="1">
            <w:r w:rsidR="00964D36" w:rsidRPr="00E04016">
              <w:rPr>
                <w:rStyle w:val="Hyperlink"/>
                <w:noProof/>
                <w:lang w:val="en-US"/>
              </w:rPr>
              <w:t>4.1 Adaptive Religion</w:t>
            </w:r>
            <w:r w:rsidR="00964D36">
              <w:rPr>
                <w:noProof/>
                <w:webHidden/>
              </w:rPr>
              <w:tab/>
            </w:r>
            <w:r w:rsidR="00964D36">
              <w:rPr>
                <w:noProof/>
                <w:webHidden/>
              </w:rPr>
              <w:fldChar w:fldCharType="begin"/>
            </w:r>
            <w:r w:rsidR="00964D36">
              <w:rPr>
                <w:noProof/>
                <w:webHidden/>
              </w:rPr>
              <w:instrText xml:space="preserve"> PAGEREF _Toc52308274 \h </w:instrText>
            </w:r>
            <w:r w:rsidR="00964D36">
              <w:rPr>
                <w:noProof/>
                <w:webHidden/>
              </w:rPr>
            </w:r>
            <w:r w:rsidR="00964D36">
              <w:rPr>
                <w:noProof/>
                <w:webHidden/>
              </w:rPr>
              <w:fldChar w:fldCharType="separate"/>
            </w:r>
            <w:r w:rsidR="00042111">
              <w:rPr>
                <w:noProof/>
                <w:webHidden/>
              </w:rPr>
              <w:t>33</w:t>
            </w:r>
            <w:r w:rsidR="00964D36">
              <w:rPr>
                <w:noProof/>
                <w:webHidden/>
              </w:rPr>
              <w:fldChar w:fldCharType="end"/>
            </w:r>
          </w:hyperlink>
        </w:p>
        <w:p w14:paraId="6957B4E3" w14:textId="1B8DEE37" w:rsidR="00964D36" w:rsidRDefault="000722DA">
          <w:pPr>
            <w:pStyle w:val="TOC1"/>
            <w:rPr>
              <w:rFonts w:eastAsiaTheme="minorEastAsia" w:cstheme="minorBidi"/>
              <w:b w:val="0"/>
              <w:bCs w:val="0"/>
              <w:i w:val="0"/>
              <w:iCs w:val="0"/>
              <w:noProof/>
              <w:lang w:val="es-ES"/>
            </w:rPr>
          </w:pPr>
          <w:hyperlink w:anchor="_Toc52308275" w:history="1">
            <w:r w:rsidR="00964D36" w:rsidRPr="00E04016">
              <w:rPr>
                <w:rStyle w:val="Hyperlink"/>
                <w:noProof/>
              </w:rPr>
              <w:t>Chapter 5 Concluding with a Critique of the Apocalypse.</w:t>
            </w:r>
            <w:r w:rsidR="00964D36">
              <w:rPr>
                <w:noProof/>
                <w:webHidden/>
              </w:rPr>
              <w:tab/>
            </w:r>
            <w:r w:rsidR="00964D36">
              <w:rPr>
                <w:noProof/>
                <w:webHidden/>
              </w:rPr>
              <w:fldChar w:fldCharType="begin"/>
            </w:r>
            <w:r w:rsidR="00964D36">
              <w:rPr>
                <w:noProof/>
                <w:webHidden/>
              </w:rPr>
              <w:instrText xml:space="preserve"> PAGEREF _Toc52308275 \h </w:instrText>
            </w:r>
            <w:r w:rsidR="00964D36">
              <w:rPr>
                <w:noProof/>
                <w:webHidden/>
              </w:rPr>
            </w:r>
            <w:r w:rsidR="00964D36">
              <w:rPr>
                <w:noProof/>
                <w:webHidden/>
              </w:rPr>
              <w:fldChar w:fldCharType="separate"/>
            </w:r>
            <w:r w:rsidR="00042111">
              <w:rPr>
                <w:noProof/>
                <w:webHidden/>
              </w:rPr>
              <w:t>44</w:t>
            </w:r>
            <w:r w:rsidR="00964D36">
              <w:rPr>
                <w:noProof/>
                <w:webHidden/>
              </w:rPr>
              <w:fldChar w:fldCharType="end"/>
            </w:r>
          </w:hyperlink>
        </w:p>
        <w:p w14:paraId="64C363F2" w14:textId="15471B10" w:rsidR="00964D36" w:rsidRDefault="000722DA">
          <w:pPr>
            <w:pStyle w:val="TOC1"/>
            <w:rPr>
              <w:rFonts w:eastAsiaTheme="minorEastAsia" w:cstheme="minorBidi"/>
              <w:b w:val="0"/>
              <w:bCs w:val="0"/>
              <w:i w:val="0"/>
              <w:iCs w:val="0"/>
              <w:noProof/>
              <w:lang w:val="es-ES"/>
            </w:rPr>
          </w:pPr>
          <w:hyperlink w:anchor="_Toc52308276" w:history="1">
            <w:r w:rsidR="00964D36" w:rsidRPr="00E04016">
              <w:rPr>
                <w:rStyle w:val="Hyperlink"/>
                <w:noProof/>
              </w:rPr>
              <w:t>Bibliography</w:t>
            </w:r>
            <w:r w:rsidR="00964D36">
              <w:rPr>
                <w:noProof/>
                <w:webHidden/>
              </w:rPr>
              <w:tab/>
            </w:r>
            <w:r w:rsidR="00964D36">
              <w:rPr>
                <w:noProof/>
                <w:webHidden/>
              </w:rPr>
              <w:fldChar w:fldCharType="begin"/>
            </w:r>
            <w:r w:rsidR="00964D36">
              <w:rPr>
                <w:noProof/>
                <w:webHidden/>
              </w:rPr>
              <w:instrText xml:space="preserve"> PAGEREF _Toc52308276 \h </w:instrText>
            </w:r>
            <w:r w:rsidR="00964D36">
              <w:rPr>
                <w:noProof/>
                <w:webHidden/>
              </w:rPr>
            </w:r>
            <w:r w:rsidR="00964D36">
              <w:rPr>
                <w:noProof/>
                <w:webHidden/>
              </w:rPr>
              <w:fldChar w:fldCharType="separate"/>
            </w:r>
            <w:r w:rsidR="00042111">
              <w:rPr>
                <w:noProof/>
                <w:webHidden/>
              </w:rPr>
              <w:t>I</w:t>
            </w:r>
            <w:r w:rsidR="00964D36">
              <w:rPr>
                <w:noProof/>
                <w:webHidden/>
              </w:rPr>
              <w:fldChar w:fldCharType="end"/>
            </w:r>
          </w:hyperlink>
        </w:p>
        <w:p w14:paraId="754DA94D" w14:textId="13FA6C9A" w:rsidR="000036A0" w:rsidRDefault="000036A0">
          <w:r>
            <w:rPr>
              <w:b/>
              <w:bCs/>
              <w:noProof/>
            </w:rPr>
            <w:fldChar w:fldCharType="end"/>
          </w:r>
        </w:p>
      </w:sdtContent>
    </w:sdt>
    <w:p w14:paraId="00D1AC6A" w14:textId="77777777" w:rsidR="000036A0" w:rsidRDefault="000036A0">
      <w:pPr>
        <w:spacing w:after="160" w:line="259" w:lineRule="auto"/>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lastRenderedPageBreak/>
        <w:br w:type="page"/>
      </w:r>
    </w:p>
    <w:p w14:paraId="4DC2B8F9" w14:textId="77777777" w:rsidR="00074314" w:rsidRDefault="00074314" w:rsidP="00B06F43">
      <w:pPr>
        <w:pStyle w:val="Heading1"/>
        <w:numPr>
          <w:ilvl w:val="0"/>
          <w:numId w:val="0"/>
        </w:numPr>
        <w:sectPr w:rsidR="00074314" w:rsidSect="007456AD">
          <w:footerReference w:type="even" r:id="rId9"/>
          <w:footerReference w:type="default" r:id="rId10"/>
          <w:footerReference w:type="first" r:id="rId11"/>
          <w:pgSz w:w="12240" w:h="15840"/>
          <w:pgMar w:top="1440" w:right="1440" w:bottom="1440" w:left="1440" w:header="720" w:footer="720" w:gutter="0"/>
          <w:pgNumType w:fmt="lowerRoman" w:start="1"/>
          <w:cols w:space="720"/>
          <w:titlePg/>
          <w:docGrid w:linePitch="360"/>
        </w:sectPr>
      </w:pPr>
    </w:p>
    <w:p w14:paraId="59357CE4" w14:textId="446E1259" w:rsidR="00D33C2A" w:rsidRDefault="00D33C2A" w:rsidP="00B06F43">
      <w:pPr>
        <w:pStyle w:val="Heading1"/>
        <w:numPr>
          <w:ilvl w:val="0"/>
          <w:numId w:val="0"/>
        </w:numPr>
      </w:pPr>
      <w:bookmarkStart w:id="0" w:name="_Toc52308260"/>
      <w:r>
        <w:lastRenderedPageBreak/>
        <w:t>Abstract</w:t>
      </w:r>
      <w:bookmarkEnd w:id="0"/>
    </w:p>
    <w:p w14:paraId="78A0117B" w14:textId="5F45276C" w:rsidR="00FC5DF0" w:rsidRDefault="00780B15" w:rsidP="008819E8">
      <w:r>
        <w:t xml:space="preserve">Through speculative fiction, </w:t>
      </w:r>
      <w:r w:rsidR="00FC5DF0" w:rsidRPr="0076415D">
        <w:t xml:space="preserve">Canadian writer Margaret Atwood portrays a near-future projection of the contemporary science of biotechnology and late-capitalism in her </w:t>
      </w:r>
      <w:r w:rsidR="00FC5DF0" w:rsidRPr="0076415D">
        <w:rPr>
          <w:i/>
          <w:iCs/>
        </w:rPr>
        <w:t>Maddaddam</w:t>
      </w:r>
      <w:r w:rsidR="00FC5DF0" w:rsidRPr="0076415D">
        <w:t xml:space="preserve"> trilogy. Her trilogy of admonitory satires, </w:t>
      </w:r>
      <w:r w:rsidR="00FC5DF0" w:rsidRPr="001E34A7">
        <w:rPr>
          <w:i/>
          <w:iCs/>
        </w:rPr>
        <w:t>Oryx and Crake</w:t>
      </w:r>
      <w:r w:rsidR="00FC5DF0" w:rsidRPr="0076415D">
        <w:t xml:space="preserve"> (2003)</w:t>
      </w:r>
      <w:r w:rsidR="00FC5DF0" w:rsidRPr="001E34A7">
        <w:t xml:space="preserve">, </w:t>
      </w:r>
      <w:r w:rsidR="00FC5DF0" w:rsidRPr="001E34A7">
        <w:rPr>
          <w:i/>
          <w:iCs/>
        </w:rPr>
        <w:t>The Year of the Flood</w:t>
      </w:r>
      <w:r w:rsidR="00FC5DF0" w:rsidRPr="0076415D">
        <w:t xml:space="preserve"> (</w:t>
      </w:r>
      <w:r w:rsidR="00FC5DF0" w:rsidRPr="001E34A7">
        <w:t>2009</w:t>
      </w:r>
      <w:r w:rsidR="00FC5DF0" w:rsidRPr="0076415D">
        <w:t>),</w:t>
      </w:r>
      <w:r w:rsidR="00FC5DF0" w:rsidRPr="001E34A7">
        <w:t xml:space="preserve"> </w:t>
      </w:r>
      <w:r w:rsidR="00FC5DF0" w:rsidRPr="0076415D">
        <w:t xml:space="preserve">and </w:t>
      </w:r>
      <w:r w:rsidR="00FC5DF0" w:rsidRPr="001E34A7">
        <w:rPr>
          <w:i/>
          <w:iCs/>
        </w:rPr>
        <w:t>MaddAddam</w:t>
      </w:r>
      <w:r w:rsidR="00FC5DF0" w:rsidRPr="001E34A7">
        <w:t xml:space="preserve"> </w:t>
      </w:r>
      <w:r w:rsidR="00FC5DF0" w:rsidRPr="0076415D">
        <w:t xml:space="preserve">(2013) answer the challenges of Anthropocene fiction through </w:t>
      </w:r>
      <w:r w:rsidR="00FC5DF0">
        <w:t>the exploration of the cultural transformations of the species brought about by the commodification of life, its uses and corporate cannibalism in a biocapitalist universe</w:t>
      </w:r>
      <w:r w:rsidR="00FC5DF0" w:rsidRPr="0076415D">
        <w:t>.</w:t>
      </w:r>
      <w:r w:rsidR="00FC5DF0">
        <w:t xml:space="preserve"> Atwood’s critical dystopian trilogy critiques both humanism and transhumanism and can be read as a critical posthumanist </w:t>
      </w:r>
      <w:r w:rsidR="00E0134A">
        <w:t>through its exploration of</w:t>
      </w:r>
      <w:r w:rsidR="00FC5DF0">
        <w:t xml:space="preserve"> the attack on the abstraction of the human and the blurring of the </w:t>
      </w:r>
      <w:r w:rsidR="00FC5DF0" w:rsidRPr="0076415D">
        <w:t>human/posthuman/</w:t>
      </w:r>
      <w:r w:rsidR="00FC5DF0">
        <w:t>nonhuman boundaries. The texts offer a critique of the intersection of the religious and the secular and reimagines the apocalyptic as a potential source of possibilities and options for the post-Anthropocene world.</w:t>
      </w:r>
    </w:p>
    <w:p w14:paraId="7B064202" w14:textId="3A1F3685" w:rsidR="00846924" w:rsidRDefault="00846924" w:rsidP="008819E8"/>
    <w:p w14:paraId="5A7B6674" w14:textId="3F8393CB" w:rsidR="00846924" w:rsidRPr="000A730B" w:rsidRDefault="00846924" w:rsidP="008819E8">
      <w:pPr>
        <w:rPr>
          <w:sz w:val="20"/>
          <w:szCs w:val="20"/>
        </w:rPr>
      </w:pPr>
      <w:r w:rsidRPr="000A730B">
        <w:rPr>
          <w:b/>
          <w:bCs/>
          <w:sz w:val="20"/>
          <w:szCs w:val="20"/>
        </w:rPr>
        <w:t>Keywords</w:t>
      </w:r>
      <w:r w:rsidRPr="000A730B">
        <w:rPr>
          <w:sz w:val="20"/>
          <w:szCs w:val="20"/>
        </w:rPr>
        <w:t>: Anthropocene</w:t>
      </w:r>
      <w:r w:rsidR="002600E1" w:rsidRPr="000A730B">
        <w:rPr>
          <w:sz w:val="20"/>
          <w:szCs w:val="20"/>
        </w:rPr>
        <w:t xml:space="preserve"> Fiction</w:t>
      </w:r>
      <w:r w:rsidRPr="000A730B">
        <w:rPr>
          <w:sz w:val="20"/>
          <w:szCs w:val="20"/>
        </w:rPr>
        <w:t xml:space="preserve">, </w:t>
      </w:r>
      <w:r w:rsidR="002600E1" w:rsidRPr="000A730B">
        <w:rPr>
          <w:sz w:val="20"/>
          <w:szCs w:val="20"/>
        </w:rPr>
        <w:t>Apocalyp</w:t>
      </w:r>
      <w:r w:rsidR="002600E1" w:rsidRPr="000A730B">
        <w:rPr>
          <w:sz w:val="20"/>
          <w:szCs w:val="20"/>
        </w:rPr>
        <w:t>tic Fiction</w:t>
      </w:r>
      <w:r w:rsidR="002600E1" w:rsidRPr="000A730B">
        <w:rPr>
          <w:sz w:val="20"/>
          <w:szCs w:val="20"/>
        </w:rPr>
        <w:t>,</w:t>
      </w:r>
      <w:r w:rsidR="002600E1" w:rsidRPr="000A730B">
        <w:rPr>
          <w:sz w:val="20"/>
          <w:szCs w:val="20"/>
        </w:rPr>
        <w:t xml:space="preserve"> </w:t>
      </w:r>
      <w:r w:rsidR="001B43D4" w:rsidRPr="000A730B">
        <w:rPr>
          <w:sz w:val="20"/>
          <w:szCs w:val="20"/>
        </w:rPr>
        <w:t xml:space="preserve">Biocapitalism, Critical Dystopia, Critical Posthumanist, Critical Utopia, </w:t>
      </w:r>
      <w:r w:rsidRPr="000A730B">
        <w:rPr>
          <w:sz w:val="20"/>
          <w:szCs w:val="20"/>
        </w:rPr>
        <w:t xml:space="preserve">Speculative Fiction, </w:t>
      </w:r>
      <w:r w:rsidR="001671A9" w:rsidRPr="000A730B">
        <w:rPr>
          <w:sz w:val="20"/>
          <w:szCs w:val="20"/>
        </w:rPr>
        <w:t>Religion</w:t>
      </w:r>
      <w:r w:rsidR="00F25FEE" w:rsidRPr="000A730B">
        <w:rPr>
          <w:sz w:val="20"/>
          <w:szCs w:val="20"/>
        </w:rPr>
        <w:t xml:space="preserve"> and the </w:t>
      </w:r>
      <w:r w:rsidR="002600E1" w:rsidRPr="000A730B">
        <w:rPr>
          <w:sz w:val="20"/>
          <w:szCs w:val="20"/>
        </w:rPr>
        <w:t>S</w:t>
      </w:r>
      <w:r w:rsidR="00F25FEE" w:rsidRPr="000A730B">
        <w:rPr>
          <w:sz w:val="20"/>
          <w:szCs w:val="20"/>
        </w:rPr>
        <w:t>ecular</w:t>
      </w:r>
      <w:r w:rsidRPr="000A730B">
        <w:rPr>
          <w:sz w:val="20"/>
          <w:szCs w:val="20"/>
        </w:rPr>
        <w:t xml:space="preserve"> </w:t>
      </w:r>
    </w:p>
    <w:p w14:paraId="14D644E4" w14:textId="77777777" w:rsidR="00D33C2A" w:rsidRDefault="00D33C2A" w:rsidP="00FC5DF0">
      <w:pPr>
        <w:spacing w:after="160"/>
      </w:pPr>
      <w:r>
        <w:br w:type="page"/>
      </w:r>
    </w:p>
    <w:p w14:paraId="33CE482F" w14:textId="77777777" w:rsidR="00D33C2A" w:rsidRPr="00D33C2A" w:rsidRDefault="00D33C2A" w:rsidP="00D33C2A"/>
    <w:p w14:paraId="1915C891" w14:textId="13D122EC" w:rsidR="007A2EF5" w:rsidRPr="00EA439E" w:rsidRDefault="007A2EF5" w:rsidP="00B06F43">
      <w:pPr>
        <w:pStyle w:val="Heading1"/>
        <w:numPr>
          <w:ilvl w:val="0"/>
          <w:numId w:val="0"/>
        </w:numPr>
      </w:pPr>
      <w:bookmarkStart w:id="1" w:name="_Toc52308261"/>
      <w:r w:rsidRPr="00EA439E">
        <w:t>Introduction</w:t>
      </w:r>
      <w:bookmarkEnd w:id="1"/>
      <w:r w:rsidR="000D0E88" w:rsidRPr="00EA439E">
        <w:tab/>
      </w:r>
    </w:p>
    <w:p w14:paraId="746A544A" w14:textId="77777777" w:rsidR="005E039B" w:rsidRPr="005E039B" w:rsidRDefault="005E039B" w:rsidP="0027373D"/>
    <w:p w14:paraId="4201AD2E" w14:textId="77777777" w:rsidR="00403DF6" w:rsidRPr="008819E8" w:rsidRDefault="00403DF6" w:rsidP="008819E8">
      <w:pPr>
        <w:pStyle w:val="Quote"/>
      </w:pPr>
      <w:r w:rsidRPr="008819E8">
        <w:t>“</w:t>
      </w:r>
      <w:r w:rsidR="006646E7" w:rsidRPr="008819E8">
        <w:t>What if we continue down the road we’re already on? How slippery is the slope?</w:t>
      </w:r>
    </w:p>
    <w:p w14:paraId="63B61B39" w14:textId="7AD46A5F" w:rsidR="006646E7" w:rsidRPr="008819E8" w:rsidRDefault="006646E7" w:rsidP="008819E8">
      <w:pPr>
        <w:pStyle w:val="Quote"/>
      </w:pPr>
      <w:r w:rsidRPr="008819E8">
        <w:t>What are our saving graces? Who’s got the will to stop us?</w:t>
      </w:r>
      <w:r w:rsidR="00403DF6" w:rsidRPr="008819E8">
        <w:t>”</w:t>
      </w:r>
    </w:p>
    <w:p w14:paraId="5C3F3ABD" w14:textId="77777777" w:rsidR="006646E7" w:rsidRPr="008819E8" w:rsidRDefault="006646E7" w:rsidP="008819E8">
      <w:pPr>
        <w:pStyle w:val="Quote"/>
      </w:pPr>
      <w:r w:rsidRPr="008819E8">
        <w:t>~Margaret Atwood</w:t>
      </w:r>
      <w:r w:rsidRPr="006D2D77">
        <w:rPr>
          <w:rStyle w:val="FootnoteReference"/>
        </w:rPr>
        <w:footnoteReference w:id="2"/>
      </w:r>
    </w:p>
    <w:p w14:paraId="00BD471F" w14:textId="77777777" w:rsidR="006646E7" w:rsidRDefault="006646E7" w:rsidP="006646E7"/>
    <w:p w14:paraId="785E174C" w14:textId="77777777" w:rsidR="006646E7" w:rsidRDefault="006646E7" w:rsidP="006646E7"/>
    <w:p w14:paraId="6AF540B7" w14:textId="0C478B66" w:rsidR="006646E7" w:rsidRDefault="006646E7" w:rsidP="006646E7">
      <w:r>
        <w:t xml:space="preserve">The Anthropocene is a name </w:t>
      </w:r>
      <w:r w:rsidR="004645CF">
        <w:t>actively</w:t>
      </w:r>
      <w:r>
        <w:t xml:space="preserve"> being debated for use to classify the current geological epoch</w:t>
      </w:r>
      <w:r w:rsidRPr="00403602">
        <w:t>.</w:t>
      </w:r>
      <w:r w:rsidRPr="00403602">
        <w:rPr>
          <w:rStyle w:val="FootnoteReference"/>
        </w:rPr>
        <w:footnoteReference w:id="3"/>
      </w:r>
      <w:r>
        <w:t xml:space="preserve"> It places human activities as the principle cause of geological changes on this planet and challenges the distinction between natural history and human history.</w:t>
      </w:r>
      <w:r w:rsidRPr="00403602">
        <w:rPr>
          <w:rStyle w:val="FootnoteReference"/>
        </w:rPr>
        <w:footnoteReference w:id="4"/>
      </w:r>
      <w:r>
        <w:t xml:space="preserve"> The challenges faced by the individual imagination in understanding this ongoing global event and its dire consequences, can be seen to both produce and call for a body of literary cultural productions to respond, reflect and critique this reality.</w:t>
      </w:r>
      <w:r w:rsidRPr="00403602">
        <w:rPr>
          <w:rStyle w:val="FootnoteReference"/>
        </w:rPr>
        <w:footnoteReference w:id="5"/>
      </w:r>
      <w:r w:rsidRPr="00403602">
        <w:t xml:space="preserve"> </w:t>
      </w:r>
      <w:r>
        <w:t xml:space="preserve"> I choose Atwood’s </w:t>
      </w:r>
      <w:r w:rsidRPr="009D48C8">
        <w:rPr>
          <w:i/>
          <w:iCs/>
        </w:rPr>
        <w:t>Maddaddam</w:t>
      </w:r>
      <w:r>
        <w:t xml:space="preserve"> trilogy as it is a clear example of a literary work which not only takes up this challenge, but effectively critiques and breaks down the crisis to be individually comprehensible while still offering hope for a (post)Anthropocene future.   </w:t>
      </w:r>
    </w:p>
    <w:p w14:paraId="2231C91E" w14:textId="77777777" w:rsidR="00C27591" w:rsidRDefault="006646E7" w:rsidP="006646E7">
      <w:pPr>
        <w:rPr>
          <w:noProof/>
        </w:rPr>
      </w:pPr>
      <w:r w:rsidRPr="006D7814">
        <w:t>The primary aim of this dissertation is to explore Margaret</w:t>
      </w:r>
      <w:r>
        <w:t xml:space="preserve"> Atwood´s Ustopic response to the Anthropocene crisis through the lens of the speculative fiction works of her </w:t>
      </w:r>
      <w:r w:rsidRPr="006D7814">
        <w:rPr>
          <w:i/>
          <w:iCs/>
        </w:rPr>
        <w:t>Maddaddam</w:t>
      </w:r>
      <w:r>
        <w:t xml:space="preserve"> trilogy. </w:t>
      </w:r>
      <w:r w:rsidRPr="00354016">
        <w:rPr>
          <w:noProof/>
        </w:rPr>
        <w:t xml:space="preserve">The </w:t>
      </w:r>
      <w:r w:rsidRPr="00354016">
        <w:rPr>
          <w:i/>
          <w:iCs/>
          <w:noProof/>
        </w:rPr>
        <w:t>Maddaddam</w:t>
      </w:r>
      <w:r w:rsidRPr="00354016">
        <w:rPr>
          <w:noProof/>
        </w:rPr>
        <w:t xml:space="preserve"> trilogy is comprised of the novels </w:t>
      </w:r>
      <w:r w:rsidRPr="00354016">
        <w:rPr>
          <w:i/>
          <w:iCs/>
          <w:noProof/>
        </w:rPr>
        <w:t>Oryx and Crake</w:t>
      </w:r>
      <w:r w:rsidRPr="00354016">
        <w:rPr>
          <w:noProof/>
        </w:rPr>
        <w:t xml:space="preserve"> (2003), </w:t>
      </w:r>
      <w:r w:rsidRPr="00354016">
        <w:rPr>
          <w:i/>
          <w:iCs/>
          <w:noProof/>
        </w:rPr>
        <w:t>The Year of the Flood</w:t>
      </w:r>
      <w:r w:rsidRPr="00354016">
        <w:rPr>
          <w:noProof/>
        </w:rPr>
        <w:t xml:space="preserve"> (2009), and </w:t>
      </w:r>
      <w:r w:rsidRPr="00354016">
        <w:rPr>
          <w:i/>
          <w:iCs/>
          <w:noProof/>
        </w:rPr>
        <w:t>MaddAddam</w:t>
      </w:r>
      <w:r w:rsidRPr="00354016">
        <w:rPr>
          <w:noProof/>
        </w:rPr>
        <w:t xml:space="preserve"> (2013)</w:t>
      </w:r>
      <w:r>
        <w:rPr>
          <w:noProof/>
        </w:rPr>
        <w:t xml:space="preserve"> and protray a near-future pre- and post-apocalyptic world. In the novels, the almost total devastation of the human race is deliberately brought about </w:t>
      </w:r>
      <w:r>
        <w:rPr>
          <w:noProof/>
        </w:rPr>
        <w:lastRenderedPageBreak/>
        <w:t>through a global viral pandemic developed, by a biocapitalist engineer named Crake, in order to clean the environmentaly compromised Earth of the blight of humanity and to provide a fresh start for his genetically engineered posthuman race of hominids called the Crakers.</w:t>
      </w:r>
    </w:p>
    <w:p w14:paraId="5DC092E8" w14:textId="574CE266" w:rsidR="006646E7" w:rsidRDefault="006646E7" w:rsidP="006646E7">
      <w:pPr>
        <w:rPr>
          <w:noProof/>
        </w:rPr>
      </w:pPr>
      <w:r>
        <w:rPr>
          <w:noProof/>
        </w:rPr>
        <w:t xml:space="preserve">The first novel, </w:t>
      </w:r>
      <w:r w:rsidRPr="00AE68E1">
        <w:rPr>
          <w:i/>
          <w:iCs/>
          <w:noProof/>
        </w:rPr>
        <w:t>Oryx and Crake</w:t>
      </w:r>
      <w:r>
        <w:rPr>
          <w:noProof/>
        </w:rPr>
        <w:t xml:space="preserve">, can be read as a ‘Last Man’ novel and is told from the viewpoint of Jimmy-Snowman, the best friend of the now deceased Crake. Jimmy-Snowman lives believing himself the sole human survivor in the post-apocalytic posthuman world and the novel traces the events before and after the human engineered apocalypse through his point of view and memories. The second novel, </w:t>
      </w:r>
      <w:r w:rsidRPr="00AE68E1">
        <w:rPr>
          <w:i/>
          <w:iCs/>
          <w:noProof/>
        </w:rPr>
        <w:t>The Year of the Flood</w:t>
      </w:r>
      <w:r>
        <w:rPr>
          <w:noProof/>
        </w:rPr>
        <w:t xml:space="preserve">, is told from two female </w:t>
      </w:r>
      <w:r w:rsidR="006D2C21">
        <w:rPr>
          <w:noProof/>
        </w:rPr>
        <w:t>‘</w:t>
      </w:r>
      <w:r>
        <w:rPr>
          <w:noProof/>
        </w:rPr>
        <w:t>Last Woman</w:t>
      </w:r>
      <w:r w:rsidR="006D2C21">
        <w:rPr>
          <w:noProof/>
        </w:rPr>
        <w:t>’</w:t>
      </w:r>
      <w:r>
        <w:rPr>
          <w:noProof/>
        </w:rPr>
        <w:t xml:space="preserve"> perspectives. Both are involved in the God’s Gardeners eco-cult and the novel is set primariy in the neglected and dangerous urban centers where the majority of the population live </w:t>
      </w:r>
      <w:r w:rsidRPr="00351E9B">
        <w:t>in near squalor in disease infested, dangerous, polluted and dirty Pleeblands populated by “the addicts, the muggers, the paupers, [and] the crazies.”</w:t>
      </w:r>
      <w:r w:rsidRPr="00351E9B">
        <w:rPr>
          <w:rStyle w:val="FootnoteReference"/>
        </w:rPr>
        <w:footnoteReference w:id="6"/>
      </w:r>
      <w:r>
        <w:rPr>
          <w:noProof/>
        </w:rPr>
        <w:t xml:space="preserve"> The </w:t>
      </w:r>
      <w:r w:rsidRPr="00117E44">
        <w:rPr>
          <w:i/>
          <w:iCs/>
          <w:noProof/>
        </w:rPr>
        <w:t xml:space="preserve">Year of the Flood </w:t>
      </w:r>
      <w:r>
        <w:rPr>
          <w:noProof/>
        </w:rPr>
        <w:t xml:space="preserve">depicts the same time period as </w:t>
      </w:r>
      <w:r w:rsidRPr="00357EF2">
        <w:rPr>
          <w:i/>
          <w:iCs/>
          <w:noProof/>
        </w:rPr>
        <w:t>Oryx and Crake</w:t>
      </w:r>
      <w:r>
        <w:rPr>
          <w:noProof/>
        </w:rPr>
        <w:t xml:space="preserve"> and both novels end on the same final event.</w:t>
      </w:r>
    </w:p>
    <w:p w14:paraId="3FD0B3CF" w14:textId="77777777" w:rsidR="006646E7" w:rsidRDefault="006646E7" w:rsidP="006646E7">
      <w:pPr>
        <w:rPr>
          <w:noProof/>
        </w:rPr>
      </w:pPr>
      <w:r>
        <w:rPr>
          <w:noProof/>
        </w:rPr>
        <w:t xml:space="preserve">It is the third novel in the series that acts as a sequel for both. </w:t>
      </w:r>
      <w:r w:rsidRPr="00BE2FF1">
        <w:rPr>
          <w:i/>
          <w:iCs/>
          <w:noProof/>
        </w:rPr>
        <w:t>Maddaddam</w:t>
      </w:r>
      <w:r>
        <w:rPr>
          <w:noProof/>
        </w:rPr>
        <w:t xml:space="preserve"> tells the story of the survivors of the apocalypse, their challenges, and the formation of hybrid human/posthuman/nonhuman society. </w:t>
      </w:r>
      <w:r w:rsidRPr="00351E9B">
        <w:t xml:space="preserve">The </w:t>
      </w:r>
      <w:r w:rsidRPr="004F2886">
        <w:rPr>
          <w:i/>
          <w:iCs/>
        </w:rPr>
        <w:t>Maddaddam</w:t>
      </w:r>
      <w:r w:rsidRPr="00351E9B">
        <w:t xml:space="preserve"> universe</w:t>
      </w:r>
      <w:r>
        <w:t xml:space="preserve"> can be read as</w:t>
      </w:r>
      <w:r w:rsidRPr="00351E9B">
        <w:t xml:space="preserve"> projection of the “wastefulness, arrogance, and greed of contemporary society.”</w:t>
      </w:r>
      <w:r w:rsidRPr="00351E9B">
        <w:rPr>
          <w:rStyle w:val="FootnoteReference"/>
        </w:rPr>
        <w:footnoteReference w:id="7"/>
      </w:r>
    </w:p>
    <w:p w14:paraId="448EEAC2" w14:textId="19068BA9" w:rsidR="006646E7" w:rsidRDefault="006646E7" w:rsidP="006646E7">
      <w:pPr>
        <w:rPr>
          <w:noProof/>
        </w:rPr>
      </w:pPr>
      <w:r>
        <w:rPr>
          <w:noProof/>
        </w:rPr>
        <w:t xml:space="preserve">In chapter 1, entitled </w:t>
      </w:r>
      <w:r w:rsidR="006D2C21">
        <w:rPr>
          <w:noProof/>
        </w:rPr>
        <w:t>“</w:t>
      </w:r>
      <w:r w:rsidRPr="005214CC">
        <w:rPr>
          <w:noProof/>
        </w:rPr>
        <w:t>Atwood’s Ustopic Response to the Anthropocene Crisis: Speculative Fiction</w:t>
      </w:r>
      <w:r>
        <w:rPr>
          <w:noProof/>
        </w:rPr>
        <w:t>,</w:t>
      </w:r>
      <w:r w:rsidR="006D2C21">
        <w:rPr>
          <w:noProof/>
        </w:rPr>
        <w:t>”</w:t>
      </w:r>
      <w:r w:rsidRPr="005214CC">
        <w:rPr>
          <w:noProof/>
        </w:rPr>
        <w:t xml:space="preserve"> </w:t>
      </w:r>
      <w:r>
        <w:rPr>
          <w:noProof/>
        </w:rPr>
        <w:t>I explore the concept of the Anthropocene and the challenges that exist in the creation of literary cultural productions, in particular fiction, when dealing with this viewpoint. I explore Atwood’s postmodern term ‘ustopia’ through a mapping of the development of utopianism and its turn to dystopia. I provide background to the genre of speculative fiction and how it differs from science fiction and the tools that are unique to speculative fiction in making the Anthropocene crisis comprehensible to the indiviual imagination.</w:t>
      </w:r>
    </w:p>
    <w:p w14:paraId="39D0F728" w14:textId="3215E6B8" w:rsidR="006646E7" w:rsidRDefault="006646E7" w:rsidP="006646E7">
      <w:pPr>
        <w:rPr>
          <w:noProof/>
        </w:rPr>
      </w:pPr>
      <w:r>
        <w:rPr>
          <w:noProof/>
        </w:rPr>
        <w:lastRenderedPageBreak/>
        <w:t xml:space="preserve">In chapter 2, under the title: </w:t>
      </w:r>
      <w:r w:rsidR="006D2C21">
        <w:rPr>
          <w:noProof/>
        </w:rPr>
        <w:t>“</w:t>
      </w:r>
      <w:r>
        <w:rPr>
          <w:noProof/>
        </w:rPr>
        <w:t>Biocapitalism: Transformations in the way we think of life,</w:t>
      </w:r>
      <w:r w:rsidR="006D2C21">
        <w:rPr>
          <w:noProof/>
        </w:rPr>
        <w:t>”</w:t>
      </w:r>
      <w:r>
        <w:rPr>
          <w:noProof/>
        </w:rPr>
        <w:t xml:space="preserve"> I explore Atwood’s critique of the contemporary science of biotechnology and late-capitalism. Through the definition of the terms ‘biocapitalism,’ ‘biovalue,’ and ‘biocapital,’ and an exploration of the transformations in both the way we think of life and the focus on uses of life, I explore Atwood’s satirical admonitory critique of the near-future consequences of unfettered science and the commidification of life. I probe Atwood’s blurring of the boundaries between food production and cannibalism as a symbol of humanit</w:t>
      </w:r>
      <w:r w:rsidR="006D2C21">
        <w:rPr>
          <w:noProof/>
        </w:rPr>
        <w:t>y’s</w:t>
      </w:r>
      <w:r>
        <w:rPr>
          <w:noProof/>
        </w:rPr>
        <w:t xml:space="preserve"> langour in the midst of the commidification of nature.</w:t>
      </w:r>
    </w:p>
    <w:p w14:paraId="20A69BD7" w14:textId="6E44B837" w:rsidR="006646E7" w:rsidRDefault="006646E7" w:rsidP="006646E7">
      <w:pPr>
        <w:rPr>
          <w:noProof/>
        </w:rPr>
      </w:pPr>
      <w:r>
        <w:rPr>
          <w:noProof/>
        </w:rPr>
        <w:t xml:space="preserve">In chapter 3, </w:t>
      </w:r>
      <w:r w:rsidR="00A51C54">
        <w:rPr>
          <w:noProof/>
        </w:rPr>
        <w:t>“</w:t>
      </w:r>
      <w:r>
        <w:rPr>
          <w:noProof/>
        </w:rPr>
        <w:t>The Maddaddam Trilogy: A Rel</w:t>
      </w:r>
      <w:r w:rsidR="00A51C54">
        <w:rPr>
          <w:noProof/>
        </w:rPr>
        <w:t>a</w:t>
      </w:r>
      <w:r>
        <w:rPr>
          <w:noProof/>
        </w:rPr>
        <w:t>tionship with the Posthuman,</w:t>
      </w:r>
      <w:r w:rsidR="00A51C54">
        <w:rPr>
          <w:noProof/>
        </w:rPr>
        <w:t>”</w:t>
      </w:r>
      <w:r>
        <w:rPr>
          <w:noProof/>
        </w:rPr>
        <w:t xml:space="preserve"> I posit that the trilogy can be read as a critical posthuman text as opposed to either humanist or transhumanist texts. I explore the transhumanist and humanist aspects of the works and Atwood’s critique of each through an examination of the bioengineered creatures depicted and the development of a new hybrid community of human, </w:t>
      </w:r>
      <w:r w:rsidRPr="00A536DB">
        <w:rPr>
          <w:i/>
          <w:iCs/>
          <w:noProof/>
        </w:rPr>
        <w:t>post</w:t>
      </w:r>
      <w:r>
        <w:rPr>
          <w:noProof/>
        </w:rPr>
        <w:t>human and nonhuman.</w:t>
      </w:r>
    </w:p>
    <w:p w14:paraId="32B54692" w14:textId="161F385D" w:rsidR="006646E7" w:rsidRDefault="006646E7" w:rsidP="006646E7">
      <w:pPr>
        <w:rPr>
          <w:noProof/>
        </w:rPr>
      </w:pPr>
      <w:r>
        <w:rPr>
          <w:noProof/>
        </w:rPr>
        <w:t xml:space="preserve">In the fourth chapter, </w:t>
      </w:r>
      <w:r w:rsidR="006D2C21">
        <w:rPr>
          <w:noProof/>
        </w:rPr>
        <w:t>“</w:t>
      </w:r>
      <w:r>
        <w:rPr>
          <w:noProof/>
        </w:rPr>
        <w:t>What God can Survive the Anthropocene Crisis?</w:t>
      </w:r>
      <w:r w:rsidR="006D2C21">
        <w:rPr>
          <w:noProof/>
        </w:rPr>
        <w:t>”</w:t>
      </w:r>
      <w:r w:rsidR="00C51324">
        <w:rPr>
          <w:noProof/>
        </w:rPr>
        <w:t>,</w:t>
      </w:r>
      <w:r>
        <w:rPr>
          <w:noProof/>
        </w:rPr>
        <w:t xml:space="preserve"> the nature and function of religion in the trilogy is discussed. I explore the religious befliefs and practices of the God’s Gardeners, an eco</w:t>
      </w:r>
      <w:r w:rsidR="00C51324">
        <w:rPr>
          <w:noProof/>
        </w:rPr>
        <w:t>-</w:t>
      </w:r>
      <w:r>
        <w:rPr>
          <w:noProof/>
        </w:rPr>
        <w:t>religious cult, under the lens of the understanding of an adaptive religion. This chapter looks at the comingling of religion and the secular, and their deconstuction as binary opposites through</w:t>
      </w:r>
      <w:r w:rsidR="00C51324">
        <w:rPr>
          <w:noProof/>
        </w:rPr>
        <w:t>out</w:t>
      </w:r>
      <w:r>
        <w:rPr>
          <w:noProof/>
        </w:rPr>
        <w:t xml:space="preserve"> the trilogy.</w:t>
      </w:r>
    </w:p>
    <w:p w14:paraId="2D560E10" w14:textId="5B42CF0B" w:rsidR="006646E7" w:rsidRPr="006D7814" w:rsidRDefault="006646E7" w:rsidP="006646E7">
      <w:pPr>
        <w:rPr>
          <w:lang w:val="es-ES"/>
        </w:rPr>
      </w:pPr>
      <w:r>
        <w:rPr>
          <w:noProof/>
        </w:rPr>
        <w:t xml:space="preserve">In the final and concluding chapter, </w:t>
      </w:r>
      <w:r w:rsidR="00C51324">
        <w:rPr>
          <w:noProof/>
        </w:rPr>
        <w:t>“</w:t>
      </w:r>
      <w:r w:rsidRPr="006C05DE">
        <w:rPr>
          <w:noProof/>
        </w:rPr>
        <w:t>Chapter 5 Concluding with a Critique of the Apocalypse</w:t>
      </w:r>
      <w:r>
        <w:rPr>
          <w:noProof/>
        </w:rPr>
        <w:t>,</w:t>
      </w:r>
      <w:r w:rsidR="00C51324">
        <w:rPr>
          <w:noProof/>
        </w:rPr>
        <w:t>”</w:t>
      </w:r>
      <w:r>
        <w:rPr>
          <w:noProof/>
        </w:rPr>
        <w:t xml:space="preserve"> I delve deeper in the the scholarly terms, critical utopia and critical dystopia to contextualise Atwood’s ustopia. I posit that the trilogy rather than apocalypic fiction can be read as a critical dystopia. I argue that Atwood’s critique of the crisis of apocalypse, through its protrayal as a generator of possibilities and options, while bleak is not the true object of the trilogy, but rather is instead hope in the face of the </w:t>
      </w:r>
      <w:r w:rsidR="00E6677C">
        <w:t>Anthropocene</w:t>
      </w:r>
      <w:r>
        <w:rPr>
          <w:noProof/>
        </w:rPr>
        <w:t xml:space="preserve"> crisis that faces us all</w:t>
      </w:r>
      <w:r w:rsidR="000369B5">
        <w:rPr>
          <w:noProof/>
        </w:rPr>
        <w:t>.</w:t>
      </w:r>
    </w:p>
    <w:p w14:paraId="5416C845" w14:textId="77777777" w:rsidR="0030694F" w:rsidRDefault="0030694F" w:rsidP="0027373D"/>
    <w:p w14:paraId="72331A5E" w14:textId="77777777" w:rsidR="0030694F" w:rsidRDefault="0030694F" w:rsidP="0027373D"/>
    <w:p w14:paraId="3F81A4BE" w14:textId="77777777" w:rsidR="0030694F" w:rsidRDefault="0030694F" w:rsidP="0027373D"/>
    <w:p w14:paraId="115DFD94" w14:textId="2D876D87" w:rsidR="0030694F" w:rsidRDefault="0030694F" w:rsidP="0027373D">
      <w:pPr>
        <w:sectPr w:rsidR="0030694F" w:rsidSect="00042111">
          <w:pgSz w:w="12240" w:h="15840"/>
          <w:pgMar w:top="1440" w:right="1440" w:bottom="1440" w:left="1440" w:header="720" w:footer="720" w:gutter="0"/>
          <w:pgNumType w:fmt="lowerRoman"/>
          <w:cols w:space="720"/>
          <w:titlePg/>
          <w:docGrid w:linePitch="360"/>
        </w:sectPr>
      </w:pPr>
    </w:p>
    <w:p w14:paraId="734474EC" w14:textId="4491A355" w:rsidR="00960CD5" w:rsidRPr="009A019D" w:rsidRDefault="00960CD5" w:rsidP="003A760B">
      <w:pPr>
        <w:pStyle w:val="Heading1"/>
        <w:numPr>
          <w:ilvl w:val="0"/>
          <w:numId w:val="29"/>
        </w:numPr>
      </w:pPr>
      <w:bookmarkStart w:id="2" w:name="_Toc52308262"/>
      <w:r w:rsidRPr="009A019D">
        <w:lastRenderedPageBreak/>
        <w:t>Atwood’s Ustopic Response to the Anthropocene Crisis:</w:t>
      </w:r>
      <w:r w:rsidR="009A515F">
        <w:t xml:space="preserve"> </w:t>
      </w:r>
      <w:r w:rsidRPr="009A019D">
        <w:t>Speculative Fiction</w:t>
      </w:r>
      <w:bookmarkEnd w:id="2"/>
      <w:r w:rsidRPr="009A019D">
        <w:t xml:space="preserve"> </w:t>
      </w:r>
    </w:p>
    <w:p w14:paraId="24467E91" w14:textId="77777777" w:rsidR="00960CD5" w:rsidRPr="00403602" w:rsidRDefault="00960CD5" w:rsidP="0027373D"/>
    <w:p w14:paraId="4C35B240" w14:textId="77777777" w:rsidR="00403DF6" w:rsidRDefault="00960CD5" w:rsidP="00E223B0">
      <w:pPr>
        <w:pStyle w:val="Quote"/>
      </w:pPr>
      <w:r w:rsidRPr="00403DF6">
        <w:t>“No animal can exhaust its resource base and hope to survive</w:t>
      </w:r>
      <w:r w:rsidR="00403DF6">
        <w:t>.</w:t>
      </w:r>
    </w:p>
    <w:p w14:paraId="2AFBDB2A" w14:textId="0851FBCE" w:rsidR="00E61F67" w:rsidRPr="00403DF6" w:rsidRDefault="00960CD5" w:rsidP="00E223B0">
      <w:pPr>
        <w:pStyle w:val="Quote"/>
      </w:pPr>
      <w:r w:rsidRPr="00403DF6">
        <w:t xml:space="preserve">Human civilizations are subject to the same law.” </w:t>
      </w:r>
    </w:p>
    <w:p w14:paraId="3F724BD4" w14:textId="31EFCCB7" w:rsidR="00960CD5" w:rsidRPr="00403DF6" w:rsidRDefault="00E61F67" w:rsidP="00E223B0">
      <w:pPr>
        <w:pStyle w:val="Quote"/>
        <w:rPr>
          <w:i/>
          <w:iCs/>
        </w:rPr>
      </w:pPr>
      <w:r w:rsidRPr="00403DF6">
        <w:t xml:space="preserve">~Margaret </w:t>
      </w:r>
      <w:r w:rsidR="00960CD5" w:rsidRPr="00403DF6">
        <w:t xml:space="preserve">Atwood, </w:t>
      </w:r>
      <w:r w:rsidR="00960CD5" w:rsidRPr="00403DF6">
        <w:rPr>
          <w:i/>
          <w:iCs/>
        </w:rPr>
        <w:t>Oryx</w:t>
      </w:r>
      <w:r w:rsidRPr="00403DF6">
        <w:rPr>
          <w:i/>
          <w:iCs/>
        </w:rPr>
        <w:t xml:space="preserve"> and Crane</w:t>
      </w:r>
    </w:p>
    <w:p w14:paraId="578D61F2" w14:textId="77777777" w:rsidR="00403602" w:rsidRPr="00403602" w:rsidRDefault="00403602" w:rsidP="0027373D"/>
    <w:p w14:paraId="7CD2B09B" w14:textId="32C7B176" w:rsidR="002171E8" w:rsidRPr="00403602" w:rsidRDefault="00C423A0" w:rsidP="0027373D">
      <w:r w:rsidRPr="00403602">
        <w:t xml:space="preserve">In </w:t>
      </w:r>
      <w:r w:rsidR="00642F41" w:rsidRPr="00403602">
        <w:t xml:space="preserve">the first section of </w:t>
      </w:r>
      <w:r w:rsidRPr="00403602">
        <w:t xml:space="preserve">this </w:t>
      </w:r>
      <w:r w:rsidR="00E108B3" w:rsidRPr="00403602">
        <w:t>chapter</w:t>
      </w:r>
      <w:r w:rsidRPr="00403602">
        <w:t xml:space="preserve"> I </w:t>
      </w:r>
      <w:r w:rsidR="00642F41" w:rsidRPr="00403602">
        <w:t xml:space="preserve">explore the </w:t>
      </w:r>
      <w:r w:rsidR="00410AA2" w:rsidRPr="00403602">
        <w:t xml:space="preserve">concept of the </w:t>
      </w:r>
      <w:r w:rsidR="00E108B3" w:rsidRPr="00403602">
        <w:t>Anthropocene</w:t>
      </w:r>
      <w:r w:rsidR="00F11309" w:rsidRPr="00403602">
        <w:t xml:space="preserve"> and the challenges that creation of </w:t>
      </w:r>
      <w:r w:rsidR="00410AA2" w:rsidRPr="00403602">
        <w:t xml:space="preserve">literary </w:t>
      </w:r>
      <w:r w:rsidR="00F11309" w:rsidRPr="00403602">
        <w:t xml:space="preserve">cultural </w:t>
      </w:r>
      <w:r w:rsidR="00E108B3" w:rsidRPr="00403602">
        <w:t>productions</w:t>
      </w:r>
      <w:r w:rsidR="00FF3C20" w:rsidRPr="00403602">
        <w:t xml:space="preserve">, and in particular fiction, </w:t>
      </w:r>
      <w:r w:rsidR="00DB4323" w:rsidRPr="00403602">
        <w:t xml:space="preserve">face when </w:t>
      </w:r>
      <w:r w:rsidR="005C5E07" w:rsidRPr="00403602">
        <w:t xml:space="preserve">dealing with </w:t>
      </w:r>
      <w:r w:rsidR="00241DA8" w:rsidRPr="00403602">
        <w:t>this</w:t>
      </w:r>
      <w:r w:rsidR="002171E8" w:rsidRPr="00403602">
        <w:t xml:space="preserve"> viewpoint. In the second section, </w:t>
      </w:r>
      <w:r w:rsidR="00F92366" w:rsidRPr="00403602">
        <w:t xml:space="preserve">I explore the development </w:t>
      </w:r>
      <w:r w:rsidR="00403602" w:rsidRPr="00403602">
        <w:t xml:space="preserve">of the </w:t>
      </w:r>
      <w:r w:rsidR="00D5516C" w:rsidRPr="00403602">
        <w:t xml:space="preserve">postmodern </w:t>
      </w:r>
      <w:r w:rsidR="00241DA8" w:rsidRPr="00403602">
        <w:t xml:space="preserve">term </w:t>
      </w:r>
      <w:r w:rsidR="00D5516C" w:rsidRPr="00403602">
        <w:t>‘</w:t>
      </w:r>
      <w:r w:rsidR="00321022" w:rsidRPr="00403602">
        <w:t>ustopia</w:t>
      </w:r>
      <w:r w:rsidR="00D5516C" w:rsidRPr="00403602">
        <w:t>’</w:t>
      </w:r>
      <w:r w:rsidR="00321022" w:rsidRPr="00403602">
        <w:t xml:space="preserve"> and its relevance to</w:t>
      </w:r>
      <w:r w:rsidR="00D5516C" w:rsidRPr="00403602">
        <w:t xml:space="preserve"> the challenges </w:t>
      </w:r>
      <w:r w:rsidR="00F82DEE" w:rsidRPr="00403602">
        <w:t xml:space="preserve">outlined. In the third section I </w:t>
      </w:r>
      <w:r w:rsidR="000C1F58" w:rsidRPr="00403602">
        <w:t xml:space="preserve">provide background to the genre of speculative fiction as distinct from science fiction and </w:t>
      </w:r>
      <w:r w:rsidR="002136F0" w:rsidRPr="00403602">
        <w:t>the tools it provides in dealing with the Anthropocene.</w:t>
      </w:r>
      <w:r w:rsidR="00321022" w:rsidRPr="00403602">
        <w:t xml:space="preserve"> </w:t>
      </w:r>
    </w:p>
    <w:p w14:paraId="77C249BE" w14:textId="399C59EB" w:rsidR="002171E8" w:rsidRPr="00403602" w:rsidRDefault="002136F0" w:rsidP="0027373D">
      <w:pPr>
        <w:pStyle w:val="Heading2"/>
      </w:pPr>
      <w:bookmarkStart w:id="3" w:name="_Toc52308263"/>
      <w:r w:rsidRPr="00403602">
        <w:t>Anthropocene</w:t>
      </w:r>
      <w:r w:rsidR="000F58AE" w:rsidRPr="00403602">
        <w:t xml:space="preserve"> Fiction</w:t>
      </w:r>
      <w:r w:rsidRPr="00403602">
        <w:t xml:space="preserve">: </w:t>
      </w:r>
      <w:r w:rsidR="000F58AE" w:rsidRPr="00403602">
        <w:t xml:space="preserve">Imagining </w:t>
      </w:r>
      <w:r w:rsidR="00626A75" w:rsidRPr="00403602">
        <w:t>a cultural transformation of the species</w:t>
      </w:r>
      <w:bookmarkEnd w:id="3"/>
    </w:p>
    <w:p w14:paraId="4203FFF2" w14:textId="032F66C3" w:rsidR="00960CD5" w:rsidRPr="00403602" w:rsidRDefault="00960CD5" w:rsidP="0027373D">
      <w:r w:rsidRPr="00403602">
        <w:t>Paul Crutzen and Eugene Stoermer have led a group of geologists since 2000 in calling for the present epoch of Earth’s history to be named the Anthropocene.</w:t>
      </w:r>
      <w:r w:rsidRPr="00403602">
        <w:rPr>
          <w:rStyle w:val="FootnoteReference"/>
        </w:rPr>
        <w:footnoteReference w:id="8"/>
      </w:r>
      <w:r w:rsidRPr="00403602">
        <w:t xml:space="preserve"> They and their colleagues argue human activity has so influenced the geological history of the planet that it is now necessary to declare a new epoch to reflect this reality. Proposed dates for the beginning of the Anthropocene include the invention of the steam engine by James Watt in 1784, the global increase of background radiation generated through atomic testing in the 1950’s to the beginning of human agricultural practices ten or twelve thousand years ago. Postulating the end of the Anthropocene epoch has created a myriad of cultural productions across mediums, Margaret Atwood’s </w:t>
      </w:r>
      <w:r w:rsidRPr="004D70B7">
        <w:rPr>
          <w:i/>
          <w:iCs/>
        </w:rPr>
        <w:t>Maddaddam</w:t>
      </w:r>
      <w:r w:rsidRPr="00403602">
        <w:t xml:space="preserve"> </w:t>
      </w:r>
      <w:r w:rsidR="002136F0" w:rsidRPr="00403602">
        <w:t>novels</w:t>
      </w:r>
      <w:r w:rsidRPr="00403602">
        <w:t xml:space="preserve"> </w:t>
      </w:r>
      <w:r w:rsidR="00C02700">
        <w:t xml:space="preserve">are </w:t>
      </w:r>
      <w:r w:rsidRPr="00403602">
        <w:t>prominent amongst them and the focus of this paper.</w:t>
      </w:r>
    </w:p>
    <w:p w14:paraId="2E7EB870" w14:textId="4A1116FA" w:rsidR="00960CD5" w:rsidRPr="00403602" w:rsidRDefault="00960CD5" w:rsidP="0027373D">
      <w:r w:rsidRPr="00403602">
        <w:lastRenderedPageBreak/>
        <w:t xml:space="preserve">The Anthropocene viewpoint brings into focus not the individual, their thoughts, actions or beliefs but a </w:t>
      </w:r>
      <w:r w:rsidR="00FC7950" w:rsidRPr="00403602">
        <w:t>process determined by the human species</w:t>
      </w:r>
      <w:r w:rsidRPr="00403602">
        <w:t>. It is a process that spans generational, geographical, social and economic boundaries. Trexler states the Anthropocene “indicates a cultural transformation that cannot be described through a rubric of belie</w:t>
      </w:r>
      <w:r w:rsidR="006D5B2C" w:rsidRPr="00403602">
        <w:t>f</w:t>
      </w:r>
      <w:r w:rsidR="004256F9">
        <w:t>”</w:t>
      </w:r>
      <w:r w:rsidRPr="00403602">
        <w:rPr>
          <w:rStyle w:val="FootnoteReference"/>
        </w:rPr>
        <w:footnoteReference w:id="9"/>
      </w:r>
      <w:r w:rsidRPr="00403602">
        <w:t xml:space="preserve"> and poses the question of how this process could be made understandable to the imagination of an individual, limited as they are by their sense of space and time. It is this challenge that Atwood takes up in her </w:t>
      </w:r>
      <w:r w:rsidRPr="004D70B7">
        <w:rPr>
          <w:i/>
          <w:iCs/>
        </w:rPr>
        <w:t>Maddaddam</w:t>
      </w:r>
      <w:r w:rsidRPr="00403602">
        <w:t xml:space="preserve"> </w:t>
      </w:r>
      <w:r w:rsidR="00626A75" w:rsidRPr="00403602">
        <w:t>novels</w:t>
      </w:r>
      <w:r w:rsidRPr="00403602">
        <w:t>.</w:t>
      </w:r>
    </w:p>
    <w:p w14:paraId="4E766C24" w14:textId="7C505BD2" w:rsidR="00960CD5" w:rsidRPr="00403602" w:rsidRDefault="00960CD5" w:rsidP="0027373D">
      <w:r w:rsidRPr="00403602">
        <w:t>Climate fiction according to Trexler can be understood as a response to the effort to make comprehen</w:t>
      </w:r>
      <w:r w:rsidR="006A3F06" w:rsidRPr="00403602">
        <w:t>s</w:t>
      </w:r>
      <w:r w:rsidRPr="00403602">
        <w:t xml:space="preserve">ible a process brought about by human action but beyond the scope of the criteria of the space-time reference of the individual. Trexler posits Ursula </w:t>
      </w:r>
      <w:r w:rsidR="00E87098" w:rsidRPr="00403602">
        <w:t xml:space="preserve">K. </w:t>
      </w:r>
      <w:r w:rsidRPr="00403602">
        <w:t xml:space="preserve">LeGuin’s </w:t>
      </w:r>
      <w:r w:rsidRPr="00403602">
        <w:rPr>
          <w:i/>
          <w:iCs/>
        </w:rPr>
        <w:t>The Lathe of Heaven</w:t>
      </w:r>
      <w:r w:rsidRPr="00403602">
        <w:t xml:space="preserve"> (1971) as the first novel directly concerned with an anthropogenic greenhouse effect and charts the significant growth in the number of climate change novels written as evidence of “the historical tension between the existence of catastrophic global warming and the failed obligation to react,”</w:t>
      </w:r>
      <w:r w:rsidRPr="00403602">
        <w:rPr>
          <w:rStyle w:val="FootnoteReference"/>
        </w:rPr>
        <w:footnoteReference w:id="10"/>
      </w:r>
      <w:r w:rsidRPr="00403602">
        <w:t xml:space="preserve"> numbering among them Atwood’s </w:t>
      </w:r>
      <w:r w:rsidRPr="004D70B7">
        <w:rPr>
          <w:i/>
          <w:iCs/>
        </w:rPr>
        <w:t>Maddaddam</w:t>
      </w:r>
      <w:r w:rsidRPr="00403602">
        <w:t xml:space="preserve"> series. It is the state of the depleted and dying eco-system that provokes Crake to produce a virus to decimate the human population while simultaneously creating a new species of genetically modified and highly conditioned </w:t>
      </w:r>
      <w:r w:rsidR="00D14831" w:rsidRPr="00403602">
        <w:t>“floor models”</w:t>
      </w:r>
      <w:r w:rsidRPr="00403602">
        <w:t xml:space="preserve"> to</w:t>
      </w:r>
      <w:r w:rsidR="00BD12D3" w:rsidRPr="00403602">
        <w:t xml:space="preserve"> </w:t>
      </w:r>
      <w:r w:rsidR="00211113" w:rsidRPr="00403602">
        <w:t>fulfil</w:t>
      </w:r>
      <w:r w:rsidR="00BD12D3" w:rsidRPr="00403602">
        <w:t xml:space="preserve"> his </w:t>
      </w:r>
      <w:r w:rsidRPr="00403602">
        <w:t>“</w:t>
      </w:r>
      <w:r w:rsidR="00BD12D3" w:rsidRPr="00403602">
        <w:t>Paradice Project</w:t>
      </w:r>
      <w:r w:rsidRPr="00403602">
        <w:t>”</w:t>
      </w:r>
      <w:r w:rsidR="00BD12D3" w:rsidRPr="00403602">
        <w:t xml:space="preserve">, the replacement of humans </w:t>
      </w:r>
      <w:r w:rsidR="00812781" w:rsidRPr="00403602">
        <w:t>on the planet</w:t>
      </w:r>
      <w:r w:rsidRPr="00403602">
        <w:t>.</w:t>
      </w:r>
      <w:r w:rsidRPr="00403602">
        <w:rPr>
          <w:rStyle w:val="FootnoteReference"/>
        </w:rPr>
        <w:footnoteReference w:id="11"/>
      </w:r>
    </w:p>
    <w:p w14:paraId="301F778C" w14:textId="1BB52AD3" w:rsidR="00960CD5" w:rsidRPr="00403602" w:rsidRDefault="00960CD5" w:rsidP="0027373D">
      <w:r w:rsidRPr="00403602">
        <w:t>Dipesh Chakrabarty argues in “The Climate of History”</w:t>
      </w:r>
      <w:r w:rsidRPr="00403602">
        <w:rPr>
          <w:rStyle w:val="FootnoteReference"/>
        </w:rPr>
        <w:footnoteReference w:id="12"/>
      </w:r>
      <w:r w:rsidRPr="00403602">
        <w:t xml:space="preserve"> that the anthropogenic explanations of climate changes have removed the distinction between natural history and human history. Humans aside from being biological agents can be recognised as wielding a geological force. As Oreskes states “To deny that global warming is real is precisely to deny that humans have </w:t>
      </w:r>
      <w:r w:rsidRPr="00403602">
        <w:lastRenderedPageBreak/>
        <w:t>become geological agents, changing the most basic physical processes of the earth.”</w:t>
      </w:r>
      <w:r w:rsidRPr="00403602">
        <w:rPr>
          <w:rStyle w:val="FootnoteReference"/>
        </w:rPr>
        <w:footnoteReference w:id="13"/>
      </w:r>
      <w:r w:rsidRPr="00403602">
        <w:t xml:space="preserve"> The concept of human </w:t>
      </w:r>
      <w:r w:rsidR="0018326D" w:rsidRPr="00403602">
        <w:t>endeavours</w:t>
      </w:r>
      <w:r w:rsidRPr="00403602">
        <w:t xml:space="preserve"> being played out on a seasonal, cyclic backdrop of an environment that changed so slowly as to make the human relationship with the environment essentially timeless, and therefore beyond the scope of historiography has collapsed under the weight of the Anthropocene glare. The environment inhabited by Atwood’s characters in the series are living in the death throes of the planet and the cause has been squarely placed on human activities. </w:t>
      </w:r>
      <w:r w:rsidR="00511AF7" w:rsidRPr="00403602">
        <w:t>“As a species we’re in deep trouble, worse than anyone’s saying.”</w:t>
      </w:r>
      <w:r w:rsidRPr="00403602">
        <w:rPr>
          <w:rStyle w:val="FootnoteReference"/>
        </w:rPr>
        <w:footnoteReference w:id="14"/>
      </w:r>
    </w:p>
    <w:p w14:paraId="463FF14E" w14:textId="3E667D99" w:rsidR="00960CD5" w:rsidRPr="00403602" w:rsidRDefault="00960CD5" w:rsidP="0027373D">
      <w:r w:rsidRPr="00403602">
        <w:t xml:space="preserve">Chakrabarty refers to Crutzen and other geologists’ use of the term </w:t>
      </w:r>
      <w:r w:rsidRPr="00403602">
        <w:rPr>
          <w:i/>
          <w:iCs/>
        </w:rPr>
        <w:t>species</w:t>
      </w:r>
      <w:r w:rsidRPr="00403602">
        <w:t xml:space="preserve"> to designate human life.</w:t>
      </w:r>
      <w:r w:rsidRPr="00403602">
        <w:rPr>
          <w:rStyle w:val="FootnoteReference"/>
        </w:rPr>
        <w:footnoteReference w:id="15"/>
      </w:r>
      <w:r w:rsidRPr="00403602">
        <w:t xml:space="preserve"> This outlook not only puts humanity in the place of one species among many but provides a longer view and an investigation of an “enterprise of deep history.”</w:t>
      </w:r>
      <w:r w:rsidRPr="00403602">
        <w:rPr>
          <w:rStyle w:val="FootnoteReference"/>
        </w:rPr>
        <w:footnoteReference w:id="16"/>
      </w:r>
      <w:r w:rsidRPr="00403602">
        <w:t xml:space="preserve"> The necessity then turns from securing the future not of humanity or the many humanities that inhabit the globalized world but in ensuring the future of the species itself. Species thinking, </w:t>
      </w:r>
      <w:r w:rsidR="007E0D6D" w:rsidRPr="00403602">
        <w:t xml:space="preserve">Chakrabarty argues, </w:t>
      </w:r>
      <w:r w:rsidRPr="00403602">
        <w:t xml:space="preserve">has potential pitfalls, essentialism and the politicizing of biology amongst them. While it may be necessary and prudent to look </w:t>
      </w:r>
      <w:r w:rsidR="00806D2C">
        <w:t>upon</w:t>
      </w:r>
      <w:r w:rsidRPr="00403602">
        <w:t xml:space="preserve"> </w:t>
      </w:r>
      <w:proofErr w:type="gramStart"/>
      <w:r w:rsidRPr="00403602">
        <w:t>ourselves</w:t>
      </w:r>
      <w:proofErr w:type="gramEnd"/>
      <w:r w:rsidRPr="00403602">
        <w:t xml:space="preserve"> as a species, Atwood’s Crake does so with chilling consequences in the </w:t>
      </w:r>
      <w:r w:rsidRPr="004D70B7">
        <w:rPr>
          <w:i/>
          <w:iCs/>
        </w:rPr>
        <w:t>Maddaddam</w:t>
      </w:r>
      <w:r w:rsidRPr="00403602">
        <w:t xml:space="preserve"> </w:t>
      </w:r>
      <w:r w:rsidR="00D1674E" w:rsidRPr="00403602">
        <w:t>novels</w:t>
      </w:r>
      <w:r w:rsidR="00806D2C">
        <w:t>.</w:t>
      </w:r>
      <w:r w:rsidR="00921B0B" w:rsidRPr="00403602">
        <w:t xml:space="preserve"> </w:t>
      </w:r>
      <w:r w:rsidR="00806D2C">
        <w:t>H</w:t>
      </w:r>
      <w:r w:rsidR="00921B0B" w:rsidRPr="00403602">
        <w:t>e</w:t>
      </w:r>
      <w:r w:rsidRPr="00403602">
        <w:t xml:space="preserve"> sees the human species through essentialist tinted glasses and find</w:t>
      </w:r>
      <w:r w:rsidR="00921B0B" w:rsidRPr="00403602">
        <w:t>s</w:t>
      </w:r>
      <w:r w:rsidRPr="00403602">
        <w:t xml:space="preserve"> the species not only wanting, but a blight to be removed from the planet.</w:t>
      </w:r>
      <w:r w:rsidR="00B36C12" w:rsidRPr="00403602">
        <w:t xml:space="preserve"> </w:t>
      </w:r>
      <w:r w:rsidR="00CC434F" w:rsidRPr="00403602">
        <w:t>T</w:t>
      </w:r>
      <w:r w:rsidRPr="00403602">
        <w:t>he Anthropocene viewpoint calls into question the roles of capitalism and imperialism in the destruction of the environment. Since it is primarily the efforts of these systems that have wreaked havoc and destruction on the global eco-system, but how then can species thinking be applied, since these two systems are primarily western and western influenced</w:t>
      </w:r>
      <w:r w:rsidR="006267FB">
        <w:t>?</w:t>
      </w:r>
      <w:r w:rsidRPr="00403602">
        <w:t xml:space="preserve"> </w:t>
      </w:r>
      <w:r w:rsidR="006267FB">
        <w:t>W</w:t>
      </w:r>
      <w:r w:rsidRPr="00403602">
        <w:t xml:space="preserve">hy should the poor, the displaced be grouped into the </w:t>
      </w:r>
      <w:r w:rsidRPr="00403602">
        <w:rPr>
          <w:i/>
          <w:iCs/>
        </w:rPr>
        <w:t>species</w:t>
      </w:r>
      <w:r w:rsidRPr="00403602">
        <w:t xml:space="preserve"> responsible for the current crisis</w:t>
      </w:r>
      <w:r w:rsidR="006267FB">
        <w:t>?</w:t>
      </w:r>
      <w:r w:rsidRPr="00403602">
        <w:t xml:space="preserve"> In the </w:t>
      </w:r>
      <w:r w:rsidRPr="00403602">
        <w:rPr>
          <w:i/>
          <w:iCs/>
        </w:rPr>
        <w:t>Maddaddam</w:t>
      </w:r>
      <w:r w:rsidRPr="00403602">
        <w:t xml:space="preserve"> series we experience a stark answer to this quandary. </w:t>
      </w:r>
      <w:r w:rsidRPr="0027373D">
        <w:t xml:space="preserve">There is no lifeboat for the chosen, the powerful, or the rich. Rather, all present suffer the consequences of the provoked </w:t>
      </w:r>
      <w:r w:rsidRPr="0027373D">
        <w:lastRenderedPageBreak/>
        <w:t>collapse of humanity. Atwood’s series represent an anthropocentric viewpoint on the requirement for a global response from a shared capacity for catastrophe.</w:t>
      </w:r>
    </w:p>
    <w:p w14:paraId="058591C7" w14:textId="6441EE62" w:rsidR="00960CD5" w:rsidRPr="00403602" w:rsidRDefault="00D45F48" w:rsidP="0027373D">
      <w:r w:rsidRPr="00403602">
        <w:t xml:space="preserve">The </w:t>
      </w:r>
      <w:r w:rsidR="00921B0B" w:rsidRPr="00403602">
        <w:t xml:space="preserve">Anthropocene </w:t>
      </w:r>
      <w:r w:rsidRPr="00403602">
        <w:t>and its cultural productions</w:t>
      </w:r>
      <w:r w:rsidR="00921B0B" w:rsidRPr="00403602">
        <w:t xml:space="preserve"> </w:t>
      </w:r>
      <w:r w:rsidR="00B208D8" w:rsidRPr="00403602">
        <w:t>tac</w:t>
      </w:r>
      <w:r w:rsidR="009B7901" w:rsidRPr="00403602">
        <w:t>k</w:t>
      </w:r>
      <w:r w:rsidR="0040622D" w:rsidRPr="00403602">
        <w:t>l</w:t>
      </w:r>
      <w:r w:rsidR="009B7901" w:rsidRPr="00403602">
        <w:t xml:space="preserve">es problems </w:t>
      </w:r>
      <w:r w:rsidR="00E5488C" w:rsidRPr="00403602">
        <w:t xml:space="preserve">that span generational, social and economic boundaries. It </w:t>
      </w:r>
      <w:r w:rsidR="008848C9" w:rsidRPr="00403602">
        <w:t xml:space="preserve">wrestles with concepts </w:t>
      </w:r>
      <w:r w:rsidR="00306B27" w:rsidRPr="00403602">
        <w:t>beyond the comprehension of the</w:t>
      </w:r>
      <w:r w:rsidR="008848C9" w:rsidRPr="00403602">
        <w:t xml:space="preserve"> indiv</w:t>
      </w:r>
      <w:r w:rsidR="00FF3C20" w:rsidRPr="00403602">
        <w:t>id</w:t>
      </w:r>
      <w:r w:rsidR="008848C9" w:rsidRPr="00403602">
        <w:t>ual</w:t>
      </w:r>
      <w:r w:rsidR="009F6C3E" w:rsidRPr="00403602">
        <w:t xml:space="preserve">, </w:t>
      </w:r>
      <w:r w:rsidR="00EA7A93" w:rsidRPr="00403602">
        <w:t xml:space="preserve">explores historical tensions of </w:t>
      </w:r>
      <w:r w:rsidR="001D01EE" w:rsidRPr="00403602">
        <w:t>catastrophe</w:t>
      </w:r>
      <w:r w:rsidR="00EA7A93" w:rsidRPr="00403602">
        <w:t xml:space="preserve"> and </w:t>
      </w:r>
      <w:r w:rsidR="001D01EE" w:rsidRPr="00403602">
        <w:t>failure</w:t>
      </w:r>
      <w:r w:rsidR="00742FFA" w:rsidRPr="00403602">
        <w:t>s</w:t>
      </w:r>
      <w:r w:rsidR="001D01EE" w:rsidRPr="00403602">
        <w:t xml:space="preserve"> of reaction</w:t>
      </w:r>
      <w:r w:rsidR="00545756" w:rsidRPr="00403602">
        <w:t>. It</w:t>
      </w:r>
      <w:r w:rsidR="00742FFA" w:rsidRPr="00403602">
        <w:t xml:space="preserve"> </w:t>
      </w:r>
      <w:r w:rsidR="00795545" w:rsidRPr="00403602">
        <w:t xml:space="preserve">removes the boundary separating </w:t>
      </w:r>
      <w:r w:rsidR="002A0BD4" w:rsidRPr="00403602">
        <w:t>natural and human history</w:t>
      </w:r>
      <w:r w:rsidR="005B62F2" w:rsidRPr="00403602">
        <w:t xml:space="preserve">, </w:t>
      </w:r>
      <w:r w:rsidR="00545756" w:rsidRPr="00403602">
        <w:t xml:space="preserve">by </w:t>
      </w:r>
      <w:r w:rsidR="00085154" w:rsidRPr="00403602">
        <w:t>recognis</w:t>
      </w:r>
      <w:r w:rsidR="00545756" w:rsidRPr="00403602">
        <w:t>ing</w:t>
      </w:r>
      <w:r w:rsidR="005B62F2" w:rsidRPr="00403602">
        <w:t xml:space="preserve"> our species as a geological force</w:t>
      </w:r>
      <w:r w:rsidR="000806B3" w:rsidRPr="00403602">
        <w:t xml:space="preserve"> and summons</w:t>
      </w:r>
      <w:r w:rsidR="00085154" w:rsidRPr="00403602">
        <w:t xml:space="preserve"> species thinking </w:t>
      </w:r>
      <w:r w:rsidR="000806B3" w:rsidRPr="00403602">
        <w:t xml:space="preserve">to </w:t>
      </w:r>
      <w:r w:rsidR="00C925C0" w:rsidRPr="00403602">
        <w:t xml:space="preserve">respond globally </w:t>
      </w:r>
      <w:r w:rsidR="00085154" w:rsidRPr="00403602">
        <w:t xml:space="preserve">in the face </w:t>
      </w:r>
      <w:r w:rsidR="00C17E1E" w:rsidRPr="00403602">
        <w:t xml:space="preserve">of our shared capacity for catastrophe. </w:t>
      </w:r>
      <w:r w:rsidR="008A793C" w:rsidRPr="00403602">
        <w:t>How then can fiction hope to meet these challenges</w:t>
      </w:r>
      <w:r w:rsidR="00912EFD" w:rsidRPr="00403602">
        <w:t>?</w:t>
      </w:r>
      <w:r w:rsidR="008A793C" w:rsidRPr="00403602">
        <w:t xml:space="preserve"> Atwood choose a</w:t>
      </w:r>
      <w:r w:rsidR="00912EFD" w:rsidRPr="00403602">
        <w:t xml:space="preserve"> </w:t>
      </w:r>
      <w:r w:rsidR="006442B4" w:rsidRPr="00403602">
        <w:t xml:space="preserve">deep seeded </w:t>
      </w:r>
      <w:r w:rsidR="00704A18" w:rsidRPr="00403602">
        <w:t>narrative</w:t>
      </w:r>
      <w:r w:rsidR="006442B4" w:rsidRPr="00403602">
        <w:t xml:space="preserve"> that has driven our species for millennia, an impulse that has twisted and turned and adapted to </w:t>
      </w:r>
      <w:r w:rsidR="001611FB" w:rsidRPr="00403602">
        <w:t>its ever-</w:t>
      </w:r>
      <w:r w:rsidR="006442B4" w:rsidRPr="00403602">
        <w:t>changing environment</w:t>
      </w:r>
      <w:r w:rsidR="001611FB" w:rsidRPr="00403602">
        <w:t>.</w:t>
      </w:r>
      <w:r w:rsidR="006442B4" w:rsidRPr="00403602">
        <w:t xml:space="preserve"> </w:t>
      </w:r>
      <w:r w:rsidR="001611FB" w:rsidRPr="00403602">
        <w:t>I</w:t>
      </w:r>
      <w:r w:rsidR="00055EAD" w:rsidRPr="00403602">
        <w:t xml:space="preserve">t has flourished, dwindled and been rekindled, reshaped and in the </w:t>
      </w:r>
      <w:r w:rsidR="00055EAD" w:rsidRPr="004D70B7">
        <w:rPr>
          <w:i/>
          <w:iCs/>
        </w:rPr>
        <w:t>Maddaddam</w:t>
      </w:r>
      <w:r w:rsidR="00055EAD" w:rsidRPr="00403602">
        <w:t xml:space="preserve"> novel</w:t>
      </w:r>
      <w:r w:rsidR="003676FA" w:rsidRPr="00403602">
        <w:t>s</w:t>
      </w:r>
      <w:r w:rsidR="00055EAD" w:rsidRPr="00403602">
        <w:t xml:space="preserve"> put to great use</w:t>
      </w:r>
      <w:r w:rsidR="001611FB" w:rsidRPr="00403602">
        <w:t xml:space="preserve"> under a postmodern guise</w:t>
      </w:r>
      <w:r w:rsidR="00055EAD" w:rsidRPr="00403602">
        <w:t xml:space="preserve">. </w:t>
      </w:r>
    </w:p>
    <w:p w14:paraId="2CDAA502" w14:textId="77777777" w:rsidR="003676FA" w:rsidRPr="00403602" w:rsidRDefault="003676FA" w:rsidP="0027373D">
      <w:pPr>
        <w:pStyle w:val="Heading2"/>
      </w:pPr>
      <w:bookmarkStart w:id="4" w:name="_Toc52308264"/>
      <w:r w:rsidRPr="00403602">
        <w:t>Atwood’s Ustopian Responses.</w:t>
      </w:r>
      <w:bookmarkEnd w:id="4"/>
    </w:p>
    <w:p w14:paraId="7285F75A" w14:textId="77777777" w:rsidR="003D3859" w:rsidRPr="00403602" w:rsidRDefault="003D3859" w:rsidP="00E223B0">
      <w:pPr>
        <w:pStyle w:val="Quote"/>
        <w:ind w:left="1440"/>
      </w:pPr>
      <w:r w:rsidRPr="00403602">
        <w:t>“Ustopia is a word I made up by combining utopia and dystopia—the imagined perfect society and its opposite—because, in my view, each contains a latent version of the other.”</w:t>
      </w:r>
    </w:p>
    <w:p w14:paraId="186F1EB9" w14:textId="46A72A26" w:rsidR="003D3859" w:rsidRPr="00403602" w:rsidRDefault="003D3859" w:rsidP="00E223B0">
      <w:pPr>
        <w:pStyle w:val="Quote"/>
        <w:ind w:left="1440"/>
      </w:pPr>
      <w:r w:rsidRPr="00403602">
        <w:t xml:space="preserve">~Margaret Atwood. </w:t>
      </w:r>
      <w:r w:rsidRPr="00403602">
        <w:rPr>
          <w:i/>
          <w:iCs/>
        </w:rPr>
        <w:t>In Other Worlds</w:t>
      </w:r>
    </w:p>
    <w:p w14:paraId="54378F6C" w14:textId="77777777" w:rsidR="003D3859" w:rsidRPr="00403602" w:rsidRDefault="003D3859" w:rsidP="0027373D"/>
    <w:p w14:paraId="134AF79E" w14:textId="46F75457" w:rsidR="008A42E5" w:rsidRPr="00403602" w:rsidRDefault="00AD7451" w:rsidP="0027373D">
      <w:r w:rsidRPr="00403602">
        <w:t xml:space="preserve">In this section I </w:t>
      </w:r>
      <w:r w:rsidR="00320347" w:rsidRPr="00403602">
        <w:t>explore</w:t>
      </w:r>
      <w:r w:rsidR="008A42E5" w:rsidRPr="00403602">
        <w:t xml:space="preserve"> the development of the utopian</w:t>
      </w:r>
      <w:r w:rsidR="00320347" w:rsidRPr="00403602">
        <w:t>ism</w:t>
      </w:r>
      <w:r w:rsidR="000911AD" w:rsidRPr="00403602">
        <w:t>, its turn to dystopia (anti-utopia)</w:t>
      </w:r>
      <w:r w:rsidR="008A42E5" w:rsidRPr="00403602">
        <w:t xml:space="preserve"> </w:t>
      </w:r>
      <w:r w:rsidR="000911AD" w:rsidRPr="00403602">
        <w:t xml:space="preserve">and the </w:t>
      </w:r>
      <w:r w:rsidR="00004ECC" w:rsidRPr="00403602">
        <w:t xml:space="preserve">introduction of Atwood’s postmodern </w:t>
      </w:r>
      <w:r w:rsidR="00851A47">
        <w:t>‘</w:t>
      </w:r>
      <w:r w:rsidR="00004ECC" w:rsidRPr="00851A47">
        <w:t>ustopia</w:t>
      </w:r>
      <w:r w:rsidR="00956797" w:rsidRPr="00403602">
        <w:t>,</w:t>
      </w:r>
      <w:r w:rsidR="00EF11EA">
        <w:t>’</w:t>
      </w:r>
      <w:r w:rsidR="00956797" w:rsidRPr="00403602">
        <w:t xml:space="preserve"> that </w:t>
      </w:r>
      <w:r w:rsidR="0093192F" w:rsidRPr="00403602">
        <w:t>blurring of boundaries</w:t>
      </w:r>
      <w:r w:rsidR="00956797" w:rsidRPr="00403602">
        <w:t xml:space="preserve"> </w:t>
      </w:r>
      <w:r w:rsidR="0093192F" w:rsidRPr="00403602">
        <w:t>between the two.</w:t>
      </w:r>
    </w:p>
    <w:p w14:paraId="20912CC8" w14:textId="044DF77C" w:rsidR="003676FA" w:rsidRPr="00403602" w:rsidRDefault="003676FA" w:rsidP="0027373D">
      <w:pPr>
        <w:rPr>
          <w:vertAlign w:val="superscript"/>
        </w:rPr>
      </w:pPr>
      <w:r w:rsidRPr="00403602">
        <w:t xml:space="preserve">Utopianism as a political project or as the methods and tools required to bring about such a project–literature being a powerful example–can be divided into two territories. To one side of this boundary lies the classic eutopian narratives, those that espouse the desire to realise a better society. Plato’s </w:t>
      </w:r>
      <w:r w:rsidRPr="00403602">
        <w:rPr>
          <w:i/>
          <w:iCs/>
        </w:rPr>
        <w:t>Republic</w:t>
      </w:r>
      <w:r w:rsidRPr="00403602">
        <w:t xml:space="preserve"> </w:t>
      </w:r>
      <w:r w:rsidR="00D1225B" w:rsidRPr="00403602">
        <w:t>(</w:t>
      </w:r>
      <w:r w:rsidR="005D33CD" w:rsidRPr="00403602">
        <w:t xml:space="preserve">around </w:t>
      </w:r>
      <w:r w:rsidR="00CA272F" w:rsidRPr="00403602">
        <w:t xml:space="preserve">376BC) </w:t>
      </w:r>
      <w:r w:rsidRPr="00403602">
        <w:t xml:space="preserve">serves as a didactic example whereas More’s </w:t>
      </w:r>
      <w:r w:rsidRPr="00403602">
        <w:rPr>
          <w:i/>
          <w:iCs/>
        </w:rPr>
        <w:t>Utopia</w:t>
      </w:r>
      <w:r w:rsidR="00412211" w:rsidRPr="00403602">
        <w:rPr>
          <w:i/>
          <w:iCs/>
        </w:rPr>
        <w:t xml:space="preserve"> </w:t>
      </w:r>
      <w:r w:rsidR="00412211" w:rsidRPr="00403602">
        <w:t>(1516)</w:t>
      </w:r>
      <w:r w:rsidRPr="00403602">
        <w:rPr>
          <w:i/>
          <w:iCs/>
        </w:rPr>
        <w:t xml:space="preserve"> </w:t>
      </w:r>
      <w:r w:rsidRPr="00403602">
        <w:t xml:space="preserve">is centred around the comparison of a better imagined society with the contemporary society of its audience and can be understood as a socio-political critique of the conflict between </w:t>
      </w:r>
      <w:r w:rsidRPr="00403602">
        <w:lastRenderedPageBreak/>
        <w:t>the medieval and the modern worlds.</w:t>
      </w:r>
      <w:r w:rsidRPr="00403602">
        <w:rPr>
          <w:rStyle w:val="FootnoteReference"/>
        </w:rPr>
        <w:footnoteReference w:id="17"/>
      </w:r>
      <w:r w:rsidRPr="00403602">
        <w:t xml:space="preserve"> Utopian novels can be described to both embody the desire for a better world and a better way of living</w:t>
      </w:r>
      <w:r w:rsidRPr="00403602">
        <w:rPr>
          <w:rStyle w:val="FootnoteReference"/>
        </w:rPr>
        <w:footnoteReference w:id="18"/>
      </w:r>
      <w:r w:rsidRPr="00403602">
        <w:t xml:space="preserve"> and focus on the differences between the ordinary world and the utopian society they depict in order to articulate the process of social critique.</w:t>
      </w:r>
      <w:r w:rsidRPr="00403602">
        <w:rPr>
          <w:rStyle w:val="FootnoteReference"/>
        </w:rPr>
        <w:footnoteReference w:id="19"/>
      </w:r>
    </w:p>
    <w:p w14:paraId="0890480C" w14:textId="4CBF48F0" w:rsidR="00D23685" w:rsidRPr="00403602" w:rsidRDefault="003676FA" w:rsidP="0027373D">
      <w:r w:rsidRPr="00403602">
        <w:t xml:space="preserve">Crossing the boundary, we encounter the exemplar works of Aldous Huxley’s </w:t>
      </w:r>
      <w:r w:rsidRPr="00403602">
        <w:rPr>
          <w:i/>
          <w:iCs/>
        </w:rPr>
        <w:t xml:space="preserve">Brave New World </w:t>
      </w:r>
      <w:r w:rsidRPr="00403602">
        <w:t xml:space="preserve">(1932) and George Orwell’s </w:t>
      </w:r>
      <w:r w:rsidRPr="00403602">
        <w:rPr>
          <w:i/>
          <w:iCs/>
        </w:rPr>
        <w:t xml:space="preserve">Nineteen Eighty-Four </w:t>
      </w:r>
      <w:r w:rsidRPr="00403602">
        <w:t>(1949)</w:t>
      </w:r>
      <w:r w:rsidRPr="00403602">
        <w:rPr>
          <w:i/>
          <w:iCs/>
        </w:rPr>
        <w:t xml:space="preserve">. </w:t>
      </w:r>
      <w:r w:rsidRPr="00403602">
        <w:t>These twentieth century dystopian or anti-utopian narratives represent fears of the undesirable becoming real. Dystopian narratives criticize, principally through parody of the utopian genre, the degradation of contemporary society.</w:t>
      </w:r>
      <w:r w:rsidRPr="00403602">
        <w:rPr>
          <w:rStyle w:val="FootnoteReference"/>
        </w:rPr>
        <w:footnoteReference w:id="20"/>
      </w:r>
      <w:r w:rsidRPr="00403602">
        <w:t xml:space="preserve">  </w:t>
      </w:r>
      <w:r w:rsidRPr="00403602">
        <w:rPr>
          <w:i/>
          <w:iCs/>
        </w:rPr>
        <w:t>Brave New World</w:t>
      </w:r>
      <w:r w:rsidRPr="00403602">
        <w:t xml:space="preserve"> was published in the context of the Depression and “moments of transition and extreme uncertainty. Politically, Stalinism, the Popular Front, Fascism, and the New Deal tendered utopic new models for society.”</w:t>
      </w:r>
      <w:r w:rsidRPr="00403602">
        <w:rPr>
          <w:rStyle w:val="FootnoteReference"/>
        </w:rPr>
        <w:footnoteReference w:id="21"/>
      </w:r>
      <w:r w:rsidRPr="00403602">
        <w:t xml:space="preserve">  Eugenics, the practice of selective breeding, is a defining aspect of the </w:t>
      </w:r>
      <w:r w:rsidRPr="00403602">
        <w:rPr>
          <w:i/>
          <w:iCs/>
        </w:rPr>
        <w:t>Brave New World’</w:t>
      </w:r>
      <w:r w:rsidRPr="00403602">
        <w:t xml:space="preserve">s World State. </w:t>
      </w:r>
      <w:r w:rsidR="00097206" w:rsidRPr="00403602">
        <w:t>The eugenic trend extrapolated in step with ectogenesis</w:t>
      </w:r>
      <w:r w:rsidR="00DE444D" w:rsidRPr="00403602">
        <w:t xml:space="preserve"> </w:t>
      </w:r>
      <w:r w:rsidR="003414FA" w:rsidRPr="00403602">
        <w:t>produces a</w:t>
      </w:r>
      <w:r w:rsidR="00097206" w:rsidRPr="00403602">
        <w:t xml:space="preserve"> </w:t>
      </w:r>
      <w:r w:rsidR="003414FA" w:rsidRPr="00403602">
        <w:t>society where</w:t>
      </w:r>
      <w:r w:rsidR="00097206" w:rsidRPr="00403602">
        <w:t xml:space="preserve"> </w:t>
      </w:r>
      <w:r w:rsidR="003414FA" w:rsidRPr="00403602">
        <w:t xml:space="preserve">the </w:t>
      </w:r>
      <w:r w:rsidR="00097206" w:rsidRPr="00403602">
        <w:t xml:space="preserve">individual is both produced by and </w:t>
      </w:r>
      <w:r w:rsidR="003414FA" w:rsidRPr="00403602">
        <w:t xml:space="preserve">forms </w:t>
      </w:r>
      <w:r w:rsidR="00097206" w:rsidRPr="00403602">
        <w:t>part of the machine of production.</w:t>
      </w:r>
      <w:r w:rsidR="00D727FD" w:rsidRPr="00403602">
        <w:t xml:space="preserve"> </w:t>
      </w:r>
      <w:r w:rsidRPr="00403602">
        <w:t xml:space="preserve">This biotechnology in its </w:t>
      </w:r>
      <w:r w:rsidR="005B0AB0" w:rsidRPr="00403602">
        <w:t>contemporary</w:t>
      </w:r>
      <w:r w:rsidRPr="00403602">
        <w:t xml:space="preserve"> guise</w:t>
      </w:r>
      <w:r w:rsidR="00D727FD" w:rsidRPr="00403602">
        <w:t xml:space="preserve"> of </w:t>
      </w:r>
      <w:r w:rsidR="003414FA" w:rsidRPr="00403602">
        <w:t xml:space="preserve">genetic engineering and </w:t>
      </w:r>
      <w:r w:rsidR="0071279A" w:rsidRPr="00403602">
        <w:t>gene</w:t>
      </w:r>
      <w:r w:rsidR="003414FA" w:rsidRPr="00403602">
        <w:t>-splicing</w:t>
      </w:r>
      <w:r w:rsidRPr="00403602">
        <w:t xml:space="preserve"> is a primary </w:t>
      </w:r>
      <w:r w:rsidR="005B0AB0" w:rsidRPr="00403602">
        <w:t>focus</w:t>
      </w:r>
      <w:r w:rsidRPr="00403602">
        <w:t xml:space="preserve"> of Atwood’s in the </w:t>
      </w:r>
      <w:r w:rsidRPr="004D70B7">
        <w:rPr>
          <w:i/>
          <w:iCs/>
        </w:rPr>
        <w:t>Maddaddam</w:t>
      </w:r>
      <w:r w:rsidRPr="00403602">
        <w:t xml:space="preserve"> novels.</w:t>
      </w:r>
    </w:p>
    <w:p w14:paraId="7D3595F4" w14:textId="77777777" w:rsidR="00556383" w:rsidRPr="00403602" w:rsidRDefault="003676FA" w:rsidP="0027373D">
      <w:r w:rsidRPr="00403602">
        <w:t xml:space="preserve">Orwell’s </w:t>
      </w:r>
      <w:r w:rsidRPr="00403602">
        <w:rPr>
          <w:i/>
          <w:iCs/>
        </w:rPr>
        <w:t>Nineteen Eighty-Four</w:t>
      </w:r>
      <w:r w:rsidRPr="00403602">
        <w:t xml:space="preserve"> was published in </w:t>
      </w:r>
      <w:r w:rsidR="00C40BB5" w:rsidRPr="00403602">
        <w:t xml:space="preserve">the </w:t>
      </w:r>
      <w:r w:rsidRPr="00403602">
        <w:t xml:space="preserve">post-war England and USA </w:t>
      </w:r>
      <w:r w:rsidR="00C40BB5" w:rsidRPr="00403602">
        <w:t>of</w:t>
      </w:r>
      <w:r w:rsidRPr="00403602">
        <w:t xml:space="preserve"> 1949. The pall of fascism had fallen over Europe and man’s capability of inhumanity, seemed boundless. Having previously written </w:t>
      </w:r>
      <w:r w:rsidRPr="00403602">
        <w:rPr>
          <w:i/>
          <w:iCs/>
        </w:rPr>
        <w:t>Animal Farm</w:t>
      </w:r>
      <w:r w:rsidRPr="00403602">
        <w:t xml:space="preserve"> (1945) Orwell returns to communism and base</w:t>
      </w:r>
      <w:r w:rsidR="00B83C1B" w:rsidRPr="00403602">
        <w:t>d</w:t>
      </w:r>
      <w:r w:rsidRPr="00403602">
        <w:t xml:space="preserve"> his </w:t>
      </w:r>
      <w:r w:rsidRPr="00403602">
        <w:lastRenderedPageBreak/>
        <w:t>work heavily on Stalinism</w:t>
      </w:r>
      <w:r w:rsidRPr="00403602">
        <w:rPr>
          <w:rStyle w:val="FootnoteReference"/>
        </w:rPr>
        <w:footnoteReference w:id="22"/>
      </w:r>
      <w:r w:rsidRPr="00403602">
        <w:t xml:space="preserve"> in his critique of the debasement of the original Socialist utopian impulse. </w:t>
      </w:r>
      <w:r w:rsidR="008B00A1" w:rsidRPr="00403602">
        <w:t xml:space="preserve">Orwell became “a direct model” for Atwood </w:t>
      </w:r>
      <w:r w:rsidR="00FF4DBE" w:rsidRPr="00403602">
        <w:t xml:space="preserve">“in the year which [she] began </w:t>
      </w:r>
      <w:r w:rsidR="00E13E95" w:rsidRPr="00403602">
        <w:t>writing a somewhat different dystopia.”</w:t>
      </w:r>
      <w:r w:rsidR="00E13E95" w:rsidRPr="00403602">
        <w:rPr>
          <w:rStyle w:val="FootnoteReference"/>
        </w:rPr>
        <w:footnoteReference w:id="23"/>
      </w:r>
    </w:p>
    <w:p w14:paraId="0F8CF351" w14:textId="22347AA2" w:rsidR="003676FA" w:rsidRPr="00403602" w:rsidRDefault="008D5375" w:rsidP="0027373D">
      <w:r w:rsidRPr="00403602">
        <w:t xml:space="preserve">That somewhat different dystopia was </w:t>
      </w:r>
      <w:r w:rsidRPr="00403602">
        <w:rPr>
          <w:i/>
          <w:iCs/>
        </w:rPr>
        <w:t>The Handmaid’s Tale</w:t>
      </w:r>
      <w:r w:rsidR="00556383" w:rsidRPr="00403602">
        <w:t xml:space="preserve"> </w:t>
      </w:r>
      <w:r w:rsidR="00E530C4" w:rsidRPr="00403602">
        <w:t xml:space="preserve">“which </w:t>
      </w:r>
      <w:r w:rsidR="00556383" w:rsidRPr="00403602">
        <w:t>ask</w:t>
      </w:r>
      <w:r w:rsidR="00703E90" w:rsidRPr="00403602">
        <w:t>s what it means to occupy a fem</w:t>
      </w:r>
      <w:r w:rsidR="00E530C4" w:rsidRPr="00403602">
        <w:t>a</w:t>
      </w:r>
      <w:r w:rsidR="00703E90" w:rsidRPr="00403602">
        <w:t>l</w:t>
      </w:r>
      <w:r w:rsidR="00E530C4" w:rsidRPr="00403602">
        <w:t>e</w:t>
      </w:r>
      <w:r w:rsidR="00703E90" w:rsidRPr="00403602">
        <w:t xml:space="preserve">-gendered body </w:t>
      </w:r>
      <w:r w:rsidR="00E530C4" w:rsidRPr="00403602">
        <w:t>in a modern moment that is deeply invested in bodies…the bodies of populations”</w:t>
      </w:r>
      <w:r w:rsidR="00CF119D" w:rsidRPr="00403602">
        <w:rPr>
          <w:i/>
          <w:iCs/>
        </w:rPr>
        <w:t xml:space="preserve"> </w:t>
      </w:r>
      <w:r w:rsidR="00CF119D" w:rsidRPr="00403602">
        <w:t xml:space="preserve">whereas </w:t>
      </w:r>
      <w:r w:rsidR="003676FA" w:rsidRPr="00403602">
        <w:t xml:space="preserve">Atwood’s </w:t>
      </w:r>
      <w:r w:rsidR="003676FA" w:rsidRPr="004D70B7">
        <w:rPr>
          <w:i/>
          <w:iCs/>
        </w:rPr>
        <w:t>Maddaddam</w:t>
      </w:r>
      <w:r w:rsidR="003676FA" w:rsidRPr="00403602">
        <w:t xml:space="preserve"> novels offer a damming critique of </w:t>
      </w:r>
      <w:r w:rsidR="004A679D" w:rsidRPr="00403602">
        <w:t>contemporary</w:t>
      </w:r>
      <w:r w:rsidR="004146B5" w:rsidRPr="00403602">
        <w:t xml:space="preserve"> </w:t>
      </w:r>
      <w:r w:rsidR="003676FA" w:rsidRPr="00403602">
        <w:t>late-stage capitalism coupled with neoliberal politics</w:t>
      </w:r>
      <w:r w:rsidR="008859D6" w:rsidRPr="00403602">
        <w:t xml:space="preserve"> and </w:t>
      </w:r>
      <w:r w:rsidR="00CF693C" w:rsidRPr="00403602">
        <w:t>“</w:t>
      </w:r>
      <w:r w:rsidR="00CF693C" w:rsidRPr="00403602">
        <w:rPr>
          <w:rFonts w:eastAsiaTheme="minorHAnsi"/>
          <w:lang w:eastAsia="en-US"/>
        </w:rPr>
        <w:t>the relation between women’s (violated) bodies and the (re)production of futurity.</w:t>
      </w:r>
      <w:r w:rsidR="00CF693C" w:rsidRPr="00403602">
        <w:t>”</w:t>
      </w:r>
      <w:r w:rsidR="00685B4B" w:rsidRPr="00403602">
        <w:rPr>
          <w:rStyle w:val="FootnoteReference"/>
        </w:rPr>
        <w:t xml:space="preserve"> </w:t>
      </w:r>
      <w:r w:rsidR="00685B4B" w:rsidRPr="00403602">
        <w:rPr>
          <w:rStyle w:val="FootnoteReference"/>
        </w:rPr>
        <w:footnoteReference w:id="24"/>
      </w:r>
      <w:r w:rsidR="003676FA" w:rsidRPr="00403602">
        <w:t xml:space="preserve"> </w:t>
      </w:r>
      <w:r w:rsidR="00685B4B" w:rsidRPr="00403602">
        <w:t xml:space="preserve">This move from </w:t>
      </w:r>
      <w:r w:rsidR="003676FA" w:rsidRPr="00403602">
        <w:t>Lyman Tower Sargent</w:t>
      </w:r>
      <w:r w:rsidR="007C3564" w:rsidRPr="00403602">
        <w:t xml:space="preserve">’s interpretation that </w:t>
      </w:r>
      <w:r w:rsidR="003676FA" w:rsidRPr="00403602">
        <w:t>“utopias ask questions. They ask whether or not the way we live could be improved and answer that it could. Most utopias compare life in the present and life in the utopia and point out what is wrong with the way we now live, thus suggesting what needs to be done in order to improve things”</w:t>
      </w:r>
      <w:r w:rsidR="003676FA" w:rsidRPr="00403602">
        <w:rPr>
          <w:rStyle w:val="FootnoteReference"/>
        </w:rPr>
        <w:footnoteReference w:id="25"/>
      </w:r>
      <w:r w:rsidR="003676FA" w:rsidRPr="00403602">
        <w:t xml:space="preserve"> </w:t>
      </w:r>
      <w:r w:rsidR="00BC07D3" w:rsidRPr="00403602">
        <w:t xml:space="preserve">can be considered as </w:t>
      </w:r>
      <w:r w:rsidR="00FF3F26" w:rsidRPr="00403602">
        <w:t>a third dystopian turn according to</w:t>
      </w:r>
      <w:r w:rsidR="00BC07D3" w:rsidRPr="00403602">
        <w:t xml:space="preserve"> de Marques.</w:t>
      </w:r>
      <w:r w:rsidR="00BC07D3" w:rsidRPr="00403602">
        <w:rPr>
          <w:rStyle w:val="FootnoteReference"/>
        </w:rPr>
        <w:footnoteReference w:id="26"/>
      </w:r>
      <w:r w:rsidR="00FF3F26" w:rsidRPr="00403602">
        <w:t xml:space="preserve"> </w:t>
      </w:r>
      <w:r w:rsidR="006F7D69" w:rsidRPr="00403602">
        <w:t>de Marques posits the third turn as  “</w:t>
      </w:r>
      <w:r w:rsidR="006F7D69" w:rsidRPr="00403602">
        <w:rPr>
          <w:rFonts w:eastAsiaTheme="minorHAnsi"/>
          <w:lang w:eastAsia="en-US"/>
        </w:rPr>
        <w:t>where the centre of Utopia is not in a centralized form of social, political and/or cultural control upon individuals but, rather, in the dystopian, posthuman body, which is the result of postmodern life and technological advances.</w:t>
      </w:r>
      <w:r w:rsidR="006F7D69" w:rsidRPr="00403602">
        <w:t>”</w:t>
      </w:r>
      <w:r w:rsidR="007722A0" w:rsidRPr="00403602">
        <w:t xml:space="preserve"> To t</w:t>
      </w:r>
      <w:r w:rsidR="006F7D69" w:rsidRPr="00403602">
        <w:t xml:space="preserve">his turn Atwood give the </w:t>
      </w:r>
      <w:r w:rsidR="007722A0" w:rsidRPr="00403602">
        <w:t>term</w:t>
      </w:r>
      <w:r w:rsidR="006F7D69" w:rsidRPr="00403602">
        <w:t xml:space="preserve"> </w:t>
      </w:r>
      <w:r w:rsidR="007722A0" w:rsidRPr="00403602">
        <w:t>‘</w:t>
      </w:r>
      <w:r w:rsidR="006F7D69" w:rsidRPr="00403602">
        <w:t>ustopia</w:t>
      </w:r>
      <w:r w:rsidR="007722A0" w:rsidRPr="00403602">
        <w:t>’</w:t>
      </w:r>
      <w:r w:rsidR="007668E3" w:rsidRPr="00403602">
        <w:t xml:space="preserve"> and thereby enacts a postmodern</w:t>
      </w:r>
      <w:r w:rsidR="003676FA" w:rsidRPr="00403602">
        <w:t xml:space="preserve"> blurring of the </w:t>
      </w:r>
      <w:r w:rsidR="006925D8" w:rsidRPr="00403602">
        <w:t>boundaries</w:t>
      </w:r>
      <w:r w:rsidR="003676FA" w:rsidRPr="00403602">
        <w:t xml:space="preserve"> and the </w:t>
      </w:r>
      <w:r w:rsidR="006925D8" w:rsidRPr="00403602">
        <w:t>limitation</w:t>
      </w:r>
      <w:r w:rsidR="009C5978">
        <w:t>s</w:t>
      </w:r>
      <w:r w:rsidR="003676FA" w:rsidRPr="00403602">
        <w:t xml:space="preserve"> of the partitioned </w:t>
      </w:r>
      <w:r w:rsidR="006925D8" w:rsidRPr="00403602">
        <w:t>landscape</w:t>
      </w:r>
      <w:r w:rsidR="003676FA" w:rsidRPr="00403602">
        <w:t xml:space="preserve"> between More and Orwell.</w:t>
      </w:r>
      <w:r w:rsidR="007668E3" w:rsidRPr="00403602">
        <w:t xml:space="preserve"> </w:t>
      </w:r>
    </w:p>
    <w:p w14:paraId="72A77DBD" w14:textId="0B1A9B04" w:rsidR="007A7D3B" w:rsidRPr="00403602" w:rsidRDefault="003676FA" w:rsidP="0027373D">
      <w:r w:rsidRPr="00403602">
        <w:lastRenderedPageBreak/>
        <w:t xml:space="preserve">Carmen-Veronica Borbély and Petronia Popa Petrar explain the term “ustopia,” </w:t>
      </w:r>
      <w:r w:rsidR="004144FB" w:rsidRPr="00403602">
        <w:t>as</w:t>
      </w:r>
      <w:r w:rsidRPr="00403602">
        <w:t xml:space="preserve"> a genre that </w:t>
      </w:r>
      <w:r w:rsidR="004144FB" w:rsidRPr="00403602">
        <w:t>has its origin in</w:t>
      </w:r>
      <w:r w:rsidRPr="00403602">
        <w:t xml:space="preserve"> “the reciprocal relation between utopian and dystopian thought” and “commingles, in its dissolution of the generic boundaries between utopia and dystopia, the obverse and reverse sides the same coin.”</w:t>
      </w:r>
      <w:r w:rsidR="004144FB" w:rsidRPr="00403602">
        <w:rPr>
          <w:rStyle w:val="FootnoteReference"/>
        </w:rPr>
        <w:footnoteReference w:id="27"/>
      </w:r>
      <w:r w:rsidR="004144FB" w:rsidRPr="00403602">
        <w:t xml:space="preserve"> As Atwood</w:t>
      </w:r>
      <w:r w:rsidR="00495FDB" w:rsidRPr="00403602">
        <w:t xml:space="preserve"> who coined the term </w:t>
      </w:r>
      <w:r w:rsidR="004144FB" w:rsidRPr="00403602">
        <w:t>states “</w:t>
      </w:r>
      <w:r w:rsidR="00495FDB" w:rsidRPr="00403602">
        <w:t>Ustopia is a word I made up by combining utopia and dystopia—the imagined perfect society and its opposite—because, in my view, each contains a latent version of the other.”</w:t>
      </w:r>
      <w:r w:rsidR="007B74C4" w:rsidRPr="00403602">
        <w:rPr>
          <w:rStyle w:val="FootnoteReference"/>
        </w:rPr>
        <w:footnoteReference w:id="28"/>
      </w:r>
    </w:p>
    <w:p w14:paraId="6B6E964F" w14:textId="2079DFD2" w:rsidR="00483ED4" w:rsidRPr="00403602" w:rsidRDefault="00483ED4" w:rsidP="0027373D">
      <w:r w:rsidRPr="00403602">
        <w:t xml:space="preserve">This </w:t>
      </w:r>
      <w:r w:rsidR="001128F8" w:rsidRPr="00403602">
        <w:t xml:space="preserve">rough </w:t>
      </w:r>
      <w:r w:rsidRPr="00403602">
        <w:t xml:space="preserve">trajectory </w:t>
      </w:r>
      <w:r w:rsidR="008C264E" w:rsidRPr="00403602">
        <w:t xml:space="preserve">of utopianism </w:t>
      </w:r>
      <w:r w:rsidR="00E03DB2" w:rsidRPr="00403602">
        <w:t xml:space="preserve">mapped </w:t>
      </w:r>
      <w:r w:rsidRPr="00403602">
        <w:t>from Plato through More, the migration to Orwell</w:t>
      </w:r>
      <w:r w:rsidR="001128F8" w:rsidRPr="00403602">
        <w:t xml:space="preserve"> a</w:t>
      </w:r>
      <w:r w:rsidRPr="00403602">
        <w:t xml:space="preserve">nd </w:t>
      </w:r>
      <w:r w:rsidR="00E03DB2" w:rsidRPr="00403602">
        <w:t>Huxley</w:t>
      </w:r>
      <w:r w:rsidR="001128F8" w:rsidRPr="00403602">
        <w:t xml:space="preserve">, and then </w:t>
      </w:r>
      <w:r w:rsidR="008C264E" w:rsidRPr="00403602">
        <w:t xml:space="preserve">through the erasure of boundaries to ustopia, </w:t>
      </w:r>
      <w:r w:rsidR="00A572E3" w:rsidRPr="00403602">
        <w:t xml:space="preserve">is continued </w:t>
      </w:r>
      <w:r w:rsidR="00FA0087" w:rsidRPr="00403602">
        <w:t xml:space="preserve">by Atwood, </w:t>
      </w:r>
      <w:r w:rsidR="002864E1" w:rsidRPr="00403602">
        <w:t>carry</w:t>
      </w:r>
      <w:r w:rsidR="00FA0087" w:rsidRPr="00403602">
        <w:t>ing</w:t>
      </w:r>
      <w:r w:rsidR="002864E1" w:rsidRPr="00403602">
        <w:t xml:space="preserve"> the journey forward </w:t>
      </w:r>
      <w:r w:rsidR="00805BC1" w:rsidRPr="00403602">
        <w:t>f</w:t>
      </w:r>
      <w:r w:rsidR="002864E1" w:rsidRPr="00403602">
        <w:t xml:space="preserve">rom didactic, to comparative realism, through Science Fiction to </w:t>
      </w:r>
      <w:r w:rsidR="00FA0087" w:rsidRPr="00403602">
        <w:t>Speculative Fiction.</w:t>
      </w:r>
      <w:r w:rsidR="00805BC1" w:rsidRPr="00403602">
        <w:t xml:space="preserve"> </w:t>
      </w:r>
      <w:r w:rsidR="002864E1" w:rsidRPr="00403602">
        <w:t xml:space="preserve"> </w:t>
      </w:r>
    </w:p>
    <w:p w14:paraId="0519263D" w14:textId="62807747" w:rsidR="004F01EF" w:rsidRPr="001514C2" w:rsidRDefault="55ED6578" w:rsidP="001514C2">
      <w:pPr>
        <w:pStyle w:val="Heading2"/>
      </w:pPr>
      <w:bookmarkStart w:id="5" w:name="_Toc52308265"/>
      <w:r w:rsidRPr="00403602">
        <w:t>Speculative fiction</w:t>
      </w:r>
      <w:r w:rsidR="00805BC1" w:rsidRPr="00403602">
        <w:t>: Extrapolating the plausible</w:t>
      </w:r>
      <w:bookmarkEnd w:id="5"/>
    </w:p>
    <w:p w14:paraId="63C4F362" w14:textId="7F20F53E" w:rsidR="00C859C6" w:rsidRPr="00403602" w:rsidRDefault="00EA3B73" w:rsidP="0027373D">
      <w:r w:rsidRPr="00403602">
        <w:t xml:space="preserve">In this section I explore </w:t>
      </w:r>
      <w:r w:rsidR="00B65DF0" w:rsidRPr="00403602">
        <w:t>the boundaries of</w:t>
      </w:r>
      <w:r w:rsidR="00C859C6" w:rsidRPr="00403602">
        <w:t xml:space="preserve"> </w:t>
      </w:r>
      <w:r w:rsidR="00B65DF0" w:rsidRPr="00403602">
        <w:t xml:space="preserve">science fiction and the </w:t>
      </w:r>
      <w:r w:rsidR="00C859C6" w:rsidRPr="00403602">
        <w:t>positioning</w:t>
      </w:r>
      <w:r w:rsidR="0058772E" w:rsidRPr="00403602">
        <w:t xml:space="preserve"> of </w:t>
      </w:r>
      <w:r w:rsidR="00F90941" w:rsidRPr="00403602">
        <w:t>speculative fiction as a literary response to the Anthropocene</w:t>
      </w:r>
      <w:r w:rsidR="006752B5" w:rsidRPr="00403602">
        <w:t>.</w:t>
      </w:r>
    </w:p>
    <w:p w14:paraId="7FA009FF" w14:textId="2923F6EF" w:rsidR="004F01EF" w:rsidRPr="00403602" w:rsidRDefault="55ED6578" w:rsidP="0027373D">
      <w:r w:rsidRPr="00403602">
        <w:t>Amitav Ghosh decries in</w:t>
      </w:r>
      <w:r w:rsidRPr="00403602">
        <w:rPr>
          <w:i/>
          <w:iCs/>
        </w:rPr>
        <w:t xml:space="preserve"> The Great Derangement</w:t>
      </w:r>
      <w:r w:rsidRPr="00403602">
        <w:t xml:space="preserve"> (2016) that “climate change casts a much smaller shadow within the landscape of literary fiction than it does even in the public arena.” Ghosh posits that “fiction that deals with climate change is almost by definition not of the kind that is taken seriously by serious literary journals: the mere mention of the subject is often enough to relegate a novel or a short story to the genre of science fiction.”</w:t>
      </w:r>
      <w:r w:rsidR="00CF6DA9" w:rsidRPr="00403602">
        <w:rPr>
          <w:rStyle w:val="FootnoteReference"/>
        </w:rPr>
        <w:footnoteReference w:id="29"/>
      </w:r>
    </w:p>
    <w:p w14:paraId="2B9C7203" w14:textId="11C74A9C" w:rsidR="7C756580" w:rsidRPr="00403602" w:rsidRDefault="7C756580" w:rsidP="0027373D">
      <w:r w:rsidRPr="00403602">
        <w:t xml:space="preserve">Darko Suvin’s view of science fiction </w:t>
      </w:r>
      <w:r w:rsidR="0ECCB568" w:rsidRPr="00403602">
        <w:t xml:space="preserve">calls for </w:t>
      </w:r>
      <w:r w:rsidRPr="00403602">
        <w:t xml:space="preserve">“cognitive estrangement.” Suvin’s </w:t>
      </w:r>
      <w:r w:rsidR="33117254" w:rsidRPr="00403602">
        <w:t>dominant</w:t>
      </w:r>
      <w:r w:rsidR="5DA94B3A" w:rsidRPr="00403602">
        <w:t xml:space="preserve"> </w:t>
      </w:r>
      <w:r w:rsidRPr="00403602">
        <w:t>definition of science fiction: “S[cience] F[iction] is, then, a literary</w:t>
      </w:r>
      <w:r w:rsidR="1178A8B3" w:rsidRPr="00403602">
        <w:t xml:space="preserve"> </w:t>
      </w:r>
      <w:r w:rsidRPr="00403602">
        <w:t xml:space="preserve">genre whose necessary and </w:t>
      </w:r>
      <w:r w:rsidRPr="00403602">
        <w:lastRenderedPageBreak/>
        <w:t>sufficient conditions are the presence and interaction of</w:t>
      </w:r>
      <w:r w:rsidR="30BE36CF" w:rsidRPr="00403602">
        <w:t xml:space="preserve"> </w:t>
      </w:r>
      <w:r w:rsidRPr="00403602">
        <w:t>estrangement and cognition, and whose main formal device is an imaginative framework</w:t>
      </w:r>
      <w:r w:rsidR="3C7F88A6" w:rsidRPr="00403602">
        <w:t xml:space="preserve"> </w:t>
      </w:r>
      <w:r w:rsidRPr="00403602">
        <w:t>alternative to the author’s empirical environment</w:t>
      </w:r>
      <w:r w:rsidR="1C4FC78A" w:rsidRPr="00403602">
        <w:t>.”</w:t>
      </w:r>
      <w:r w:rsidRPr="00403602">
        <w:rPr>
          <w:rStyle w:val="FootnoteReference"/>
        </w:rPr>
        <w:footnoteReference w:id="30"/>
      </w:r>
      <w:r w:rsidR="580766AF" w:rsidRPr="00403602">
        <w:t xml:space="preserve"> </w:t>
      </w:r>
    </w:p>
    <w:p w14:paraId="07EBDDAC" w14:textId="31CA6796" w:rsidR="004F01EF" w:rsidRPr="00403602" w:rsidRDefault="3EE9E014" w:rsidP="0027373D">
      <w:r w:rsidRPr="00403602">
        <w:t>Fredric Jameson posits that science fiction conceals a “complex temporal structure.” Jameson argues that we can no longer perceive the present as history brought about by the erosion of the sense of historicity and weakening of the belief of the potential radical change. This temporal structure acts “not to give us ‘images’ of the future...but rather to de</w:t>
      </w:r>
      <w:r w:rsidR="00641196">
        <w:t>-</w:t>
      </w:r>
      <w:r w:rsidRPr="00403602">
        <w:t>familiarize and restructure our experience of our own present” and thereby “enacts and enables a structurally unique "method" for apprehending the present as history”</w:t>
      </w:r>
      <w:r w:rsidR="00AF326E" w:rsidRPr="00403602">
        <w:rPr>
          <w:rStyle w:val="FootnoteReference"/>
        </w:rPr>
        <w:footnoteReference w:id="31"/>
      </w:r>
    </w:p>
    <w:p w14:paraId="3DC092FE" w14:textId="308AF6D0" w:rsidR="004F01EF" w:rsidRPr="00403602" w:rsidRDefault="55ED6578" w:rsidP="0027373D">
      <w:bookmarkStart w:id="6" w:name="_Hlk48256838"/>
      <w:r w:rsidRPr="00403602">
        <w:t xml:space="preserve">In 2009 Ursula K. </w:t>
      </w:r>
      <w:r w:rsidR="00C254B2" w:rsidRPr="00403602">
        <w:t xml:space="preserve">Le Guin </w:t>
      </w:r>
      <w:r w:rsidRPr="00403602">
        <w:t xml:space="preserve">reviewed </w:t>
      </w:r>
      <w:r w:rsidRPr="00403602">
        <w:rPr>
          <w:i/>
          <w:iCs/>
        </w:rPr>
        <w:t>The Year of the Flood</w:t>
      </w:r>
      <w:r w:rsidRPr="00403602">
        <w:t xml:space="preserve"> </w:t>
      </w:r>
      <w:r w:rsidR="003E0BFC" w:rsidRPr="00403602">
        <w:t xml:space="preserve">(2019) </w:t>
      </w:r>
      <w:r w:rsidRPr="00403602">
        <w:t xml:space="preserve">and </w:t>
      </w:r>
      <w:r w:rsidRPr="00403602">
        <w:rPr>
          <w:i/>
          <w:iCs/>
        </w:rPr>
        <w:t>Oryx and Crake</w:t>
      </w:r>
      <w:r w:rsidR="003E0BFC" w:rsidRPr="00403602">
        <w:rPr>
          <w:i/>
          <w:iCs/>
        </w:rPr>
        <w:t xml:space="preserve"> </w:t>
      </w:r>
      <w:r w:rsidR="003E0BFC" w:rsidRPr="00403602">
        <w:t>(</w:t>
      </w:r>
      <w:r w:rsidR="00AC641D" w:rsidRPr="00403602">
        <w:t>2003</w:t>
      </w:r>
      <w:r w:rsidR="003E0BFC" w:rsidRPr="00403602">
        <w:t>)</w:t>
      </w:r>
      <w:r w:rsidR="00B00107" w:rsidRPr="00403602">
        <w:t xml:space="preserve"> for the </w:t>
      </w:r>
      <w:r w:rsidR="00B00107" w:rsidRPr="00403602">
        <w:rPr>
          <w:i/>
          <w:iCs/>
        </w:rPr>
        <w:t>Guardian</w:t>
      </w:r>
      <w:r w:rsidRPr="00403602">
        <w:t>.</w:t>
      </w:r>
      <w:r w:rsidR="00AF326E" w:rsidRPr="00403602">
        <w:rPr>
          <w:rStyle w:val="FootnoteReference"/>
        </w:rPr>
        <w:footnoteReference w:id="32"/>
      </w:r>
      <w:r w:rsidRPr="00403602">
        <w:t xml:space="preserve"> </w:t>
      </w:r>
      <w:bookmarkEnd w:id="6"/>
      <w:r w:rsidRPr="00403602">
        <w:t xml:space="preserve">In the article Le Guin states that </w:t>
      </w:r>
      <w:r w:rsidR="00C05276" w:rsidRPr="00403602">
        <w:t>both</w:t>
      </w:r>
      <w:r w:rsidRPr="00403602">
        <w:t xml:space="preserve"> novels</w:t>
      </w:r>
      <w:r w:rsidR="00DD1A33" w:rsidRPr="00403602">
        <w:t>, like</w:t>
      </w:r>
      <w:r w:rsidRPr="00403602">
        <w:t xml:space="preserve"> </w:t>
      </w:r>
      <w:r w:rsidRPr="00403602">
        <w:rPr>
          <w:i/>
          <w:iCs/>
        </w:rPr>
        <w:t>The Handmaid’s Tale</w:t>
      </w:r>
      <w:r w:rsidR="00DD1A33" w:rsidRPr="00403602">
        <w:t>,</w:t>
      </w:r>
      <w:r w:rsidRPr="00403602">
        <w:t xml:space="preserve"> all extrapolate imaginatively from current trends and events, fulfilling one of the feats that science fiction does best, but that Atwood didn’t want her books to be called science fiction. </w:t>
      </w:r>
      <w:r w:rsidR="00FA09D7" w:rsidRPr="00403602">
        <w:t xml:space="preserve">Four years later in </w:t>
      </w:r>
      <w:r w:rsidR="00FA09D7" w:rsidRPr="00403602">
        <w:rPr>
          <w:i/>
          <w:iCs/>
        </w:rPr>
        <w:t xml:space="preserve">In Other Worlds </w:t>
      </w:r>
      <w:r w:rsidR="00FA09D7" w:rsidRPr="00403602">
        <w:t>(2013) Atwood restated her rejection of this description</w:t>
      </w:r>
      <w:r w:rsidRPr="00403602">
        <w:t xml:space="preserve">. </w:t>
      </w:r>
      <w:r w:rsidR="00FA09D7" w:rsidRPr="00403602">
        <w:t xml:space="preserve">However, she defined the issue differently to Le Guin. </w:t>
      </w:r>
      <w:r w:rsidRPr="00403602">
        <w:t>Atwood states her meaning of ‘speculative fiction’ as books about “things that really could happen but just hadn’t completely happened when the authors wrote the books.”</w:t>
      </w:r>
      <w:r w:rsidR="00485637" w:rsidRPr="00403602">
        <w:rPr>
          <w:rStyle w:val="FootnoteReference"/>
        </w:rPr>
        <w:footnoteReference w:id="33"/>
      </w:r>
      <w:r w:rsidRPr="00403602">
        <w:t xml:space="preserve"> This is an important distinction from that of science fiction</w:t>
      </w:r>
      <w:r w:rsidR="0CDB844C" w:rsidRPr="00403602">
        <w:t xml:space="preserve"> for Atwood</w:t>
      </w:r>
      <w:r w:rsidRPr="00403602">
        <w:t xml:space="preserve">. </w:t>
      </w:r>
    </w:p>
    <w:p w14:paraId="167BBE9A" w14:textId="09E732F8" w:rsidR="004F01EF" w:rsidRPr="00403602" w:rsidRDefault="55ED6578" w:rsidP="0027373D">
      <w:r w:rsidRPr="00403602">
        <w:lastRenderedPageBreak/>
        <w:t>Science fiction for Atwood, "denotes books with things in them we can’t yet do or begin to do, talking beings we can never meet, and places we can never go</w:t>
      </w:r>
      <w:r w:rsidR="00A74070" w:rsidRPr="00403602">
        <w:t>–</w:t>
      </w:r>
      <w:r w:rsidRPr="00403602">
        <w:t>.”</w:t>
      </w:r>
      <w:r w:rsidR="00BD2E36" w:rsidRPr="00403602">
        <w:rPr>
          <w:rStyle w:val="FootnoteReference"/>
        </w:rPr>
        <w:footnoteReference w:id="34"/>
      </w:r>
      <w:r w:rsidR="00BD2E36" w:rsidRPr="00403602">
        <w:t xml:space="preserve"> </w:t>
      </w:r>
      <w:r w:rsidRPr="00403602">
        <w:t xml:space="preserve">Atwood posits that science fiction, science fantasy fiction, fantasy can be considered branches of the same tree, that tree being speculative fiction. Atwood takes her cues from the French terms used for short stories, </w:t>
      </w:r>
      <w:r w:rsidRPr="00403602">
        <w:rPr>
          <w:i/>
          <w:iCs/>
        </w:rPr>
        <w:t>conte</w:t>
      </w:r>
      <w:r w:rsidRPr="00403602">
        <w:t xml:space="preserve"> and </w:t>
      </w:r>
      <w:r w:rsidRPr="00403602">
        <w:rPr>
          <w:i/>
          <w:iCs/>
        </w:rPr>
        <w:t>nouvelle</w:t>
      </w:r>
      <w:r w:rsidRPr="00403602">
        <w:t xml:space="preserve">, which she translates as </w:t>
      </w:r>
      <w:r w:rsidRPr="00403602">
        <w:rPr>
          <w:i/>
          <w:iCs/>
        </w:rPr>
        <w:t>tale</w:t>
      </w:r>
      <w:r w:rsidRPr="00403602">
        <w:t xml:space="preserve"> and </w:t>
      </w:r>
      <w:r w:rsidRPr="00403602">
        <w:rPr>
          <w:i/>
          <w:iCs/>
        </w:rPr>
        <w:t>news</w:t>
      </w:r>
      <w:r w:rsidRPr="00403602">
        <w:t>.</w:t>
      </w:r>
      <w:r w:rsidR="00305F3E" w:rsidRPr="00403602">
        <w:rPr>
          <w:rStyle w:val="FootnoteReference"/>
        </w:rPr>
        <w:footnoteReference w:id="35"/>
      </w:r>
      <w:r w:rsidRPr="00403602">
        <w:t xml:space="preserve"> Whereas a </w:t>
      </w:r>
      <w:r w:rsidRPr="00403602">
        <w:rPr>
          <w:i/>
          <w:iCs/>
        </w:rPr>
        <w:t>tale</w:t>
      </w:r>
      <w:r w:rsidRPr="00403602">
        <w:t xml:space="preserve"> is a more open form of story and not limited to a realist telling, the news is limited to human endeavours within the plausible of the past, present and particularly the future.</w:t>
      </w:r>
      <w:r w:rsidR="2A21D2E8" w:rsidRPr="00403602">
        <w:t xml:space="preserve"> </w:t>
      </w:r>
      <w:r w:rsidR="7AB37D88" w:rsidRPr="00403602">
        <w:t>Robert Heinlein claims that speculative fiction “must [be] possible to the universe as we know it.”</w:t>
      </w:r>
      <w:r w:rsidR="00AF326E" w:rsidRPr="00403602">
        <w:rPr>
          <w:rStyle w:val="FootnoteReference"/>
        </w:rPr>
        <w:footnoteReference w:id="36"/>
      </w:r>
    </w:p>
    <w:p w14:paraId="531E389B" w14:textId="0A9B7587" w:rsidR="004F01EF" w:rsidRPr="00403602" w:rsidRDefault="55ED6578" w:rsidP="0027373D">
      <w:r w:rsidRPr="00403602">
        <w:t xml:space="preserve">Atwood in </w:t>
      </w:r>
      <w:r w:rsidRPr="00403602">
        <w:rPr>
          <w:i/>
          <w:iCs/>
        </w:rPr>
        <w:t>In Other Worlds</w:t>
      </w:r>
      <w:r w:rsidRPr="00403602">
        <w:t xml:space="preserve"> clarifies her use of speculative fiction in terms of the exploration of current and near-future technologies, the limits of the concept of being human, the relationship of the universal and the human, the dystopic or utopic conditions for those living under prosed social changes, and the sphere of the human imagination. In other words, speculative fiction is a process of extrapolation, in place of pure invention. The </w:t>
      </w:r>
      <w:r w:rsidRPr="00403602">
        <w:rPr>
          <w:i/>
          <w:iCs/>
        </w:rPr>
        <w:t>Maddaddam</w:t>
      </w:r>
      <w:r w:rsidRPr="00403602">
        <w:t xml:space="preserve"> series can be viewed then as a projection of plausible outcomes based on contemporary bioscience, political structures and neoliberal market economies. </w:t>
      </w:r>
    </w:p>
    <w:p w14:paraId="4755E3A0" w14:textId="6E1C91E3" w:rsidR="004F01EF" w:rsidRPr="00403602" w:rsidRDefault="6CBA5B58" w:rsidP="0027373D">
      <w:r w:rsidRPr="00403602">
        <w:t xml:space="preserve">Jameson in </w:t>
      </w:r>
      <w:r w:rsidRPr="00403602">
        <w:rPr>
          <w:i/>
          <w:iCs/>
        </w:rPr>
        <w:t>The Antimonies of Realism</w:t>
      </w:r>
      <w:r w:rsidRPr="00403602">
        <w:t xml:space="preserve"> (2013)</w:t>
      </w:r>
      <w:r w:rsidR="00AF326E" w:rsidRPr="00403602">
        <w:rPr>
          <w:rStyle w:val="FootnoteReference"/>
        </w:rPr>
        <w:footnoteReference w:id="37"/>
      </w:r>
      <w:r w:rsidRPr="00403602">
        <w:t xml:space="preserve"> argues that the work done by realism in the nineteenth century is the same work speculative fiction is continuing in the contemporary condition of late-stage g</w:t>
      </w:r>
      <w:r w:rsidR="0007679B" w:rsidRPr="00403602">
        <w:t>l</w:t>
      </w:r>
      <w:r w:rsidRPr="00403602">
        <w:t xml:space="preserve">obal capitalism. </w:t>
      </w:r>
      <w:r w:rsidR="55ED6578" w:rsidRPr="00403602">
        <w:t xml:space="preserve">Winstead argues that what Atwood “defends as most crucial about speculative fiction is its closeness to ‘real’ speculation” </w:t>
      </w:r>
      <w:r w:rsidR="00B963AF">
        <w:t xml:space="preserve">and </w:t>
      </w:r>
      <w:r w:rsidR="55ED6578" w:rsidRPr="00403602">
        <w:t xml:space="preserve">elaborates ‘real’ </w:t>
      </w:r>
      <w:r w:rsidR="55ED6578" w:rsidRPr="00403602">
        <w:lastRenderedPageBreak/>
        <w:t>speculation as that which can produce “legitimate and actionable information about possible futures.”</w:t>
      </w:r>
      <w:r w:rsidR="00BE56A2" w:rsidRPr="00403602">
        <w:rPr>
          <w:rStyle w:val="FootnoteReference"/>
        </w:rPr>
        <w:footnoteReference w:id="38"/>
      </w:r>
    </w:p>
    <w:p w14:paraId="6870F34C" w14:textId="4F8619E9" w:rsidR="004F01EF" w:rsidRPr="00403602" w:rsidRDefault="55ED6578" w:rsidP="0027373D">
      <w:r w:rsidRPr="00403602">
        <w:t>As mentioned above Trexler posits the demand on literature to bring to bear an understanding of the Anthropocene.</w:t>
      </w:r>
      <w:r w:rsidR="00D231C8" w:rsidRPr="00403602">
        <w:rPr>
          <w:rStyle w:val="FootnoteReference"/>
        </w:rPr>
        <w:footnoteReference w:id="39"/>
      </w:r>
      <w:r w:rsidRPr="00403602">
        <w:t xml:space="preserve"> The comprehension of such a vast and complex issue is not congruent with the individual human’s relative space and time perceptions. </w:t>
      </w:r>
    </w:p>
    <w:p w14:paraId="653266F8" w14:textId="637B07D7" w:rsidR="004F01EF" w:rsidRPr="00403602" w:rsidRDefault="55ED6578" w:rsidP="0027373D">
      <w:r w:rsidRPr="00403602">
        <w:t xml:space="preserve">In Lakoff and Johnson’s </w:t>
      </w:r>
      <w:r w:rsidRPr="00403602">
        <w:rPr>
          <w:i/>
          <w:iCs/>
        </w:rPr>
        <w:t>Metaphors We Live By</w:t>
      </w:r>
      <w:r w:rsidRPr="00403602">
        <w:t xml:space="preserve"> the “essence of metaphor” is defined as “understanding and experiencing one kind of thing in terms of another.”</w:t>
      </w:r>
      <w:r w:rsidR="008721EE" w:rsidRPr="00403602">
        <w:rPr>
          <w:rStyle w:val="FootnoteReference"/>
        </w:rPr>
        <w:footnoteReference w:id="40"/>
      </w:r>
      <w:r w:rsidRPr="00403602">
        <w:t xml:space="preserve"> This definition brings the meaning past a poetic device or a symbolic representation or linguistic substituting of something for something else. Here we are faced not of something being represented, but rather </w:t>
      </w:r>
      <w:r w:rsidR="008A3100" w:rsidRPr="00403602">
        <w:t>the mechanism</w:t>
      </w:r>
      <w:r w:rsidR="003A652A" w:rsidRPr="00403602">
        <w:rPr>
          <w:rStyle w:val="FootnoteReference"/>
        </w:rPr>
        <w:footnoteReference w:id="41"/>
      </w:r>
      <w:r w:rsidR="008A3100" w:rsidRPr="00403602">
        <w:t xml:space="preserve"> </w:t>
      </w:r>
      <w:r w:rsidRPr="00403602">
        <w:t xml:space="preserve">of the very understanding and the experiencing of things. Cognitive </w:t>
      </w:r>
      <w:r w:rsidR="002A714B" w:rsidRPr="00403602">
        <w:t xml:space="preserve">Metaphor </w:t>
      </w:r>
      <w:r w:rsidRPr="00403602">
        <w:t>Theory has since evolved to discuss the importance of metaphor as a matter of thought, a method of conceptualizing reality</w:t>
      </w:r>
      <w:r w:rsidR="00C77BF1" w:rsidRPr="00403602">
        <w:t>, of making the incomprehensible comprehensible.</w:t>
      </w:r>
    </w:p>
    <w:p w14:paraId="14CA9A52" w14:textId="7C9D55BB" w:rsidR="55ED6578" w:rsidRPr="00403602" w:rsidRDefault="55ED6578" w:rsidP="0027373D">
      <w:r w:rsidRPr="00403602">
        <w:t>Political and corporate agents using speculative capital models imagine</w:t>
      </w:r>
      <w:r w:rsidR="00BF3C74" w:rsidRPr="00403602">
        <w:t>,</w:t>
      </w:r>
      <w:r w:rsidRPr="00403602">
        <w:t xml:space="preserve"> according to Winstead</w:t>
      </w:r>
      <w:r w:rsidR="00BF3C74" w:rsidRPr="00403602">
        <w:t>,</w:t>
      </w:r>
      <w:r w:rsidRPr="00403602">
        <w:t xml:space="preserve"> that “these speculative narratives work to actually produce, and not just describe, the future.”</w:t>
      </w:r>
      <w:r w:rsidR="004F12C4" w:rsidRPr="00403602">
        <w:rPr>
          <w:rStyle w:val="FootnoteReference"/>
        </w:rPr>
        <w:footnoteReference w:id="42"/>
      </w:r>
      <w:r w:rsidRPr="00403602">
        <w:t xml:space="preserve"> By using similar narrative tropes Winstead argues that Atwood essentially can “occupy” the narrative space for </w:t>
      </w:r>
      <w:r w:rsidR="00FC231F" w:rsidRPr="00403602">
        <w:t>her</w:t>
      </w:r>
      <w:r w:rsidR="00952626" w:rsidRPr="00403602">
        <w:rPr>
          <w:color w:val="FF0000"/>
        </w:rPr>
        <w:t xml:space="preserve"> </w:t>
      </w:r>
      <w:r w:rsidRPr="00403602">
        <w:t>own political purpose both as a response to the Anthropocene crisis and a method to produce a different kind of future.</w:t>
      </w:r>
    </w:p>
    <w:p w14:paraId="67299E13" w14:textId="1F35BE69" w:rsidR="55ED6578" w:rsidRPr="00403602" w:rsidRDefault="55ED6578" w:rsidP="0027373D">
      <w:r w:rsidRPr="00403602">
        <w:lastRenderedPageBreak/>
        <w:t>Marx’s now famous statement that “men make their own history, but they do not make it just as they please”</w:t>
      </w:r>
      <w:r w:rsidR="00FC466F" w:rsidRPr="00403602">
        <w:rPr>
          <w:rStyle w:val="FootnoteReference"/>
        </w:rPr>
        <w:footnoteReference w:id="43"/>
      </w:r>
      <w:r w:rsidRPr="00403602">
        <w:t xml:space="preserve"> falls short of the reach of speculative fiction as a response to and a performing technology to build future histories.</w:t>
      </w:r>
      <w:r w:rsidR="41BDCF64" w:rsidRPr="00403602">
        <w:t xml:space="preserve"> </w:t>
      </w:r>
      <w:r w:rsidR="78F18099" w:rsidRPr="00403602">
        <w:t xml:space="preserve">Atwood’s </w:t>
      </w:r>
      <w:r w:rsidR="78F18099" w:rsidRPr="004D70B7">
        <w:rPr>
          <w:i/>
          <w:iCs/>
        </w:rPr>
        <w:t>Maddaddam</w:t>
      </w:r>
      <w:r w:rsidR="78F18099" w:rsidRPr="00403602">
        <w:t xml:space="preserve"> novels then are not merely </w:t>
      </w:r>
      <w:r w:rsidR="511DD225" w:rsidRPr="00403602">
        <w:t>fictive</w:t>
      </w:r>
      <w:r w:rsidR="78F18099" w:rsidRPr="00403602">
        <w:t xml:space="preserve"> </w:t>
      </w:r>
      <w:r w:rsidR="00272437" w:rsidRPr="00403602">
        <w:t xml:space="preserve">impractical imaginings, </w:t>
      </w:r>
      <w:r w:rsidR="78F18099" w:rsidRPr="00403602">
        <w:t xml:space="preserve">but rather a deliberate response to the unchecked anthropocentric </w:t>
      </w:r>
      <w:r w:rsidR="4055A2AF" w:rsidRPr="00403602">
        <w:t xml:space="preserve">crisis, a harbinger and </w:t>
      </w:r>
      <w:r w:rsidR="00D6296B" w:rsidRPr="00403602">
        <w:t>determined persuasi</w:t>
      </w:r>
      <w:r w:rsidR="007B5956" w:rsidRPr="00403602">
        <w:t>ve call,</w:t>
      </w:r>
      <w:r w:rsidR="00190CA3" w:rsidRPr="00403602">
        <w:rPr>
          <w:rStyle w:val="CommentReference"/>
          <w:sz w:val="24"/>
          <w:szCs w:val="24"/>
        </w:rPr>
        <w:t xml:space="preserve"> a </w:t>
      </w:r>
      <w:r w:rsidR="4055A2AF" w:rsidRPr="00403602">
        <w:t xml:space="preserve">means of </w:t>
      </w:r>
      <w:r w:rsidR="00FB1022" w:rsidRPr="00403602">
        <w:t>communicating</w:t>
      </w:r>
      <w:r w:rsidR="007B5956" w:rsidRPr="00403602">
        <w:t xml:space="preserve"> </w:t>
      </w:r>
      <w:r w:rsidR="4055A2AF" w:rsidRPr="00403602">
        <w:t>an ethical imperative.</w:t>
      </w:r>
    </w:p>
    <w:p w14:paraId="61BADCEE" w14:textId="14A5A98D" w:rsidR="001514C2" w:rsidRDefault="7D656FEE" w:rsidP="0027373D">
      <w:r w:rsidRPr="00403602">
        <w:t xml:space="preserve">The </w:t>
      </w:r>
      <w:r w:rsidRPr="004D70B7">
        <w:rPr>
          <w:i/>
          <w:iCs/>
        </w:rPr>
        <w:t>Maddaddam</w:t>
      </w:r>
      <w:r w:rsidRPr="00403602">
        <w:t xml:space="preserve"> trilogy extrapolate</w:t>
      </w:r>
      <w:r w:rsidR="642117D8" w:rsidRPr="00403602">
        <w:t>s</w:t>
      </w:r>
      <w:r w:rsidRPr="00403602">
        <w:t xml:space="preserve"> the </w:t>
      </w:r>
      <w:r w:rsidR="19C50A38" w:rsidRPr="00403602">
        <w:t xml:space="preserve">developing </w:t>
      </w:r>
      <w:r w:rsidR="2F25C4EA" w:rsidRPr="00403602">
        <w:t>contemporary</w:t>
      </w:r>
      <w:r w:rsidRPr="00403602">
        <w:t xml:space="preserve"> </w:t>
      </w:r>
      <w:r w:rsidR="7D87C776" w:rsidRPr="00403602">
        <w:t>convergence</w:t>
      </w:r>
      <w:r w:rsidR="0FAE29A5" w:rsidRPr="00403602">
        <w:t xml:space="preserve"> </w:t>
      </w:r>
      <w:r w:rsidRPr="00403602">
        <w:t xml:space="preserve">of </w:t>
      </w:r>
      <w:r w:rsidR="0324F43A" w:rsidRPr="00403602">
        <w:t xml:space="preserve">capitalism and biotechnology in a world where rampant </w:t>
      </w:r>
      <w:r w:rsidR="0395DCCF" w:rsidRPr="00403602">
        <w:t>anthropogenic</w:t>
      </w:r>
      <w:r w:rsidR="0324F43A" w:rsidRPr="00403602">
        <w:t xml:space="preserve"> climate degradation has occurred. </w:t>
      </w:r>
      <w:r w:rsidR="11AB50E0" w:rsidRPr="00403602">
        <w:t xml:space="preserve">This </w:t>
      </w:r>
      <w:r w:rsidR="20DDD56F" w:rsidRPr="00403602">
        <w:t xml:space="preserve">plausible continued </w:t>
      </w:r>
      <w:r w:rsidR="11AB50E0" w:rsidRPr="00403602">
        <w:t>enmeshing of biotechnology and capital</w:t>
      </w:r>
      <w:r w:rsidR="31470725" w:rsidRPr="00403602">
        <w:t xml:space="preserve">, or </w:t>
      </w:r>
      <w:r w:rsidR="00721944">
        <w:t>‘</w:t>
      </w:r>
      <w:r w:rsidR="31470725" w:rsidRPr="00403602">
        <w:t>biocapitalism</w:t>
      </w:r>
      <w:r w:rsidR="00721944">
        <w:t>’</w:t>
      </w:r>
      <w:r w:rsidR="31470725" w:rsidRPr="00403602">
        <w:t xml:space="preserve"> </w:t>
      </w:r>
      <w:r w:rsidR="50136807" w:rsidRPr="00403602">
        <w:t>as termed by Nikolas Rose, Sunder Rajan and others</w:t>
      </w:r>
      <w:r w:rsidR="00721944" w:rsidRPr="00403602">
        <w:t>,</w:t>
      </w:r>
      <w:r w:rsidRPr="00403602">
        <w:rPr>
          <w:rStyle w:val="FootnoteReference"/>
        </w:rPr>
        <w:footnoteReference w:id="44"/>
      </w:r>
      <w:r w:rsidR="1107F9F7" w:rsidRPr="00403602">
        <w:t xml:space="preserve"> i</w:t>
      </w:r>
      <w:r w:rsidR="6EF6F177" w:rsidRPr="00403602">
        <w:t>s</w:t>
      </w:r>
      <w:r w:rsidR="1107F9F7" w:rsidRPr="00403602">
        <w:t xml:space="preserve"> the stage set by Atwood</w:t>
      </w:r>
      <w:r w:rsidR="33DD81CD" w:rsidRPr="00403602">
        <w:t xml:space="preserve"> in the </w:t>
      </w:r>
      <w:r w:rsidR="33DD81CD" w:rsidRPr="004D70B7">
        <w:rPr>
          <w:i/>
          <w:iCs/>
        </w:rPr>
        <w:t>Maddaddam</w:t>
      </w:r>
      <w:r w:rsidR="33DD81CD" w:rsidRPr="00403602">
        <w:t xml:space="preserve"> </w:t>
      </w:r>
      <w:r w:rsidR="00721944">
        <w:t>trilogy</w:t>
      </w:r>
      <w:r w:rsidR="33DD81CD" w:rsidRPr="00403602">
        <w:t>.</w:t>
      </w:r>
      <w:r w:rsidR="1107F9F7" w:rsidRPr="00403602">
        <w:t xml:space="preserve"> </w:t>
      </w:r>
      <w:r w:rsidR="00AE7F47" w:rsidRPr="00403602">
        <w:t xml:space="preserve">The </w:t>
      </w:r>
      <w:r w:rsidR="00721944" w:rsidRPr="00721944">
        <w:t>trilogy</w:t>
      </w:r>
      <w:r w:rsidR="00AE7F47" w:rsidRPr="00403602">
        <w:t xml:space="preserve"> </w:t>
      </w:r>
      <w:r w:rsidR="00276160" w:rsidRPr="00403602">
        <w:t xml:space="preserve">takes up the mantle of </w:t>
      </w:r>
      <w:r w:rsidR="00982BDB" w:rsidRPr="00403602">
        <w:t xml:space="preserve">the </w:t>
      </w:r>
      <w:r w:rsidR="00635D09" w:rsidRPr="00403602">
        <w:t>multitude of</w:t>
      </w:r>
      <w:r w:rsidR="00276160" w:rsidRPr="00403602">
        <w:t xml:space="preserve"> </w:t>
      </w:r>
      <w:r w:rsidR="00982BDB" w:rsidRPr="00403602">
        <w:t xml:space="preserve">literary </w:t>
      </w:r>
      <w:r w:rsidR="00276160" w:rsidRPr="00403602">
        <w:t>Anthropocene challenge</w:t>
      </w:r>
      <w:r w:rsidR="001A17C6" w:rsidRPr="00403602">
        <w:t>s</w:t>
      </w:r>
      <w:r w:rsidR="00276160" w:rsidRPr="00403602">
        <w:t xml:space="preserve"> through the </w:t>
      </w:r>
      <w:r w:rsidR="001A17C6" w:rsidRPr="00403602">
        <w:t>application</w:t>
      </w:r>
      <w:r w:rsidR="00276160" w:rsidRPr="00403602">
        <w:t xml:space="preserve"> of </w:t>
      </w:r>
      <w:r w:rsidR="00D3186C" w:rsidRPr="00403602">
        <w:t xml:space="preserve">the </w:t>
      </w:r>
      <w:r w:rsidR="009A0190" w:rsidRPr="00403602">
        <w:t xml:space="preserve">unbounded </w:t>
      </w:r>
      <w:r w:rsidR="000D7DAA" w:rsidRPr="00403602">
        <w:t>ustopia</w:t>
      </w:r>
      <w:r w:rsidR="00C02AAA" w:rsidRPr="00403602">
        <w:t>n</w:t>
      </w:r>
      <w:r w:rsidR="00737B01" w:rsidRPr="00403602">
        <w:t xml:space="preserve"> </w:t>
      </w:r>
      <w:r w:rsidR="006E68C7" w:rsidRPr="00403602">
        <w:t>approach</w:t>
      </w:r>
      <w:r w:rsidR="00C02AAA" w:rsidRPr="00403602">
        <w:t>,</w:t>
      </w:r>
      <w:r w:rsidR="006E68C7" w:rsidRPr="00403602">
        <w:t xml:space="preserve"> </w:t>
      </w:r>
      <w:r w:rsidR="00737B01" w:rsidRPr="00403602">
        <w:t xml:space="preserve">told </w:t>
      </w:r>
      <w:r w:rsidR="00635D09" w:rsidRPr="00403602">
        <w:t>through</w:t>
      </w:r>
      <w:r w:rsidR="00737B01" w:rsidRPr="00403602">
        <w:t xml:space="preserve"> the lens </w:t>
      </w:r>
      <w:r w:rsidR="00B12B90" w:rsidRPr="00403602">
        <w:t xml:space="preserve">of </w:t>
      </w:r>
      <w:r w:rsidR="006E68C7" w:rsidRPr="00403602">
        <w:t xml:space="preserve">speculative fiction, </w:t>
      </w:r>
      <w:r w:rsidR="00982BDB" w:rsidRPr="00403602">
        <w:t>extrapolat</w:t>
      </w:r>
      <w:r w:rsidR="00C02AAA" w:rsidRPr="00403602">
        <w:t>ing</w:t>
      </w:r>
      <w:r w:rsidR="00982BDB" w:rsidRPr="00403602">
        <w:t xml:space="preserve"> the real</w:t>
      </w:r>
      <w:r w:rsidR="006E68C7" w:rsidRPr="00403602">
        <w:t xml:space="preserve"> </w:t>
      </w:r>
      <w:r w:rsidR="009F3C10" w:rsidRPr="00403602">
        <w:t xml:space="preserve">and </w:t>
      </w:r>
      <w:r w:rsidR="000C5E3A" w:rsidRPr="00403602">
        <w:t>offer</w:t>
      </w:r>
      <w:r w:rsidR="00C02AAA" w:rsidRPr="00403602">
        <w:t>ing</w:t>
      </w:r>
      <w:r w:rsidR="000C5E3A" w:rsidRPr="00403602">
        <w:t xml:space="preserve"> </w:t>
      </w:r>
      <w:r w:rsidR="000D7DAA" w:rsidRPr="00403602">
        <w:t>the possibility to change the future</w:t>
      </w:r>
      <w:r w:rsidR="00A930B8" w:rsidRPr="00403602">
        <w:t>.</w:t>
      </w:r>
    </w:p>
    <w:p w14:paraId="36310EC3" w14:textId="77777777" w:rsidR="001514C2" w:rsidRDefault="001514C2">
      <w:pPr>
        <w:spacing w:after="160" w:line="259" w:lineRule="auto"/>
      </w:pPr>
      <w:r>
        <w:br w:type="page"/>
      </w:r>
    </w:p>
    <w:p w14:paraId="63200969" w14:textId="77777777" w:rsidR="000369B5" w:rsidRDefault="000369B5" w:rsidP="00604207">
      <w:pPr>
        <w:pStyle w:val="Heading1"/>
        <w:rPr>
          <w:noProof/>
        </w:rPr>
        <w:sectPr w:rsidR="000369B5" w:rsidSect="001E09CB">
          <w:footnotePr>
            <w:numRestart w:val="eachSect"/>
          </w:footnotePr>
          <w:pgSz w:w="12240" w:h="15840"/>
          <w:pgMar w:top="1440" w:right="1440" w:bottom="1440" w:left="1440" w:header="720" w:footer="720" w:gutter="0"/>
          <w:pgNumType w:start="1"/>
          <w:cols w:space="720"/>
          <w:titlePg/>
          <w:docGrid w:linePitch="360"/>
        </w:sectPr>
      </w:pPr>
      <w:bookmarkStart w:id="7" w:name="_Toc52308266"/>
    </w:p>
    <w:p w14:paraId="1DCAD242" w14:textId="215F612F" w:rsidR="00777E2E" w:rsidRPr="00354016" w:rsidRDefault="00777E2E" w:rsidP="00604207">
      <w:pPr>
        <w:pStyle w:val="Heading1"/>
        <w:rPr>
          <w:noProof/>
        </w:rPr>
      </w:pPr>
      <w:r w:rsidRPr="00354016">
        <w:rPr>
          <w:noProof/>
        </w:rPr>
        <w:lastRenderedPageBreak/>
        <w:t xml:space="preserve">Biocapitalism: </w:t>
      </w:r>
      <w:r>
        <w:rPr>
          <w:noProof/>
        </w:rPr>
        <w:t>T</w:t>
      </w:r>
      <w:r w:rsidRPr="00354016">
        <w:rPr>
          <w:noProof/>
        </w:rPr>
        <w:t>ransformations in the way we think of life</w:t>
      </w:r>
      <w:bookmarkEnd w:id="7"/>
    </w:p>
    <w:p w14:paraId="1D702085" w14:textId="04663A21" w:rsidR="00777E2E" w:rsidRPr="00354016" w:rsidRDefault="00E223B0" w:rsidP="00E223B0">
      <w:pPr>
        <w:pStyle w:val="Quote"/>
        <w:rPr>
          <w:noProof/>
        </w:rPr>
      </w:pPr>
      <w:r>
        <w:rPr>
          <w:noProof/>
        </w:rPr>
        <w:t>“</w:t>
      </w:r>
      <w:r w:rsidR="00777E2E" w:rsidRPr="00354016">
        <w:rPr>
          <w:noProof/>
        </w:rPr>
        <w:t>A new economic space has been delineated –</w:t>
      </w:r>
    </w:p>
    <w:p w14:paraId="719C532C" w14:textId="612F3A25" w:rsidR="00777E2E" w:rsidRPr="00354016" w:rsidRDefault="00777E2E" w:rsidP="00E223B0">
      <w:pPr>
        <w:pStyle w:val="Quote"/>
        <w:rPr>
          <w:noProof/>
        </w:rPr>
      </w:pPr>
      <w:r w:rsidRPr="00354016">
        <w:rPr>
          <w:noProof/>
        </w:rPr>
        <w:t>the bioeconomy – and a new form of capital – biocapital.</w:t>
      </w:r>
      <w:r w:rsidR="00E223B0">
        <w:rPr>
          <w:noProof/>
        </w:rPr>
        <w:t>”</w:t>
      </w:r>
    </w:p>
    <w:p w14:paraId="635C0B0B" w14:textId="576FE5B0" w:rsidR="00777E2E" w:rsidRPr="00D07BBD" w:rsidRDefault="003A2FD7" w:rsidP="00E223B0">
      <w:pPr>
        <w:pStyle w:val="Quote"/>
        <w:rPr>
          <w:noProof/>
          <w:color w:val="000000" w:themeColor="text1"/>
        </w:rPr>
      </w:pPr>
      <w:r w:rsidRPr="00D07BBD">
        <w:rPr>
          <w:noProof/>
          <w:color w:val="000000" w:themeColor="text1"/>
        </w:rPr>
        <w:t xml:space="preserve">~ </w:t>
      </w:r>
      <w:r w:rsidR="00777E2E" w:rsidRPr="00D07BBD">
        <w:rPr>
          <w:noProof/>
          <w:color w:val="000000" w:themeColor="text1"/>
        </w:rPr>
        <w:t>Nicholas Rose</w:t>
      </w:r>
      <w:r w:rsidR="00D07BBD" w:rsidRPr="00D07BBD">
        <w:rPr>
          <w:rStyle w:val="FootnoteReference"/>
          <w:noProof/>
          <w:color w:val="000000" w:themeColor="text1"/>
        </w:rPr>
        <w:footnoteReference w:id="45"/>
      </w:r>
    </w:p>
    <w:p w14:paraId="5D208B59" w14:textId="77777777" w:rsidR="00777E2E" w:rsidRPr="00354016" w:rsidRDefault="00777E2E" w:rsidP="0027373D">
      <w:pPr>
        <w:rPr>
          <w:noProof/>
        </w:rPr>
      </w:pPr>
    </w:p>
    <w:p w14:paraId="448EB3D1" w14:textId="1DECDA59" w:rsidR="00777E2E" w:rsidRDefault="00777E2E" w:rsidP="0027373D">
      <w:pPr>
        <w:rPr>
          <w:noProof/>
        </w:rPr>
      </w:pPr>
      <w:r w:rsidRPr="00354016">
        <w:rPr>
          <w:noProof/>
        </w:rPr>
        <w:t>Atwood’s</w:t>
      </w:r>
      <w:r w:rsidRPr="00354016">
        <w:rPr>
          <w:i/>
          <w:iCs/>
          <w:noProof/>
        </w:rPr>
        <w:t xml:space="preserve"> Maddaddam</w:t>
      </w:r>
      <w:r w:rsidRPr="00354016">
        <w:rPr>
          <w:noProof/>
        </w:rPr>
        <w:t xml:space="preserve"> series critiques the near-future convergence of the contemporary science of biotechnology and late-stage capitalism to envision a world where the boundless commodification of life has resulted in the near complete destruction of the human species and the environment.</w:t>
      </w:r>
    </w:p>
    <w:p w14:paraId="2281524A" w14:textId="6BF29464" w:rsidR="000767C4" w:rsidRPr="00354016" w:rsidRDefault="000767C4" w:rsidP="00732AA5">
      <w:pPr>
        <w:pStyle w:val="Heading2"/>
        <w:numPr>
          <w:ilvl w:val="1"/>
          <w:numId w:val="27"/>
        </w:numPr>
        <w:rPr>
          <w:noProof/>
        </w:rPr>
      </w:pPr>
      <w:bookmarkStart w:id="8" w:name="_Toc52308267"/>
      <w:r>
        <w:rPr>
          <w:noProof/>
        </w:rPr>
        <w:t>Biotechnology</w:t>
      </w:r>
      <w:r w:rsidR="00605446">
        <w:rPr>
          <w:noProof/>
        </w:rPr>
        <w:t>: The Uses of Life</w:t>
      </w:r>
      <w:bookmarkEnd w:id="8"/>
    </w:p>
    <w:p w14:paraId="319534A4" w14:textId="77777777" w:rsidR="00777E2E" w:rsidRDefault="00777E2E" w:rsidP="0027373D">
      <w:pPr>
        <w:rPr>
          <w:noProof/>
        </w:rPr>
      </w:pPr>
      <w:r w:rsidRPr="00354016">
        <w:rPr>
          <w:noProof/>
        </w:rPr>
        <w:t xml:space="preserve">Biotechnology as defined by the United Nations </w:t>
      </w:r>
      <w:r w:rsidRPr="00354016">
        <w:rPr>
          <w:i/>
          <w:iCs/>
          <w:noProof/>
        </w:rPr>
        <w:t xml:space="preserve">Convention on Biological Diversity </w:t>
      </w:r>
      <w:r w:rsidRPr="00354016">
        <w:rPr>
          <w:noProof/>
        </w:rPr>
        <w:t>is “any technological application that uses biological systems, living organisms or derivatives thereof, to make or modify products or processes for specific use.”</w:t>
      </w:r>
      <w:r w:rsidRPr="00354016">
        <w:rPr>
          <w:rStyle w:val="FootnoteReference"/>
          <w:noProof/>
        </w:rPr>
        <w:footnoteReference w:id="46"/>
      </w:r>
      <w:r w:rsidRPr="00354016">
        <w:rPr>
          <w:noProof/>
        </w:rPr>
        <w:t xml:space="preserve"> Thacker in “</w:t>
      </w:r>
      <w:r w:rsidRPr="005070DE">
        <w:rPr>
          <w:noProof/>
        </w:rPr>
        <w:t>Data Made Flesh: Biotechnology and the Discourse of the Posthuman”</w:t>
      </w:r>
      <w:r w:rsidRPr="00354016">
        <w:rPr>
          <w:noProof/>
        </w:rPr>
        <w:t xml:space="preserve"> drawing on the work of science historian Robert Bud,</w:t>
      </w:r>
      <w:r w:rsidRPr="00354016">
        <w:rPr>
          <w:rStyle w:val="FootnoteReference"/>
          <w:noProof/>
        </w:rPr>
        <w:footnoteReference w:id="47"/>
      </w:r>
      <w:r w:rsidRPr="00354016">
        <w:rPr>
          <w:noProof/>
        </w:rPr>
        <w:t xml:space="preserve"> delimits a clear distinction between </w:t>
      </w:r>
      <w:r w:rsidRPr="00534671">
        <w:rPr>
          <w:noProof/>
        </w:rPr>
        <w:t>bioengineering or prosthetics, and biotechnology</w:t>
      </w:r>
      <w:r w:rsidRPr="00354016">
        <w:rPr>
          <w:noProof/>
        </w:rPr>
        <w:t>.</w:t>
      </w:r>
      <w:r>
        <w:rPr>
          <w:noProof/>
        </w:rPr>
        <w:t xml:space="preserve">  </w:t>
      </w:r>
      <w:r w:rsidRPr="00354016">
        <w:rPr>
          <w:noProof/>
        </w:rPr>
        <w:t xml:space="preserve">For Thacker biotechnology is not concerned with the “interfacing the human with the machine, the organic with the nonorganic,” but rather biotechnology according to Thacker “is about a fundamental reconfiguration of the very processes that constitute the biological domain and their use.” Quoting Bud, Thacker concurs that biotech has on all </w:t>
      </w:r>
      <w:r w:rsidRPr="00354016">
        <w:rPr>
          <w:noProof/>
        </w:rPr>
        <w:lastRenderedPageBreak/>
        <w:t>occasions been about “the uses of life.”</w:t>
      </w:r>
      <w:r w:rsidRPr="00354016">
        <w:rPr>
          <w:rStyle w:val="FootnoteReference"/>
          <w:noProof/>
        </w:rPr>
        <w:footnoteReference w:id="48"/>
      </w:r>
      <w:r w:rsidRPr="00354016">
        <w:rPr>
          <w:noProof/>
        </w:rPr>
        <w:t xml:space="preserve"> The future of biotech outlined by Thacker is that “</w:t>
      </w:r>
      <w:r>
        <w:rPr>
          <w:noProof/>
        </w:rPr>
        <w:t>‘</w:t>
      </w:r>
      <w:r w:rsidRPr="00354016">
        <w:rPr>
          <w:noProof/>
        </w:rPr>
        <w:t>life’ becomes a science of informatics,” or as referred to in the Atwood trilogy, “numbers people.” Atwood’s ‘numbers people’ obsessively work away in the market of the ‘uses of life.’</w:t>
      </w:r>
    </w:p>
    <w:p w14:paraId="441137A4" w14:textId="4224D982" w:rsidR="00777E2E" w:rsidRPr="00354016" w:rsidRDefault="00777E2E" w:rsidP="0027373D">
      <w:pPr>
        <w:rPr>
          <w:noProof/>
        </w:rPr>
      </w:pPr>
      <w:r w:rsidRPr="00354016">
        <w:rPr>
          <w:noProof/>
        </w:rPr>
        <w:t xml:space="preserve">Stefan Helmreich in “Species of Biocapital” refers to Kaushik Sunder Rajan’s 2006 </w:t>
      </w:r>
      <w:r w:rsidRPr="0005359B">
        <w:rPr>
          <w:i/>
          <w:iCs/>
          <w:noProof/>
        </w:rPr>
        <w:t>Biocapital: The Constitution of Postgenomic Life</w:t>
      </w:r>
      <w:r w:rsidRPr="00354016">
        <w:rPr>
          <w:noProof/>
        </w:rPr>
        <w:t xml:space="preserve"> and Nikolas Rose’s 2007 </w:t>
      </w:r>
      <w:r w:rsidRPr="0005359B">
        <w:rPr>
          <w:i/>
          <w:iCs/>
          <w:noProof/>
        </w:rPr>
        <w:t>The Politics of Life Itself: Biomedicine, Power, and Subjectivity in the Twenty-First Century</w:t>
      </w:r>
      <w:r w:rsidRPr="00354016">
        <w:rPr>
          <w:noProof/>
        </w:rPr>
        <w:t xml:space="preserve"> to conclude that they “each propose a broad diagnosis of scientific, ethical, and cultural transformations in </w:t>
      </w:r>
      <w:r w:rsidRPr="00C25F7D">
        <w:rPr>
          <w:i/>
          <w:iCs/>
          <w:noProof/>
        </w:rPr>
        <w:t>the way we think of life</w:t>
      </w:r>
      <w:r w:rsidRPr="00354016">
        <w:rPr>
          <w:noProof/>
        </w:rPr>
        <w:t>—biological and social—in the era of capitalized molecular biology, biotechnology, and stem cell and genomic medicine [emphasis added].”</w:t>
      </w:r>
      <w:r w:rsidR="00B73ECA" w:rsidRPr="00354016">
        <w:rPr>
          <w:rStyle w:val="FootnoteReference"/>
          <w:noProof/>
        </w:rPr>
        <w:footnoteReference w:id="49"/>
      </w:r>
      <w:r w:rsidRPr="00354016">
        <w:rPr>
          <w:noProof/>
        </w:rPr>
        <w:t xml:space="preserve"> Atwood’s trilogy extrapolates these “transformations in the way we think of life” to depict a world, using Helmr</w:t>
      </w:r>
      <w:r w:rsidR="002C4DDE">
        <w:rPr>
          <w:noProof/>
        </w:rPr>
        <w:t>e</w:t>
      </w:r>
      <w:r w:rsidRPr="00354016">
        <w:rPr>
          <w:noProof/>
        </w:rPr>
        <w:t>ich’s definition of Biocapital, where “the substances and promises of biological materials … are increasingly inserted into projects of product making and profit-seeking.”</w:t>
      </w:r>
      <w:r w:rsidR="002C6B53">
        <w:rPr>
          <w:rStyle w:val="FootnoteReference"/>
          <w:noProof/>
        </w:rPr>
        <w:footnoteReference w:id="50"/>
      </w:r>
      <w:r w:rsidRPr="00354016">
        <w:rPr>
          <w:noProof/>
        </w:rPr>
        <w:t xml:space="preserve"> The extrapolated ramifications of this ‘biocapital’ –the commodification of ‘the way we think of life’, and ‘the uses of life’– organize the </w:t>
      </w:r>
      <w:r w:rsidRPr="004D70B7">
        <w:rPr>
          <w:i/>
          <w:iCs/>
          <w:noProof/>
        </w:rPr>
        <w:t>Maddaddam</w:t>
      </w:r>
      <w:r w:rsidRPr="00354016">
        <w:rPr>
          <w:noProof/>
        </w:rPr>
        <w:t xml:space="preserve"> universe.</w:t>
      </w:r>
    </w:p>
    <w:p w14:paraId="63907407" w14:textId="45B36DDA" w:rsidR="00777E2E" w:rsidRPr="00354016" w:rsidRDefault="00777E2E" w:rsidP="0027373D">
      <w:pPr>
        <w:rPr>
          <w:noProof/>
        </w:rPr>
      </w:pPr>
      <w:r w:rsidRPr="00354016">
        <w:rPr>
          <w:noProof/>
        </w:rPr>
        <w:t xml:space="preserve">The </w:t>
      </w:r>
      <w:r w:rsidRPr="00354016">
        <w:rPr>
          <w:i/>
          <w:iCs/>
          <w:noProof/>
        </w:rPr>
        <w:t>Maddaddam</w:t>
      </w:r>
      <w:r w:rsidRPr="00354016">
        <w:rPr>
          <w:noProof/>
        </w:rPr>
        <w:t xml:space="preserve"> trilogy is comprised of the novels </w:t>
      </w:r>
      <w:r w:rsidRPr="00354016">
        <w:rPr>
          <w:i/>
          <w:iCs/>
          <w:noProof/>
        </w:rPr>
        <w:t>Oryx and Crake</w:t>
      </w:r>
      <w:r w:rsidRPr="00354016">
        <w:rPr>
          <w:noProof/>
        </w:rPr>
        <w:t xml:space="preserve"> (2003), </w:t>
      </w:r>
      <w:r w:rsidRPr="00354016">
        <w:rPr>
          <w:i/>
          <w:iCs/>
          <w:noProof/>
        </w:rPr>
        <w:t>The Year of the Flood</w:t>
      </w:r>
      <w:r w:rsidRPr="00354016">
        <w:rPr>
          <w:noProof/>
        </w:rPr>
        <w:t xml:space="preserve"> (2009), and </w:t>
      </w:r>
      <w:r w:rsidRPr="00354016">
        <w:rPr>
          <w:i/>
          <w:iCs/>
          <w:noProof/>
        </w:rPr>
        <w:t>Madd</w:t>
      </w:r>
      <w:r w:rsidR="00572BA2">
        <w:rPr>
          <w:i/>
          <w:iCs/>
          <w:noProof/>
        </w:rPr>
        <w:t>a</w:t>
      </w:r>
      <w:r w:rsidRPr="00354016">
        <w:rPr>
          <w:i/>
          <w:iCs/>
          <w:noProof/>
        </w:rPr>
        <w:t>ddam</w:t>
      </w:r>
      <w:r w:rsidRPr="00354016">
        <w:rPr>
          <w:noProof/>
        </w:rPr>
        <w:t xml:space="preserve"> (2013). The trilogy portrays the </w:t>
      </w:r>
      <w:r>
        <w:rPr>
          <w:noProof/>
        </w:rPr>
        <w:t>man-made c</w:t>
      </w:r>
      <w:r w:rsidRPr="00354016">
        <w:rPr>
          <w:noProof/>
        </w:rPr>
        <w:t xml:space="preserve">auses and </w:t>
      </w:r>
      <w:r>
        <w:rPr>
          <w:noProof/>
        </w:rPr>
        <w:t xml:space="preserve">the </w:t>
      </w:r>
      <w:r w:rsidRPr="00354016">
        <w:rPr>
          <w:noProof/>
        </w:rPr>
        <w:t>effects of a deadly global pandemic juxtaposed with environmental collapse which has almost completely decimated the entire human population. The challenges of making the consequences of the Anthropocene crisis comprehendible to an individual reader are met in part by Atwood’s choice of distinct perspectives for each novel.</w:t>
      </w:r>
    </w:p>
    <w:p w14:paraId="37C02E80" w14:textId="3713E189" w:rsidR="00777E2E" w:rsidRPr="00354016" w:rsidRDefault="00777E2E" w:rsidP="0027373D">
      <w:pPr>
        <w:rPr>
          <w:noProof/>
        </w:rPr>
      </w:pPr>
      <w:r w:rsidRPr="00354016">
        <w:rPr>
          <w:noProof/>
        </w:rPr>
        <w:t xml:space="preserve">In </w:t>
      </w:r>
      <w:r w:rsidRPr="00354016">
        <w:rPr>
          <w:i/>
          <w:iCs/>
          <w:noProof/>
        </w:rPr>
        <w:t>Oryx and Crake</w:t>
      </w:r>
      <w:r w:rsidRPr="00354016">
        <w:rPr>
          <w:noProof/>
        </w:rPr>
        <w:t xml:space="preserve">, the perspective is that of Jimmy, the best friend of Crake, the mastermind behind the pandemic. It can be viewed as a </w:t>
      </w:r>
      <w:r w:rsidR="002C6B53">
        <w:rPr>
          <w:noProof/>
        </w:rPr>
        <w:t>‘La</w:t>
      </w:r>
      <w:r w:rsidRPr="00354016">
        <w:rPr>
          <w:noProof/>
        </w:rPr>
        <w:t xml:space="preserve">st </w:t>
      </w:r>
      <w:r w:rsidR="002C6B53">
        <w:rPr>
          <w:noProof/>
        </w:rPr>
        <w:t>M</w:t>
      </w:r>
      <w:r w:rsidRPr="00354016">
        <w:rPr>
          <w:noProof/>
        </w:rPr>
        <w:t>an</w:t>
      </w:r>
      <w:r w:rsidR="002C6B53">
        <w:rPr>
          <w:noProof/>
        </w:rPr>
        <w:t>’</w:t>
      </w:r>
      <w:r w:rsidRPr="00354016">
        <w:rPr>
          <w:noProof/>
        </w:rPr>
        <w:t xml:space="preserve"> novel, whereas in </w:t>
      </w:r>
      <w:r w:rsidRPr="00354016">
        <w:rPr>
          <w:i/>
          <w:iCs/>
          <w:noProof/>
        </w:rPr>
        <w:t>The Year of the Flood,</w:t>
      </w:r>
      <w:r w:rsidRPr="00354016">
        <w:rPr>
          <w:noProof/>
        </w:rPr>
        <w:t xml:space="preserve"> Toby and Ren, both survivors of the devastation released, provide a </w:t>
      </w:r>
      <w:r w:rsidR="002C6B53">
        <w:rPr>
          <w:noProof/>
        </w:rPr>
        <w:t>‘L</w:t>
      </w:r>
      <w:r w:rsidRPr="00354016">
        <w:rPr>
          <w:noProof/>
        </w:rPr>
        <w:t xml:space="preserve">ast </w:t>
      </w:r>
      <w:r w:rsidR="002C6B53">
        <w:rPr>
          <w:noProof/>
        </w:rPr>
        <w:t>W</w:t>
      </w:r>
      <w:r w:rsidRPr="00354016">
        <w:rPr>
          <w:noProof/>
        </w:rPr>
        <w:t>oman</w:t>
      </w:r>
      <w:r w:rsidR="002C6B53">
        <w:rPr>
          <w:noProof/>
        </w:rPr>
        <w:t>’</w:t>
      </w:r>
      <w:r w:rsidRPr="00354016">
        <w:rPr>
          <w:noProof/>
        </w:rPr>
        <w:t xml:space="preserve"> counterpoint </w:t>
      </w:r>
      <w:r w:rsidRPr="00354016">
        <w:rPr>
          <w:noProof/>
        </w:rPr>
        <w:lastRenderedPageBreak/>
        <w:t xml:space="preserve">to </w:t>
      </w:r>
      <w:r w:rsidRPr="00354016">
        <w:rPr>
          <w:i/>
          <w:iCs/>
          <w:noProof/>
        </w:rPr>
        <w:t>Oryx and Crake</w:t>
      </w:r>
      <w:r w:rsidRPr="00354016">
        <w:rPr>
          <w:noProof/>
        </w:rPr>
        <w:t xml:space="preserve">. Both novels relate the same time period from these distinct perspectives, surpassing the limitations of an individual understanding. The third novel, </w:t>
      </w:r>
      <w:r w:rsidRPr="00354016">
        <w:rPr>
          <w:i/>
          <w:iCs/>
          <w:noProof/>
        </w:rPr>
        <w:t>Maddaddam</w:t>
      </w:r>
      <w:r w:rsidRPr="00354016">
        <w:rPr>
          <w:noProof/>
        </w:rPr>
        <w:t xml:space="preserve">, is told primarily from the viewpoint of Toby and Zeb. The novels portray varied groups of </w:t>
      </w:r>
      <w:r>
        <w:rPr>
          <w:noProof/>
        </w:rPr>
        <w:t xml:space="preserve">human </w:t>
      </w:r>
      <w:r w:rsidRPr="00354016">
        <w:rPr>
          <w:noProof/>
        </w:rPr>
        <w:t xml:space="preserve">survivors: members of the eco-religious cult, the God’s Gardeners (Ren, Toby, Adam and others), a radical eco-guerrilla group, Maddaddam (Zeb, Crozier, Shakleton, Oates, etc.), and a gang of murderous criminals, escaped from “Painball,” a gladiator styled prison. </w:t>
      </w:r>
    </w:p>
    <w:p w14:paraId="62C4A4F0" w14:textId="77777777" w:rsidR="00777E2E" w:rsidRPr="00354016" w:rsidRDefault="00777E2E" w:rsidP="0027373D">
      <w:pPr>
        <w:rPr>
          <w:noProof/>
        </w:rPr>
      </w:pPr>
      <w:r w:rsidRPr="00354016">
        <w:rPr>
          <w:noProof/>
        </w:rPr>
        <w:t>The humans inhabiting this “brave new biosphere”</w:t>
      </w:r>
      <w:r w:rsidRPr="00354016">
        <w:rPr>
          <w:rStyle w:val="FootnoteReference"/>
          <w:noProof/>
        </w:rPr>
        <w:footnoteReference w:id="51"/>
      </w:r>
      <w:r w:rsidRPr="00354016">
        <w:rPr>
          <w:noProof/>
        </w:rPr>
        <w:t xml:space="preserve"> as survivors of Crake’s bio-apocalypse must cohabit with bioengineered nonhuman life forms, such as liobams, pigoons, rakunks, wolvogs and the humanoid “Crakers,” designed by Crake to be an environmentally friendly replacement for the human race.</w:t>
      </w:r>
    </w:p>
    <w:p w14:paraId="2CF86D1F" w14:textId="204A844E" w:rsidR="00777E2E" w:rsidRPr="00354016" w:rsidRDefault="00777E2E" w:rsidP="0027373D">
      <w:pPr>
        <w:rPr>
          <w:noProof/>
        </w:rPr>
      </w:pPr>
      <w:r w:rsidRPr="00354016">
        <w:rPr>
          <w:noProof/>
        </w:rPr>
        <w:t xml:space="preserve">The wolvogs are an admonitory creation </w:t>
      </w:r>
      <w:r>
        <w:rPr>
          <w:noProof/>
        </w:rPr>
        <w:t>resulting from</w:t>
      </w:r>
      <w:r w:rsidRPr="00354016">
        <w:rPr>
          <w:noProof/>
        </w:rPr>
        <w:t xml:space="preserve"> the age-old relationship between humans and dogs </w:t>
      </w:r>
      <w:r>
        <w:rPr>
          <w:noProof/>
        </w:rPr>
        <w:t>being</w:t>
      </w:r>
      <w:r w:rsidRPr="00354016">
        <w:rPr>
          <w:noProof/>
        </w:rPr>
        <w:t xml:space="preserve"> twisted to meet </w:t>
      </w:r>
      <w:r w:rsidR="00E3265C">
        <w:rPr>
          <w:noProof/>
        </w:rPr>
        <w:t>b</w:t>
      </w:r>
      <w:r w:rsidRPr="00354016">
        <w:rPr>
          <w:noProof/>
        </w:rPr>
        <w:t>iocapital demands. The most domesticated companion species is turned into a weapon designed specifically to manipulate human nature as “BioDefences”: “they aren’t dogs, they just look like dogs. They’re wolvogs– they’re bred to deceive. Reach out to pat them, they’ll take your hand off.”</w:t>
      </w:r>
      <w:r w:rsidRPr="00354016">
        <w:rPr>
          <w:rStyle w:val="FootnoteReference"/>
          <w:noProof/>
        </w:rPr>
        <w:footnoteReference w:id="52"/>
      </w:r>
      <w:r w:rsidRPr="00354016">
        <w:rPr>
          <w:noProof/>
        </w:rPr>
        <w:t xml:space="preserve"> The wolvogs represent a perversion of the evolutionary links between the two species. The wolvogs are produced through “commission work”</w:t>
      </w:r>
      <w:r w:rsidRPr="00354016">
        <w:rPr>
          <w:rStyle w:val="FootnoteReference"/>
          <w:noProof/>
        </w:rPr>
        <w:footnoteReference w:id="53"/>
      </w:r>
      <w:r w:rsidRPr="00354016">
        <w:rPr>
          <w:noProof/>
        </w:rPr>
        <w:t xml:space="preserve"> for a security company, the uses of life, commodified and produced to order. The new species are almost impossible </w:t>
      </w:r>
      <w:r>
        <w:rPr>
          <w:noProof/>
        </w:rPr>
        <w:t xml:space="preserve">to </w:t>
      </w:r>
      <w:r w:rsidRPr="00354016">
        <w:rPr>
          <w:noProof/>
        </w:rPr>
        <w:t>manage– “no way of making pals with them”</w:t>
      </w:r>
      <w:r w:rsidRPr="00354016">
        <w:rPr>
          <w:rStyle w:val="FootnoteReference"/>
          <w:noProof/>
        </w:rPr>
        <w:footnoteReference w:id="54"/>
      </w:r>
      <w:r w:rsidRPr="00354016">
        <w:rPr>
          <w:noProof/>
        </w:rPr>
        <w:t xml:space="preserve"> and once they escape, they pose a serio</w:t>
      </w:r>
      <w:r w:rsidRPr="00BA4073">
        <w:rPr>
          <w:noProof/>
          <w:color w:val="000000" w:themeColor="text1"/>
        </w:rPr>
        <w:t>u</w:t>
      </w:r>
      <w:r w:rsidRPr="00354016">
        <w:rPr>
          <w:noProof/>
        </w:rPr>
        <w:t>s threat to the human survivors.</w:t>
      </w:r>
      <w:r>
        <w:rPr>
          <w:noProof/>
        </w:rPr>
        <w:t xml:space="preserve"> The historical interspecies collaboration is obiterated and results in a transformation of the relationship beyond repair.</w:t>
      </w:r>
    </w:p>
    <w:p w14:paraId="517F013F" w14:textId="294AAA08" w:rsidR="00777E2E" w:rsidRPr="00E76D86" w:rsidRDefault="00777E2E" w:rsidP="0027373D">
      <w:pPr>
        <w:rPr>
          <w:noProof/>
          <w:lang w:val="en-US"/>
        </w:rPr>
      </w:pPr>
      <w:r w:rsidRPr="00354016">
        <w:rPr>
          <w:noProof/>
        </w:rPr>
        <w:lastRenderedPageBreak/>
        <w:t>Galbreath states that the hybrid creatures “transgress natural barriers and challenge the solid line between humans and nonhumans.”</w:t>
      </w:r>
      <w:r w:rsidR="006058EC">
        <w:rPr>
          <w:rStyle w:val="FootnoteReference"/>
          <w:noProof/>
        </w:rPr>
        <w:footnoteReference w:id="55"/>
      </w:r>
      <w:r w:rsidRPr="00354016">
        <w:rPr>
          <w:noProof/>
        </w:rPr>
        <w:t xml:space="preserve"> J. Brooks Bouson sees the creations as </w:t>
      </w:r>
      <w:r w:rsidR="00D45A19">
        <w:rPr>
          <w:noProof/>
        </w:rPr>
        <w:t>“</w:t>
      </w:r>
      <w:r w:rsidRPr="00354016">
        <w:rPr>
          <w:noProof/>
        </w:rPr>
        <w:t>Atwood’s mockery of scientific prowess and the contemporary debate over the ownership of genetic potential</w:t>
      </w:r>
      <w:r w:rsidRPr="00E76D86">
        <w:rPr>
          <w:noProof/>
          <w:lang w:val="en-US"/>
        </w:rPr>
        <w:t>.</w:t>
      </w:r>
      <w:r w:rsidRPr="00354016">
        <w:rPr>
          <w:noProof/>
        </w:rPr>
        <w:t>”</w:t>
      </w:r>
      <w:r w:rsidRPr="00354016">
        <w:rPr>
          <w:rStyle w:val="FootnoteReference"/>
          <w:noProof/>
        </w:rPr>
        <w:footnoteReference w:id="56"/>
      </w:r>
      <w:r w:rsidRPr="00E76D86">
        <w:rPr>
          <w:noProof/>
          <w:lang w:val="en-US"/>
        </w:rPr>
        <w:t xml:space="preserve"> If any one of these bioengineered creatures can be seen to best depict Atwood’s </w:t>
      </w:r>
      <w:r w:rsidR="00D45A19">
        <w:rPr>
          <w:noProof/>
          <w:lang w:val="en-US"/>
        </w:rPr>
        <w:t>‘</w:t>
      </w:r>
      <w:r w:rsidRPr="00E76D86">
        <w:rPr>
          <w:noProof/>
          <w:lang w:val="en-US"/>
        </w:rPr>
        <w:t>mockery</w:t>
      </w:r>
      <w:r w:rsidR="00D45A19">
        <w:rPr>
          <w:noProof/>
          <w:lang w:val="en-US"/>
        </w:rPr>
        <w:t>’</w:t>
      </w:r>
      <w:r w:rsidRPr="00E76D86">
        <w:rPr>
          <w:noProof/>
          <w:lang w:val="en-US"/>
        </w:rPr>
        <w:t xml:space="preserve"> it is the pigoons. The biocapital industries of Atwood’s world have created the pigoons “to grow an assorment of foolproof human-tissue organs”</w:t>
      </w:r>
      <w:r>
        <w:rPr>
          <w:rStyle w:val="FootnoteReference"/>
          <w:noProof/>
        </w:rPr>
        <w:footnoteReference w:id="57"/>
      </w:r>
      <w:r w:rsidRPr="00E76D86">
        <w:rPr>
          <w:noProof/>
          <w:lang w:val="en-US"/>
        </w:rPr>
        <w:t xml:space="preserve"> and not as an intended food source.</w:t>
      </w:r>
    </w:p>
    <w:p w14:paraId="105FB691" w14:textId="77777777" w:rsidR="00777E2E" w:rsidRPr="00E76D86" w:rsidRDefault="00777E2E" w:rsidP="0027373D">
      <w:pPr>
        <w:rPr>
          <w:noProof/>
          <w:lang w:val="en-US"/>
        </w:rPr>
      </w:pPr>
      <w:r w:rsidRPr="004D56B8">
        <w:rPr>
          <w:noProof/>
          <w:lang w:val="en-US"/>
        </w:rPr>
        <w:t>The pigoons are first “customized, using cells from individual donors”</w:t>
      </w:r>
      <w:r>
        <w:rPr>
          <w:rStyle w:val="FootnoteReference"/>
          <w:noProof/>
        </w:rPr>
        <w:footnoteReference w:id="58"/>
      </w:r>
      <w:r w:rsidRPr="004D56B8">
        <w:rPr>
          <w:noProof/>
          <w:lang w:val="en-US"/>
        </w:rPr>
        <w:t xml:space="preserve"> and, later in the novel, are spliced with human brain tissue: “It’s the nuero-regeneration project. </w:t>
      </w:r>
      <w:r w:rsidRPr="00E76D86">
        <w:rPr>
          <w:noProof/>
          <w:lang w:val="en-US"/>
        </w:rPr>
        <w:t>We now have genuine humanneocortex tissue growing in a pigoon. Finally after all those duds!” The boundaries between human and nonhuman are irrevocably blurred.</w:t>
      </w:r>
    </w:p>
    <w:p w14:paraId="42EB82A3" w14:textId="267807C6" w:rsidR="00777E2E" w:rsidRDefault="00777E2E" w:rsidP="0027373D">
      <w:pPr>
        <w:rPr>
          <w:noProof/>
          <w:lang w:val="en-US"/>
        </w:rPr>
      </w:pPr>
      <w:r w:rsidRPr="002B195B">
        <w:rPr>
          <w:noProof/>
          <w:lang w:val="en-US"/>
        </w:rPr>
        <w:t xml:space="preserve">In </w:t>
      </w:r>
      <w:r w:rsidRPr="002B195B">
        <w:rPr>
          <w:i/>
          <w:iCs/>
          <w:noProof/>
          <w:lang w:val="en-US"/>
        </w:rPr>
        <w:t>Maddaddam</w:t>
      </w:r>
      <w:r w:rsidRPr="002B195B">
        <w:rPr>
          <w:noProof/>
          <w:lang w:val="en-US"/>
        </w:rPr>
        <w:t xml:space="preserve"> the pigoons communicate telepathically. </w:t>
      </w:r>
      <w:r w:rsidRPr="00E76D86">
        <w:rPr>
          <w:noProof/>
          <w:lang w:val="en-US"/>
        </w:rPr>
        <w:t xml:space="preserve">They have burial rituals, and oppose their being eaten by the survivors. </w:t>
      </w:r>
      <w:r w:rsidRPr="006E4D16">
        <w:rPr>
          <w:noProof/>
          <w:lang w:val="en-US"/>
        </w:rPr>
        <w:t>Ultimately it is the pigoons with the Craker</w:t>
      </w:r>
      <w:r>
        <w:rPr>
          <w:noProof/>
          <w:lang w:val="en-US"/>
        </w:rPr>
        <w:t xml:space="preserve">s that </w:t>
      </w:r>
      <w:r w:rsidRPr="006E4D16">
        <w:rPr>
          <w:noProof/>
          <w:lang w:val="en-US"/>
        </w:rPr>
        <w:t>initate a deal to broker a peace between the humans and themselves. What great</w:t>
      </w:r>
      <w:r>
        <w:rPr>
          <w:noProof/>
          <w:lang w:val="en-US"/>
        </w:rPr>
        <w:t>er</w:t>
      </w:r>
      <w:r w:rsidRPr="006E4D16">
        <w:rPr>
          <w:noProof/>
          <w:lang w:val="en-US"/>
        </w:rPr>
        <w:t xml:space="preserve"> critique of human biotechnological folly than to have pigs with human traits be more compassionate and prefer a peaceful existance. </w:t>
      </w:r>
      <w:r w:rsidRPr="00F66C0F">
        <w:rPr>
          <w:noProof/>
          <w:lang w:val="en-US"/>
        </w:rPr>
        <w:t xml:space="preserve">As </w:t>
      </w:r>
      <w:r>
        <w:rPr>
          <w:noProof/>
          <w:lang w:val="en-US"/>
        </w:rPr>
        <w:t>Narkunas</w:t>
      </w:r>
      <w:r w:rsidRPr="00F66C0F">
        <w:rPr>
          <w:noProof/>
          <w:lang w:val="en-US"/>
        </w:rPr>
        <w:t xml:space="preserve"> argues: “They unlike humans recognize their own species limit”</w:t>
      </w:r>
      <w:r>
        <w:rPr>
          <w:rStyle w:val="FootnoteReference"/>
          <w:noProof/>
        </w:rPr>
        <w:footnoteReference w:id="59"/>
      </w:r>
      <w:r w:rsidRPr="00F66C0F">
        <w:rPr>
          <w:noProof/>
          <w:lang w:val="en-US"/>
        </w:rPr>
        <w:t xml:space="preserve"> </w:t>
      </w:r>
      <w:r>
        <w:rPr>
          <w:noProof/>
          <w:lang w:val="en-US"/>
        </w:rPr>
        <w:t>and posits that “speculative fiction can rethink the reification and monetization of life when these processes are taken to their logical extremes,”</w:t>
      </w:r>
      <w:r w:rsidR="008A1B53" w:rsidRPr="008A1B53">
        <w:rPr>
          <w:rStyle w:val="FootnoteReference"/>
          <w:noProof/>
        </w:rPr>
        <w:t xml:space="preserve"> </w:t>
      </w:r>
      <w:r w:rsidR="008A1B53">
        <w:rPr>
          <w:rStyle w:val="FootnoteReference"/>
          <w:noProof/>
        </w:rPr>
        <w:footnoteReference w:id="60"/>
      </w:r>
      <w:r>
        <w:rPr>
          <w:noProof/>
          <w:lang w:val="en-US"/>
        </w:rPr>
        <w:t xml:space="preserve"> as is evident in Atwood’s trilogy.</w:t>
      </w:r>
    </w:p>
    <w:p w14:paraId="5FFF7643" w14:textId="77777777" w:rsidR="00777E2E" w:rsidRDefault="00777E2E" w:rsidP="0027373D">
      <w:pPr>
        <w:rPr>
          <w:rFonts w:eastAsiaTheme="minorHAnsi"/>
          <w:lang w:eastAsia="en-US"/>
        </w:rPr>
      </w:pPr>
      <w:r>
        <w:rPr>
          <w:noProof/>
          <w:lang w:val="en-US"/>
        </w:rPr>
        <w:t xml:space="preserve">The </w:t>
      </w:r>
      <w:r>
        <w:rPr>
          <w:i/>
          <w:iCs/>
          <w:noProof/>
          <w:lang w:val="en-US"/>
        </w:rPr>
        <w:t>M</w:t>
      </w:r>
      <w:r w:rsidRPr="00740BCB">
        <w:rPr>
          <w:i/>
          <w:iCs/>
          <w:noProof/>
          <w:lang w:val="en-US"/>
        </w:rPr>
        <w:t>addaddam</w:t>
      </w:r>
      <w:r>
        <w:rPr>
          <w:noProof/>
          <w:lang w:val="en-US"/>
        </w:rPr>
        <w:t xml:space="preserve"> Trilogy protrays a world which has ignored the anthropocene crisis and is devasted by cataclysmic environmental conditons. The power structures that exist in this ustopian world “exercise power through the monopolization and manuipulation of forces, </w:t>
      </w:r>
      <w:r>
        <w:rPr>
          <w:noProof/>
          <w:lang w:val="en-US"/>
        </w:rPr>
        <w:lastRenderedPageBreak/>
        <w:t>including life itself.”</w:t>
      </w:r>
      <w:r>
        <w:rPr>
          <w:rStyle w:val="FootnoteReference"/>
          <w:noProof/>
          <w:lang w:val="en-US"/>
        </w:rPr>
        <w:footnoteReference w:id="61"/>
      </w:r>
      <w:r>
        <w:rPr>
          <w:noProof/>
          <w:lang w:val="en-US"/>
        </w:rPr>
        <w:t xml:space="preserve"> The trilogy p</w:t>
      </w:r>
      <w:r w:rsidRPr="008649A6">
        <w:rPr>
          <w:noProof/>
          <w:color w:val="000000" w:themeColor="text1"/>
          <w:lang w:val="en-US"/>
        </w:rPr>
        <w:t>or</w:t>
      </w:r>
      <w:r>
        <w:rPr>
          <w:noProof/>
          <w:lang w:val="en-US"/>
        </w:rPr>
        <w:t>trays the aftermath of a world similar to our future present, with speculative enterprises and corporations as the dominant force of social organization. The two greatest powers in Atwood’s universe before the unleashing of Crake’s deadly haemorrhagic virus were free-market financial capitalism and biotechnology. Both forces have already interferred with human existence and biology to the point where life itself been converted in what Catherine Waldby terms “biovalue.”</w:t>
      </w:r>
      <w:r>
        <w:rPr>
          <w:rStyle w:val="FootnoteReference"/>
          <w:noProof/>
          <w:lang w:val="en-US"/>
        </w:rPr>
        <w:footnoteReference w:id="62"/>
      </w:r>
      <w:r>
        <w:rPr>
          <w:noProof/>
          <w:lang w:val="en-US"/>
        </w:rPr>
        <w:t xml:space="preserve"> As Waldby explains: </w:t>
      </w:r>
      <w:r>
        <w:rPr>
          <w:rFonts w:eastAsiaTheme="minorHAnsi"/>
          <w:lang w:eastAsia="en-US"/>
        </w:rPr>
        <w:t>“Biovalue is generated wherever the generative and transformative productivity of living entities can be instrumentalised along lines which make them useful for human projects.”</w:t>
      </w:r>
      <w:r>
        <w:rPr>
          <w:rStyle w:val="FootnoteReference"/>
          <w:rFonts w:eastAsiaTheme="minorHAnsi"/>
          <w:lang w:eastAsia="en-US"/>
        </w:rPr>
        <w:footnoteReference w:id="63"/>
      </w:r>
      <w:r>
        <w:rPr>
          <w:rFonts w:eastAsiaTheme="minorHAnsi"/>
          <w:lang w:eastAsia="en-US"/>
        </w:rPr>
        <w:t xml:space="preserve"> Brouson argues that Atwood’s trilogy critiques consumer society, a society where all resources , human, material and nonhuman are used to sustain “corporate cannibalism.”</w:t>
      </w:r>
      <w:r>
        <w:rPr>
          <w:rStyle w:val="FootnoteReference"/>
          <w:rFonts w:eastAsiaTheme="minorHAnsi"/>
          <w:lang w:eastAsia="en-US"/>
        </w:rPr>
        <w:footnoteReference w:id="64"/>
      </w:r>
      <w:r>
        <w:rPr>
          <w:rFonts w:eastAsiaTheme="minorHAnsi"/>
          <w:lang w:eastAsia="en-US"/>
        </w:rPr>
        <w:t xml:space="preserve"> </w:t>
      </w:r>
    </w:p>
    <w:p w14:paraId="6668DA61" w14:textId="403F3E5A" w:rsidR="00777E2E" w:rsidRDefault="00777E2E" w:rsidP="0027373D">
      <w:pPr>
        <w:rPr>
          <w:rFonts w:eastAsiaTheme="minorHAnsi"/>
          <w:lang w:eastAsia="en-US"/>
        </w:rPr>
      </w:pPr>
      <w:r>
        <w:rPr>
          <w:rFonts w:eastAsiaTheme="minorHAnsi"/>
          <w:lang w:eastAsia="en-US"/>
        </w:rPr>
        <w:t>The pigoons again in particular, mark Atwood’s critique of corporate cannibalism. Even though they have been instrumentalized as organ donor bio-ware and not as a food source –</w:t>
      </w:r>
      <w:r w:rsidR="002B53DF">
        <w:rPr>
          <w:rFonts w:eastAsiaTheme="minorHAnsi"/>
          <w:lang w:eastAsia="en-US"/>
        </w:rPr>
        <w:t xml:space="preserve"> </w:t>
      </w:r>
      <w:r>
        <w:rPr>
          <w:rFonts w:eastAsiaTheme="minorHAnsi"/>
          <w:lang w:eastAsia="en-US"/>
        </w:rPr>
        <w:t>given the human genesplicing and as Galbreath refers to it “their inferred human-relatedness”</w:t>
      </w:r>
      <w:r>
        <w:rPr>
          <w:rStyle w:val="FootnoteReference"/>
          <w:rFonts w:eastAsiaTheme="minorHAnsi"/>
          <w:lang w:eastAsia="en-US"/>
        </w:rPr>
        <w:footnoteReference w:id="65"/>
      </w:r>
      <w:r>
        <w:rPr>
          <w:rFonts w:eastAsiaTheme="minorHAnsi"/>
          <w:lang w:eastAsia="en-US"/>
        </w:rPr>
        <w:t xml:space="preserve"> </w:t>
      </w:r>
      <w:r w:rsidR="002B53DF">
        <w:rPr>
          <w:rFonts w:eastAsiaTheme="minorHAnsi"/>
          <w:lang w:val="en-US" w:eastAsia="en-US"/>
        </w:rPr>
        <w:t>–</w:t>
      </w:r>
      <w:r>
        <w:rPr>
          <w:rFonts w:eastAsiaTheme="minorHAnsi"/>
          <w:lang w:eastAsia="en-US"/>
        </w:rPr>
        <w:t>suspicions exist. When the organs of the first generation pigoons are harvested the animals must be killed. Compound employees in the cafeteria disturb Jimmy with their jokes about eating pork products.</w:t>
      </w:r>
    </w:p>
    <w:p w14:paraId="5F8EA69C" w14:textId="67F92FD8" w:rsidR="00777E2E" w:rsidRPr="00CB06F8" w:rsidRDefault="00777E2E" w:rsidP="0003790E">
      <w:pPr>
        <w:ind w:left="720" w:right="1138"/>
        <w:rPr>
          <w:rFonts w:eastAsiaTheme="minorHAnsi"/>
          <w:sz w:val="20"/>
          <w:szCs w:val="20"/>
          <w:lang w:eastAsia="en-US"/>
        </w:rPr>
      </w:pPr>
      <w:r w:rsidRPr="00CB06F8">
        <w:rPr>
          <w:rFonts w:eastAsiaTheme="minorHAnsi"/>
          <w:sz w:val="20"/>
          <w:szCs w:val="20"/>
          <w:lang w:eastAsia="en-US"/>
        </w:rPr>
        <w:t xml:space="preserve">“Pigoon pie again,” they would say. “Pigoon pancakes, pigoon popcorn. Come on, Jimmy, eat up!” This would upset Jimmy; he was confused about who should be allowed to eat what. </w:t>
      </w:r>
      <w:r w:rsidRPr="00CB06F8">
        <w:rPr>
          <w:rFonts w:eastAsiaTheme="minorHAnsi"/>
          <w:sz w:val="20"/>
          <w:szCs w:val="20"/>
          <w:lang w:eastAsia="en-US"/>
        </w:rPr>
        <w:lastRenderedPageBreak/>
        <w:t>He didn’t want to eat a pigoon, because he thought of the pigoons as creatures much like himself. Neither he nor they had a lot of say in what was going on.</w:t>
      </w:r>
      <w:r w:rsidRPr="00CB06F8">
        <w:rPr>
          <w:rStyle w:val="FootnoteReference"/>
          <w:rFonts w:eastAsiaTheme="minorHAnsi"/>
          <w:sz w:val="20"/>
          <w:szCs w:val="20"/>
          <w:lang w:eastAsia="en-US"/>
        </w:rPr>
        <w:footnoteReference w:id="66"/>
      </w:r>
    </w:p>
    <w:p w14:paraId="0B2027FF" w14:textId="77777777" w:rsidR="00777E2E" w:rsidRDefault="00777E2E" w:rsidP="0027373D">
      <w:pPr>
        <w:rPr>
          <w:rFonts w:eastAsiaTheme="minorHAnsi"/>
          <w:lang w:eastAsia="en-US"/>
        </w:rPr>
      </w:pPr>
      <w:r>
        <w:rPr>
          <w:noProof/>
          <w:lang w:val="en-US"/>
        </w:rPr>
        <w:t>A more disturbing critique comes in Atwoods protrayal of the reusing of the human corpse, environmentalism coupled with biocapitalism. The dead are recyled in Green garboils–here human body parts are repurposed as fuel for automobiles and water. The future present fast-food industry is p</w:t>
      </w:r>
      <w:r w:rsidRPr="0072612A">
        <w:rPr>
          <w:noProof/>
          <w:color w:val="000000" w:themeColor="text1"/>
          <w:lang w:val="en-US"/>
        </w:rPr>
        <w:t>or</w:t>
      </w:r>
      <w:r>
        <w:rPr>
          <w:noProof/>
          <w:lang w:val="en-US"/>
        </w:rPr>
        <w:t>trayed as a consumer of the human body biovalue. Secretburgers the monoplized fast-food chain of Atwood’s universe produce SecretBurgers and when “meat was hard to come by… no knew what sort of animal protein was actually in them.”</w:t>
      </w:r>
      <w:r>
        <w:rPr>
          <w:rStyle w:val="FootnoteReference"/>
          <w:noProof/>
          <w:lang w:val="en-US"/>
        </w:rPr>
        <w:footnoteReference w:id="67"/>
      </w:r>
      <w:r>
        <w:rPr>
          <w:noProof/>
          <w:lang w:val="en-US"/>
        </w:rPr>
        <w:t xml:space="preserve"> The fast food chain havests street animals and humans: “</w:t>
      </w:r>
      <w:r w:rsidRPr="00B068C3">
        <w:rPr>
          <w:noProof/>
          <w:lang w:val="en-US"/>
        </w:rPr>
        <w:t>The local pleebmobs […] ran corpse disposals, harvesting</w:t>
      </w:r>
      <w:r>
        <w:rPr>
          <w:noProof/>
          <w:lang w:val="en-US"/>
        </w:rPr>
        <w:t xml:space="preserve"> </w:t>
      </w:r>
      <w:r w:rsidRPr="00B068C3">
        <w:rPr>
          <w:noProof/>
          <w:lang w:val="en-US"/>
        </w:rPr>
        <w:t>organs for</w:t>
      </w:r>
      <w:r>
        <w:rPr>
          <w:noProof/>
          <w:lang w:val="en-US"/>
        </w:rPr>
        <w:t xml:space="preserve"> </w:t>
      </w:r>
      <w:r w:rsidRPr="00B068C3">
        <w:rPr>
          <w:noProof/>
          <w:lang w:val="en-US"/>
        </w:rPr>
        <w:t>transplant, then running the gutted carcasses through the</w:t>
      </w:r>
      <w:r>
        <w:rPr>
          <w:noProof/>
          <w:lang w:val="en-US"/>
        </w:rPr>
        <w:t xml:space="preserve"> </w:t>
      </w:r>
      <w:r w:rsidRPr="00B068C3">
        <w:rPr>
          <w:noProof/>
          <w:lang w:val="en-US"/>
        </w:rPr>
        <w:t>SecretBurgers grinders</w:t>
      </w:r>
      <w:r>
        <w:rPr>
          <w:noProof/>
          <w:lang w:val="en-US"/>
        </w:rPr>
        <w:t>.”</w:t>
      </w:r>
      <w:r>
        <w:rPr>
          <w:rStyle w:val="FootnoteReference"/>
          <w:noProof/>
          <w:lang w:val="en-US"/>
        </w:rPr>
        <w:footnoteReference w:id="68"/>
      </w:r>
      <w:r w:rsidRPr="00B068C3">
        <w:rPr>
          <w:noProof/>
          <w:lang w:val="en-US"/>
        </w:rPr>
        <w:t xml:space="preserve"> </w:t>
      </w:r>
      <w:r>
        <w:rPr>
          <w:noProof/>
          <w:lang w:val="en-US"/>
        </w:rPr>
        <w:t xml:space="preserve"> The secret ingredient being human bodies with “few supply-side costs.”</w:t>
      </w:r>
      <w:r>
        <w:rPr>
          <w:rStyle w:val="FootnoteReference"/>
          <w:noProof/>
          <w:lang w:val="en-US"/>
        </w:rPr>
        <w:footnoteReference w:id="69"/>
      </w:r>
      <w:r>
        <w:rPr>
          <w:noProof/>
          <w:lang w:val="en-US"/>
        </w:rPr>
        <w:t xml:space="preserve"> </w:t>
      </w:r>
      <w:r w:rsidRPr="00ED67E4">
        <w:rPr>
          <w:rFonts w:eastAsiaTheme="minorHAnsi"/>
          <w:lang w:val="en-US" w:eastAsia="en-US"/>
        </w:rPr>
        <w:t>As Schmeink argues “</w:t>
      </w:r>
      <w:r w:rsidRPr="00ED67E4">
        <w:rPr>
          <w:rFonts w:eastAsiaTheme="minorHAnsi"/>
          <w:lang w:eastAsia="en-US"/>
        </w:rPr>
        <w:t>all life has become a commodity for hypercapitalist consumption and is employed to further corporate interests.”</w:t>
      </w:r>
      <w:r w:rsidRPr="00ED67E4">
        <w:rPr>
          <w:rStyle w:val="FootnoteReference"/>
          <w:rFonts w:eastAsiaTheme="minorHAnsi"/>
          <w:lang w:eastAsia="en-US"/>
        </w:rPr>
        <w:footnoteReference w:id="70"/>
      </w:r>
    </w:p>
    <w:p w14:paraId="6BAB1483" w14:textId="77777777" w:rsidR="00777E2E" w:rsidRPr="006659E9" w:rsidRDefault="00777E2E" w:rsidP="00434306">
      <w:pPr>
        <w:pStyle w:val="Heading2"/>
        <w:rPr>
          <w:rFonts w:eastAsiaTheme="minorHAnsi"/>
        </w:rPr>
      </w:pPr>
      <w:bookmarkStart w:id="9" w:name="_Toc52308268"/>
      <w:r w:rsidRPr="006659E9">
        <w:rPr>
          <w:rFonts w:eastAsiaTheme="minorHAnsi"/>
        </w:rPr>
        <w:t>Biocapitalism: Commodified Cannibalism</w:t>
      </w:r>
      <w:bookmarkEnd w:id="9"/>
    </w:p>
    <w:p w14:paraId="0D2E3AAC" w14:textId="77777777" w:rsidR="00777E2E" w:rsidRDefault="00777E2E" w:rsidP="0027373D">
      <w:pPr>
        <w:rPr>
          <w:rFonts w:eastAsiaTheme="minorHAnsi"/>
          <w:lang w:eastAsia="en-US"/>
        </w:rPr>
      </w:pPr>
      <w:r>
        <w:rPr>
          <w:rFonts w:eastAsiaTheme="minorHAnsi"/>
          <w:lang w:eastAsia="en-US"/>
        </w:rPr>
        <w:t>Atwood’s critique of ‘corporate cannibalism’ goes further than the corporate in the trilogy. The boundary lines between production of food and meat and human cannibalism are blurred.</w:t>
      </w:r>
    </w:p>
    <w:p w14:paraId="418D8B49" w14:textId="77777777" w:rsidR="00777E2E" w:rsidRPr="00ED67E4" w:rsidRDefault="00777E2E" w:rsidP="0027373D">
      <w:pPr>
        <w:rPr>
          <w:rFonts w:eastAsiaTheme="minorHAnsi"/>
          <w:lang w:eastAsia="en-US"/>
        </w:rPr>
      </w:pPr>
      <w:r>
        <w:rPr>
          <w:rFonts w:eastAsiaTheme="minorHAnsi"/>
          <w:lang w:eastAsia="en-US"/>
        </w:rPr>
        <w:t xml:space="preserve">The post apocalypse survivors of the eco-religious cult of God’s Gardeners now living with the survivors of the Maddaddam guerrilla group in the third book of the trilogy. </w:t>
      </w:r>
    </w:p>
    <w:p w14:paraId="6E254F33" w14:textId="77777777" w:rsidR="00777E2E" w:rsidRDefault="00777E2E" w:rsidP="0027373D">
      <w:pPr>
        <w:rPr>
          <w:rFonts w:eastAsiaTheme="minorHAnsi"/>
          <w:lang w:eastAsia="en-US"/>
        </w:rPr>
      </w:pPr>
      <w:r>
        <w:rPr>
          <w:noProof/>
          <w:lang w:val="en-US"/>
        </w:rPr>
        <w:lastRenderedPageBreak/>
        <w:t>Atwood probes, argues Schmeink, the “insecuity [of the] cultural acceptance of anthropophagy”</w:t>
      </w:r>
      <w:r>
        <w:rPr>
          <w:rStyle w:val="FootnoteReference"/>
          <w:noProof/>
          <w:lang w:val="en-US"/>
        </w:rPr>
        <w:footnoteReference w:id="71"/>
      </w:r>
      <w:r>
        <w:rPr>
          <w:noProof/>
          <w:lang w:val="en-US"/>
        </w:rPr>
        <w:t xml:space="preserve"> –the act of humans eating human flesh. As the pigoon and the human are gradually becoming one of the same “crossing the frontier between human and animal, pigoons are now the double– the demoting yet curing, fearful yet adorable other – of humans beings”</w:t>
      </w:r>
      <w:r>
        <w:rPr>
          <w:rStyle w:val="FootnoteReference"/>
          <w:noProof/>
          <w:lang w:val="en-US"/>
        </w:rPr>
        <w:footnoteReference w:id="72"/>
      </w:r>
      <w:r>
        <w:rPr>
          <w:noProof/>
          <w:lang w:val="en-US"/>
        </w:rPr>
        <w:t>, anthropophagy becomes acceptable. The unknown-but-known ingredients in the Secretburgers foreshadowed this. “It hadn’t taken them long to backslide on the Gardener Vegivows, thinks Toby.”</w:t>
      </w:r>
      <w:r>
        <w:rPr>
          <w:rStyle w:val="FootnoteReference"/>
          <w:noProof/>
          <w:lang w:val="en-US"/>
        </w:rPr>
        <w:footnoteReference w:id="73"/>
      </w:r>
      <w:r>
        <w:rPr>
          <w:noProof/>
          <w:lang w:val="en-US"/>
        </w:rPr>
        <w:t xml:space="preserve"> The group of survivors “turn [the pigoons] into bacon.”</w:t>
      </w:r>
      <w:r w:rsidRPr="00627FDA">
        <w:rPr>
          <w:rStyle w:val="FootnoteReference"/>
          <w:noProof/>
          <w:lang w:val="en-US"/>
        </w:rPr>
        <w:t xml:space="preserve"> </w:t>
      </w:r>
      <w:r>
        <w:rPr>
          <w:rStyle w:val="FootnoteReference"/>
          <w:noProof/>
          <w:lang w:val="en-US"/>
        </w:rPr>
        <w:footnoteReference w:id="74"/>
      </w:r>
      <w:r>
        <w:rPr>
          <w:noProof/>
          <w:lang w:val="en-US"/>
        </w:rPr>
        <w:t xml:space="preserve"> “Frankenbacon, considering they’re splices. I still feel kind of weird about eating them. They’ve got neocortex.”</w:t>
      </w:r>
      <w:r w:rsidRPr="00A75665">
        <w:rPr>
          <w:rStyle w:val="FootnoteReference"/>
          <w:noProof/>
          <w:lang w:val="en-US"/>
        </w:rPr>
        <w:t xml:space="preserve"> </w:t>
      </w:r>
      <w:r>
        <w:rPr>
          <w:rStyle w:val="FootnoteReference"/>
          <w:noProof/>
          <w:lang w:val="en-US"/>
        </w:rPr>
        <w:footnoteReference w:id="75"/>
      </w:r>
      <w:r>
        <w:rPr>
          <w:noProof/>
          <w:lang w:val="en-US"/>
        </w:rPr>
        <w:t xml:space="preserve"> The members of the survior group do not have the comfort of a ‘secret’ ingredient. Many amoung them have been involved or worked in the biocapital labs. They are fully conscient of the boundaries they cross. “Dig in, sweetie. Pig in three forms: bacon, ham, and chops.”</w:t>
      </w:r>
      <w:r>
        <w:rPr>
          <w:rStyle w:val="FootnoteReference"/>
          <w:noProof/>
          <w:lang w:val="en-US"/>
        </w:rPr>
        <w:footnoteReference w:id="76"/>
      </w:r>
      <w:r>
        <w:rPr>
          <w:noProof/>
          <w:lang w:val="en-US"/>
        </w:rPr>
        <w:t xml:space="preserve"> Fiddes argues that the act of eating meat can be interrpreted as a assertion of human dominance over the nonhuman.</w:t>
      </w:r>
      <w:r>
        <w:rPr>
          <w:rStyle w:val="FootnoteReference"/>
          <w:noProof/>
          <w:lang w:val="en-US"/>
        </w:rPr>
        <w:footnoteReference w:id="77"/>
      </w:r>
      <w:r>
        <w:rPr>
          <w:noProof/>
          <w:lang w:val="en-US"/>
        </w:rPr>
        <w:t xml:space="preserve"> Parry develops the argument to include the natural world and how the consumption of nature and the nonhuman while </w:t>
      </w:r>
      <w:r w:rsidRPr="0074385D">
        <w:rPr>
          <w:noProof/>
          <w:lang w:val="en-US"/>
        </w:rPr>
        <w:t>“</w:t>
      </w:r>
      <w:r w:rsidRPr="0074385D">
        <w:rPr>
          <w:rFonts w:eastAsiaTheme="minorHAnsi"/>
          <w:lang w:eastAsia="en-US"/>
        </w:rPr>
        <w:t>serving to maintain this distinction, it simultaneously</w:t>
      </w:r>
      <w:r>
        <w:rPr>
          <w:rFonts w:eastAsiaTheme="minorHAnsi"/>
          <w:lang w:eastAsia="en-US"/>
        </w:rPr>
        <w:t xml:space="preserve"> </w:t>
      </w:r>
      <w:r w:rsidRPr="0074385D">
        <w:rPr>
          <w:rFonts w:eastAsiaTheme="minorHAnsi"/>
          <w:lang w:eastAsia="en-US"/>
        </w:rPr>
        <w:t>blurs it. The act of eating animal flesh has often been thought to transmit</w:t>
      </w:r>
      <w:r>
        <w:rPr>
          <w:rFonts w:eastAsiaTheme="minorHAnsi"/>
          <w:lang w:eastAsia="en-US"/>
        </w:rPr>
        <w:t xml:space="preserve"> </w:t>
      </w:r>
      <w:r w:rsidRPr="0074385D">
        <w:rPr>
          <w:rFonts w:eastAsiaTheme="minorHAnsi"/>
          <w:lang w:eastAsia="en-US"/>
        </w:rPr>
        <w:t xml:space="preserve">those desirable qualities which humans have filed under </w:t>
      </w:r>
      <w:r>
        <w:rPr>
          <w:rFonts w:eastAsiaTheme="minorHAnsi"/>
          <w:lang w:eastAsia="en-US"/>
        </w:rPr>
        <w:t>‘</w:t>
      </w:r>
      <w:r w:rsidRPr="0074385D">
        <w:rPr>
          <w:rFonts w:eastAsiaTheme="minorHAnsi"/>
          <w:lang w:eastAsia="en-US"/>
        </w:rPr>
        <w:t>animal,</w:t>
      </w:r>
      <w:r>
        <w:rPr>
          <w:rFonts w:eastAsiaTheme="minorHAnsi"/>
          <w:lang w:eastAsia="en-US"/>
        </w:rPr>
        <w:t>’</w:t>
      </w:r>
      <w:r w:rsidRPr="0074385D">
        <w:rPr>
          <w:rFonts w:eastAsiaTheme="minorHAnsi"/>
          <w:lang w:eastAsia="en-US"/>
        </w:rPr>
        <w:t xml:space="preserve"> such as</w:t>
      </w:r>
      <w:r>
        <w:rPr>
          <w:rFonts w:eastAsiaTheme="minorHAnsi"/>
          <w:lang w:eastAsia="en-US"/>
        </w:rPr>
        <w:t xml:space="preserve"> </w:t>
      </w:r>
      <w:r w:rsidRPr="0074385D">
        <w:rPr>
          <w:rFonts w:eastAsiaTheme="minorHAnsi"/>
          <w:lang w:eastAsia="en-US"/>
        </w:rPr>
        <w:t>strength and virility</w:t>
      </w:r>
      <w:r>
        <w:rPr>
          <w:rFonts w:eastAsiaTheme="minorHAnsi"/>
          <w:lang w:eastAsia="en-US"/>
        </w:rPr>
        <w:t>.”</w:t>
      </w:r>
      <w:r>
        <w:rPr>
          <w:rStyle w:val="FootnoteReference"/>
          <w:rFonts w:eastAsiaTheme="minorHAnsi"/>
          <w:lang w:eastAsia="en-US"/>
        </w:rPr>
        <w:footnoteReference w:id="78"/>
      </w:r>
      <w:r>
        <w:rPr>
          <w:rFonts w:eastAsiaTheme="minorHAnsi"/>
          <w:lang w:eastAsia="en-US"/>
        </w:rPr>
        <w:t xml:space="preserve"> Atwood poses the question </w:t>
      </w:r>
      <w:r>
        <w:rPr>
          <w:rFonts w:eastAsiaTheme="minorHAnsi"/>
          <w:lang w:eastAsia="en-US"/>
        </w:rPr>
        <w:lastRenderedPageBreak/>
        <w:t>then of the blurring of the boundaries between the eating of a product of biocapitalism, corporate capitalism and cannibalism itself.</w:t>
      </w:r>
    </w:p>
    <w:p w14:paraId="285C5602" w14:textId="77777777" w:rsidR="00777E2E" w:rsidRDefault="00777E2E" w:rsidP="0027373D">
      <w:pPr>
        <w:rPr>
          <w:rFonts w:eastAsiaTheme="minorHAnsi"/>
          <w:lang w:eastAsia="en-US"/>
        </w:rPr>
      </w:pPr>
      <w:r>
        <w:rPr>
          <w:rFonts w:eastAsiaTheme="minorHAnsi"/>
          <w:lang w:eastAsia="en-US"/>
        </w:rPr>
        <w:t>An extreme example of genetically modified food, the commodification of life, and the uses of life in the Atwood’s ustopian novels is that of “ChickieNobs.” This product is a result of the genetic modification of chickens where the animals have almost been completely removed from the process: they have been reduced to a single purpose, a single use. In their place, there is instead a many-limbed, headless, and non-sentient “meat tuber.”</w:t>
      </w:r>
      <w:r>
        <w:rPr>
          <w:rStyle w:val="FootnoteReference"/>
          <w:rFonts w:eastAsiaTheme="minorHAnsi"/>
          <w:lang w:eastAsia="en-US"/>
        </w:rPr>
        <w:footnoteReference w:id="79"/>
      </w:r>
      <w:r>
        <w:rPr>
          <w:rFonts w:eastAsiaTheme="minorHAnsi"/>
          <w:lang w:eastAsia="en-US"/>
        </w:rPr>
        <w:t xml:space="preserve"> The ‘meat’ can be harvested continuously for human consumption. </w:t>
      </w:r>
    </w:p>
    <w:p w14:paraId="795C5594" w14:textId="77777777" w:rsidR="00777E2E" w:rsidRDefault="00777E2E" w:rsidP="0027373D">
      <w:pPr>
        <w:rPr>
          <w:rFonts w:eastAsiaTheme="minorHAnsi"/>
          <w:lang w:eastAsia="en-US"/>
        </w:rPr>
      </w:pPr>
      <w:r>
        <w:rPr>
          <w:rFonts w:eastAsiaTheme="minorHAnsi"/>
          <w:lang w:eastAsia="en-US"/>
        </w:rPr>
        <w:t>As an extrapolation of in-vitro meat currently in development for medical and commercial uses, the extent of the Biocapital breach of limits is exemplified in “ChickieNobs”. This assembly line product has reduced the animal to a process of producing breast-meat chicken suited to human tastes. At the Watson-Crick Institute, Jimmy sees “a large bulblike object … covered with stippled whitish-yellow skin. Out of it came twenty thick fleshy tubes, and at the end of each tube another bulb was growing.”</w:t>
      </w:r>
      <w:r w:rsidRPr="00CC6ADC">
        <w:rPr>
          <w:rStyle w:val="FootnoteReference"/>
          <w:rFonts w:eastAsiaTheme="minorHAnsi"/>
          <w:lang w:eastAsia="en-US"/>
        </w:rPr>
        <w:t xml:space="preserve"> </w:t>
      </w:r>
      <w:r>
        <w:rPr>
          <w:rStyle w:val="FootnoteReference"/>
          <w:rFonts w:eastAsiaTheme="minorHAnsi"/>
          <w:lang w:eastAsia="en-US"/>
        </w:rPr>
        <w:footnoteReference w:id="80"/>
      </w:r>
      <w:r>
        <w:rPr>
          <w:rFonts w:eastAsiaTheme="minorHAnsi"/>
          <w:lang w:eastAsia="en-US"/>
        </w:rPr>
        <w:t xml:space="preserve"> Jimmy a product himself of Compound living, calls “the thing … a nightmare.”</w:t>
      </w:r>
      <w:r>
        <w:rPr>
          <w:rStyle w:val="FootnoteReference"/>
          <w:rFonts w:eastAsiaTheme="minorHAnsi"/>
          <w:lang w:eastAsia="en-US"/>
        </w:rPr>
        <w:footnoteReference w:id="81"/>
      </w:r>
    </w:p>
    <w:p w14:paraId="664BFA36" w14:textId="77777777" w:rsidR="00777E2E" w:rsidRDefault="00777E2E" w:rsidP="0027373D">
      <w:pPr>
        <w:rPr>
          <w:lang w:val="en-US"/>
        </w:rPr>
      </w:pPr>
      <w:r>
        <w:rPr>
          <w:rFonts w:eastAsiaTheme="minorHAnsi"/>
          <w:lang w:eastAsia="en-US"/>
        </w:rPr>
        <w:t>Jimmy’s initial reaction to what Donna Harraway terms “organs without organisms”</w:t>
      </w:r>
      <w:r>
        <w:rPr>
          <w:rStyle w:val="FootnoteReference"/>
          <w:rFonts w:eastAsiaTheme="minorHAnsi"/>
          <w:lang w:eastAsia="en-US"/>
        </w:rPr>
        <w:footnoteReference w:id="82"/>
      </w:r>
      <w:r>
        <w:rPr>
          <w:rFonts w:eastAsiaTheme="minorHAnsi"/>
          <w:lang w:eastAsia="en-US"/>
        </w:rPr>
        <w:t xml:space="preserve"> is not resolute. It seems the anxious but brave Chicken Little was right; the sky is falling, and not least for the chickens. Jimmy like the God’s Gardeners overcomes his initial reactions and later Jimmy quips “the stuff wasn’t that bad if you could forget everything you knew about the provenance.”</w:t>
      </w:r>
      <w:r>
        <w:rPr>
          <w:rStyle w:val="FootnoteReference"/>
          <w:rFonts w:eastAsiaTheme="minorHAnsi"/>
          <w:lang w:eastAsia="en-US"/>
        </w:rPr>
        <w:footnoteReference w:id="83"/>
      </w:r>
      <w:r>
        <w:rPr>
          <w:rFonts w:eastAsiaTheme="minorHAnsi"/>
          <w:lang w:eastAsia="en-US"/>
        </w:rPr>
        <w:t xml:space="preserve"> Jimmy illustrates the necessity of forgetting everything known in order to be at </w:t>
      </w:r>
      <w:r>
        <w:rPr>
          <w:rFonts w:eastAsiaTheme="minorHAnsi"/>
          <w:lang w:eastAsia="en-US"/>
        </w:rPr>
        <w:lastRenderedPageBreak/>
        <w:t xml:space="preserve">ease with the biocapitalist mindset. He is a reminder of the shared human catastrophe in the face of an </w:t>
      </w:r>
      <w:r w:rsidRPr="00F3735C">
        <w:rPr>
          <w:rFonts w:eastAsiaTheme="minorHAnsi"/>
          <w:lang w:eastAsia="en-US"/>
        </w:rPr>
        <w:t xml:space="preserve">ignored emergency. He represents the human </w:t>
      </w:r>
      <w:r w:rsidRPr="00F3735C">
        <w:t>languor in the midst of</w:t>
      </w:r>
      <w:r w:rsidRPr="00F3735C">
        <w:rPr>
          <w:lang w:val="en-US"/>
        </w:rPr>
        <w:t xml:space="preserve"> the conversion of nature into biovalue.</w:t>
      </w:r>
    </w:p>
    <w:p w14:paraId="0BCAD5BE" w14:textId="77777777" w:rsidR="00777E2E" w:rsidRDefault="00777E2E" w:rsidP="0027373D">
      <w:pPr>
        <w:rPr>
          <w:lang w:val="en-US"/>
        </w:rPr>
      </w:pPr>
      <w:r>
        <w:rPr>
          <w:lang w:val="en-US"/>
        </w:rPr>
        <w:t xml:space="preserve">Ku argues that Crake, a product of the biocapitalist viewpoint, resists the trope of the ‘mad scientist’. Ku states that </w:t>
      </w:r>
      <w:r w:rsidRPr="000B0F2D">
        <w:rPr>
          <w:lang w:val="en-US"/>
        </w:rPr>
        <w:t>“</w:t>
      </w:r>
      <w:r w:rsidRPr="000B0F2D">
        <w:rPr>
          <w:rFonts w:eastAsiaTheme="minorHAnsi"/>
          <w:lang w:eastAsia="en-US"/>
        </w:rPr>
        <w:t>he is less a ‘mad scientist’ than a product of the capitalist machinery.</w:t>
      </w:r>
      <w:r>
        <w:rPr>
          <w:rFonts w:eastAsiaTheme="minorHAnsi"/>
          <w:lang w:eastAsia="en-US"/>
        </w:rPr>
        <w:t>” Ku continues “</w:t>
      </w:r>
      <w:r w:rsidRPr="000B0F2D">
        <w:rPr>
          <w:rFonts w:eastAsiaTheme="minorHAnsi"/>
          <w:lang w:eastAsia="en-US"/>
        </w:rPr>
        <w:t>Crake cannot destroy the world without the conspiracy between technocracy and capitalism</w:t>
      </w:r>
      <w:r>
        <w:rPr>
          <w:rFonts w:eastAsiaTheme="minorHAnsi"/>
          <w:lang w:eastAsia="en-US"/>
        </w:rPr>
        <w:t>.</w:t>
      </w:r>
      <w:r w:rsidRPr="000B0F2D">
        <w:rPr>
          <w:lang w:val="en-US"/>
        </w:rPr>
        <w:t>”</w:t>
      </w:r>
      <w:r>
        <w:rPr>
          <w:rStyle w:val="FootnoteReference"/>
          <w:lang w:val="en-US"/>
        </w:rPr>
        <w:footnoteReference w:id="84"/>
      </w:r>
      <w:r>
        <w:rPr>
          <w:lang w:val="en-US"/>
        </w:rPr>
        <w:t xml:space="preserve"> This conspiracy, this biocapitalism, is the mindset Atwood portrays most blatantly in Crake, of the mastermind behind the virus that almost completely wipes humanity from the face of the earth. Crake uses the issue of food and its production in Atwood’s Biocapital worlds an argument for his mass murdering bioterrorist weapon, ‘BlyssPluss.’</w:t>
      </w:r>
    </w:p>
    <w:p w14:paraId="7F76919E" w14:textId="62501AF8" w:rsidR="00777E2E" w:rsidRDefault="00777E2E" w:rsidP="0027373D">
      <w:pPr>
        <w:rPr>
          <w:rFonts w:eastAsiaTheme="minorHAnsi"/>
          <w:lang w:eastAsia="en-US"/>
        </w:rPr>
      </w:pPr>
      <w:r>
        <w:rPr>
          <w:lang w:val="en-US"/>
        </w:rPr>
        <w:t xml:space="preserve">In Crake’s conversations with Jimmy he hints at his solution to the problems of environmental and societal decay: </w:t>
      </w:r>
      <w:r w:rsidRPr="00A66369">
        <w:rPr>
          <w:lang w:val="en-US"/>
        </w:rPr>
        <w:t>"look at it realistically. You can't couple a minimum access to food with an expanding</w:t>
      </w:r>
      <w:r>
        <w:rPr>
          <w:lang w:val="en-US"/>
        </w:rPr>
        <w:t xml:space="preserve"> </w:t>
      </w:r>
      <w:r w:rsidRPr="00A66369">
        <w:rPr>
          <w:lang w:val="en-US"/>
        </w:rPr>
        <w:t>population indefinitely. Homo sapiens doesn't seem able to cut himself off at the supply end."</w:t>
      </w:r>
      <w:r>
        <w:rPr>
          <w:rStyle w:val="FootnoteReference"/>
          <w:lang w:val="en-US"/>
        </w:rPr>
        <w:footnoteReference w:id="85"/>
      </w:r>
      <w:r>
        <w:rPr>
          <w:lang w:val="en-US"/>
        </w:rPr>
        <w:t xml:space="preserve"> In response to Crake’s assessment of the Anthropocene crisis and his views on humanity’s increasing population and the resultant strain on resources, he develops and distributes the ‘BlyssPluss’ pills. These pills are marketed as a sexual tonic, protection against sexually transmitted diseases, and offer prolonged youth. Unknown to the end consumer the pills in fact “</w:t>
      </w:r>
      <w:r w:rsidRPr="00AD3D0E">
        <w:rPr>
          <w:lang w:val="en-US"/>
        </w:rPr>
        <w:t xml:space="preserve">eliminate the external causes of death" such as </w:t>
      </w:r>
      <w:r>
        <w:rPr>
          <w:lang w:val="en-US"/>
        </w:rPr>
        <w:t>“</w:t>
      </w:r>
      <w:r w:rsidRPr="00AD3D0E">
        <w:rPr>
          <w:lang w:val="en-US"/>
        </w:rPr>
        <w:t>Overpopulation, leading--as we've seen in</w:t>
      </w:r>
      <w:r>
        <w:rPr>
          <w:lang w:val="en-US"/>
        </w:rPr>
        <w:t xml:space="preserve"> </w:t>
      </w:r>
      <w:r w:rsidRPr="00AD3D0E">
        <w:rPr>
          <w:lang w:val="en-US"/>
        </w:rPr>
        <w:t>spades--to environmental</w:t>
      </w:r>
      <w:r>
        <w:rPr>
          <w:lang w:val="en-US"/>
        </w:rPr>
        <w:t xml:space="preserve"> d</w:t>
      </w:r>
      <w:r w:rsidRPr="00AD3D0E">
        <w:rPr>
          <w:lang w:val="en-US"/>
        </w:rPr>
        <w:t>egradation and poor nutrition</w:t>
      </w:r>
      <w:r>
        <w:rPr>
          <w:lang w:val="en-US"/>
        </w:rPr>
        <w:t>.”</w:t>
      </w:r>
      <w:r>
        <w:rPr>
          <w:rStyle w:val="FootnoteReference"/>
          <w:lang w:val="en-US"/>
        </w:rPr>
        <w:footnoteReference w:id="86"/>
      </w:r>
      <w:r>
        <w:rPr>
          <w:lang w:val="en-US"/>
        </w:rPr>
        <w:t xml:space="preserve"> The pills sterilize the users and in cold </w:t>
      </w:r>
      <w:r w:rsidR="00854FFB">
        <w:rPr>
          <w:lang w:val="en-US"/>
        </w:rPr>
        <w:t>b</w:t>
      </w:r>
      <w:r>
        <w:rPr>
          <w:lang w:val="en-US"/>
        </w:rPr>
        <w:t xml:space="preserve">iocapital reasoning reduced the supply of overconsumers. The pills carried the hemorrhagic virus Crake engineered to wipe out the human race. </w:t>
      </w:r>
      <w:r w:rsidRPr="00E42534">
        <w:rPr>
          <w:rFonts w:eastAsiaTheme="minorHAnsi"/>
          <w:lang w:eastAsia="en-US"/>
        </w:rPr>
        <w:t>"Demand for resources," Crake reminds us, "has exceeded supply for decades in marginal</w:t>
      </w:r>
      <w:r>
        <w:rPr>
          <w:rFonts w:eastAsiaTheme="minorHAnsi"/>
          <w:lang w:eastAsia="en-US"/>
        </w:rPr>
        <w:t xml:space="preserve"> </w:t>
      </w:r>
      <w:r w:rsidRPr="00E42534">
        <w:rPr>
          <w:rFonts w:eastAsiaTheme="minorHAnsi"/>
          <w:lang w:eastAsia="en-US"/>
        </w:rPr>
        <w:t xml:space="preserve">geopolitical areas, hence the famines </w:t>
      </w:r>
      <w:r w:rsidRPr="00E42534">
        <w:rPr>
          <w:rFonts w:eastAsiaTheme="minorHAnsi"/>
          <w:lang w:eastAsia="en-US"/>
        </w:rPr>
        <w:lastRenderedPageBreak/>
        <w:t>and droughts; but very soon, demand is going to exceed</w:t>
      </w:r>
      <w:r>
        <w:rPr>
          <w:rFonts w:eastAsiaTheme="minorHAnsi"/>
          <w:lang w:eastAsia="en-US"/>
        </w:rPr>
        <w:t xml:space="preserve"> </w:t>
      </w:r>
      <w:r w:rsidRPr="00E42534">
        <w:rPr>
          <w:rFonts w:eastAsiaTheme="minorHAnsi"/>
          <w:lang w:eastAsia="en-US"/>
        </w:rPr>
        <w:t>supply for everyone</w:t>
      </w:r>
      <w:r>
        <w:rPr>
          <w:rFonts w:eastAsiaTheme="minorHAnsi"/>
          <w:lang w:eastAsia="en-US"/>
        </w:rPr>
        <w:t>.</w:t>
      </w:r>
      <w:r w:rsidRPr="00E42534">
        <w:rPr>
          <w:rFonts w:eastAsiaTheme="minorHAnsi"/>
          <w:lang w:eastAsia="en-US"/>
        </w:rPr>
        <w:t>"</w:t>
      </w:r>
      <w:r>
        <w:rPr>
          <w:rStyle w:val="FootnoteReference"/>
          <w:rFonts w:eastAsiaTheme="minorHAnsi"/>
          <w:lang w:eastAsia="en-US"/>
        </w:rPr>
        <w:footnoteReference w:id="87"/>
      </w:r>
      <w:r>
        <w:rPr>
          <w:rFonts w:eastAsiaTheme="minorHAnsi"/>
          <w:lang w:eastAsia="en-US"/>
        </w:rPr>
        <w:t xml:space="preserve"> Crake’s meditations on the extinction of the human race are formed and presented using the metaphors of biocapitalism. </w:t>
      </w:r>
    </w:p>
    <w:p w14:paraId="02BD5210" w14:textId="2300E234" w:rsidR="00777E2E" w:rsidRDefault="00777E2E" w:rsidP="0027373D">
      <w:pPr>
        <w:rPr>
          <w:rFonts w:eastAsiaTheme="minorHAnsi"/>
          <w:lang w:eastAsia="en-US"/>
        </w:rPr>
      </w:pPr>
      <w:r>
        <w:rPr>
          <w:rFonts w:eastAsiaTheme="minorHAnsi"/>
          <w:lang w:eastAsia="en-US"/>
        </w:rPr>
        <w:t xml:space="preserve">Crake’s actions force readers to engage in the not distant effects of biocapitalism. The similarities to Atwood’s ustopian novels only increase as the trilogy ages. Atwood’s piercing critique of the </w:t>
      </w:r>
      <w:r w:rsidR="00854FFB">
        <w:rPr>
          <w:rFonts w:eastAsiaTheme="minorHAnsi"/>
          <w:lang w:eastAsia="en-US"/>
        </w:rPr>
        <w:t>b</w:t>
      </w:r>
      <w:r>
        <w:rPr>
          <w:rFonts w:eastAsiaTheme="minorHAnsi"/>
          <w:lang w:eastAsia="en-US"/>
        </w:rPr>
        <w:t>iocapital world–the near-future extrapolation of the Anthropocene crisis coupled with biotechnology and neoliberal capitalism–leaves the reader very much at “zero time”</w:t>
      </w:r>
      <w:r>
        <w:rPr>
          <w:rStyle w:val="FootnoteReference"/>
          <w:rFonts w:eastAsiaTheme="minorHAnsi"/>
          <w:lang w:eastAsia="en-US"/>
        </w:rPr>
        <w:footnoteReference w:id="88"/>
      </w:r>
      <w:r>
        <w:rPr>
          <w:rFonts w:eastAsiaTheme="minorHAnsi"/>
          <w:lang w:eastAsia="en-US"/>
        </w:rPr>
        <w:t xml:space="preserve"> with no-where to go, but it does provoke questions. </w:t>
      </w:r>
    </w:p>
    <w:p w14:paraId="3401E670" w14:textId="77777777" w:rsidR="00777E2E" w:rsidRDefault="00777E2E" w:rsidP="0027373D">
      <w:pPr>
        <w:rPr>
          <w:noProof/>
          <w:lang w:val="en-US"/>
        </w:rPr>
      </w:pPr>
      <w:r>
        <w:rPr>
          <w:noProof/>
          <w:lang w:val="en-US"/>
        </w:rPr>
        <w:t>As Rozelle asks: “</w:t>
      </w:r>
      <w:r w:rsidRPr="002E5403">
        <w:rPr>
          <w:noProof/>
          <w:lang w:val="en-US"/>
        </w:rPr>
        <w:t>What does it mean to be human when one's only</w:t>
      </w:r>
      <w:r>
        <w:rPr>
          <w:noProof/>
          <w:lang w:val="en-US"/>
        </w:rPr>
        <w:t xml:space="preserve"> </w:t>
      </w:r>
      <w:r w:rsidRPr="002E5403">
        <w:rPr>
          <w:noProof/>
          <w:lang w:val="en-US"/>
        </w:rPr>
        <w:t>goal, day after day, is survival?</w:t>
      </w:r>
      <w:r>
        <w:rPr>
          <w:rStyle w:val="FootnoteReference"/>
          <w:noProof/>
          <w:lang w:val="en-US"/>
        </w:rPr>
        <w:footnoteReference w:id="89"/>
      </w:r>
    </w:p>
    <w:p w14:paraId="1256B12C" w14:textId="77777777" w:rsidR="00732AA5" w:rsidRDefault="00732AA5">
      <w:pPr>
        <w:spacing w:after="160" w:line="259" w:lineRule="auto"/>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br w:type="page"/>
      </w:r>
    </w:p>
    <w:p w14:paraId="66BDAD5A" w14:textId="77777777" w:rsidR="000369B5" w:rsidRDefault="000369B5" w:rsidP="00434306">
      <w:pPr>
        <w:pStyle w:val="Heading1"/>
        <w:sectPr w:rsidR="000369B5" w:rsidSect="009717B6">
          <w:footnotePr>
            <w:numRestart w:val="eachSect"/>
          </w:footnotePr>
          <w:pgSz w:w="12240" w:h="15840"/>
          <w:pgMar w:top="1440" w:right="1440" w:bottom="1440" w:left="1440" w:header="720" w:footer="720" w:gutter="0"/>
          <w:cols w:space="720"/>
          <w:titlePg/>
          <w:docGrid w:linePitch="360"/>
        </w:sectPr>
      </w:pPr>
      <w:bookmarkStart w:id="10" w:name="_Toc52308269"/>
    </w:p>
    <w:p w14:paraId="6E51C073" w14:textId="5F15E9F8" w:rsidR="00572413" w:rsidRPr="002812BB" w:rsidRDefault="00572413" w:rsidP="00434306">
      <w:pPr>
        <w:pStyle w:val="Heading1"/>
      </w:pPr>
      <w:r w:rsidRPr="002812BB">
        <w:lastRenderedPageBreak/>
        <w:t>A Relationship with Posthumanism</w:t>
      </w:r>
      <w:bookmarkEnd w:id="10"/>
    </w:p>
    <w:p w14:paraId="2675F0D5" w14:textId="6C514ED8" w:rsidR="00572413" w:rsidRDefault="00572413" w:rsidP="0027373D">
      <w:r w:rsidRPr="009D727A">
        <w:t>In this chapter I explore two strands of readings of Atwood’s trilogy in its relation to the posthuman. I posit that Atwood’s trilogy as a whole can be considered a critical posthuman text as opposed to either a humanist or transhumanist text.</w:t>
      </w:r>
    </w:p>
    <w:p w14:paraId="064A96B4" w14:textId="685B5CEE" w:rsidR="00CC639B" w:rsidRPr="009D727A" w:rsidRDefault="00A143DB" w:rsidP="00A143DB">
      <w:pPr>
        <w:pStyle w:val="Heading2"/>
      </w:pPr>
      <w:bookmarkStart w:id="11" w:name="_Toc52308270"/>
      <w:r>
        <w:rPr>
          <w:lang w:val="en-US"/>
        </w:rPr>
        <w:t>An A</w:t>
      </w:r>
      <w:r w:rsidRPr="009D727A">
        <w:rPr>
          <w:lang w:val="en-US"/>
        </w:rPr>
        <w:t>ttack on the ‘</w:t>
      </w:r>
      <w:r>
        <w:rPr>
          <w:lang w:val="en-US"/>
        </w:rPr>
        <w:t>H</w:t>
      </w:r>
      <w:r w:rsidRPr="009D727A">
        <w:rPr>
          <w:lang w:val="en-US"/>
        </w:rPr>
        <w:t>uman</w:t>
      </w:r>
      <w:r>
        <w:rPr>
          <w:lang w:val="en-US"/>
        </w:rPr>
        <w:t>’</w:t>
      </w:r>
      <w:bookmarkEnd w:id="11"/>
    </w:p>
    <w:p w14:paraId="13103FDB" w14:textId="09A42D64" w:rsidR="001A40A7" w:rsidRDefault="00572413" w:rsidP="0027373D">
      <w:r w:rsidRPr="009D727A">
        <w:t>Francis Fukuyama states “[T]he most significant threat posed by contemporary biotechnology is the possibility that it will alter human nature and thereby move us into a ‘posthuman’ stage of history.</w:t>
      </w:r>
      <w:r w:rsidR="001A40A7">
        <w:t>”</w:t>
      </w:r>
      <w:r w:rsidRPr="009D727A">
        <w:rPr>
          <w:rStyle w:val="FootnoteReference"/>
          <w:color w:val="000000" w:themeColor="text1"/>
        </w:rPr>
        <w:footnoteReference w:id="90"/>
      </w:r>
    </w:p>
    <w:p w14:paraId="15A4E4A9" w14:textId="7DF09EFD" w:rsidR="00572413" w:rsidRPr="009D727A" w:rsidRDefault="00572413" w:rsidP="0027373D">
      <w:pPr>
        <w:rPr>
          <w:lang w:val="en-US"/>
        </w:rPr>
      </w:pPr>
      <w:r w:rsidRPr="009D727A">
        <w:t xml:space="preserve">In the previous chapter I explored Atwood’s critique of biocapitalism– through her extrapolation of contemporary biotechnology and capitalism. The inherent </w:t>
      </w:r>
      <w:r w:rsidRPr="009D727A">
        <w:rPr>
          <w:noProof/>
        </w:rPr>
        <w:t xml:space="preserve">scientific, ethical, and cultural </w:t>
      </w:r>
      <w:r w:rsidRPr="009D727A">
        <w:t xml:space="preserve">transformations both in the </w:t>
      </w:r>
      <w:r w:rsidRPr="009D727A">
        <w:rPr>
          <w:i/>
          <w:iCs/>
        </w:rPr>
        <w:t>uses of life</w:t>
      </w:r>
      <w:r w:rsidRPr="009D727A">
        <w:t xml:space="preserve"> and </w:t>
      </w:r>
      <w:r w:rsidRPr="009D727A">
        <w:rPr>
          <w:i/>
          <w:iCs/>
        </w:rPr>
        <w:t>the way we think of life</w:t>
      </w:r>
      <w:r w:rsidRPr="009D727A">
        <w:t xml:space="preserve">, do not delimit Atwood’s critique. </w:t>
      </w:r>
      <w:r w:rsidRPr="009D727A">
        <w:rPr>
          <w:lang w:val="en-US"/>
        </w:rPr>
        <w:t xml:space="preserve">Fukuyama in </w:t>
      </w:r>
      <w:r w:rsidRPr="009D727A">
        <w:rPr>
          <w:i/>
          <w:iCs/>
          <w:lang w:val="en-US"/>
        </w:rPr>
        <w:t>Our Posthuman Future</w:t>
      </w:r>
      <w:r w:rsidRPr="009D727A">
        <w:rPr>
          <w:lang w:val="en-US"/>
        </w:rPr>
        <w:t xml:space="preserve"> states: “Human biotechnology differs substantially from agricultural biotechnology insofar as it raises a host of ethical questions related to human dignity and human rights that are not an issue for GMOs.”</w:t>
      </w:r>
      <w:r w:rsidRPr="009D727A">
        <w:rPr>
          <w:rStyle w:val="FootnoteReference"/>
          <w:color w:val="000000" w:themeColor="text1"/>
          <w:lang w:val="en-US"/>
        </w:rPr>
        <w:footnoteReference w:id="91"/>
      </w:r>
      <w:r w:rsidRPr="009D727A">
        <w:rPr>
          <w:lang w:val="en-US"/>
        </w:rPr>
        <w:t xml:space="preserve"> </w:t>
      </w:r>
      <w:r w:rsidRPr="009D727A">
        <w:t xml:space="preserve">Narkunas in </w:t>
      </w:r>
      <w:r w:rsidRPr="009D727A">
        <w:rPr>
          <w:lang w:val="en-US"/>
        </w:rPr>
        <w:t xml:space="preserve">‘Between Words, Numbers, and Things: Transgenics and Other Objects of Life in Margaret Atwood’s </w:t>
      </w:r>
      <w:r w:rsidRPr="00572BA2">
        <w:rPr>
          <w:i/>
          <w:iCs/>
          <w:lang w:val="en-US"/>
        </w:rPr>
        <w:t>MaddAddam</w:t>
      </w:r>
      <w:r w:rsidRPr="009D727A">
        <w:rPr>
          <w:lang w:val="en-US"/>
        </w:rPr>
        <w:t xml:space="preserve"> Trilogy’</w:t>
      </w:r>
      <w:r w:rsidRPr="009D727A">
        <w:t xml:space="preserve"> argues the </w:t>
      </w:r>
      <w:r w:rsidRPr="009D727A">
        <w:rPr>
          <w:lang w:val="en-US"/>
        </w:rPr>
        <w:t>trilogy can be read as depicting a posthuman future. He posits that in the trilogy Atwood portrays an imagining of the near future realization of contemporary desires –to manage, control or regulate the unmastered abstraction of the human – that “leads to a zero-sum game for imagining life as either perfected or exterminated.”</w:t>
      </w:r>
      <w:r w:rsidRPr="009D727A">
        <w:rPr>
          <w:rStyle w:val="FootnoteReference"/>
          <w:color w:val="000000" w:themeColor="text1"/>
          <w:lang w:val="en-US"/>
        </w:rPr>
        <w:footnoteReference w:id="92"/>
      </w:r>
      <w:r w:rsidRPr="009D727A">
        <w:rPr>
          <w:lang w:val="en-US"/>
        </w:rPr>
        <w:t xml:space="preserve"> This imaging of human life as perfectible has strong transhumanist leanings as I explore below.</w:t>
      </w:r>
    </w:p>
    <w:p w14:paraId="71E4F398" w14:textId="77777777" w:rsidR="00572413" w:rsidRPr="009D727A" w:rsidRDefault="00572413" w:rsidP="0027373D">
      <w:pPr>
        <w:rPr>
          <w:lang w:val="en-US"/>
        </w:rPr>
      </w:pPr>
      <w:r w:rsidRPr="009D727A">
        <w:rPr>
          <w:lang w:val="en-US"/>
        </w:rPr>
        <w:lastRenderedPageBreak/>
        <w:t xml:space="preserve">Galbreath notes that the ‘numbers-people’ of </w:t>
      </w:r>
      <w:r w:rsidRPr="009D727A">
        <w:rPr>
          <w:i/>
          <w:iCs/>
          <w:lang w:val="en-US"/>
        </w:rPr>
        <w:t>Oryx and Crake</w:t>
      </w:r>
      <w:r w:rsidRPr="009D727A">
        <w:rPr>
          <w:lang w:val="en-US"/>
        </w:rPr>
        <w:t xml:space="preserve"> attempt to control “the natural transformations of evolution and extinction”</w:t>
      </w:r>
      <w:r w:rsidRPr="009D727A">
        <w:rPr>
          <w:rStyle w:val="FootnoteReference"/>
          <w:color w:val="000000" w:themeColor="text1"/>
          <w:lang w:val="en-US"/>
        </w:rPr>
        <w:footnoteReference w:id="93"/>
      </w:r>
      <w:r w:rsidRPr="009D727A">
        <w:rPr>
          <w:lang w:val="en-US"/>
        </w:rPr>
        <w:t xml:space="preserve"> in keeping with the tradition of human perceived separateness from the those very processes. Quoting Patrick Murphy, she asserts that the western representation of human exceptionalism encourages the </w:t>
      </w:r>
      <w:r w:rsidRPr="009D727A">
        <w:t>“belief in the radical independence of human beings from all else.” This belief in ‘radical independence’, according to Murphy includes independence from the processes of both evolution and extinction.</w:t>
      </w:r>
      <w:r w:rsidRPr="009D727A">
        <w:rPr>
          <w:rStyle w:val="FootnoteReference"/>
          <w:color w:val="000000" w:themeColor="text1"/>
        </w:rPr>
        <w:footnoteReference w:id="94"/>
      </w:r>
      <w:r w:rsidRPr="009D727A">
        <w:t xml:space="preserve"> Humanity then, notes Galbreath, has justified its consumptive habits “through self-separation from, and dominance over, other life forms.”</w:t>
      </w:r>
      <w:r w:rsidRPr="009D727A">
        <w:rPr>
          <w:rStyle w:val="FootnoteReference"/>
          <w:color w:val="000000" w:themeColor="text1"/>
        </w:rPr>
        <w:footnoteReference w:id="95"/>
      </w:r>
      <w:r w:rsidRPr="009D727A">
        <w:t xml:space="preserve"> From a humanist perspective then, Atwood amplifies the contemporary concerns of  ‘</w:t>
      </w:r>
      <w:r w:rsidRPr="009D727A">
        <w:rPr>
          <w:lang w:val="en-US"/>
        </w:rPr>
        <w:t>ethical questions related to human dignity and human rights’ through Crake’s creation of the Children of Crake or the Crakers –bioengineered hominids. In the previous chapter I explored how the pigoons blurred the line between the human and the nonhuman, in this chapter I focus on the Crakers and to an extent the pigoons in depicting Atwood’s critique of humanism, posthumanism and transhumanism.</w:t>
      </w:r>
    </w:p>
    <w:p w14:paraId="77620401" w14:textId="77777777" w:rsidR="00572413" w:rsidRPr="009D727A" w:rsidRDefault="00572413" w:rsidP="0027373D">
      <w:r w:rsidRPr="009D727A">
        <w:rPr>
          <w:lang w:val="en-US"/>
        </w:rPr>
        <w:t>The Crakers are a smorgasbord of their creator’s solutions to a world organized by the dual forces of free-market financial capitalism and biotechnology. Human existence and life itself are reduced to tools for the creation of biovalue, marketing, and reiterative experimentation. Defalco in ‘</w:t>
      </w:r>
      <w:r w:rsidRPr="002745F4">
        <w:rPr>
          <w:i/>
          <w:iCs/>
          <w:lang w:val="en-US"/>
        </w:rPr>
        <w:t>Maddaddam</w:t>
      </w:r>
      <w:r w:rsidRPr="009D727A">
        <w:rPr>
          <w:lang w:val="en-US"/>
        </w:rPr>
        <w:t>, Biocapitalism, and Affective things’ argues that this view of life-as-biology-as-technology “marginalizes responsibility, obligation, … and [the] ethical dimensions of human life to the point of obscurity.”</w:t>
      </w:r>
      <w:r w:rsidRPr="009D727A">
        <w:rPr>
          <w:rStyle w:val="FootnoteReference"/>
          <w:color w:val="000000" w:themeColor="text1"/>
        </w:rPr>
        <w:footnoteReference w:id="96"/>
      </w:r>
      <w:r w:rsidRPr="009D727A">
        <w:rPr>
          <w:lang w:val="en-US"/>
        </w:rPr>
        <w:t xml:space="preserve"> </w:t>
      </w:r>
      <w:r w:rsidRPr="009D727A">
        <w:t>As Schmeink states: “the idea of the ‘human’ is under attack[,]… losing its categorical integrity through corporate manipulation and environmental confluences.”</w:t>
      </w:r>
      <w:r w:rsidRPr="009D727A">
        <w:rPr>
          <w:rStyle w:val="FootnoteReference"/>
          <w:color w:val="000000" w:themeColor="text1"/>
        </w:rPr>
        <w:footnoteReference w:id="97"/>
      </w:r>
      <w:r w:rsidRPr="009D727A">
        <w:t xml:space="preserve"> </w:t>
      </w:r>
      <w:r w:rsidRPr="009D727A">
        <w:lastRenderedPageBreak/>
        <w:t xml:space="preserve">Schmeink argues that in these works the human is driven to the inhuman by biocapitalism, and nonhumans depict categorial disorientation and transgression, as I have discussed in the previous chapter. </w:t>
      </w:r>
      <w:r w:rsidRPr="009D727A">
        <w:rPr>
          <w:lang w:val="en-US"/>
        </w:rPr>
        <w:t>Behind the dark humor, Crake’s alterations to the Crakers from their original homo sapiens genetic code are can be read as testament to both Galbreath’s marginalization through obscuration and Schmeink’s attack on the ‘human.’</w:t>
      </w:r>
    </w:p>
    <w:p w14:paraId="064088E3" w14:textId="77777777" w:rsidR="00572413" w:rsidRPr="009D727A" w:rsidRDefault="00572413" w:rsidP="0027373D">
      <w:r w:rsidRPr="009D727A">
        <w:rPr>
          <w:lang w:val="en-US"/>
        </w:rPr>
        <w:t xml:space="preserve">The Crakers have no need for protection from the punishing post-Anthropocene sun as their skin is resistant to ultraviolet damage. This removes any need for textiles and fashion. They have hobbit-like soles with </w:t>
      </w:r>
      <w:r w:rsidRPr="009D727A">
        <w:t>an “extra layer of skin on the bottoms of their feet,”</w:t>
      </w:r>
      <w:r w:rsidRPr="009D727A">
        <w:rPr>
          <w:rStyle w:val="FootnoteReference"/>
          <w:color w:val="000000" w:themeColor="text1"/>
        </w:rPr>
        <w:footnoteReference w:id="98"/>
      </w:r>
      <w:r w:rsidRPr="009D727A">
        <w:t xml:space="preserve"> eliminating the necessity for footwear. </w:t>
      </w:r>
      <w:r w:rsidRPr="009D727A">
        <w:rPr>
          <w:lang w:val="en-US"/>
        </w:rPr>
        <w:t xml:space="preserve">The Crakers’ digestive systems are altered to allow them to consume leaves, grass and </w:t>
      </w:r>
      <w:r w:rsidRPr="009D727A">
        <w:t>cecotropes.</w:t>
      </w:r>
      <w:r w:rsidRPr="009D727A">
        <w:rPr>
          <w:rStyle w:val="FootnoteReference"/>
          <w:color w:val="000000" w:themeColor="text1"/>
        </w:rPr>
        <w:footnoteReference w:id="99"/>
      </w:r>
      <w:r w:rsidRPr="009D727A">
        <w:rPr>
          <w:lang w:val="en-US"/>
        </w:rPr>
        <w:t xml:space="preserve"> These functions void the necessity for agriculture, by basing the Crakers’ diet on highly available unprocessed sources, and therein effectively abolishing the risk of hunger for this new race. Crake based this alteration on </w:t>
      </w:r>
      <w:r w:rsidRPr="009D727A">
        <w:t>“hares and rabbits,” and engineered the Crakers to eat “semi-digested herbage, discharged through the anus and reswallowed two or three times a week,”</w:t>
      </w:r>
      <w:r w:rsidRPr="009D727A">
        <w:rPr>
          <w:rStyle w:val="FootnoteReference"/>
          <w:color w:val="000000" w:themeColor="text1"/>
        </w:rPr>
        <w:footnoteReference w:id="100"/>
      </w:r>
      <w:r w:rsidRPr="009D727A">
        <w:t xml:space="preserve"> taking ‘</w:t>
      </w:r>
      <w:r w:rsidRPr="009D727A">
        <w:rPr>
          <w:rFonts w:eastAsiaTheme="minorHAnsi"/>
          <w:lang w:eastAsia="en-US"/>
        </w:rPr>
        <w:t>ChickieNobs’</w:t>
      </w:r>
      <w:r w:rsidRPr="009D727A">
        <w:t xml:space="preserve"> off the menu. Furthermore, in order to ensure they do not become the quarry of their biologically engineered cohabitants of the </w:t>
      </w:r>
      <w:r>
        <w:t>‘</w:t>
      </w:r>
      <w:r w:rsidRPr="009D727A">
        <w:rPr>
          <w:noProof/>
        </w:rPr>
        <w:t>brave new biosphere</w:t>
      </w:r>
      <w:r>
        <w:t>’</w:t>
      </w:r>
      <w:r w:rsidRPr="009D727A">
        <w:t xml:space="preserve"> the males produce genetically modified urine to mark their territory and keep predators at bay.</w:t>
      </w:r>
      <w:r w:rsidRPr="009D727A">
        <w:rPr>
          <w:rStyle w:val="FootnoteReference"/>
          <w:color w:val="000000" w:themeColor="text1"/>
        </w:rPr>
        <w:footnoteReference w:id="101"/>
      </w:r>
      <w:r w:rsidRPr="009D727A">
        <w:t xml:space="preserve"> </w:t>
      </w:r>
    </w:p>
    <w:p w14:paraId="62494C76" w14:textId="77777777" w:rsidR="002E2428" w:rsidRDefault="00572413" w:rsidP="0027373D">
      <w:r w:rsidRPr="00FB0100">
        <w:t>The Crakers are engineered to be incapable of continual oestrous. Instead they have an oestrous cycle</w:t>
      </w:r>
      <w:r w:rsidRPr="009D727A">
        <w:t xml:space="preserve"> every three years with highly structured mating signals. Crake’s reasoning is to thwart close bonding, putting an end to jealousies, rivalries, and sexual aggression.</w:t>
      </w:r>
      <w:r w:rsidRPr="009D727A">
        <w:rPr>
          <w:rStyle w:val="FootnoteReference"/>
          <w:color w:val="000000" w:themeColor="text1"/>
        </w:rPr>
        <w:footnoteReference w:id="102"/>
      </w:r>
      <w:r w:rsidRPr="009D727A">
        <w:t xml:space="preserve"> The Crakers cannot “register skin colour,” nullifying intergroup conflict. Crake engineers “nothing less than </w:t>
      </w:r>
      <w:r w:rsidRPr="009D727A">
        <w:lastRenderedPageBreak/>
        <w:t>the ancient primate brain,” in his attempt to manage, regulate and place genetic controls on the human abstraction. Through the biocapitalist gaze, Crake attempts to extinguish “hierarchy,” “territoriality,” “racism,” and sexual possessiveness</w:t>
      </w:r>
      <w:r w:rsidRPr="009D727A">
        <w:rPr>
          <w:rStyle w:val="FootnoteReference"/>
          <w:color w:val="000000" w:themeColor="text1"/>
        </w:rPr>
        <w:footnoteReference w:id="103"/>
      </w:r>
      <w:r w:rsidRPr="009D727A">
        <w:t xml:space="preserve"> and in doing so creates a race of </w:t>
      </w:r>
      <w:r w:rsidRPr="009D727A">
        <w:rPr>
          <w:i/>
          <w:iCs/>
        </w:rPr>
        <w:t>post</w:t>
      </w:r>
      <w:r w:rsidRPr="009D727A">
        <w:t>humans to repopulate the world after the eradication of the faulty human species.</w:t>
      </w:r>
    </w:p>
    <w:p w14:paraId="282F6CF9" w14:textId="77777777" w:rsidR="00B73982" w:rsidRDefault="00B73982" w:rsidP="00B73982">
      <w:pPr>
        <w:rPr>
          <w:lang w:val="en-US"/>
        </w:rPr>
      </w:pPr>
      <w:r>
        <w:rPr>
          <w:lang w:val="en-US"/>
        </w:rPr>
        <w:t xml:space="preserve">A constituent part of the biocapital eschatology that informs the trilogy is the concept that with the death of the human race comes also the death of cultural production. Atwood here reflects similar ideas seen in other utopian narratives- from Plato’s </w:t>
      </w:r>
      <w:r w:rsidRPr="004173BD">
        <w:rPr>
          <w:i/>
          <w:iCs/>
          <w:lang w:val="en-US"/>
        </w:rPr>
        <w:t>Republic</w:t>
      </w:r>
      <w:r>
        <w:rPr>
          <w:lang w:val="en-US"/>
        </w:rPr>
        <w:t xml:space="preserve"> to Gilman’s </w:t>
      </w:r>
      <w:r w:rsidRPr="004173BD">
        <w:rPr>
          <w:i/>
          <w:iCs/>
          <w:lang w:val="en-US"/>
        </w:rPr>
        <w:t>Herland</w:t>
      </w:r>
      <w:r>
        <w:rPr>
          <w:lang w:val="en-US"/>
        </w:rPr>
        <w:t xml:space="preserve"> to Orwell’s </w:t>
      </w:r>
      <w:r w:rsidRPr="004173BD">
        <w:rPr>
          <w:i/>
          <w:iCs/>
          <w:lang w:val="en-US"/>
        </w:rPr>
        <w:t>Nineteen eighty-four</w:t>
      </w:r>
      <w:r>
        <w:rPr>
          <w:lang w:val="en-US"/>
        </w:rPr>
        <w:t>. In each case the artist and the development of cultural productions is undervalued, flat or used only for the uses of propaganda.</w:t>
      </w:r>
    </w:p>
    <w:p w14:paraId="3E74452E" w14:textId="77777777" w:rsidR="00B73982" w:rsidRDefault="00B73982" w:rsidP="00B73982">
      <w:r>
        <w:rPr>
          <w:lang w:val="en-US"/>
        </w:rPr>
        <w:t xml:space="preserve">At the opening of </w:t>
      </w:r>
      <w:r w:rsidRPr="00280645">
        <w:rPr>
          <w:i/>
          <w:iCs/>
          <w:lang w:val="en-US"/>
        </w:rPr>
        <w:t>Oryx and Crake</w:t>
      </w:r>
      <w:r>
        <w:rPr>
          <w:i/>
          <w:iCs/>
          <w:lang w:val="en-US"/>
        </w:rPr>
        <w:t>,</w:t>
      </w:r>
      <w:r w:rsidRPr="00280645">
        <w:rPr>
          <w:lang w:val="en-US"/>
        </w:rPr>
        <w:t xml:space="preserve"> </w:t>
      </w:r>
      <w:r>
        <w:rPr>
          <w:lang w:val="en-US"/>
        </w:rPr>
        <w:t xml:space="preserve">Jimmy-Snowman sitting in his tree, tries to remember the meanings of phrases that come unbidden into his memory: </w:t>
      </w:r>
      <w:r>
        <w:t>“‘In view of the mitigating,’ he says. He finds himself standing with his mouth open, trying to remember the rest of the sentence.”</w:t>
      </w:r>
      <w:r>
        <w:rPr>
          <w:rStyle w:val="FootnoteReference"/>
        </w:rPr>
        <w:footnoteReference w:id="104"/>
      </w:r>
      <w:r>
        <w:t xml:space="preserve"> As Cooke argues, Jimmy-Snowman struggles with the sensation that language is slipping away from him throughout the book and recites litanies of archaisms while reminding himself he is the last repository of language and all that this entails on the earth: “‘Hang on to the words,’ he tells himself. The odd words, the old words, the rare ones. </w:t>
      </w:r>
      <w:r w:rsidRPr="00E56CC1">
        <w:rPr>
          <w:i/>
          <w:iCs/>
        </w:rPr>
        <w:t>Valance. Norn. Serendipity. Pibroch. Lubricious.</w:t>
      </w:r>
      <w:r>
        <w:t xml:space="preserve"> When they’re gone out of his head, these words, they’ll be gone, everywhere, forever. As if they had never been.”</w:t>
      </w:r>
      <w:r>
        <w:rPr>
          <w:rStyle w:val="FootnoteReference"/>
        </w:rPr>
        <w:footnoteReference w:id="105"/>
      </w:r>
    </w:p>
    <w:p w14:paraId="0D8EBC72" w14:textId="77777777" w:rsidR="00B73982" w:rsidRDefault="00B73982" w:rsidP="00B73982">
      <w:pPr>
        <w:rPr>
          <w:lang w:val="en-US"/>
        </w:rPr>
      </w:pPr>
      <w:r>
        <w:rPr>
          <w:lang w:val="en-US"/>
        </w:rPr>
        <w:t>The creative arts are a key element of the reductionist philosophy of Crake in his engineering of the Crakers and they are deliberately engineered to not have minimal to zero artistic or religious leanings. The Crakers speak in a simplified and more basic language, being, “bereft of […] the inheritance of human culture”</w:t>
      </w:r>
      <w:r>
        <w:rPr>
          <w:rStyle w:val="FootnoteReference"/>
          <w:lang w:val="en-US"/>
        </w:rPr>
        <w:footnoteReference w:id="106"/>
      </w:r>
      <w:r>
        <w:rPr>
          <w:lang w:val="en-US"/>
        </w:rPr>
        <w:t xml:space="preserve"> as did the population of Gilman’s </w:t>
      </w:r>
      <w:r w:rsidRPr="009A6736">
        <w:rPr>
          <w:i/>
          <w:iCs/>
          <w:lang w:val="en-US"/>
        </w:rPr>
        <w:t>Herland</w:t>
      </w:r>
      <w:r>
        <w:rPr>
          <w:lang w:val="en-US"/>
        </w:rPr>
        <w:t xml:space="preserve"> whose art was </w:t>
      </w:r>
      <w:r>
        <w:rPr>
          <w:lang w:val="en-US"/>
        </w:rPr>
        <w:lastRenderedPageBreak/>
        <w:t>“</w:t>
      </w:r>
      <w:r w:rsidRPr="00333B4B">
        <w:rPr>
          <w:lang w:val="en-US"/>
        </w:rPr>
        <w:t>lack</w:t>
      </w:r>
      <w:r>
        <w:rPr>
          <w:lang w:val="en-US"/>
        </w:rPr>
        <w:t>[ing]</w:t>
      </w:r>
      <w:r w:rsidRPr="00333B4B">
        <w:rPr>
          <w:lang w:val="en-US"/>
        </w:rPr>
        <w:t xml:space="preserve"> </w:t>
      </w:r>
      <w:r>
        <w:rPr>
          <w:lang w:val="en-US"/>
        </w:rPr>
        <w:t xml:space="preserve">[..] </w:t>
      </w:r>
      <w:r w:rsidRPr="00333B4B">
        <w:rPr>
          <w:lang w:val="en-US"/>
        </w:rPr>
        <w:t xml:space="preserve">tensions and brutalities </w:t>
      </w:r>
      <w:r>
        <w:rPr>
          <w:lang w:val="en-US"/>
        </w:rPr>
        <w:t>[…]</w:t>
      </w:r>
      <w:r w:rsidRPr="00333B4B">
        <w:rPr>
          <w:lang w:val="en-US"/>
        </w:rPr>
        <w:t xml:space="preserve"> because</w:t>
      </w:r>
      <w:r>
        <w:rPr>
          <w:lang w:val="en-US"/>
        </w:rPr>
        <w:t xml:space="preserve"> </w:t>
      </w:r>
      <w:r w:rsidRPr="00FE2959">
        <w:rPr>
          <w:i/>
          <w:iCs/>
          <w:lang w:val="en-US"/>
        </w:rPr>
        <w:t>Herland</w:t>
      </w:r>
      <w:r w:rsidRPr="00333B4B">
        <w:rPr>
          <w:lang w:val="en-US"/>
        </w:rPr>
        <w:t xml:space="preserve"> </w:t>
      </w:r>
      <w:r>
        <w:rPr>
          <w:lang w:val="en-US"/>
        </w:rPr>
        <w:t>[…]</w:t>
      </w:r>
      <w:r w:rsidRPr="00333B4B">
        <w:rPr>
          <w:lang w:val="en-US"/>
        </w:rPr>
        <w:t xml:space="preserve"> has not been condemned to suffer the tensions and brutalities</w:t>
      </w:r>
      <w:r>
        <w:rPr>
          <w:lang w:val="en-US"/>
        </w:rPr>
        <w:t xml:space="preserve"> </w:t>
      </w:r>
      <w:r w:rsidRPr="00333B4B">
        <w:rPr>
          <w:lang w:val="en-US"/>
        </w:rPr>
        <w:t>of turn-of-the-century America</w:t>
      </w:r>
      <w:r>
        <w:rPr>
          <w:lang w:val="en-US"/>
        </w:rPr>
        <w:t xml:space="preserve"> […]</w:t>
      </w:r>
      <w:r w:rsidRPr="00333B4B">
        <w:rPr>
          <w:lang w:val="en-US"/>
        </w:rPr>
        <w:t xml:space="preserve"> </w:t>
      </w:r>
      <w:r>
        <w:rPr>
          <w:lang w:val="en-US"/>
        </w:rPr>
        <w:t>[T]</w:t>
      </w:r>
      <w:r w:rsidRPr="00333B4B">
        <w:rPr>
          <w:lang w:val="en-US"/>
        </w:rPr>
        <w:t>he art of</w:t>
      </w:r>
      <w:r>
        <w:rPr>
          <w:lang w:val="en-US"/>
        </w:rPr>
        <w:t xml:space="preserve"> </w:t>
      </w:r>
      <w:r w:rsidRPr="00333B4B">
        <w:rPr>
          <w:lang w:val="en-US"/>
        </w:rPr>
        <w:t>the country is va</w:t>
      </w:r>
      <w:r>
        <w:rPr>
          <w:lang w:val="en-US"/>
        </w:rPr>
        <w:t>pid.”</w:t>
      </w:r>
      <w:r>
        <w:rPr>
          <w:rStyle w:val="FootnoteReference"/>
          <w:lang w:val="en-US"/>
        </w:rPr>
        <w:footnoteReference w:id="107"/>
      </w:r>
      <w:r>
        <w:rPr>
          <w:lang w:val="en-US"/>
        </w:rPr>
        <w:t xml:space="preserve">  The Crakers however break free of their biological conditioning and ask questions, constantly and repetitively in a search for understanding.</w:t>
      </w:r>
    </w:p>
    <w:p w14:paraId="37E026E0" w14:textId="77777777" w:rsidR="00B73982" w:rsidRDefault="00B73982" w:rsidP="00B73982">
      <w:pPr>
        <w:autoSpaceDE w:val="0"/>
        <w:autoSpaceDN w:val="0"/>
        <w:adjustRightInd w:val="0"/>
        <w:ind w:left="720" w:right="276"/>
        <w:rPr>
          <w:sz w:val="20"/>
          <w:szCs w:val="20"/>
        </w:rPr>
      </w:pPr>
      <w:r>
        <w:rPr>
          <w:sz w:val="20"/>
          <w:szCs w:val="20"/>
        </w:rPr>
        <w:t>Toast is when you take a piece of bread — What is bread? Bread is when you take some flour — What is flour? We’ll skip that part, it’s too complicated. Bread is something you can eat, made from a ground-up plant and shaped like a stone. You cook it … Please, why do you cook it? Why don’t you just eat the plant? Never mind that part — Pay attention. You cook it, and then you cut it into slices, and you put a slice into a toaster, which is a metal box that heats up with electricity — What is electricity? Don’t worry about that. While the slice is in the toaster, you get out the butter — butter is a yellow grease, made from the mammary glands of — skip the butter. So, the toaster turns the slice of bread black on both sides with smoke coming out, and then this “toaster” shoots the slice up into the air, and it falls onto the floor.</w:t>
      </w:r>
      <w:r>
        <w:rPr>
          <w:rStyle w:val="FootnoteReference"/>
          <w:sz w:val="20"/>
          <w:szCs w:val="20"/>
        </w:rPr>
        <w:footnoteReference w:id="108"/>
      </w:r>
      <w:r>
        <w:rPr>
          <w:sz w:val="20"/>
          <w:szCs w:val="20"/>
        </w:rPr>
        <w:t>(98)</w:t>
      </w:r>
    </w:p>
    <w:p w14:paraId="2D402177" w14:textId="7AB660A1" w:rsidR="00B73982" w:rsidRDefault="00B73982" w:rsidP="00B73982">
      <w:pPr>
        <w:rPr>
          <w:lang w:val="en-US"/>
        </w:rPr>
      </w:pPr>
      <w:r>
        <w:rPr>
          <w:lang w:val="en-US"/>
        </w:rPr>
        <w:t xml:space="preserve">In Crakes quest to eliminate the artistic and therein the individuality and the sacred from his engineered hominids he fails. </w:t>
      </w:r>
    </w:p>
    <w:p w14:paraId="6EF33765" w14:textId="77777777" w:rsidR="00572413" w:rsidRPr="009D727A" w:rsidRDefault="00572413" w:rsidP="0027373D">
      <w:r w:rsidRPr="009D727A">
        <w:rPr>
          <w:i/>
          <w:iCs/>
        </w:rPr>
        <w:t>Oryx and Crake</w:t>
      </w:r>
      <w:r w:rsidRPr="009D727A">
        <w:t xml:space="preserve"> portrays both the pre- and post-apocalyptic world from the point of Jimmy, who becomes guardian and spiritual guide to the bioengineered posthuman subjects. </w:t>
      </w:r>
      <w:r w:rsidRPr="009D727A">
        <w:rPr>
          <w:i/>
          <w:iCs/>
        </w:rPr>
        <w:t>The Year of the Flood</w:t>
      </w:r>
      <w:r w:rsidRPr="009D727A">
        <w:t xml:space="preserve"> portrays the same time period in a parallel narrative from the point of view of Ren and Toby, and </w:t>
      </w:r>
      <w:r w:rsidRPr="009D727A">
        <w:rPr>
          <w:i/>
          <w:iCs/>
        </w:rPr>
        <w:t>Maddaddam</w:t>
      </w:r>
      <w:r w:rsidRPr="009D727A">
        <w:t xml:space="preserve">, the final novel in the trilogy, offers a true sequel to the events in </w:t>
      </w:r>
      <w:r w:rsidRPr="009D727A">
        <w:rPr>
          <w:i/>
          <w:iCs/>
        </w:rPr>
        <w:t>Oryx and Crake</w:t>
      </w:r>
      <w:r w:rsidRPr="009D727A">
        <w:t xml:space="preserve">. The Crakers coexist with the community of surviving humans, a new community formed of human and posthuman. </w:t>
      </w:r>
    </w:p>
    <w:p w14:paraId="03A102A0" w14:textId="03F6864B" w:rsidR="00572413" w:rsidRDefault="00572413" w:rsidP="0027373D">
      <w:r w:rsidRPr="009D727A">
        <w:t xml:space="preserve">Through the design of the Crakers, the </w:t>
      </w:r>
      <w:r w:rsidRPr="009D727A">
        <w:rPr>
          <w:i/>
          <w:iCs/>
        </w:rPr>
        <w:t>post</w:t>
      </w:r>
      <w:r w:rsidRPr="009D727A">
        <w:t>human as opposed to the human “</w:t>
      </w:r>
      <w:r w:rsidRPr="009D727A">
        <w:rPr>
          <w:rFonts w:eastAsiaTheme="minorHAnsi"/>
          <w:lang w:eastAsia="en-US"/>
        </w:rPr>
        <w:t>is staged as an alternative category better equipped to prosper in the post-catastrophic environment, having to negotiate its position in regard to the still-existent ‘human’.</w:t>
      </w:r>
      <w:r w:rsidRPr="009D727A">
        <w:t>”</w:t>
      </w:r>
      <w:r w:rsidRPr="009D727A">
        <w:rPr>
          <w:rStyle w:val="FootnoteReference"/>
          <w:color w:val="000000" w:themeColor="text1"/>
        </w:rPr>
        <w:footnoteReference w:id="109"/>
      </w:r>
      <w:r w:rsidRPr="009D727A">
        <w:t xml:space="preserve"> </w:t>
      </w:r>
    </w:p>
    <w:p w14:paraId="238AA145" w14:textId="6A190A2A" w:rsidR="00A143DB" w:rsidRPr="009D727A" w:rsidRDefault="00A143DB" w:rsidP="00A143DB">
      <w:pPr>
        <w:pStyle w:val="Heading2"/>
        <w:rPr>
          <w:i/>
          <w:iCs/>
          <w:lang w:val="en-US"/>
        </w:rPr>
      </w:pPr>
      <w:bookmarkStart w:id="12" w:name="_Toc52308271"/>
      <w:r>
        <w:lastRenderedPageBreak/>
        <w:t>R</w:t>
      </w:r>
      <w:r w:rsidRPr="009D727A">
        <w:t xml:space="preserve">esponses in </w:t>
      </w:r>
      <w:r>
        <w:t>R</w:t>
      </w:r>
      <w:r w:rsidRPr="009D727A">
        <w:t xml:space="preserve">elation to the </w:t>
      </w:r>
      <w:r>
        <w:t>P</w:t>
      </w:r>
      <w:r w:rsidRPr="009D727A">
        <w:t>osthuman</w:t>
      </w:r>
      <w:bookmarkEnd w:id="12"/>
    </w:p>
    <w:p w14:paraId="52EE5B03" w14:textId="0C36F199" w:rsidR="00572413" w:rsidRPr="009D727A" w:rsidRDefault="00572413" w:rsidP="0027373D">
      <w:r w:rsidRPr="009D727A">
        <w:t xml:space="preserve">The </w:t>
      </w:r>
      <w:r w:rsidRPr="004F2886">
        <w:rPr>
          <w:i/>
          <w:iCs/>
        </w:rPr>
        <w:t>Maddaddam</w:t>
      </w:r>
      <w:r w:rsidRPr="009D727A">
        <w:t xml:space="preserve"> trilogy, and in particular </w:t>
      </w:r>
      <w:r w:rsidRPr="009D727A">
        <w:rPr>
          <w:i/>
          <w:iCs/>
        </w:rPr>
        <w:t>Oryx and Crake</w:t>
      </w:r>
      <w:r w:rsidRPr="009D727A">
        <w:t>, have divided literary critics’ responses in relation to the posthuman. Defalco argues that on one hand there are those such as Bouson and Hollinger that argue the works are a clear warning, but also a damning of posthuman aspirations. To read Bouson, Atwood “is intent on sounding a warning about the potential baneful effects of gene manipulation” and “emphasizes the growing, and potentially lethal, power of scientists to manipulate and alter human biology – and reality.”</w:t>
      </w:r>
      <w:r w:rsidRPr="009D727A">
        <w:rPr>
          <w:rStyle w:val="FootnoteReference"/>
          <w:color w:val="000000" w:themeColor="text1"/>
        </w:rPr>
        <w:footnoteReference w:id="110"/>
      </w:r>
      <w:r w:rsidRPr="009D727A">
        <w:t xml:space="preserve"> Bouson concludes that “she fears that in our new age of genetic manipulation and biological control, we may be blindly entering a catastrophic posthuman future.”</w:t>
      </w:r>
      <w:r w:rsidRPr="009D727A">
        <w:rPr>
          <w:rStyle w:val="FootnoteReference"/>
          <w:color w:val="000000" w:themeColor="text1"/>
        </w:rPr>
        <w:t xml:space="preserve"> </w:t>
      </w:r>
      <w:r w:rsidRPr="009D727A">
        <w:rPr>
          <w:rStyle w:val="FootnoteReference"/>
          <w:color w:val="000000" w:themeColor="text1"/>
        </w:rPr>
        <w:footnoteReference w:id="111"/>
      </w:r>
      <w:r w:rsidRPr="009D727A">
        <w:t xml:space="preserve"> Similarly Hollinger states: “the Crakers personify the end of history with a vengeance,”</w:t>
      </w:r>
      <w:r w:rsidRPr="009D727A">
        <w:rPr>
          <w:rStyle w:val="FootnoteReference"/>
          <w:color w:val="000000" w:themeColor="text1"/>
        </w:rPr>
        <w:footnoteReference w:id="112"/>
      </w:r>
      <w:r w:rsidRPr="009D727A">
        <w:t xml:space="preserve"> and that in Atwood’s universe “Hybridity […] represents the unnatural, the transgressive, the grotesque and monstrous results of technoscientific stupidity and greed.”</w:t>
      </w:r>
      <w:r w:rsidRPr="009D727A">
        <w:rPr>
          <w:rStyle w:val="FootnoteReference"/>
          <w:color w:val="000000" w:themeColor="text1"/>
        </w:rPr>
        <w:footnoteReference w:id="113"/>
      </w:r>
      <w:r w:rsidRPr="009D727A">
        <w:t xml:space="preserve"> Hollinger labels Atwood’s posthuman future as “anything  but celebratory in its constructions of” the “ultimate collapse of nature into culture.”</w:t>
      </w:r>
      <w:r w:rsidRPr="009D727A">
        <w:rPr>
          <w:rStyle w:val="FootnoteReference"/>
          <w:color w:val="000000" w:themeColor="text1"/>
        </w:rPr>
        <w:footnoteReference w:id="114"/>
      </w:r>
      <w:r w:rsidRPr="009D727A">
        <w:t xml:space="preserve"> </w:t>
      </w:r>
    </w:p>
    <w:p w14:paraId="1D266659" w14:textId="270D152D" w:rsidR="00572413" w:rsidRPr="009D727A" w:rsidRDefault="00572413" w:rsidP="0027373D">
      <w:r w:rsidRPr="009D727A">
        <w:t>On the other side of the divide, as Defalco points out, are situated Cooke and Pordzik. Cooke argues that Atwood’s trilogy presents an “</w:t>
      </w:r>
      <w:r w:rsidRPr="009D727A">
        <w:rPr>
          <w:rFonts w:eastAsiaTheme="minorHAnsi"/>
          <w:lang w:eastAsia="en-US"/>
        </w:rPr>
        <w:t>ambiguous and ultimately divided</w:t>
      </w:r>
      <w:r w:rsidRPr="009D727A">
        <w:t>”</w:t>
      </w:r>
      <w:r w:rsidRPr="009D727A">
        <w:rPr>
          <w:rStyle w:val="FootnoteReference"/>
          <w:color w:val="000000" w:themeColor="text1"/>
        </w:rPr>
        <w:footnoteReference w:id="115"/>
      </w:r>
      <w:r w:rsidRPr="009D727A">
        <w:t xml:space="preserve"> position. While Cooke argues against Atwood’s stance that “it is not technics or technology or biotechnology that is dangerous; it is the uses human beings put these things to. The end of the human is a </w:t>
      </w:r>
      <w:r w:rsidRPr="009D727A">
        <w:lastRenderedPageBreak/>
        <w:t>human problem, not a technical one,”</w:t>
      </w:r>
      <w:r w:rsidRPr="009D727A">
        <w:rPr>
          <w:rStyle w:val="FootnoteReference"/>
          <w:color w:val="000000" w:themeColor="text1"/>
        </w:rPr>
        <w:footnoteReference w:id="116"/>
      </w:r>
      <w:r w:rsidRPr="009D727A">
        <w:t xml:space="preserve"> Cook states: “The human, in Atwood’s text, is both something on its way out, due to be replaced, an old model that has done its time, and also a promise, something always yet to appear.”</w:t>
      </w:r>
      <w:r w:rsidRPr="009D727A">
        <w:rPr>
          <w:rStyle w:val="FootnoteReference"/>
          <w:color w:val="000000" w:themeColor="text1"/>
        </w:rPr>
        <w:footnoteReference w:id="117"/>
      </w:r>
      <w:r w:rsidRPr="009D727A">
        <w:t xml:space="preserve"> Pordzik posits that all three books in the trilogy “interrogate the basis for rational humanism and empirical science, transcending the established bonds of society, materiality, and embodiment and thus providing a thorough reworking of our grounding for morality.”</w:t>
      </w:r>
      <w:r w:rsidRPr="009D727A">
        <w:rPr>
          <w:rStyle w:val="FootnoteReference"/>
          <w:color w:val="000000" w:themeColor="text1"/>
        </w:rPr>
        <w:footnoteReference w:id="118"/>
      </w:r>
      <w:r w:rsidRPr="009D727A">
        <w:t xml:space="preserve"> Hollinger, Bouson, Cooke and Pordzik all view the trilogy as dark satirical critiques of near future biocapitalism, however as Defalco argues their reading of the relationships between the trilogy and posthumanism are very different. The Hollinger-Bouson camp argue that Atwood’s trilogy asserts humanist principles, the novels are read as admonitory tales of the ruinous posthuman future, a future that as Defalco summarizes as implying “a reification of the human and the humanities as valuable ontologies and epistemologies at risk of annihilation by inhuman, and inhumane, biotechnology.”</w:t>
      </w:r>
      <w:r w:rsidR="003C03D0" w:rsidRPr="009D727A">
        <w:rPr>
          <w:rStyle w:val="FootnoteReference"/>
          <w:color w:val="000000" w:themeColor="text1"/>
        </w:rPr>
        <w:footnoteReference w:id="119"/>
      </w:r>
      <w:r w:rsidRPr="009D727A">
        <w:t xml:space="preserve"> The Cook-Pordzik camp tend toward a “posthumanist perspective.”</w:t>
      </w:r>
      <w:r w:rsidRPr="009D727A">
        <w:rPr>
          <w:rStyle w:val="FootnoteReference"/>
          <w:color w:val="000000" w:themeColor="text1"/>
        </w:rPr>
        <w:footnoteReference w:id="120"/>
      </w:r>
      <w:r w:rsidRPr="009D727A">
        <w:t xml:space="preserve"> My reading of the trilogy is that the relationship between the novels and the posthuman can be understood as critical posthumanist.</w:t>
      </w:r>
    </w:p>
    <w:p w14:paraId="65311928" w14:textId="77777777" w:rsidR="00572413" w:rsidRPr="009D727A" w:rsidRDefault="00572413" w:rsidP="0027373D">
      <w:r w:rsidRPr="009D727A">
        <w:t>Defalco recognises the defining of posthumanism as a “tricky business since different groups employ the term to signify differing, often opposing perspectives.”</w:t>
      </w:r>
      <w:r w:rsidRPr="009D727A">
        <w:rPr>
          <w:rStyle w:val="FootnoteReference"/>
          <w:color w:val="000000" w:themeColor="text1"/>
        </w:rPr>
        <w:footnoteReference w:id="121"/>
      </w:r>
      <w:r w:rsidRPr="009D727A">
        <w:t xml:space="preserve"> Schmeink states that “the potential of genetic engineering… has manifested itself culturally as a category actively </w:t>
      </w:r>
      <w:r w:rsidRPr="009D727A">
        <w:lastRenderedPageBreak/>
        <w:t>engaging, challenging, negotiating, and even transforming contemporary conceptions of the human.”</w:t>
      </w:r>
      <w:r w:rsidRPr="009D727A">
        <w:rPr>
          <w:rStyle w:val="FootnoteReference"/>
          <w:color w:val="000000" w:themeColor="text1"/>
        </w:rPr>
        <w:footnoteReference w:id="122"/>
      </w:r>
      <w:r w:rsidRPr="009D727A">
        <w:t xml:space="preserve"> Schmeink posits two principle discourses:</w:t>
      </w:r>
      <w:r>
        <w:t xml:space="preserve"> </w:t>
      </w:r>
      <w:r w:rsidRPr="009D727A">
        <w:t xml:space="preserve">Transhumanism and critical posthumanism. </w:t>
      </w:r>
    </w:p>
    <w:p w14:paraId="279EEF8C" w14:textId="184C7D17" w:rsidR="00572413" w:rsidRPr="009D727A" w:rsidRDefault="00572413" w:rsidP="0027373D">
      <w:r w:rsidRPr="009D727A">
        <w:t>Wolfe citing Joel Garreau defines the intellectual movement of transhumanism as</w:t>
      </w:r>
      <w:r w:rsidRPr="009D727A">
        <w:rPr>
          <w:lang w:val="en-US"/>
        </w:rPr>
        <w:t xml:space="preserve"> </w:t>
      </w:r>
      <w:r w:rsidRPr="009D727A">
        <w:t>“the enhancement of human intellectual, physical, and emotional capabilities” through the elimination of disease, the substantial elongation of life span</w:t>
      </w:r>
      <w:r w:rsidRPr="009D727A">
        <w:rPr>
          <w:rStyle w:val="FootnoteReference"/>
          <w:color w:val="000000" w:themeColor="text1"/>
        </w:rPr>
        <w:t xml:space="preserve"> </w:t>
      </w:r>
      <w:r w:rsidRPr="009D727A">
        <w:t>and broad-spectrum engineered improvement. Wolfe elaborates the concept as “deriv[ing] directly from ideals of human perfectibility, rationality, and agency inherited from Renaissance humanism and the Enlightenment.”</w:t>
      </w:r>
      <w:r w:rsidRPr="009D727A">
        <w:rPr>
          <w:rStyle w:val="FootnoteReference"/>
          <w:color w:val="000000" w:themeColor="text1"/>
        </w:rPr>
        <w:footnoteReference w:id="123"/>
      </w:r>
      <w:r w:rsidRPr="009D727A">
        <w:t xml:space="preserve"> Based then on rational humanism, transhumanism solidifies the anthropogenic view, that privileged subject position which draws on individual enhancement through technology. While it can be argued that Crake’s view of humanity is essentialist, the destruction of the human race and the development of a substitute race- albeit a transformation of the human species- does not meet the prerequisites of Transhumanism, that is, t</w:t>
      </w:r>
      <w:r>
        <w:t>he</w:t>
      </w:r>
      <w:r w:rsidRPr="009D727A">
        <w:t xml:space="preserve"> perfect</w:t>
      </w:r>
      <w:r>
        <w:t>ion</w:t>
      </w:r>
      <w:r w:rsidRPr="009D727A">
        <w:t xml:space="preserve"> as opposed to extinction of the human.</w:t>
      </w:r>
    </w:p>
    <w:p w14:paraId="17588370" w14:textId="5930D838" w:rsidR="00572413" w:rsidRPr="009D727A" w:rsidRDefault="00572413" w:rsidP="0027373D">
      <w:r w:rsidRPr="009D727A">
        <w:t>Schmeink posits critical posthumanism as ventured by Wolfe, Braidotti, and Badmington as “address[ing] subjectivity as hybrid, multiple, and continuously changing,”</w:t>
      </w:r>
      <w:r w:rsidRPr="009D727A">
        <w:rPr>
          <w:rStyle w:val="FootnoteReference"/>
          <w:color w:val="000000" w:themeColor="text1"/>
        </w:rPr>
        <w:footnoteReference w:id="124"/>
      </w:r>
      <w:r w:rsidRPr="009D727A">
        <w:t xml:space="preserve"> Quoting Wolfe</w:t>
      </w:r>
      <w:r>
        <w:t>,</w:t>
      </w:r>
      <w:r w:rsidRPr="009D727A">
        <w:t xml:space="preserve"> Schmeink argues that critical posthumanism understands “the prosthetic coevolution of the human animal with the technicity of tools and external archival mechanism,”</w:t>
      </w:r>
      <w:r w:rsidRPr="009D727A">
        <w:rPr>
          <w:rStyle w:val="FootnoteReference"/>
          <w:color w:val="000000" w:themeColor="text1"/>
        </w:rPr>
        <w:footnoteReference w:id="125"/>
      </w:r>
      <w:r w:rsidRPr="009D727A">
        <w:t xml:space="preserve"> as opposed to the hegemony of human existence wielding power over technology, nature</w:t>
      </w:r>
      <w:r w:rsidR="00707E04">
        <w:t>,</w:t>
      </w:r>
      <w:r w:rsidRPr="009D727A">
        <w:t xml:space="preserve"> and others. As Braidotti argues critical posthumanism is inspired by ecology and environmentalism and therefore calls on the rejection of anthropocentrism and the combination of “self-interests with the well-being of an enlarged community, based on environmental inter-connections.”</w:t>
      </w:r>
      <w:r w:rsidRPr="009D727A">
        <w:rPr>
          <w:rStyle w:val="FootnoteReference"/>
          <w:color w:val="000000" w:themeColor="text1"/>
        </w:rPr>
        <w:footnoteReference w:id="126"/>
      </w:r>
      <w:r w:rsidRPr="009D727A">
        <w:t xml:space="preserve"> </w:t>
      </w:r>
      <w:r w:rsidR="00006387">
        <w:t>T</w:t>
      </w:r>
      <w:r>
        <w:t xml:space="preserve">herefore, </w:t>
      </w:r>
      <w:r w:rsidR="00006387">
        <w:t xml:space="preserve">given </w:t>
      </w:r>
      <w:r>
        <w:t>t</w:t>
      </w:r>
      <w:r w:rsidRPr="009D727A">
        <w:t>he</w:t>
      </w:r>
      <w:r>
        <w:t xml:space="preserve"> </w:t>
      </w:r>
      <w:r w:rsidRPr="009D727A">
        <w:t xml:space="preserve">trilogy’s </w:t>
      </w:r>
      <w:r w:rsidRPr="009D727A">
        <w:lastRenderedPageBreak/>
        <w:t>relationship with the posthuman</w:t>
      </w:r>
      <w:r w:rsidR="00006387">
        <w:t>, it</w:t>
      </w:r>
      <w:r w:rsidRPr="009D727A">
        <w:t xml:space="preserve"> can best be described as critical posthuman as understood by Wolfe and Braidotti, </w:t>
      </w:r>
      <w:r w:rsidR="007E203F">
        <w:t xml:space="preserve">and </w:t>
      </w:r>
      <w:r w:rsidRPr="009D727A">
        <w:t xml:space="preserve">my reading of Atwood coincides with that of Defalco, Cooke and Pordzick. </w:t>
      </w:r>
    </w:p>
    <w:p w14:paraId="39B70E4B" w14:textId="618944DD" w:rsidR="00572413" w:rsidRDefault="00572413" w:rsidP="0027373D">
      <w:r w:rsidRPr="009D727A">
        <w:t xml:space="preserve">Revisiting the bioengineered characteristics of the Crakers it is apparent that essentialist views of humanity and the pursuit of the perfect or ideal sapiens were motivating impulses for Crake. His description of humans as </w:t>
      </w:r>
      <w:r w:rsidRPr="009D727A">
        <w:rPr>
          <w:noProof/>
        </w:rPr>
        <w:t xml:space="preserve">“faulty” “hormone robots” brings to mind that of Herman J. Muller’s: “Man is a giant robot created by DNA to make more DNA.” This apparently transhumanist motivation falls short in that the goal is not to enhance the human but rather to replace it with a perfect, better model. </w:t>
      </w:r>
      <w:r w:rsidRPr="009D727A">
        <w:t>“Sitting in judgment on the world . . . but why had that been his right?”</w:t>
      </w:r>
      <w:r w:rsidRPr="009D727A">
        <w:rPr>
          <w:rStyle w:val="FootnoteReference"/>
          <w:color w:val="000000" w:themeColor="text1"/>
        </w:rPr>
        <w:footnoteReference w:id="127"/>
      </w:r>
      <w:r w:rsidRPr="009D727A">
        <w:t xml:space="preserve"> asks Jimmy. Crake then represents the height of human hegemony turned upon the human only to find it lacking. As opposed to interpreting this as a simple warning of the ills of technology gone awry, a transhumanist dystopia, Atwood instead questions the outcome of this mindset and the subsequent hybridity of understanding required for the coevolution of the human alongside the more adapted model.</w:t>
      </w:r>
    </w:p>
    <w:p w14:paraId="6A23BCE8" w14:textId="23431BF4" w:rsidR="00D3290A" w:rsidRPr="009D727A" w:rsidRDefault="00822BB2" w:rsidP="00822BB2">
      <w:pPr>
        <w:pStyle w:val="Heading2"/>
      </w:pPr>
      <w:bookmarkStart w:id="13" w:name="_Toc52308272"/>
      <w:r>
        <w:t>Blurring boundaries between the Human and the Engineered</w:t>
      </w:r>
      <w:bookmarkEnd w:id="13"/>
    </w:p>
    <w:p w14:paraId="3EAC2C56" w14:textId="77777777" w:rsidR="00572413" w:rsidRPr="009D727A" w:rsidRDefault="00572413" w:rsidP="0027373D">
      <w:r w:rsidRPr="009D727A">
        <w:t xml:space="preserve">As in </w:t>
      </w:r>
      <w:r w:rsidRPr="009D727A">
        <w:rPr>
          <w:i/>
          <w:iCs/>
        </w:rPr>
        <w:t>Oryx and Crake,</w:t>
      </w:r>
      <w:r w:rsidRPr="009D727A">
        <w:t xml:space="preserve"> the dividing lines between the engineered and the human are questioned. Atwood again blurs boundaries, in this case between the human and the </w:t>
      </w:r>
      <w:r w:rsidRPr="009D727A">
        <w:rPr>
          <w:i/>
          <w:iCs/>
        </w:rPr>
        <w:t>post</w:t>
      </w:r>
      <w:r w:rsidRPr="009D727A">
        <w:t xml:space="preserve">human. The perfection of the Crakers, as seen in the alterations detailed above, is on the whole a reductive process. The Crakers in a sense being less than human, and certainly are seen as such by Jimmy in </w:t>
      </w:r>
      <w:r w:rsidRPr="009D727A">
        <w:rPr>
          <w:i/>
          <w:iCs/>
        </w:rPr>
        <w:t>Oryx and Crake</w:t>
      </w:r>
      <w:r w:rsidRPr="009D727A">
        <w:t xml:space="preserve"> and at least initially in</w:t>
      </w:r>
      <w:r w:rsidRPr="009D727A">
        <w:rPr>
          <w:i/>
          <w:iCs/>
        </w:rPr>
        <w:t xml:space="preserve"> Maddaddam.</w:t>
      </w:r>
    </w:p>
    <w:p w14:paraId="6E2DB7F4" w14:textId="77777777" w:rsidR="00572413" w:rsidRPr="009D727A" w:rsidRDefault="00572413" w:rsidP="0027373D">
      <w:r w:rsidRPr="009D727A">
        <w:t xml:space="preserve">This reduction, a further essentialist judgement by their creator, is challenged on the first occasion of Jimmy’s prolonged absence in </w:t>
      </w:r>
      <w:r w:rsidRPr="009D727A">
        <w:rPr>
          <w:i/>
          <w:iCs/>
        </w:rPr>
        <w:t>Oryx and Crake</w:t>
      </w:r>
      <w:r w:rsidRPr="009D727A">
        <w:t xml:space="preserve">. When Jimmy leaves to forage in the compounds, the Crakers feel his absence and create an effigy to Jimmy to fill this absence. In doing so, the act foreshadows a deviation from their creator’s plan. The empirical scientific determination of their characteristics is superseded. They are not what their biology or their </w:t>
      </w:r>
      <w:r w:rsidRPr="009D727A">
        <w:lastRenderedPageBreak/>
        <w:t>creator’s science dictates. Born from a transhuman, biocapital epistemology, the Crakers, and to a degree the pigoons, depict the hybridization of the abstraction of the human.</w:t>
      </w:r>
    </w:p>
    <w:p w14:paraId="6AF70E3D" w14:textId="77777777" w:rsidR="00572413" w:rsidRPr="009D727A" w:rsidRDefault="00572413" w:rsidP="0027373D">
      <w:r w:rsidRPr="009D727A">
        <w:t>The pigoons challenge human hegemony through their depiction as progressively more posthuman in each successive novel. The very assumption of ‘human nature’ as holding the top position in a hierarchy of nature is disrupted by the evolving human-like traits of the pigoons. As Jimmy comments “if they’d had fingers, they’d have ruled the world.”</w:t>
      </w:r>
      <w:r w:rsidRPr="009D727A">
        <w:rPr>
          <w:rStyle w:val="FootnoteReference"/>
          <w:color w:val="000000" w:themeColor="text1"/>
        </w:rPr>
        <w:footnoteReference w:id="128"/>
      </w:r>
      <w:r w:rsidRPr="009D727A">
        <w:t xml:space="preserve">  In </w:t>
      </w:r>
      <w:r w:rsidRPr="009D727A">
        <w:rPr>
          <w:i/>
          <w:iCs/>
        </w:rPr>
        <w:t>The Year of the Flood</w:t>
      </w:r>
      <w:r w:rsidRPr="009D727A">
        <w:t xml:space="preserve"> they exhibit the ability to plan, work in unison and celebrate funeral rites. In </w:t>
      </w:r>
      <w:r w:rsidRPr="009D727A">
        <w:rPr>
          <w:i/>
          <w:iCs/>
        </w:rPr>
        <w:t>Maddaddam</w:t>
      </w:r>
      <w:r w:rsidRPr="009D727A">
        <w:t xml:space="preserve">, the pigoons ability to communicate with the Crakers and to understand their own species limits, as mention in the previous chapter, further shatter any illusions of ‘human’ dominance. </w:t>
      </w:r>
    </w:p>
    <w:p w14:paraId="22EA2B14" w14:textId="77777777" w:rsidR="00572413" w:rsidRPr="009D727A" w:rsidRDefault="00572413" w:rsidP="0027373D">
      <w:r w:rsidRPr="009D727A">
        <w:t>The trilogy can be seen to remove humans from their self-inaugurated throne. The perfectibility of the human, the reif</w:t>
      </w:r>
      <w:r>
        <w:t>ication</w:t>
      </w:r>
      <w:r w:rsidRPr="009D727A">
        <w:t xml:space="preserve"> of the human abstraction, and </w:t>
      </w:r>
      <w:r>
        <w:t>the</w:t>
      </w:r>
      <w:r w:rsidRPr="009D727A">
        <w:t xml:space="preserve"> power of technology</w:t>
      </w:r>
      <w:r>
        <w:t xml:space="preserve"> over</w:t>
      </w:r>
      <w:r w:rsidRPr="009D727A">
        <w:t xml:space="preserve"> nature and environment are all critiqued through the post-apocalyptic world and the resulting need to interrogate the concept of the human by posing the question of the posthuman.</w:t>
      </w:r>
    </w:p>
    <w:p w14:paraId="0C836DEB" w14:textId="77777777" w:rsidR="00572413" w:rsidRPr="009D727A" w:rsidRDefault="00572413" w:rsidP="0027373D">
      <w:r w:rsidRPr="009D727A">
        <w:t xml:space="preserve">The common threat of the paintballers to all the </w:t>
      </w:r>
      <w:r w:rsidRPr="00E456FE">
        <w:t>enlarged community</w:t>
      </w:r>
      <w:r w:rsidRPr="009D727A">
        <w:t xml:space="preserve"> in </w:t>
      </w:r>
      <w:r w:rsidRPr="004F2886">
        <w:rPr>
          <w:i/>
          <w:iCs/>
        </w:rPr>
        <w:t>Maddaddam</w:t>
      </w:r>
      <w:r w:rsidRPr="009D727A">
        <w:t>, culminates in a clear re-enactment of the Braidotti definition of critical posthumanism as outlined above. The situation calls on the human survivors to renege their anthropocentric humanist practices; in not killing the pigoons</w:t>
      </w:r>
      <w:r>
        <w:t>,</w:t>
      </w:r>
      <w:r w:rsidRPr="009D727A">
        <w:t xml:space="preserve"> in communicating through the Crakers while protecting them, and to combine the separate interests with the best interests of the hybrid society based on their interdependence. As Schmeink argues the community of humans, Crakers, and pigoons with complex, hybrid and moving ideals of subjectivity is poised to become a new form of society that “fosters interconnected relations between different species, earth, and technology – thus a truly posthuman society.”</w:t>
      </w:r>
      <w:r w:rsidRPr="009D727A">
        <w:rPr>
          <w:rStyle w:val="FootnoteReference"/>
          <w:color w:val="000000" w:themeColor="text1"/>
        </w:rPr>
        <w:footnoteReference w:id="129"/>
      </w:r>
    </w:p>
    <w:p w14:paraId="291C8712" w14:textId="5ADAC6E1" w:rsidR="00572413" w:rsidRPr="009D727A" w:rsidRDefault="00572413" w:rsidP="0027373D">
      <w:r w:rsidRPr="009D727A">
        <w:t xml:space="preserve">The three novels then can be seen to rebuke the exceptionalist superiority of the humanist with a subject position neither exceptional nor superior. As Crake says “All it takes is the elimination of </w:t>
      </w:r>
      <w:r w:rsidRPr="009D727A">
        <w:lastRenderedPageBreak/>
        <w:t>one generation. One generation of anything. Beetles, trees, microbes, scientists, speakers of French, whatever. Break the link in time between one generation and the next, and it’s game over forever”</w:t>
      </w:r>
      <w:r w:rsidRPr="009D727A">
        <w:rPr>
          <w:rStyle w:val="FootnoteReference"/>
          <w:color w:val="000000" w:themeColor="text1"/>
        </w:rPr>
        <w:footnoteReference w:id="130"/>
      </w:r>
      <w:r w:rsidRPr="009D727A">
        <w:t xml:space="preserve"> Atwood’s trilogy depicts the eradication of the</w:t>
      </w:r>
      <w:r>
        <w:t xml:space="preserve"> both the </w:t>
      </w:r>
      <w:r w:rsidRPr="009D727A">
        <w:t xml:space="preserve">humanist </w:t>
      </w:r>
      <w:r>
        <w:t xml:space="preserve">and </w:t>
      </w:r>
      <w:r w:rsidRPr="009D727A">
        <w:t>biocapitalist generation</w:t>
      </w:r>
      <w:r>
        <w:t>s</w:t>
      </w:r>
      <w:r w:rsidRPr="009D727A">
        <w:t xml:space="preserve"> and what rises is a critical posthuman society as opposed to a dystopian transhumanist apocalypse. The humanist is dethroned, the transhumanist utopia extinct, but in doing so the </w:t>
      </w:r>
      <w:r w:rsidRPr="004F2886">
        <w:rPr>
          <w:i/>
          <w:iCs/>
        </w:rPr>
        <w:t>Maddaddam</w:t>
      </w:r>
      <w:r w:rsidRPr="009D727A">
        <w:t xml:space="preserve"> universe engineers a critical posthumanist creation story.</w:t>
      </w:r>
      <w:r w:rsidR="0014645E">
        <w:t xml:space="preserve"> </w:t>
      </w:r>
      <w:r w:rsidR="0014645E">
        <w:rPr>
          <w:lang w:val="en-US"/>
        </w:rPr>
        <w:t>As Cooke argues: “</w:t>
      </w:r>
      <w:r w:rsidR="0014645E">
        <w:t>Given time, even the Children of Crake may come to count as human, as their language develops, as they mythologize and epigeneticize.”</w:t>
      </w:r>
      <w:r w:rsidR="0014645E">
        <w:rPr>
          <w:rStyle w:val="FootnoteReference"/>
        </w:rPr>
        <w:footnoteReference w:id="131"/>
      </w:r>
    </w:p>
    <w:p w14:paraId="22E90ABE" w14:textId="77777777" w:rsidR="00732AA5" w:rsidRDefault="00732AA5">
      <w:pPr>
        <w:spacing w:after="160" w:line="259" w:lineRule="auto"/>
        <w:rPr>
          <w:b/>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lang w:val="en-US"/>
        </w:rPr>
        <w:br w:type="page"/>
      </w:r>
    </w:p>
    <w:p w14:paraId="26020B14" w14:textId="77777777" w:rsidR="000369B5" w:rsidRDefault="000369B5" w:rsidP="00732AA5">
      <w:pPr>
        <w:pStyle w:val="Heading1"/>
        <w:rPr>
          <w:lang w:val="en-US"/>
        </w:rPr>
        <w:sectPr w:rsidR="000369B5" w:rsidSect="009717B6">
          <w:footnotePr>
            <w:numRestart w:val="eachSect"/>
          </w:footnotePr>
          <w:type w:val="continuous"/>
          <w:pgSz w:w="12240" w:h="15840"/>
          <w:pgMar w:top="1440" w:right="1440" w:bottom="1440" w:left="1440" w:header="720" w:footer="720" w:gutter="0"/>
          <w:cols w:space="720"/>
          <w:titlePg/>
          <w:docGrid w:linePitch="360"/>
        </w:sectPr>
      </w:pPr>
      <w:bookmarkStart w:id="14" w:name="_Toc52308273"/>
    </w:p>
    <w:p w14:paraId="36990A83" w14:textId="15B042DE" w:rsidR="005C1788" w:rsidRPr="00497E5D" w:rsidRDefault="005C1788" w:rsidP="00732AA5">
      <w:pPr>
        <w:pStyle w:val="Heading1"/>
        <w:rPr>
          <w:lang w:val="en-US"/>
        </w:rPr>
      </w:pPr>
      <w:r w:rsidRPr="00497E5D">
        <w:rPr>
          <w:lang w:val="en-US"/>
        </w:rPr>
        <w:lastRenderedPageBreak/>
        <w:t>What God can survive the Anthropocene Crisis?</w:t>
      </w:r>
      <w:bookmarkEnd w:id="14"/>
    </w:p>
    <w:p w14:paraId="05D74F4A" w14:textId="77777777" w:rsidR="00403DF6" w:rsidRPr="00403DF6" w:rsidRDefault="005C1788" w:rsidP="00C028CA">
      <w:pPr>
        <w:jc w:val="right"/>
        <w:rPr>
          <w:sz w:val="20"/>
          <w:szCs w:val="20"/>
          <w:lang w:val="en-US"/>
        </w:rPr>
      </w:pPr>
      <w:r w:rsidRPr="00403DF6">
        <w:rPr>
          <w:sz w:val="20"/>
          <w:szCs w:val="20"/>
          <w:lang w:val="en-US"/>
        </w:rPr>
        <w:t>"I take the view, as others have done […] that the 'religious' and the 'secular' are not essentially fixed categories. However, I do not claim that if one stripped appearances one would see that some apparently secular institutions were really religious. I assume, on the contrary, that there is nothing essentially religious, nor any universal essence that defines 'sacred language' or 'sacred experience.'"</w:t>
      </w:r>
    </w:p>
    <w:p w14:paraId="269FCE3E" w14:textId="506EAF84" w:rsidR="008633D2" w:rsidRDefault="00403DF6" w:rsidP="00786CAA">
      <w:pPr>
        <w:jc w:val="right"/>
        <w:rPr>
          <w:lang w:val="en-US"/>
        </w:rPr>
      </w:pPr>
      <w:r w:rsidRPr="00403DF6">
        <w:rPr>
          <w:sz w:val="20"/>
          <w:szCs w:val="20"/>
          <w:lang w:val="en-US"/>
        </w:rPr>
        <w:t>Talal Asa</w:t>
      </w:r>
      <w:r w:rsidR="008633D2">
        <w:rPr>
          <w:sz w:val="20"/>
          <w:szCs w:val="20"/>
          <w:lang w:val="en-US"/>
        </w:rPr>
        <w:t>d</w:t>
      </w:r>
      <w:r w:rsidR="008633D2" w:rsidRPr="004D381F">
        <w:rPr>
          <w:rStyle w:val="FootnoteReference"/>
          <w:lang w:val="en-US"/>
        </w:rPr>
        <w:footnoteReference w:id="132"/>
      </w:r>
    </w:p>
    <w:p w14:paraId="388F63EA" w14:textId="77777777" w:rsidR="00C028CA" w:rsidRPr="004D381F" w:rsidRDefault="00C028CA" w:rsidP="00C028CA">
      <w:pPr>
        <w:jc w:val="right"/>
        <w:rPr>
          <w:lang w:val="en-US"/>
        </w:rPr>
      </w:pPr>
    </w:p>
    <w:p w14:paraId="548563FC" w14:textId="32840533" w:rsidR="005C1788" w:rsidRDefault="005C1788" w:rsidP="0027373D">
      <w:pPr>
        <w:rPr>
          <w:lang w:val="en-US"/>
        </w:rPr>
      </w:pPr>
      <w:r>
        <w:rPr>
          <w:lang w:val="en-US"/>
        </w:rPr>
        <w:t>In Atwood’s trilogy an exploration of the nature and function of religion features prominently. In this chapter I explore in particular the adaptive religion of the God’s Gardeners, an eco</w:t>
      </w:r>
      <w:r w:rsidR="00F46627">
        <w:rPr>
          <w:lang w:val="en-US"/>
        </w:rPr>
        <w:t xml:space="preserve">-religious </w:t>
      </w:r>
      <w:r>
        <w:rPr>
          <w:lang w:val="en-US"/>
        </w:rPr>
        <w:t>cult</w:t>
      </w:r>
      <w:r w:rsidR="00F46627">
        <w:rPr>
          <w:lang w:val="en-US"/>
        </w:rPr>
        <w:t>,</w:t>
      </w:r>
      <w:r>
        <w:rPr>
          <w:lang w:val="en-US"/>
        </w:rPr>
        <w:t xml:space="preserve"> and how Atwood blurs the lines between secularism and religion.</w:t>
      </w:r>
    </w:p>
    <w:p w14:paraId="5CB7BA0F" w14:textId="155B966A" w:rsidR="00CF55BF" w:rsidRDefault="00232D80" w:rsidP="00232D80">
      <w:pPr>
        <w:pStyle w:val="Heading2"/>
        <w:rPr>
          <w:lang w:val="en-US"/>
        </w:rPr>
      </w:pPr>
      <w:bookmarkStart w:id="15" w:name="_Toc52308274"/>
      <w:r>
        <w:rPr>
          <w:lang w:val="en-US"/>
        </w:rPr>
        <w:t>Adaptive R</w:t>
      </w:r>
      <w:r w:rsidR="00CF55BF">
        <w:rPr>
          <w:lang w:val="en-US"/>
        </w:rPr>
        <w:t>eligion</w:t>
      </w:r>
      <w:bookmarkEnd w:id="15"/>
    </w:p>
    <w:p w14:paraId="604AACFF" w14:textId="77777777" w:rsidR="00732AA5" w:rsidRDefault="005C1788" w:rsidP="0027373D">
      <w:pPr>
        <w:rPr>
          <w:lang w:val="en-US"/>
        </w:rPr>
      </w:pPr>
      <w:r>
        <w:rPr>
          <w:lang w:val="en-US"/>
        </w:rPr>
        <w:t>Hoogheem in “</w:t>
      </w:r>
      <w:r w:rsidRPr="00CA534A">
        <w:rPr>
          <w:lang w:val="en-US"/>
        </w:rPr>
        <w:t>Secular Apocalypses: Darwinian Criticism and Atwoodian Floods</w:t>
      </w:r>
      <w:r>
        <w:rPr>
          <w:lang w:val="en-US"/>
        </w:rPr>
        <w:t>” states that religion is adaptive “to the extent that it offers additional, agential levels of explanation for events that impact our lives.”</w:t>
      </w:r>
      <w:r>
        <w:rPr>
          <w:rStyle w:val="FootnoteReference"/>
          <w:lang w:val="en-US"/>
        </w:rPr>
        <w:footnoteReference w:id="133"/>
      </w:r>
      <w:r>
        <w:rPr>
          <w:lang w:val="en-US"/>
        </w:rPr>
        <w:t xml:space="preserve"> He continues that from experience we are aware that we do not always have enough information to comprehend situations, and he posits that religion can be seen as a response to our wish to fill this gap. In the face of the unexplainable, religion then can adapt to fill these absences of information. Hoogheem develops the idea of the adaptive nature of religion, not as a willful ignoring or rejection of material origins but a “look[ing] beyond them... for agential ones (spirits or someone with influence over them).”</w:t>
      </w:r>
      <w:r>
        <w:rPr>
          <w:rStyle w:val="FootnoteReference"/>
          <w:lang w:val="en-US"/>
        </w:rPr>
        <w:footnoteReference w:id="134"/>
      </w:r>
      <w:r>
        <w:rPr>
          <w:lang w:val="en-US"/>
        </w:rPr>
        <w:t xml:space="preserve">  He argues that the over-attribution of agency is almost always the safer position than that of an under-attribution:–“if I mistake a stick for a snake, I will likely be none the worse for it. But to make the opposite error </w:t>
      </w:r>
      <w:r>
        <w:rPr>
          <w:lang w:val="en-US"/>
        </w:rPr>
        <w:lastRenderedPageBreak/>
        <w:t>could result in a potentially lethal bite.”</w:t>
      </w:r>
      <w:r>
        <w:rPr>
          <w:rStyle w:val="FootnoteReference"/>
          <w:lang w:val="en-US"/>
        </w:rPr>
        <w:footnoteReference w:id="135"/>
      </w:r>
      <w:r>
        <w:rPr>
          <w:lang w:val="en-US"/>
        </w:rPr>
        <w:t xml:space="preserve"> This tendency then to over-attribute, Hoogheem states, is capitalized upon by religion by presuming “the existence of spiritual beings whose pleasure or displeasure can account for good or ill fortune”</w:t>
      </w:r>
      <w:r>
        <w:rPr>
          <w:rStyle w:val="FootnoteReference"/>
          <w:lang w:val="en-US"/>
        </w:rPr>
        <w:footnoteReference w:id="136"/>
      </w:r>
      <w:r>
        <w:rPr>
          <w:lang w:val="en-US"/>
        </w:rPr>
        <w:t xml:space="preserve"> and in so doing can explain events that otherwise would seem random, unjust or irrational. The biologist David Sloan Wilson states “Even massively fictious beliefs can be adaptive, as long as they motivate behaviors that are adaptive in the real world.”</w:t>
      </w:r>
      <w:r>
        <w:rPr>
          <w:rStyle w:val="FootnoteReference"/>
          <w:lang w:val="en-US"/>
        </w:rPr>
        <w:footnoteReference w:id="137"/>
      </w:r>
      <w:r>
        <w:rPr>
          <w:lang w:val="en-US"/>
        </w:rPr>
        <w:t xml:space="preserve"> A religion or religious belief then, is considered adaptive –through offering additional agential agents– if it can assist in survival irrespective of those agent’s verifiability. Boyd in </w:t>
      </w:r>
      <w:r w:rsidRPr="00F37C1A">
        <w:rPr>
          <w:i/>
          <w:iCs/>
          <w:lang w:val="en-US"/>
        </w:rPr>
        <w:t>On the Origin of Stories: Evolution, Cognition, and Fiction</w:t>
      </w:r>
      <w:r>
        <w:rPr>
          <w:lang w:val="en-US"/>
        </w:rPr>
        <w:t xml:space="preserve"> (2009) quotes anthropologist Malidona Patrice Somé in arguing that</w:t>
      </w:r>
      <w:r w:rsidR="00732AA5">
        <w:rPr>
          <w:lang w:val="en-US"/>
        </w:rPr>
        <w:t>:</w:t>
      </w:r>
    </w:p>
    <w:p w14:paraId="1C598ACC" w14:textId="2BDB9C23" w:rsidR="005C1788" w:rsidRPr="00732AA5" w:rsidRDefault="005C1788" w:rsidP="00732AA5">
      <w:pPr>
        <w:ind w:left="720" w:right="1138"/>
        <w:rPr>
          <w:sz w:val="20"/>
          <w:szCs w:val="20"/>
          <w:lang w:val="en-US"/>
        </w:rPr>
      </w:pPr>
      <w:r w:rsidRPr="00732AA5">
        <w:rPr>
          <w:sz w:val="20"/>
          <w:szCs w:val="20"/>
          <w:lang w:val="en-US"/>
        </w:rPr>
        <w:t>a society wide belief in such supernatural surveillance can help solve the problems of cooperation inherent in any individualized society [...]. A human society unified by religion, especially if it believes in supernatural vigilance and punishment, can therefore usually solve problems of cooperation more readily than another without.</w:t>
      </w:r>
      <w:r w:rsidRPr="00732AA5">
        <w:rPr>
          <w:rStyle w:val="FootnoteReference"/>
          <w:sz w:val="20"/>
          <w:szCs w:val="20"/>
          <w:lang w:val="en-US"/>
        </w:rPr>
        <w:footnoteReference w:id="138"/>
      </w:r>
    </w:p>
    <w:p w14:paraId="322E7C31" w14:textId="08982278" w:rsidR="005C1788" w:rsidRDefault="005C1788" w:rsidP="0027373D">
      <w:pPr>
        <w:rPr>
          <w:lang w:val="en-US"/>
        </w:rPr>
      </w:pPr>
      <w:r>
        <w:rPr>
          <w:lang w:val="en-US"/>
        </w:rPr>
        <w:t xml:space="preserve">Boyd </w:t>
      </w:r>
      <w:r w:rsidR="009534A5">
        <w:rPr>
          <w:lang w:val="en-US"/>
        </w:rPr>
        <w:t>continues</w:t>
      </w:r>
      <w:r>
        <w:rPr>
          <w:lang w:val="en-US"/>
        </w:rPr>
        <w:t xml:space="preserve"> that contrary to historical views, religion is an outgrowth of art and not the converse: </w:t>
      </w:r>
      <w:r w:rsidRPr="00C22EDA">
        <w:rPr>
          <w:lang w:val="en-US"/>
        </w:rPr>
        <w:t>“Without the existence of stories that diverge from the true,</w:t>
      </w:r>
      <w:r>
        <w:rPr>
          <w:lang w:val="en-US"/>
        </w:rPr>
        <w:t xml:space="preserve"> </w:t>
      </w:r>
      <w:r w:rsidRPr="00C22EDA">
        <w:rPr>
          <w:lang w:val="en-US"/>
        </w:rPr>
        <w:t>without the first fictions, religion could not have arisen</w:t>
      </w:r>
      <w:r>
        <w:rPr>
          <w:lang w:val="en-US"/>
        </w:rPr>
        <w:t>.</w:t>
      </w:r>
      <w:r w:rsidRPr="00C22EDA">
        <w:rPr>
          <w:lang w:val="en-US"/>
        </w:rPr>
        <w:t>”</w:t>
      </w:r>
      <w:r>
        <w:rPr>
          <w:rStyle w:val="FootnoteReference"/>
          <w:lang w:val="en-US"/>
        </w:rPr>
        <w:footnoteReference w:id="139"/>
      </w:r>
      <w:r>
        <w:rPr>
          <w:lang w:val="en-US"/>
        </w:rPr>
        <w:t xml:space="preserve"> He states that </w:t>
      </w:r>
      <w:r w:rsidRPr="007477AF">
        <w:rPr>
          <w:lang w:val="en-US"/>
        </w:rPr>
        <w:t>“the earliest plausible</w:t>
      </w:r>
      <w:r>
        <w:rPr>
          <w:lang w:val="en-US"/>
        </w:rPr>
        <w:t xml:space="preserve"> </w:t>
      </w:r>
      <w:r w:rsidRPr="007477AF">
        <w:rPr>
          <w:lang w:val="en-US"/>
        </w:rPr>
        <w:t xml:space="preserve">hints of religion so far discovered,” </w:t>
      </w:r>
      <w:r>
        <w:rPr>
          <w:lang w:val="en-US"/>
        </w:rPr>
        <w:t>can be dated back to</w:t>
      </w:r>
      <w:r w:rsidRPr="007477AF">
        <w:rPr>
          <w:lang w:val="en-US"/>
        </w:rPr>
        <w:t xml:space="preserve"> </w:t>
      </w:r>
      <w:r>
        <w:rPr>
          <w:lang w:val="en-US"/>
        </w:rPr>
        <w:t xml:space="preserve">approximately </w:t>
      </w:r>
      <w:r w:rsidRPr="007477AF">
        <w:rPr>
          <w:lang w:val="en-US"/>
        </w:rPr>
        <w:t xml:space="preserve">90,000 years, </w:t>
      </w:r>
      <w:r>
        <w:rPr>
          <w:lang w:val="en-US"/>
        </w:rPr>
        <w:t xml:space="preserve">where </w:t>
      </w:r>
      <w:r w:rsidRPr="007477AF">
        <w:rPr>
          <w:lang w:val="en-US"/>
        </w:rPr>
        <w:t>the use of ochre</w:t>
      </w:r>
      <w:r>
        <w:rPr>
          <w:lang w:val="en-US"/>
        </w:rPr>
        <w:t xml:space="preserve"> </w:t>
      </w:r>
      <w:r w:rsidRPr="007477AF">
        <w:rPr>
          <w:lang w:val="en-US"/>
        </w:rPr>
        <w:t xml:space="preserve">for body painting </w:t>
      </w:r>
      <w:r>
        <w:rPr>
          <w:lang w:val="en-US"/>
        </w:rPr>
        <w:t>in a presumed non-religious fashion</w:t>
      </w:r>
      <w:r w:rsidRPr="007477AF">
        <w:rPr>
          <w:lang w:val="en-US"/>
        </w:rPr>
        <w:t xml:space="preserve"> </w:t>
      </w:r>
      <w:r>
        <w:rPr>
          <w:lang w:val="en-US"/>
        </w:rPr>
        <w:t xml:space="preserve">can be dated to </w:t>
      </w:r>
      <w:r w:rsidRPr="007477AF">
        <w:rPr>
          <w:lang w:val="en-US"/>
        </w:rPr>
        <w:t xml:space="preserve">at least 120,000 years </w:t>
      </w:r>
      <w:r>
        <w:rPr>
          <w:lang w:val="en-US"/>
        </w:rPr>
        <w:t xml:space="preserve">ago, </w:t>
      </w:r>
      <w:r>
        <w:rPr>
          <w:lang w:val="en-US"/>
        </w:rPr>
        <w:lastRenderedPageBreak/>
        <w:t>predating religion by some 30,000 years</w:t>
      </w:r>
      <w:r w:rsidRPr="007477AF">
        <w:rPr>
          <w:lang w:val="en-US"/>
        </w:rPr>
        <w:t>.</w:t>
      </w:r>
      <w:r>
        <w:rPr>
          <w:rStyle w:val="FootnoteReference"/>
          <w:lang w:val="en-US"/>
        </w:rPr>
        <w:footnoteReference w:id="140"/>
      </w:r>
      <w:r>
        <w:rPr>
          <w:lang w:val="en-US"/>
        </w:rPr>
        <w:t xml:space="preserve"> Hoogheem argues that religion can be understood to both develop from and use art to reinforce itself and that where ever religion can be found, art will be found too, and by inference narrative.</w:t>
      </w:r>
      <w:r>
        <w:rPr>
          <w:rStyle w:val="FootnoteReference"/>
          <w:lang w:val="en-US"/>
        </w:rPr>
        <w:footnoteReference w:id="141"/>
      </w:r>
      <w:r>
        <w:rPr>
          <w:lang w:val="en-US"/>
        </w:rPr>
        <w:t xml:space="preserve"> These arguments then introduce a way to understand how religion can function as adaptive.</w:t>
      </w:r>
    </w:p>
    <w:p w14:paraId="3C5F339A" w14:textId="482EE6A8" w:rsidR="005C1788" w:rsidRDefault="005C1788" w:rsidP="0027373D">
      <w:pPr>
        <w:rPr>
          <w:lang w:val="en-US"/>
        </w:rPr>
      </w:pPr>
      <w:r>
        <w:rPr>
          <w:lang w:val="en-US"/>
        </w:rPr>
        <w:t>Kaufmann describes secularization using a summary of Linell Cady’s “</w:t>
      </w:r>
      <w:r w:rsidRPr="0065185C">
        <w:rPr>
          <w:lang w:val="en-US"/>
        </w:rPr>
        <w:t>as part of the progress toward modernism and liberalism</w:t>
      </w:r>
      <w:r>
        <w:rPr>
          <w:lang w:val="en-US"/>
        </w:rPr>
        <w:t xml:space="preserve"> </w:t>
      </w:r>
      <w:r w:rsidRPr="0065185C">
        <w:rPr>
          <w:lang w:val="en-US"/>
        </w:rPr>
        <w:t>in the nineteenth century, the story of secularization narrates a triumph</w:t>
      </w:r>
      <w:r>
        <w:rPr>
          <w:lang w:val="en-US"/>
        </w:rPr>
        <w:t xml:space="preserve"> </w:t>
      </w:r>
      <w:r w:rsidRPr="0065185C">
        <w:rPr>
          <w:lang w:val="en-US"/>
        </w:rPr>
        <w:t>of empiricism over superstition, reason over faith, and the emancipation</w:t>
      </w:r>
      <w:r>
        <w:rPr>
          <w:lang w:val="en-US"/>
        </w:rPr>
        <w:t xml:space="preserve"> </w:t>
      </w:r>
      <w:r w:rsidRPr="0065185C">
        <w:rPr>
          <w:lang w:val="en-US"/>
        </w:rPr>
        <w:t>of all spheres</w:t>
      </w:r>
      <w:r>
        <w:rPr>
          <w:lang w:val="en-US"/>
        </w:rPr>
        <w:t>–</w:t>
      </w:r>
      <w:r w:rsidRPr="0065185C">
        <w:rPr>
          <w:lang w:val="en-US"/>
        </w:rPr>
        <w:t>science, knowledge, the market, the state</w:t>
      </w:r>
      <w:r>
        <w:rPr>
          <w:lang w:val="en-US"/>
        </w:rPr>
        <w:t>–</w:t>
      </w:r>
      <w:r w:rsidRPr="0065185C">
        <w:rPr>
          <w:lang w:val="en-US"/>
        </w:rPr>
        <w:t>from the</w:t>
      </w:r>
      <w:r>
        <w:rPr>
          <w:lang w:val="en-US"/>
        </w:rPr>
        <w:t xml:space="preserve"> </w:t>
      </w:r>
      <w:r w:rsidRPr="0065185C">
        <w:rPr>
          <w:lang w:val="en-US"/>
        </w:rPr>
        <w:t xml:space="preserve">oppressive and authoritarian </w:t>
      </w:r>
      <w:r>
        <w:rPr>
          <w:lang w:val="en-US"/>
        </w:rPr>
        <w:t>‘</w:t>
      </w:r>
      <w:r w:rsidRPr="0065185C">
        <w:rPr>
          <w:lang w:val="en-US"/>
        </w:rPr>
        <w:t>yoke of religion</w:t>
      </w:r>
      <w:r>
        <w:rPr>
          <w:lang w:val="en-US"/>
        </w:rPr>
        <w:t>’</w:t>
      </w:r>
      <w:r>
        <w:rPr>
          <w:rStyle w:val="FootnoteReference"/>
          <w:lang w:val="en-US"/>
        </w:rPr>
        <w:footnoteReference w:id="142"/>
      </w:r>
      <w:r>
        <w:rPr>
          <w:lang w:val="en-US"/>
        </w:rPr>
        <w:t>.”</w:t>
      </w:r>
      <w:r>
        <w:rPr>
          <w:rStyle w:val="FootnoteReference"/>
          <w:lang w:val="en-US"/>
        </w:rPr>
        <w:footnoteReference w:id="143"/>
      </w:r>
      <w:r>
        <w:rPr>
          <w:lang w:val="en-US"/>
        </w:rPr>
        <w:t xml:space="preserve">  Kaufmann argues that the secular and the religious cannot be considered as “normative, fixed categories”</w:t>
      </w:r>
      <w:r>
        <w:rPr>
          <w:rStyle w:val="FootnoteReference"/>
          <w:lang w:val="en-US"/>
        </w:rPr>
        <w:footnoteReference w:id="144"/>
      </w:r>
      <w:r>
        <w:rPr>
          <w:lang w:val="en-US"/>
        </w:rPr>
        <w:t xml:space="preserve"> and based on the fact that secularization and religion both have a narrative, each continue to be a product of “historical contingency and change.”</w:t>
      </w:r>
      <w:r>
        <w:rPr>
          <w:rStyle w:val="FootnoteReference"/>
          <w:lang w:val="en-US"/>
        </w:rPr>
        <w:footnoteReference w:id="145"/>
      </w:r>
      <w:r>
        <w:rPr>
          <w:lang w:val="en-US"/>
        </w:rPr>
        <w:t xml:space="preserve"> Kaufmann deconstructs the ‘religious’ and ‘secular’ as a pair of terms in binary opposition using similar assertions to those applied to race, gender, and sexuality</w:t>
      </w:r>
      <w:r w:rsidR="00527D2F">
        <w:rPr>
          <w:lang w:val="en-US"/>
        </w:rPr>
        <w:t xml:space="preserve"> </w:t>
      </w:r>
      <w:r>
        <w:rPr>
          <w:lang w:val="en-US"/>
        </w:rPr>
        <w:t>and argues that both terms rely on each other for meaning, and are therefore meaningless in isolation. He continues that their meanings are dependent on their relationships to each other, and that their meanings change “</w:t>
      </w:r>
      <w:r w:rsidRPr="00A10C52">
        <w:rPr>
          <w:lang w:val="en-US"/>
        </w:rPr>
        <w:t>as</w:t>
      </w:r>
      <w:r>
        <w:rPr>
          <w:lang w:val="en-US"/>
        </w:rPr>
        <w:t xml:space="preserve"> </w:t>
      </w:r>
      <w:r w:rsidRPr="00A10C52">
        <w:rPr>
          <w:lang w:val="en-US"/>
        </w:rPr>
        <w:t>the relationship between them shifts, in part as a response to the contingencies of the specific discursive contexts in which they both</w:t>
      </w:r>
      <w:r>
        <w:rPr>
          <w:lang w:val="en-US"/>
        </w:rPr>
        <w:t xml:space="preserve"> operate.”</w:t>
      </w:r>
      <w:r>
        <w:rPr>
          <w:rStyle w:val="FootnoteReference"/>
          <w:lang w:val="en-US"/>
        </w:rPr>
        <w:footnoteReference w:id="146"/>
      </w:r>
      <w:r>
        <w:rPr>
          <w:lang w:val="en-US"/>
        </w:rPr>
        <w:t xml:space="preserve"> He argues that what is understood as ‘religious’ or ‘secular’ and how the difference between the meanings are “identified, enforced or </w:t>
      </w:r>
      <w:r>
        <w:rPr>
          <w:lang w:val="en-US"/>
        </w:rPr>
        <w:lastRenderedPageBreak/>
        <w:t>transgressed”</w:t>
      </w:r>
      <w:r w:rsidR="00A94FCE" w:rsidRPr="00A94FCE">
        <w:rPr>
          <w:rStyle w:val="FootnoteReference"/>
          <w:lang w:val="en-US"/>
        </w:rPr>
        <w:t xml:space="preserve"> </w:t>
      </w:r>
      <w:r w:rsidR="00A94FCE">
        <w:rPr>
          <w:rStyle w:val="FootnoteReference"/>
          <w:lang w:val="en-US"/>
        </w:rPr>
        <w:footnoteReference w:id="147"/>
      </w:r>
      <w:r>
        <w:rPr>
          <w:lang w:val="en-US"/>
        </w:rPr>
        <w:t xml:space="preserve"> change with, and are dependent on setting and time. The boundaries then of the ‘religious’ and ‘secular’ are cannot be clearly defined, and in Atwood’s trilogy we experience a similar deconstruction of these boundaries wherein as José Casanova puts it:</w:t>
      </w:r>
    </w:p>
    <w:p w14:paraId="2B4B5F95" w14:textId="77777777" w:rsidR="005C1788" w:rsidRPr="00325CB0" w:rsidRDefault="005C1788" w:rsidP="00325CB0">
      <w:pPr>
        <w:ind w:left="720" w:right="1138"/>
        <w:rPr>
          <w:sz w:val="20"/>
          <w:szCs w:val="20"/>
          <w:lang w:val="en-US"/>
        </w:rPr>
      </w:pPr>
      <w:r w:rsidRPr="00325CB0">
        <w:rPr>
          <w:sz w:val="20"/>
          <w:szCs w:val="20"/>
          <w:lang w:val="en-US"/>
        </w:rPr>
        <w:t>the symbolic boundaries between the secular and the religious spheres are shattered allowing for a mutual penetration of religion by the secular and of the secular by religion. The boundaries themselves become so diffused that it is not clear where religion begins and the secular ends.</w:t>
      </w:r>
      <w:r w:rsidRPr="00325CB0">
        <w:rPr>
          <w:rStyle w:val="FootnoteReference"/>
          <w:sz w:val="20"/>
          <w:szCs w:val="20"/>
          <w:lang w:val="en-US"/>
        </w:rPr>
        <w:footnoteReference w:id="148"/>
      </w:r>
      <w:r w:rsidRPr="00325CB0">
        <w:rPr>
          <w:sz w:val="20"/>
          <w:szCs w:val="20"/>
          <w:lang w:val="en-US"/>
        </w:rPr>
        <w:t xml:space="preserve"> </w:t>
      </w:r>
    </w:p>
    <w:p w14:paraId="059E994B" w14:textId="056E8A93" w:rsidR="005C1788" w:rsidRDefault="005C1788" w:rsidP="0027373D">
      <w:pPr>
        <w:rPr>
          <w:lang w:val="en-US"/>
        </w:rPr>
      </w:pPr>
      <w:r>
        <w:rPr>
          <w:lang w:val="en-US"/>
        </w:rPr>
        <w:t xml:space="preserve">Atwood’s </w:t>
      </w:r>
      <w:r>
        <w:rPr>
          <w:i/>
          <w:iCs/>
          <w:lang w:val="en-US"/>
        </w:rPr>
        <w:t>Year of the Flood</w:t>
      </w:r>
      <w:r>
        <w:rPr>
          <w:lang w:val="en-US"/>
        </w:rPr>
        <w:t xml:space="preserve"> introduces the God’s Gardeners. The novel follows the stories of two women involved with the God’s Gardeners, Ren and Toby. An eco-religious cult (and labelled as an ecoterrorist group by the prevailing </w:t>
      </w:r>
      <w:r w:rsidR="00A94FCE">
        <w:rPr>
          <w:lang w:val="en-US"/>
        </w:rPr>
        <w:t>b</w:t>
      </w:r>
      <w:r>
        <w:rPr>
          <w:lang w:val="en-US"/>
        </w:rPr>
        <w:t>iocapital powers), the Gardeners’ religion fuses elements of “apocalyptic, fundamentalist Protestant Christianity and popular environmentalism.”</w:t>
      </w:r>
      <w:r>
        <w:rPr>
          <w:rStyle w:val="FootnoteReference"/>
          <w:lang w:val="en-US"/>
        </w:rPr>
        <w:footnoteReference w:id="149"/>
      </w:r>
      <w:r>
        <w:rPr>
          <w:lang w:val="en-US"/>
        </w:rPr>
        <w:t xml:space="preserve"> Ren begins her life in the compounds before leaving with her mother to join the God’s Gardeners in the Pleeblands. She later returns to the relative luxury of compound life to study dancing at Martha Graham Academy. When she can no longer afford to study, she seeks employment and finds herself unsuitable for any job apart from as a sex worker in Scales and Tails, an animal fetishist strip club. She survives the ‘Waterless Flood,’ the global viral pandemic, in an isolation cell at Scales and Tales. Toby offers a distinct view of the Gardeners and their religion. Toby joins the Gardeners as a means to escape repeated sexual assault and the threat of a violent death. She ascends within the groups internal hierarchy to hold the position of Eve Six while maintaining a strong sense of secular skepticism towards the beliefs of her fellow Gardeners. Both women’s stories unite after the mass death of the almost all human life on the planet and they form part of the group of the very few survivors of the ‘Waterless Flood.’</w:t>
      </w:r>
    </w:p>
    <w:p w14:paraId="306B94A2" w14:textId="77777777" w:rsidR="005C1788" w:rsidRDefault="005C1788" w:rsidP="0027373D">
      <w:pPr>
        <w:rPr>
          <w:lang w:val="en-US"/>
        </w:rPr>
      </w:pPr>
      <w:r>
        <w:rPr>
          <w:lang w:val="en-US"/>
        </w:rPr>
        <w:t xml:space="preserve">The God’s Gardeners is founded by Adam One, an ex-scientist. In Adam One we see a personification of the mutual penetration of the secular and the religious. The group is on the whole non-violent and live in abandoned buildings in the pleeblands–those areas not under direct control of the Compounds and to a large degree lawless. They cultivate organic gardens on </w:t>
      </w:r>
      <w:r>
        <w:rPr>
          <w:lang w:val="en-US"/>
        </w:rPr>
        <w:lastRenderedPageBreak/>
        <w:t xml:space="preserve">rooftops and promote vegetarianism while withdrawing from the secular world of unfettered biocapitalism around them. Their religion preaches a sense of harmony between all life–human, plant, and animal–based on the conviction that all have been created by God and therefore are all sacred. Incorporated in this harmony is a flouting of the boundaries between secular and religious, between faith and science. Adam One expounds this harmony of the sacred and the scientific as follows: </w:t>
      </w:r>
    </w:p>
    <w:p w14:paraId="2A31E225" w14:textId="60A5B3AF" w:rsidR="005C1788" w:rsidRPr="00550E64" w:rsidRDefault="005C1788" w:rsidP="007225E3">
      <w:pPr>
        <w:ind w:left="720" w:right="1138"/>
        <w:rPr>
          <w:sz w:val="20"/>
          <w:szCs w:val="20"/>
          <w:lang w:val="en-US"/>
        </w:rPr>
      </w:pPr>
      <w:r w:rsidRPr="00550E64">
        <w:rPr>
          <w:sz w:val="20"/>
          <w:szCs w:val="20"/>
          <w:lang w:val="en-US"/>
        </w:rPr>
        <w:t>The Human Words of God [i.e., the Bible] speak of the Creation in terms that could be understood by the men of old. There is no talk of galaxies or genes, for such terms would have confused them greatly! But must we therefore take as scientific fact the story that the world was created in six days, thus making a nonsense of observable data? God cannot be held to the narrowness of literal and materialistic interpretations, nor measured by Human measurements, for His days are eons, and a thousand ages of our time are like an evening to Him. Unlike some other religions, we have never felt it served a higher purpose to lie to children about geology.</w:t>
      </w:r>
      <w:r w:rsidR="00AD65E8">
        <w:rPr>
          <w:rStyle w:val="FootnoteReference"/>
          <w:sz w:val="20"/>
          <w:szCs w:val="20"/>
          <w:lang w:val="en-US"/>
        </w:rPr>
        <w:footnoteReference w:id="150"/>
      </w:r>
      <w:r w:rsidRPr="00550E64">
        <w:rPr>
          <w:sz w:val="20"/>
          <w:szCs w:val="20"/>
          <w:lang w:val="en-US"/>
        </w:rPr>
        <w:t xml:space="preserve"> </w:t>
      </w:r>
    </w:p>
    <w:p w14:paraId="4BF0A8F4" w14:textId="68265549" w:rsidR="00CD11A9" w:rsidRDefault="005C1788" w:rsidP="00CD11A9">
      <w:pPr>
        <w:rPr>
          <w:lang w:val="en-US"/>
        </w:rPr>
      </w:pPr>
      <w:r>
        <w:rPr>
          <w:lang w:val="en-US"/>
        </w:rPr>
        <w:t>As Hoogheem states this theory of the crossing of science and religion is not unique to Atwood or the God’s Gardeners. He cites Augustine’s fifth century figurative reading of the bible’s creation ‘days,’ sometimes referred to ‘day-age creationism.</w:t>
      </w:r>
      <w:r w:rsidR="00D54073">
        <w:rPr>
          <w:lang w:val="en-US"/>
        </w:rPr>
        <w:t>’</w:t>
      </w:r>
      <w:r>
        <w:rPr>
          <w:lang w:val="en-US"/>
        </w:rPr>
        <w:t xml:space="preserve"> However, what does distinguish the gardeners’ beliefs is how this harmonization, this blurring of boundaries informs the entire faith, as opposed to simply explaining away direct conflict between the secular and the religious. An example of this is Adam One’s reading of the Fall of Man. He does not interpret T</w:t>
      </w:r>
      <w:r w:rsidRPr="00D5599F">
        <w:rPr>
          <w:lang w:val="en-US"/>
        </w:rPr>
        <w:t>he Fall as the earliest</w:t>
      </w:r>
      <w:r>
        <w:rPr>
          <w:lang w:val="en-US"/>
        </w:rPr>
        <w:t xml:space="preserve"> ancient rebellion, but rather he views it in terms of part of an evolutionary or devolutionary process:</w:t>
      </w:r>
    </w:p>
    <w:p w14:paraId="3C8CB891" w14:textId="48D22A31" w:rsidR="005C1788" w:rsidRPr="00CD11A9" w:rsidRDefault="005C1788" w:rsidP="00AD65E8">
      <w:pPr>
        <w:ind w:left="720" w:right="1138"/>
        <w:rPr>
          <w:sz w:val="20"/>
          <w:szCs w:val="20"/>
          <w:lang w:val="en-US"/>
        </w:rPr>
      </w:pPr>
      <w:r w:rsidRPr="00CD11A9">
        <w:rPr>
          <w:sz w:val="20"/>
          <w:szCs w:val="20"/>
          <w:lang w:val="en-US"/>
        </w:rPr>
        <w:t>The ancestral primates fell out of the trees; then they fell from vegetarianism into meat-eating. Then they fell from instinct into reason, and thus into technology; from simple signals into complex grammar, and thus into humanity.</w:t>
      </w:r>
      <w:r w:rsidR="00AD65E8">
        <w:rPr>
          <w:rStyle w:val="FootnoteReference"/>
          <w:sz w:val="20"/>
          <w:szCs w:val="20"/>
          <w:lang w:val="en-US"/>
        </w:rPr>
        <w:footnoteReference w:id="151"/>
      </w:r>
    </w:p>
    <w:p w14:paraId="7D915429" w14:textId="77777777" w:rsidR="005C1788" w:rsidRDefault="005C1788" w:rsidP="0027373D">
      <w:pPr>
        <w:rPr>
          <w:lang w:val="en-US"/>
        </w:rPr>
      </w:pPr>
      <w:r>
        <w:rPr>
          <w:lang w:val="en-US"/>
        </w:rPr>
        <w:lastRenderedPageBreak/>
        <w:t>This intersection of faith and empiricism is key to the harmonizing of the secular and the religious in all aspects of the Gardeners’ religion.</w:t>
      </w:r>
    </w:p>
    <w:p w14:paraId="05D7F00E" w14:textId="2B0C41F6" w:rsidR="00060D01" w:rsidRDefault="005C1788" w:rsidP="0027373D">
      <w:pPr>
        <w:rPr>
          <w:lang w:val="en-US"/>
        </w:rPr>
      </w:pPr>
      <w:r>
        <w:rPr>
          <w:lang w:val="en-US"/>
        </w:rPr>
        <w:t>The God’s Gardeners religion abides in a world where “subjugation and dominance are established as the extremes of a social hierarchy.”</w:t>
      </w:r>
      <w:r w:rsidR="00060D01">
        <w:rPr>
          <w:rStyle w:val="FootnoteReference"/>
          <w:lang w:val="en-US"/>
        </w:rPr>
        <w:footnoteReference w:id="152"/>
      </w:r>
      <w:r>
        <w:rPr>
          <w:lang w:val="en-US"/>
        </w:rPr>
        <w:t xml:space="preserve"> At the top there are the corporate bio-scientists and engineers, capable of creating new hybrid lifeforms, and extending medical well-being, while simultaneously dehumanizing the general population through the lens of mass market consumerism, their biovalue, and the </w:t>
      </w:r>
      <w:r w:rsidRPr="0060344A">
        <w:rPr>
          <w:lang w:val="en-US"/>
        </w:rPr>
        <w:t>exploitation of</w:t>
      </w:r>
      <w:r>
        <w:rPr>
          <w:u w:val="single"/>
          <w:lang w:val="en-US"/>
        </w:rPr>
        <w:t xml:space="preserve"> </w:t>
      </w:r>
      <w:r>
        <w:rPr>
          <w:lang w:val="en-US"/>
        </w:rPr>
        <w:t xml:space="preserve">the masses for medical experimentation. </w:t>
      </w:r>
      <w:r w:rsidR="00757BAB">
        <w:rPr>
          <w:lang w:val="en-US"/>
        </w:rPr>
        <w:t xml:space="preserve">These divisions are also spatially </w:t>
      </w:r>
      <w:r w:rsidR="00757BAB" w:rsidRPr="001924AD">
        <w:rPr>
          <w:lang w:val="en-US"/>
        </w:rPr>
        <w:t>reinforced</w:t>
      </w:r>
      <w:r w:rsidR="00757BAB">
        <w:rPr>
          <w:lang w:val="en-US"/>
        </w:rPr>
        <w:t xml:space="preserve">: engineers, scientists, and their families live in high security districts separated from the masses, or the Pleebmob, while the rest of the population live in the Pleeblands, disordered, practically lawless urban landscapes. </w:t>
      </w:r>
      <w:r>
        <w:rPr>
          <w:lang w:val="en-US"/>
        </w:rPr>
        <w:t>In this divided world, the weight of future doom lies heavy and is expressed through Toby’s feelings:</w:t>
      </w:r>
    </w:p>
    <w:p w14:paraId="4B569FA8" w14:textId="14FAC45F" w:rsidR="005C1788" w:rsidRDefault="005C1788" w:rsidP="00060D01">
      <w:pPr>
        <w:ind w:left="720" w:right="1138"/>
        <w:rPr>
          <w:lang w:val="en-US"/>
        </w:rPr>
      </w:pPr>
      <w:r w:rsidRPr="00060D01">
        <w:rPr>
          <w:sz w:val="20"/>
          <w:szCs w:val="20"/>
          <w:lang w:val="en-US"/>
        </w:rPr>
        <w:t>We’re using up the Earth. It’s almost gone. You can’t live with such fears and keep on whistling. […] You start wanting it to be done with. […] It never went away, even among the Gardeners. Especially – as time wore on – among the Gardeners.</w:t>
      </w:r>
      <w:r w:rsidR="00060D01">
        <w:rPr>
          <w:rStyle w:val="FootnoteReference"/>
          <w:sz w:val="20"/>
          <w:szCs w:val="20"/>
          <w:lang w:val="en-US"/>
        </w:rPr>
        <w:footnoteReference w:id="153"/>
      </w:r>
    </w:p>
    <w:p w14:paraId="5537C61F" w14:textId="4A2378E0" w:rsidR="005C1788" w:rsidRDefault="005C1788" w:rsidP="0027373D">
      <w:pPr>
        <w:rPr>
          <w:lang w:val="en-US"/>
        </w:rPr>
      </w:pPr>
      <w:r>
        <w:rPr>
          <w:lang w:val="en-US"/>
        </w:rPr>
        <w:t>Adam One’s retelling of biblical stories are necessarily subject to Kaufmann</w:t>
      </w:r>
      <w:r w:rsidRPr="00F6049A">
        <w:rPr>
          <w:color w:val="000000" w:themeColor="text1"/>
          <w:lang w:val="en-US"/>
        </w:rPr>
        <w:t>’</w:t>
      </w:r>
      <w:r>
        <w:rPr>
          <w:lang w:val="en-US"/>
        </w:rPr>
        <w:t>s “historical contingency and change.”</w:t>
      </w:r>
      <w:r w:rsidR="00D633B7">
        <w:rPr>
          <w:rStyle w:val="FootnoteReference"/>
          <w:lang w:val="en-US"/>
        </w:rPr>
        <w:footnoteReference w:id="154"/>
      </w:r>
    </w:p>
    <w:p w14:paraId="57B88826" w14:textId="53B5D917" w:rsidR="005C1788" w:rsidRPr="00B17CB1" w:rsidRDefault="005C1788" w:rsidP="00B17CB1">
      <w:pPr>
        <w:ind w:left="720" w:right="1138"/>
        <w:rPr>
          <w:sz w:val="20"/>
          <w:szCs w:val="20"/>
          <w:lang w:val="en-US"/>
        </w:rPr>
      </w:pPr>
      <w:r w:rsidRPr="00B17CB1">
        <w:rPr>
          <w:sz w:val="20"/>
          <w:szCs w:val="20"/>
          <w:lang w:val="en-US"/>
        </w:rPr>
        <w:t>Remember the first sentences of those Human Words of God: the Earth is without form, and void, and then God speaks light into being. This is the moment that Science terms “The Big Bang”, as if it were a sex orgy. Yet both accounts concur in their essence: Darkness; then, in an instant, Light.</w:t>
      </w:r>
      <w:r w:rsidR="0010418E">
        <w:rPr>
          <w:rStyle w:val="FootnoteReference"/>
          <w:sz w:val="20"/>
          <w:szCs w:val="20"/>
          <w:lang w:val="en-US"/>
        </w:rPr>
        <w:footnoteReference w:id="155"/>
      </w:r>
    </w:p>
    <w:p w14:paraId="5D4C016E" w14:textId="41220D90" w:rsidR="005C1788" w:rsidRDefault="005C1788" w:rsidP="0027373D">
      <w:pPr>
        <w:rPr>
          <w:lang w:val="en-US"/>
        </w:rPr>
      </w:pPr>
      <w:r>
        <w:rPr>
          <w:lang w:val="en-US"/>
        </w:rPr>
        <w:t xml:space="preserve">This retelling of the Bible, harmonizing ‘secular’ and ‘religious’, transgressing the dividing lines between the two, aims at persuading a scientifically adept audience (many of the God’s </w:t>
      </w:r>
      <w:r>
        <w:rPr>
          <w:lang w:val="en-US"/>
        </w:rPr>
        <w:lastRenderedPageBreak/>
        <w:t>Gardeners worked as scientists) seeking hope in a world which is illogical, unjust and segregated. The God’s Gardener religion takes advantage of Hoogheem’s over-attribution tendency to make sense of two disparate axilogies. As Del Viallano argues it aims “to recreate the link between the subject and his/her context, be it society or nature.”</w:t>
      </w:r>
      <w:r w:rsidR="001D7935">
        <w:rPr>
          <w:rStyle w:val="FootnoteReference"/>
          <w:lang w:val="en-US"/>
        </w:rPr>
        <w:footnoteReference w:id="156"/>
      </w:r>
      <w:r>
        <w:rPr>
          <w:lang w:val="en-US"/>
        </w:rPr>
        <w:t xml:space="preserve"> </w:t>
      </w:r>
    </w:p>
    <w:p w14:paraId="127539E6" w14:textId="77777777" w:rsidR="00DF030A" w:rsidRDefault="005C1788" w:rsidP="0027373D">
      <w:pPr>
        <w:rPr>
          <w:lang w:val="en-US"/>
        </w:rPr>
      </w:pPr>
      <w:r>
        <w:rPr>
          <w:lang w:val="en-US"/>
        </w:rPr>
        <w:t>The God’s Gardener religion is however, not built on irrefutable logic, as all types of inconsistencies and exceptions occur in adapting it to the living of a sustainable and reverent life. While predominately Christian in tone, it is a mix-mash of  “Taoist ideals, New Age visualizations and self-help maxims” as Hoogheem puts it.</w:t>
      </w:r>
      <w:r w:rsidR="00AC4592">
        <w:rPr>
          <w:rStyle w:val="FootnoteReference"/>
          <w:lang w:val="en-US"/>
        </w:rPr>
        <w:footnoteReference w:id="157"/>
      </w:r>
      <w:r>
        <w:rPr>
          <w:lang w:val="en-US"/>
        </w:rPr>
        <w:t xml:space="preserve"> Toby remembers the layering of political correctness over conversations in an attempt to incorporate the reverence to all creatures while still attempting to communicate in common metaphors significant to both the Exfernal and the God’s gardeners world.</w:t>
      </w:r>
      <w:r w:rsidRPr="00586A8F">
        <w:rPr>
          <w:lang w:val="en-US"/>
        </w:rPr>
        <w:t xml:space="preserve"> “‘That man is mean as a snake, no</w:t>
      </w:r>
      <w:r>
        <w:rPr>
          <w:lang w:val="en-US"/>
        </w:rPr>
        <w:t xml:space="preserve"> </w:t>
      </w:r>
      <w:r w:rsidRPr="00586A8F">
        <w:rPr>
          <w:lang w:val="en-US"/>
        </w:rPr>
        <w:t>disrespect to Snakes’ [. . .]. ‘What was our choice?’ said Zeb. ‘Let them squash us like</w:t>
      </w:r>
      <w:r>
        <w:rPr>
          <w:lang w:val="en-US"/>
        </w:rPr>
        <w:t xml:space="preserve"> </w:t>
      </w:r>
      <w:r w:rsidRPr="00586A8F">
        <w:rPr>
          <w:lang w:val="en-US"/>
        </w:rPr>
        <w:t>bugs? Not that we squash Bugs</w:t>
      </w:r>
      <w:r>
        <w:rPr>
          <w:lang w:val="en-US"/>
        </w:rPr>
        <w:t>.</w:t>
      </w:r>
      <w:r w:rsidRPr="00586A8F">
        <w:rPr>
          <w:lang w:val="en-US"/>
        </w:rPr>
        <w:t>’”</w:t>
      </w:r>
      <w:r w:rsidR="00DF030A">
        <w:rPr>
          <w:rStyle w:val="FootnoteReference"/>
          <w:lang w:val="en-US"/>
        </w:rPr>
        <w:footnoteReference w:id="158"/>
      </w:r>
      <w:r>
        <w:rPr>
          <w:lang w:val="en-US"/>
        </w:rPr>
        <w:t xml:space="preserve"> Whereas Ren recalls her childhood replete with ad hoc rationality:</w:t>
      </w:r>
    </w:p>
    <w:p w14:paraId="47DFBAD1" w14:textId="0D71D068" w:rsidR="005C1788" w:rsidRPr="00DF030A" w:rsidRDefault="005C1788" w:rsidP="00DF030A">
      <w:pPr>
        <w:ind w:left="720" w:right="1138"/>
        <w:rPr>
          <w:sz w:val="20"/>
          <w:szCs w:val="20"/>
          <w:lang w:val="en-US"/>
        </w:rPr>
      </w:pPr>
      <w:r w:rsidRPr="00DF030A">
        <w:rPr>
          <w:sz w:val="20"/>
          <w:szCs w:val="20"/>
          <w:lang w:val="en-US"/>
        </w:rPr>
        <w:t>My clothes were always dank, because of the humidity and because the Gardeners didn’t believe in dryers. ‘God made the sun for a reason,’ Nuala [one of the group’s Eves] used to say, and according to her that reason was for drying our clothes.</w:t>
      </w:r>
      <w:r w:rsidRPr="00DF030A">
        <w:rPr>
          <w:rStyle w:val="FootnoteReference"/>
          <w:sz w:val="20"/>
          <w:szCs w:val="20"/>
          <w:lang w:val="en-US"/>
        </w:rPr>
        <w:footnoteReference w:id="159"/>
      </w:r>
      <w:r w:rsidRPr="00DF030A">
        <w:rPr>
          <w:sz w:val="20"/>
          <w:szCs w:val="20"/>
          <w:lang w:val="en-US"/>
        </w:rPr>
        <w:t xml:space="preserve"> </w:t>
      </w:r>
    </w:p>
    <w:p w14:paraId="6D0EC64E" w14:textId="7E4B3800" w:rsidR="005C1788" w:rsidRDefault="005C1788" w:rsidP="0027373D">
      <w:pPr>
        <w:rPr>
          <w:lang w:val="en-US"/>
        </w:rPr>
      </w:pPr>
      <w:r>
        <w:rPr>
          <w:lang w:val="en-US"/>
        </w:rPr>
        <w:t xml:space="preserve">There exist larger contradictions too. While living in a techno-enabled world their comprehension of these technologies seems limited, at least in relation to warning their children against their use. One example includes a camera phone which Ren finds and brings home. She hides the phone, but it is later discovered. The Eves, and their reaction betrays a disconnect with comprehension. </w:t>
      </w:r>
      <w:r w:rsidRPr="007A0590">
        <w:rPr>
          <w:lang w:val="en-US"/>
        </w:rPr>
        <w:t>“Once I found a beautiful camera phone, lying on the</w:t>
      </w:r>
      <w:r>
        <w:rPr>
          <w:lang w:val="en-US"/>
        </w:rPr>
        <w:t xml:space="preserve"> </w:t>
      </w:r>
      <w:r w:rsidRPr="007A0590">
        <w:rPr>
          <w:lang w:val="en-US"/>
        </w:rPr>
        <w:t>sidewalk,” Ren remembers. “I took it home [. . .] and the Eves caught me with it. ‘Don’t</w:t>
      </w:r>
      <w:r>
        <w:rPr>
          <w:lang w:val="en-US"/>
        </w:rPr>
        <w:t xml:space="preserve"> </w:t>
      </w:r>
      <w:r w:rsidRPr="007A0590">
        <w:rPr>
          <w:lang w:val="en-US"/>
        </w:rPr>
        <w:t xml:space="preserve">you know any better?’ </w:t>
      </w:r>
      <w:r w:rsidRPr="007A0590">
        <w:rPr>
          <w:lang w:val="en-US"/>
        </w:rPr>
        <w:lastRenderedPageBreak/>
        <w:t>they said. ‘Such a thing can hurt you! It can burn your brain!</w:t>
      </w:r>
      <w:r>
        <w:rPr>
          <w:lang w:val="en-US"/>
        </w:rPr>
        <w:t xml:space="preserve"> </w:t>
      </w:r>
      <w:r w:rsidRPr="007A0590">
        <w:rPr>
          <w:lang w:val="en-US"/>
        </w:rPr>
        <w:t>Don’t even look at it: if you can see it, it can see you</w:t>
      </w:r>
      <w:r w:rsidR="004E1FF1">
        <w:rPr>
          <w:lang w:val="en-US"/>
        </w:rPr>
        <w:t>.</w:t>
      </w:r>
      <w:r w:rsidRPr="007A0590">
        <w:rPr>
          <w:lang w:val="en-US"/>
        </w:rPr>
        <w:t>’”</w:t>
      </w:r>
      <w:r>
        <w:rPr>
          <w:rStyle w:val="FootnoteReference"/>
          <w:lang w:val="en-US"/>
        </w:rPr>
        <w:footnoteReference w:id="160"/>
      </w:r>
      <w:r>
        <w:rPr>
          <w:lang w:val="en-US"/>
        </w:rPr>
        <w:t xml:space="preserve"> To further compound this reaction to technology and the Exfernal World –as they call the world beyond the confines of their homes– that even as they shun these “dangerous objects” the Adams and Eves have a laptop of their own. Their views too of the material world around them are conflicting. On one hand they make reference to the splendor of God’s majesty and beauty manifested in the world and on the other hand refer to it as a “world of useless illusion” to which one should avoid becoming “attached.”</w:t>
      </w:r>
      <w:r>
        <w:rPr>
          <w:rStyle w:val="FootnoteReference"/>
          <w:lang w:val="en-US"/>
        </w:rPr>
        <w:footnoteReference w:id="161"/>
      </w:r>
    </w:p>
    <w:p w14:paraId="6ADA8B21" w14:textId="4345D054" w:rsidR="005C1788" w:rsidRDefault="005C1788" w:rsidP="0027373D">
      <w:pPr>
        <w:rPr>
          <w:lang w:val="en-US"/>
        </w:rPr>
      </w:pPr>
      <w:r>
        <w:rPr>
          <w:lang w:val="en-US"/>
        </w:rPr>
        <w:t xml:space="preserve">How then can this mix-match and at times, more obviously contradictory religion, be seen to function adaptively? How can this attribution of additional agents assist the practitioners in adapting to their environment? It can be seen through their rigorous adherence to orthopraxis. The God’s Gardeners dedication to correct conduct is based upon years of training, starting in childhood. The children are </w:t>
      </w:r>
      <w:r w:rsidRPr="00BA7584">
        <w:rPr>
          <w:color w:val="000000" w:themeColor="text1"/>
          <w:lang w:val="en-US"/>
        </w:rPr>
        <w:t>taught</w:t>
      </w:r>
      <w:r w:rsidRPr="00B11F92">
        <w:rPr>
          <w:color w:val="FF0000"/>
          <w:lang w:val="en-US"/>
        </w:rPr>
        <w:t xml:space="preserve"> </w:t>
      </w:r>
      <w:r>
        <w:rPr>
          <w:lang w:val="en-US"/>
        </w:rPr>
        <w:t>not in the skills of their contemporary world, biology or other sciences, but rather, in essentially what amounts to survival skills. They study “Fabric Recycling,” “Culinary Arts,” “Sewing,” “Mental Arithmetic,” “bees and Mycology,” “Holistic Healing with Plant Remedies,” “Wild and Garden Botanicals,” “Meditation,” “Predator-Prey Relationships and Animal Camouflage,” “Emergency Medical,” and “The Human Reproductive System.”</w:t>
      </w:r>
      <w:r>
        <w:rPr>
          <w:rStyle w:val="FootnoteReference"/>
          <w:lang w:val="en-US"/>
        </w:rPr>
        <w:footnoteReference w:id="162"/>
      </w:r>
      <w:r>
        <w:rPr>
          <w:lang w:val="en-US"/>
        </w:rPr>
        <w:t xml:space="preserve"> These highly relevant skills enable the practitioners to be fitter in their ability to process and adapt to change, a change of biblical proportions, the long prophesized ‘Waterless Flood.’ The methodologies used in learning these skills are particularly adaptive to a near future where all technology is rendered useless. The Adams and Eves promote exhaustive memorization. It saves trees, avoids the necessity for what might become an unavailable resource in the future and importantly avoids a paper trail that their foes in CorpSeCorps might potentially use against them. It also of course, equips each practitioner with immediate access to the skills without recourse to external materials.</w:t>
      </w:r>
    </w:p>
    <w:p w14:paraId="5D18674C" w14:textId="05529925" w:rsidR="005C1788" w:rsidRDefault="005C1788" w:rsidP="0027373D">
      <w:pPr>
        <w:rPr>
          <w:noProof/>
          <w:lang w:val="en-US"/>
        </w:rPr>
      </w:pPr>
      <w:r>
        <w:rPr>
          <w:lang w:val="en-US"/>
        </w:rPr>
        <w:lastRenderedPageBreak/>
        <w:t xml:space="preserve">However, while these skills function adaptively their religious associations are not apparent. These skills and their methods of teaching can be seen as a manifestation or as side effects of their more obvious adaptive religious practices which bind their actions and practices. Privacy of any kind is prohibited, and they must work, eat and worship together. Ren shares a room divided only by a curtain made of garbage bags with her parents, through which whose lovemaking and equally noisy arguments are easily heard. Their intimate coexistence in communion with each other and the cosmos is constantly preached by Adam One and the Eves. The death of an individual is seen as an act of generosity and giving back to nature, their bodies even in death are not converted to biovalue in the </w:t>
      </w:r>
      <w:r>
        <w:rPr>
          <w:noProof/>
          <w:lang w:val="en-US"/>
        </w:rPr>
        <w:t xml:space="preserve">Green garboils discussed in chapter 2, but instead are buried in the earth under a freshly planted tree or shrub in order to offer fertilization or barring that, to offer food to the vultures. The constant threat of the </w:t>
      </w:r>
      <w:r w:rsidR="005B40F9">
        <w:rPr>
          <w:noProof/>
          <w:lang w:val="en-US"/>
        </w:rPr>
        <w:t>‘</w:t>
      </w:r>
      <w:r>
        <w:rPr>
          <w:noProof/>
          <w:lang w:val="en-US"/>
        </w:rPr>
        <w:t>Waterless Flood</w:t>
      </w:r>
      <w:r w:rsidR="005B40F9">
        <w:rPr>
          <w:noProof/>
          <w:lang w:val="en-US"/>
        </w:rPr>
        <w:t>’</w:t>
      </w:r>
      <w:r>
        <w:rPr>
          <w:noProof/>
          <w:lang w:val="en-US"/>
        </w:rPr>
        <w:t xml:space="preserve"> as an agent of destruction in the always nearing future provides the impetus to the Gardeners to band together and and to resist the temptations offered by the Exfernal world. In true Atwood fashion this reality of their beliefs is depicted through humor on the whole. In Ren’s memories we find that </w:t>
      </w:r>
      <w:r w:rsidRPr="002F161B">
        <w:rPr>
          <w:noProof/>
          <w:lang w:val="en-US"/>
        </w:rPr>
        <w:t>“The Gardeners were like that</w:t>
      </w:r>
      <w:r>
        <w:rPr>
          <w:noProof/>
          <w:lang w:val="en-US"/>
        </w:rPr>
        <w:t xml:space="preserve">, </w:t>
      </w:r>
      <w:r w:rsidRPr="002F161B">
        <w:rPr>
          <w:noProof/>
          <w:lang w:val="en-US"/>
        </w:rPr>
        <w:t>they’d tell you to do something and</w:t>
      </w:r>
      <w:r>
        <w:rPr>
          <w:noProof/>
          <w:lang w:val="en-US"/>
        </w:rPr>
        <w:t xml:space="preserve"> </w:t>
      </w:r>
      <w:r w:rsidRPr="002F161B">
        <w:rPr>
          <w:noProof/>
          <w:lang w:val="en-US"/>
        </w:rPr>
        <w:t>then prohibit the easiest way to do it</w:t>
      </w:r>
      <w:r>
        <w:rPr>
          <w:noProof/>
          <w:lang w:val="en-US"/>
        </w:rPr>
        <w:t>.</w:t>
      </w:r>
      <w:r w:rsidRPr="002F161B">
        <w:rPr>
          <w:noProof/>
          <w:lang w:val="en-US"/>
        </w:rPr>
        <w:t>”</w:t>
      </w:r>
      <w:r>
        <w:rPr>
          <w:rStyle w:val="FootnoteReference"/>
          <w:noProof/>
          <w:lang w:val="en-US"/>
        </w:rPr>
        <w:footnoteReference w:id="163"/>
      </w:r>
      <w:r>
        <w:rPr>
          <w:noProof/>
          <w:lang w:val="en-US"/>
        </w:rPr>
        <w:t xml:space="preserve"> </w:t>
      </w:r>
    </w:p>
    <w:p w14:paraId="0C3FC79F" w14:textId="5DF747E8" w:rsidR="005C1788" w:rsidRDefault="005C1788" w:rsidP="0027373D">
      <w:pPr>
        <w:rPr>
          <w:noProof/>
          <w:lang w:val="en-US"/>
        </w:rPr>
      </w:pPr>
      <w:r>
        <w:rPr>
          <w:noProof/>
          <w:lang w:val="en-US"/>
        </w:rPr>
        <w:t xml:space="preserve">In addition to the shared sense of impending doom, a sense of interdependance with each other and the earth and the shunning of privacy the God’s gardeners partake in a variety of artistic endeavours, most noticeably singing and theatre. Ellen Dissnayake in </w:t>
      </w:r>
      <w:r w:rsidRPr="00F00A49">
        <w:rPr>
          <w:i/>
          <w:iCs/>
          <w:noProof/>
          <w:lang w:val="en-US"/>
        </w:rPr>
        <w:t>Art and Intimacy: How The Arts Began</w:t>
      </w:r>
      <w:r>
        <w:rPr>
          <w:noProof/>
          <w:lang w:val="en-US"/>
        </w:rPr>
        <w:t xml:space="preserve"> (2012) argues that while in contemporary society choice of identies are wider and “unfixed”, they are short lived and “[t]here is no guarantee of permanent membership.”</w:t>
      </w:r>
      <w:r w:rsidR="005469C6">
        <w:rPr>
          <w:rStyle w:val="FootnoteReference"/>
          <w:noProof/>
          <w:lang w:val="en-US"/>
        </w:rPr>
        <w:footnoteReference w:id="164"/>
      </w:r>
      <w:r>
        <w:rPr>
          <w:noProof/>
          <w:lang w:val="en-US"/>
        </w:rPr>
        <w:t xml:space="preserve"> She explores the lack of initiation rites “through art-filled ceremonies”</w:t>
      </w:r>
      <w:r w:rsidR="005469C6">
        <w:rPr>
          <w:rStyle w:val="FootnoteReference"/>
          <w:noProof/>
          <w:lang w:val="en-US"/>
        </w:rPr>
        <w:footnoteReference w:id="165"/>
      </w:r>
      <w:r>
        <w:rPr>
          <w:noProof/>
          <w:lang w:val="en-US"/>
        </w:rPr>
        <w:t xml:space="preserve"> in contemporary society and the subsequent lack of group identity and a sense of belonging. And while the contemporay offers choice Dissnayke claims “these choices are too often cofined to choosing among various </w:t>
      </w:r>
      <w:r>
        <w:rPr>
          <w:noProof/>
          <w:lang w:val="en-US"/>
        </w:rPr>
        <w:lastRenderedPageBreak/>
        <w:t>consumer goods, pastimes, and ‘life-styles.’”</w:t>
      </w:r>
      <w:r w:rsidR="00C42680">
        <w:rPr>
          <w:rStyle w:val="FootnoteReference"/>
          <w:noProof/>
          <w:lang w:val="en-US"/>
        </w:rPr>
        <w:footnoteReference w:id="166"/>
      </w:r>
      <w:r>
        <w:rPr>
          <w:noProof/>
          <w:lang w:val="en-US"/>
        </w:rPr>
        <w:t xml:space="preserve"> We see this clearly reflected in the Exfernal world surrounding the Gardeners and as Dissnayake posits their “belonging and sense of identity are […] in the very nature of collaborative arts such as musical ensembles and the ‘theatre arts.’”</w:t>
      </w:r>
      <w:r>
        <w:rPr>
          <w:rStyle w:val="FootnoteReference"/>
          <w:noProof/>
          <w:lang w:val="en-US"/>
        </w:rPr>
        <w:footnoteReference w:id="167"/>
      </w:r>
      <w:r>
        <w:rPr>
          <w:noProof/>
          <w:lang w:val="en-US"/>
        </w:rPr>
        <w:t xml:space="preserve"> The creation of identity and the sense of belonging through these shared events is most evident in the Gardeners use of song and group singing. In </w:t>
      </w:r>
      <w:r w:rsidRPr="006C3B7E">
        <w:rPr>
          <w:i/>
          <w:iCs/>
          <w:noProof/>
          <w:lang w:val="en-US"/>
        </w:rPr>
        <w:t>The Year of the Flood</w:t>
      </w:r>
      <w:r>
        <w:rPr>
          <w:noProof/>
          <w:lang w:val="en-US"/>
        </w:rPr>
        <w:t xml:space="preserve"> there are more than a dozen excerpts from </w:t>
      </w:r>
      <w:r w:rsidRPr="006C3B7E">
        <w:rPr>
          <w:i/>
          <w:iCs/>
          <w:noProof/>
          <w:lang w:val="en-US"/>
        </w:rPr>
        <w:t>The God’s Gardeners Oral Hymnbook</w:t>
      </w:r>
      <w:r>
        <w:rPr>
          <w:noProof/>
          <w:lang w:val="en-US"/>
        </w:rPr>
        <w:t xml:space="preserve">. They are used to identify, guide, and instruct the practicioners. </w:t>
      </w:r>
      <w:r w:rsidR="009C2ABA">
        <w:rPr>
          <w:noProof/>
          <w:lang w:val="en-US"/>
        </w:rPr>
        <w:t xml:space="preserve">While it can be argued these </w:t>
      </w:r>
      <w:r w:rsidR="00140A5F">
        <w:rPr>
          <w:noProof/>
          <w:lang w:val="en-US"/>
        </w:rPr>
        <w:t>hymns are aimed at all levels of the</w:t>
      </w:r>
      <w:r w:rsidR="00C149FC">
        <w:rPr>
          <w:noProof/>
          <w:lang w:val="en-US"/>
        </w:rPr>
        <w:t>ir</w:t>
      </w:r>
      <w:r w:rsidR="00140A5F">
        <w:rPr>
          <w:noProof/>
          <w:lang w:val="en-US"/>
        </w:rPr>
        <w:t xml:space="preserve"> society and therefore simplistic in their nature, there </w:t>
      </w:r>
      <w:r w:rsidR="00C149FC">
        <w:rPr>
          <w:noProof/>
          <w:lang w:val="en-US"/>
        </w:rPr>
        <w:t>is</w:t>
      </w:r>
      <w:r w:rsidR="00140A5F">
        <w:rPr>
          <w:noProof/>
          <w:lang w:val="en-US"/>
        </w:rPr>
        <w:t xml:space="preserve"> a certain hollowness to them. The dystopic environment limits the crea</w:t>
      </w:r>
      <w:r w:rsidR="001E25AA">
        <w:rPr>
          <w:noProof/>
          <w:lang w:val="en-US"/>
        </w:rPr>
        <w:t xml:space="preserve">tion of deeper </w:t>
      </w:r>
      <w:r w:rsidR="00A829B9">
        <w:rPr>
          <w:noProof/>
          <w:lang w:val="en-US"/>
        </w:rPr>
        <w:t xml:space="preserve">cultural productions and reflects the Atwood’s lament </w:t>
      </w:r>
      <w:r w:rsidR="004E11E8">
        <w:rPr>
          <w:noProof/>
          <w:lang w:val="en-US"/>
        </w:rPr>
        <w:t xml:space="preserve">for language </w:t>
      </w:r>
      <w:r w:rsidR="00A829B9">
        <w:rPr>
          <w:noProof/>
          <w:lang w:val="en-US"/>
        </w:rPr>
        <w:t>a</w:t>
      </w:r>
      <w:r w:rsidR="00583F0D">
        <w:rPr>
          <w:noProof/>
          <w:lang w:val="en-US"/>
        </w:rPr>
        <w:t>s</w:t>
      </w:r>
      <w:r w:rsidR="00A829B9">
        <w:rPr>
          <w:noProof/>
          <w:lang w:val="en-US"/>
        </w:rPr>
        <w:t xml:space="preserve"> discussed in chapter 3. </w:t>
      </w:r>
      <w:r>
        <w:rPr>
          <w:noProof/>
          <w:lang w:val="en-US"/>
        </w:rPr>
        <w:t xml:space="preserve">These hymns are sung as a means to create cohesion and deepen the metanarratives of the group. Some are used to illustrate the interdependance of the </w:t>
      </w:r>
      <w:r>
        <w:rPr>
          <w:lang w:val="en-US"/>
        </w:rPr>
        <w:t>Gardeners</w:t>
      </w:r>
      <w:r>
        <w:rPr>
          <w:noProof/>
          <w:lang w:val="en-US"/>
        </w:rPr>
        <w:t xml:space="preserve"> and their surroundings:</w:t>
      </w:r>
    </w:p>
    <w:p w14:paraId="05D9DFA7" w14:textId="77777777" w:rsidR="005C1788" w:rsidRPr="00062CCC" w:rsidRDefault="005C1788" w:rsidP="00062CCC">
      <w:pPr>
        <w:ind w:left="720"/>
        <w:rPr>
          <w:noProof/>
          <w:sz w:val="20"/>
          <w:szCs w:val="20"/>
          <w:lang w:val="en-US"/>
        </w:rPr>
      </w:pPr>
      <w:r w:rsidRPr="00062CCC">
        <w:rPr>
          <w:noProof/>
          <w:sz w:val="20"/>
          <w:szCs w:val="20"/>
          <w:lang w:val="en-US"/>
        </w:rPr>
        <w:t>Oh Garden, oh my Garden,</w:t>
      </w:r>
    </w:p>
    <w:p w14:paraId="1265C8B0" w14:textId="77777777" w:rsidR="005C1788" w:rsidRPr="00062CCC" w:rsidRDefault="005C1788" w:rsidP="00062CCC">
      <w:pPr>
        <w:ind w:left="720"/>
        <w:rPr>
          <w:noProof/>
          <w:sz w:val="20"/>
          <w:szCs w:val="20"/>
          <w:lang w:val="en-US"/>
        </w:rPr>
      </w:pPr>
      <w:r w:rsidRPr="00062CCC">
        <w:rPr>
          <w:noProof/>
          <w:sz w:val="20"/>
          <w:szCs w:val="20"/>
          <w:lang w:val="en-US"/>
        </w:rPr>
        <w:t>I’ll mourn forevermore</w:t>
      </w:r>
    </w:p>
    <w:p w14:paraId="65D0B232" w14:textId="77777777" w:rsidR="005C1788" w:rsidRPr="00062CCC" w:rsidRDefault="005C1788" w:rsidP="00062CCC">
      <w:pPr>
        <w:ind w:left="720"/>
        <w:rPr>
          <w:noProof/>
          <w:sz w:val="20"/>
          <w:szCs w:val="20"/>
          <w:lang w:val="en-US"/>
        </w:rPr>
      </w:pPr>
      <w:r w:rsidRPr="00062CCC">
        <w:rPr>
          <w:noProof/>
          <w:sz w:val="20"/>
          <w:szCs w:val="20"/>
          <w:lang w:val="en-US"/>
        </w:rPr>
        <w:t>Until the Gardeners arise,</w:t>
      </w:r>
    </w:p>
    <w:p w14:paraId="12511317" w14:textId="77777777" w:rsidR="005C1788" w:rsidRPr="00062CCC" w:rsidRDefault="005C1788" w:rsidP="00062CCC">
      <w:pPr>
        <w:ind w:left="720"/>
        <w:rPr>
          <w:noProof/>
          <w:sz w:val="20"/>
          <w:szCs w:val="20"/>
          <w:lang w:val="en-US"/>
        </w:rPr>
      </w:pPr>
      <w:r w:rsidRPr="00062CCC">
        <w:rPr>
          <w:noProof/>
          <w:sz w:val="20"/>
          <w:szCs w:val="20"/>
          <w:lang w:val="en-US"/>
        </w:rPr>
        <w:t>And you to Life restore</w:t>
      </w:r>
      <w:r w:rsidRPr="00062CCC">
        <w:rPr>
          <w:rStyle w:val="FootnoteReference"/>
          <w:noProof/>
          <w:sz w:val="20"/>
          <w:szCs w:val="20"/>
          <w:lang w:val="en-US"/>
        </w:rPr>
        <w:footnoteReference w:id="168"/>
      </w:r>
    </w:p>
    <w:p w14:paraId="4B56148C" w14:textId="77777777" w:rsidR="005C1788" w:rsidRPr="00063506" w:rsidRDefault="005C1788" w:rsidP="0027373D">
      <w:pPr>
        <w:rPr>
          <w:noProof/>
          <w:lang w:val="en-US"/>
        </w:rPr>
      </w:pPr>
      <w:r w:rsidRPr="00063506">
        <w:rPr>
          <w:noProof/>
          <w:lang w:val="en-US"/>
        </w:rPr>
        <w:t xml:space="preserve">Some </w:t>
      </w:r>
      <w:r>
        <w:rPr>
          <w:noProof/>
          <w:lang w:val="en-US"/>
        </w:rPr>
        <w:t>offer</w:t>
      </w:r>
      <w:r w:rsidRPr="00063506">
        <w:rPr>
          <w:noProof/>
          <w:lang w:val="en-US"/>
        </w:rPr>
        <w:t xml:space="preserve"> moral</w:t>
      </w:r>
      <w:r>
        <w:rPr>
          <w:noProof/>
          <w:lang w:val="en-US"/>
        </w:rPr>
        <w:t xml:space="preserve"> teachings</w:t>
      </w:r>
      <w:r w:rsidRPr="00063506">
        <w:rPr>
          <w:noProof/>
          <w:lang w:val="en-US"/>
        </w:rPr>
        <w:t>:</w:t>
      </w:r>
    </w:p>
    <w:p w14:paraId="405F2BBB" w14:textId="77777777" w:rsidR="005C1788" w:rsidRPr="00062CCC" w:rsidRDefault="005C1788" w:rsidP="00062CCC">
      <w:pPr>
        <w:ind w:left="720"/>
        <w:rPr>
          <w:noProof/>
          <w:sz w:val="20"/>
          <w:szCs w:val="20"/>
          <w:lang w:val="en-US"/>
        </w:rPr>
      </w:pPr>
      <w:r w:rsidRPr="00062CCC">
        <w:rPr>
          <w:noProof/>
          <w:sz w:val="20"/>
          <w:szCs w:val="20"/>
          <w:lang w:val="en-US"/>
        </w:rPr>
        <w:t>Oh let me not be proud, dear Lord,</w:t>
      </w:r>
    </w:p>
    <w:p w14:paraId="1E1D7BDA" w14:textId="77777777" w:rsidR="005C1788" w:rsidRPr="00062CCC" w:rsidRDefault="005C1788" w:rsidP="00062CCC">
      <w:pPr>
        <w:ind w:left="720"/>
        <w:rPr>
          <w:noProof/>
          <w:sz w:val="20"/>
          <w:szCs w:val="20"/>
          <w:lang w:val="en-US"/>
        </w:rPr>
      </w:pPr>
      <w:r w:rsidRPr="00062CCC">
        <w:rPr>
          <w:noProof/>
          <w:sz w:val="20"/>
          <w:szCs w:val="20"/>
          <w:lang w:val="en-US"/>
        </w:rPr>
        <w:t>Nor rank myself above</w:t>
      </w:r>
    </w:p>
    <w:p w14:paraId="6C2528A5" w14:textId="77777777" w:rsidR="005C1788" w:rsidRPr="00062CCC" w:rsidRDefault="005C1788" w:rsidP="00062CCC">
      <w:pPr>
        <w:ind w:left="720"/>
        <w:rPr>
          <w:noProof/>
          <w:sz w:val="20"/>
          <w:szCs w:val="20"/>
          <w:lang w:val="en-US"/>
        </w:rPr>
      </w:pPr>
      <w:r w:rsidRPr="00062CCC">
        <w:rPr>
          <w:noProof/>
          <w:sz w:val="20"/>
          <w:szCs w:val="20"/>
          <w:lang w:val="en-US"/>
        </w:rPr>
        <w:t>The other Primates, through whose genes</w:t>
      </w:r>
    </w:p>
    <w:p w14:paraId="68952299" w14:textId="77777777" w:rsidR="005C1788" w:rsidRPr="00062CCC" w:rsidRDefault="005C1788" w:rsidP="00062CCC">
      <w:pPr>
        <w:ind w:left="720"/>
        <w:rPr>
          <w:noProof/>
          <w:sz w:val="20"/>
          <w:szCs w:val="20"/>
          <w:lang w:val="en-US"/>
        </w:rPr>
      </w:pPr>
      <w:r w:rsidRPr="00062CCC">
        <w:rPr>
          <w:noProof/>
          <w:sz w:val="20"/>
          <w:szCs w:val="20"/>
          <w:lang w:val="en-US"/>
        </w:rPr>
        <w:t>We grew into your love</w:t>
      </w:r>
      <w:r w:rsidRPr="00062CCC">
        <w:rPr>
          <w:rStyle w:val="FootnoteReference"/>
          <w:noProof/>
          <w:sz w:val="20"/>
          <w:szCs w:val="20"/>
          <w:lang w:val="en-US"/>
        </w:rPr>
        <w:footnoteReference w:id="169"/>
      </w:r>
    </w:p>
    <w:p w14:paraId="3C5D2DB6" w14:textId="77777777" w:rsidR="005C1788" w:rsidRDefault="005C1788" w:rsidP="0027373D">
      <w:pPr>
        <w:rPr>
          <w:noProof/>
          <w:lang w:val="en-US"/>
        </w:rPr>
      </w:pPr>
      <w:r>
        <w:rPr>
          <w:noProof/>
          <w:lang w:val="en-US"/>
        </w:rPr>
        <w:t>Where as others make clear rules of the religion:</w:t>
      </w:r>
    </w:p>
    <w:p w14:paraId="5DAF68B2" w14:textId="77777777" w:rsidR="005C1788" w:rsidRPr="00062CCC" w:rsidRDefault="005C1788" w:rsidP="00062CCC">
      <w:pPr>
        <w:ind w:left="720"/>
        <w:rPr>
          <w:noProof/>
          <w:sz w:val="20"/>
          <w:szCs w:val="20"/>
          <w:lang w:val="en-US"/>
        </w:rPr>
      </w:pPr>
      <w:r w:rsidRPr="00062CCC">
        <w:rPr>
          <w:noProof/>
          <w:sz w:val="20"/>
          <w:szCs w:val="20"/>
          <w:lang w:val="en-US"/>
        </w:rPr>
        <w:t>But we are not as Animals—</w:t>
      </w:r>
    </w:p>
    <w:p w14:paraId="2D505CBE" w14:textId="77777777" w:rsidR="005C1788" w:rsidRPr="00062CCC" w:rsidRDefault="005C1788" w:rsidP="00062CCC">
      <w:pPr>
        <w:ind w:left="720"/>
        <w:rPr>
          <w:noProof/>
          <w:sz w:val="20"/>
          <w:szCs w:val="20"/>
          <w:lang w:val="en-US"/>
        </w:rPr>
      </w:pPr>
      <w:r w:rsidRPr="00062CCC">
        <w:rPr>
          <w:noProof/>
          <w:sz w:val="20"/>
          <w:szCs w:val="20"/>
          <w:lang w:val="en-US"/>
        </w:rPr>
        <w:t>We cherish other Creatures’ lives;</w:t>
      </w:r>
    </w:p>
    <w:p w14:paraId="7F02A3F6" w14:textId="77777777" w:rsidR="005C1788" w:rsidRPr="00062CCC" w:rsidRDefault="005C1788" w:rsidP="00062CCC">
      <w:pPr>
        <w:ind w:left="720"/>
        <w:rPr>
          <w:noProof/>
          <w:sz w:val="20"/>
          <w:szCs w:val="20"/>
          <w:lang w:val="en-US"/>
        </w:rPr>
      </w:pPr>
      <w:r w:rsidRPr="00062CCC">
        <w:rPr>
          <w:noProof/>
          <w:sz w:val="20"/>
          <w:szCs w:val="20"/>
          <w:lang w:val="en-US"/>
        </w:rPr>
        <w:lastRenderedPageBreak/>
        <w:t>And so we do not eat their flesh</w:t>
      </w:r>
    </w:p>
    <w:p w14:paraId="23590463" w14:textId="77777777" w:rsidR="005C1788" w:rsidRPr="00062CCC" w:rsidRDefault="005C1788" w:rsidP="00062CCC">
      <w:pPr>
        <w:ind w:left="720"/>
        <w:rPr>
          <w:noProof/>
          <w:sz w:val="20"/>
          <w:szCs w:val="20"/>
          <w:lang w:val="en-US"/>
        </w:rPr>
      </w:pPr>
      <w:r w:rsidRPr="00062CCC">
        <w:rPr>
          <w:noProof/>
          <w:sz w:val="20"/>
          <w:szCs w:val="20"/>
          <w:lang w:val="en-US"/>
        </w:rPr>
        <w:t>Unless dread Famine drives</w:t>
      </w:r>
      <w:r w:rsidRPr="00062CCC">
        <w:rPr>
          <w:rStyle w:val="FootnoteReference"/>
          <w:noProof/>
          <w:sz w:val="20"/>
          <w:szCs w:val="20"/>
          <w:lang w:val="en-US"/>
        </w:rPr>
        <w:footnoteReference w:id="170"/>
      </w:r>
    </w:p>
    <w:p w14:paraId="290A12B9" w14:textId="54425D68" w:rsidR="00F047E9" w:rsidRDefault="005C1788" w:rsidP="0027373D">
      <w:pPr>
        <w:rPr>
          <w:lang w:val="en-US"/>
        </w:rPr>
      </w:pPr>
      <w:r>
        <w:rPr>
          <w:noProof/>
          <w:lang w:val="en-US"/>
        </w:rPr>
        <w:t xml:space="preserve">The prophecy of the ‘Waterless Flood’ can be read as both a belief and a </w:t>
      </w:r>
      <w:r w:rsidRPr="00A4176B">
        <w:rPr>
          <w:noProof/>
          <w:color w:val="000000" w:themeColor="text1"/>
          <w:lang w:val="en-US"/>
        </w:rPr>
        <w:t>strategy</w:t>
      </w:r>
      <w:r>
        <w:rPr>
          <w:noProof/>
          <w:lang w:val="en-US"/>
        </w:rPr>
        <w:t xml:space="preserve"> for Adam One. He explains to Toby </w:t>
      </w:r>
      <w:r w:rsidRPr="0072605D">
        <w:rPr>
          <w:lang w:val="en-US"/>
        </w:rPr>
        <w:t>“‘There’s a penalty without God in the</w:t>
      </w:r>
      <w:r>
        <w:rPr>
          <w:lang w:val="en-US"/>
        </w:rPr>
        <w:t xml:space="preserve"> </w:t>
      </w:r>
      <w:r w:rsidRPr="0072605D">
        <w:rPr>
          <w:lang w:val="en-US"/>
        </w:rPr>
        <w:t>story too, needless to say. But people are less likely to credit that. If there’s a penalty,</w:t>
      </w:r>
      <w:r>
        <w:rPr>
          <w:lang w:val="en-US"/>
        </w:rPr>
        <w:t xml:space="preserve"> </w:t>
      </w:r>
      <w:r w:rsidRPr="0072605D">
        <w:rPr>
          <w:lang w:val="en-US"/>
        </w:rPr>
        <w:t>they want a penalizer. They dislike senseless catastrophe’”</w:t>
      </w:r>
      <w:r>
        <w:rPr>
          <w:rStyle w:val="FootnoteReference"/>
          <w:lang w:val="en-US"/>
        </w:rPr>
        <w:footnoteReference w:id="171"/>
      </w:r>
      <w:r w:rsidRPr="0072605D">
        <w:rPr>
          <w:lang w:val="en-US"/>
        </w:rPr>
        <w:t xml:space="preserve"> </w:t>
      </w:r>
      <w:r>
        <w:rPr>
          <w:lang w:val="en-US"/>
        </w:rPr>
        <w:t xml:space="preserve">The veracity of the belief is held in question, but as Sloan Wilson argues it need not be true in order to be adaptive. When the ‘Waterless Flood’ does arrive, the survivors, </w:t>
      </w:r>
      <w:r w:rsidRPr="00AA09BC">
        <w:rPr>
          <w:i/>
          <w:iCs/>
          <w:lang w:val="en-US"/>
        </w:rPr>
        <w:t>because</w:t>
      </w:r>
      <w:r>
        <w:rPr>
          <w:lang w:val="en-US"/>
        </w:rPr>
        <w:t xml:space="preserve"> of their religious practices are better suited to their environment. This is not only due to their training in survival skills but because of the cohesion and identity which their religion has imparted. The God’s Gardeners through the deconstruction of the binary opposing meanings of ‘secular’ and ‘religious’ have participated in an adaptive belief system, and through the attribution of agency to their God, they are better prepared to survive in the world devastated by Crake’s virus but also and perhaps more importantly are in a better position to take advantage and prosper in this second retreat of the flood.</w:t>
      </w:r>
    </w:p>
    <w:p w14:paraId="11064BCE" w14:textId="77777777" w:rsidR="00F047E9" w:rsidRDefault="00F047E9">
      <w:pPr>
        <w:spacing w:after="160" w:line="259" w:lineRule="auto"/>
        <w:rPr>
          <w:lang w:val="en-US"/>
        </w:rPr>
      </w:pPr>
      <w:r>
        <w:rPr>
          <w:lang w:val="en-US"/>
        </w:rPr>
        <w:br w:type="page"/>
      </w:r>
    </w:p>
    <w:p w14:paraId="54950597" w14:textId="77777777" w:rsidR="000369B5" w:rsidRDefault="000369B5" w:rsidP="00732AA5">
      <w:pPr>
        <w:pStyle w:val="Heading1"/>
        <w:sectPr w:rsidR="000369B5" w:rsidSect="001D2E74">
          <w:footnotePr>
            <w:numRestart w:val="eachSect"/>
          </w:footnotePr>
          <w:type w:val="continuous"/>
          <w:pgSz w:w="12240" w:h="15840"/>
          <w:pgMar w:top="1440" w:right="1440" w:bottom="1440" w:left="1440" w:header="720" w:footer="720" w:gutter="0"/>
          <w:cols w:space="720"/>
          <w:titlePg/>
          <w:docGrid w:linePitch="360"/>
        </w:sectPr>
      </w:pPr>
      <w:bookmarkStart w:id="16" w:name="_Toc52308275"/>
    </w:p>
    <w:p w14:paraId="2A2A3DA3" w14:textId="376FBC3B" w:rsidR="00C60761" w:rsidRPr="00351E9B" w:rsidRDefault="004877DF" w:rsidP="00732AA5">
      <w:pPr>
        <w:pStyle w:val="Heading1"/>
      </w:pPr>
      <w:r>
        <w:lastRenderedPageBreak/>
        <w:t xml:space="preserve">Concluding </w:t>
      </w:r>
      <w:r w:rsidR="00681890">
        <w:t xml:space="preserve">with a </w:t>
      </w:r>
      <w:r w:rsidR="00C60761" w:rsidRPr="00351E9B">
        <w:t>Critique of the Apocalypse.</w:t>
      </w:r>
      <w:bookmarkEnd w:id="16"/>
    </w:p>
    <w:p w14:paraId="318B4C9D" w14:textId="77777777" w:rsidR="00C60761" w:rsidRPr="00351E9B" w:rsidRDefault="00C60761" w:rsidP="0027373D"/>
    <w:p w14:paraId="4806F7EE" w14:textId="1B8889AD" w:rsidR="00C60761" w:rsidRPr="00403DF6" w:rsidRDefault="00E223B0" w:rsidP="00403DF6">
      <w:pPr>
        <w:ind w:left="1440"/>
        <w:jc w:val="right"/>
        <w:rPr>
          <w:sz w:val="20"/>
          <w:szCs w:val="20"/>
        </w:rPr>
      </w:pPr>
      <w:r>
        <w:rPr>
          <w:sz w:val="20"/>
          <w:szCs w:val="20"/>
        </w:rPr>
        <w:t>“</w:t>
      </w:r>
      <w:r w:rsidR="00C60761" w:rsidRPr="00403DF6">
        <w:rPr>
          <w:sz w:val="20"/>
          <w:szCs w:val="20"/>
        </w:rPr>
        <w:t xml:space="preserve">The </w:t>
      </w:r>
      <w:r w:rsidR="00C60761" w:rsidRPr="00403DF6">
        <w:rPr>
          <w:i/>
          <w:iCs/>
          <w:sz w:val="20"/>
          <w:szCs w:val="20"/>
        </w:rPr>
        <w:t>what if</w:t>
      </w:r>
      <w:r w:rsidR="00C60761" w:rsidRPr="00403DF6">
        <w:rPr>
          <w:sz w:val="20"/>
          <w:szCs w:val="20"/>
        </w:rPr>
        <w:t xml:space="preserve"> of Oryx and Crake is simply, </w:t>
      </w:r>
      <w:r w:rsidR="003A3B63">
        <w:rPr>
          <w:sz w:val="20"/>
          <w:szCs w:val="20"/>
        </w:rPr>
        <w:t>w</w:t>
      </w:r>
      <w:r w:rsidR="00C60761" w:rsidRPr="00403DF6">
        <w:rPr>
          <w:sz w:val="20"/>
          <w:szCs w:val="20"/>
        </w:rPr>
        <w:t>hat if we continue down the road we’re already on? How slippery is the slope? What are our saving graces? Who’s got the will to stop us?</w:t>
      </w:r>
      <w:r>
        <w:rPr>
          <w:sz w:val="20"/>
          <w:szCs w:val="20"/>
        </w:rPr>
        <w:t>”</w:t>
      </w:r>
    </w:p>
    <w:p w14:paraId="4E623795" w14:textId="77777777" w:rsidR="00C60761" w:rsidRPr="00351E9B" w:rsidRDefault="00C60761" w:rsidP="00403DF6">
      <w:pPr>
        <w:ind w:left="720"/>
        <w:jc w:val="right"/>
      </w:pPr>
      <w:r w:rsidRPr="00403DF6">
        <w:rPr>
          <w:sz w:val="20"/>
          <w:szCs w:val="20"/>
        </w:rPr>
        <w:t>~Margaret Atwood</w:t>
      </w:r>
      <w:r w:rsidRPr="00351E9B">
        <w:rPr>
          <w:rStyle w:val="FootnoteReference"/>
        </w:rPr>
        <w:footnoteReference w:id="172"/>
      </w:r>
    </w:p>
    <w:p w14:paraId="28FB2BF7" w14:textId="77777777" w:rsidR="00C60761" w:rsidRPr="00351E9B" w:rsidRDefault="00C60761" w:rsidP="0027373D"/>
    <w:p w14:paraId="3D1B33D6" w14:textId="77777777" w:rsidR="007733A9" w:rsidRDefault="00C60761" w:rsidP="0027373D">
      <w:r w:rsidRPr="00351E9B">
        <w:t xml:space="preserve">In this </w:t>
      </w:r>
      <w:r w:rsidR="00F047E9">
        <w:t xml:space="preserve">concluding </w:t>
      </w:r>
      <w:r w:rsidRPr="00351E9B">
        <w:t xml:space="preserve">chapter </w:t>
      </w:r>
      <w:r w:rsidR="001F33C6">
        <w:t xml:space="preserve">I contextualise Atwood’s term ustopia </w:t>
      </w:r>
      <w:r w:rsidR="000739C8">
        <w:t xml:space="preserve">and </w:t>
      </w:r>
      <w:r w:rsidRPr="00351E9B">
        <w:t xml:space="preserve">propose that the pre-apocalypse world recounted in the </w:t>
      </w:r>
      <w:r w:rsidRPr="00351E9B">
        <w:rPr>
          <w:i/>
          <w:iCs/>
        </w:rPr>
        <w:t xml:space="preserve">Maddaddam </w:t>
      </w:r>
      <w:r w:rsidRPr="00351E9B">
        <w:t>trilogy can be read as a critical dystopia</w:t>
      </w:r>
      <w:r w:rsidR="007733A9">
        <w:t xml:space="preserve"> which offers hope through the opening of possibilities and options for the (post)Anthropocene world</w:t>
      </w:r>
      <w:r w:rsidRPr="00351E9B">
        <w:t>.</w:t>
      </w:r>
    </w:p>
    <w:p w14:paraId="015C21C6" w14:textId="77777777" w:rsidR="003C21D1" w:rsidRDefault="003C21D1" w:rsidP="0027373D"/>
    <w:p w14:paraId="0083618E" w14:textId="77777777" w:rsidR="003C21D1" w:rsidRDefault="003C21D1" w:rsidP="003C21D1">
      <w:pPr>
        <w:pStyle w:val="Heading2"/>
      </w:pPr>
      <w:r>
        <w:t>Contextualizing ‘</w:t>
      </w:r>
      <w:proofErr w:type="spellStart"/>
      <w:r>
        <w:t>Ustopia’</w:t>
      </w:r>
      <w:proofErr w:type="spellEnd"/>
    </w:p>
    <w:p w14:paraId="46D27E98" w14:textId="37D1A3BD" w:rsidR="00C60761" w:rsidRPr="00351E9B" w:rsidRDefault="00C60761" w:rsidP="0027373D">
      <w:r w:rsidRPr="00351E9B">
        <w:t xml:space="preserve">In the first chapter I explored the development of utopianism and outlined a brief mapping of the two binary opposing territories of utopia and dystopia, the former populated by works such as More’s </w:t>
      </w:r>
      <w:r w:rsidRPr="00351E9B">
        <w:rPr>
          <w:i/>
          <w:iCs/>
        </w:rPr>
        <w:t>Utopia</w:t>
      </w:r>
      <w:r w:rsidRPr="00351E9B">
        <w:t xml:space="preserve">, and Plato’s </w:t>
      </w:r>
      <w:r w:rsidRPr="00351E9B">
        <w:rPr>
          <w:i/>
          <w:iCs/>
        </w:rPr>
        <w:t>Republic,</w:t>
      </w:r>
      <w:r w:rsidRPr="00351E9B">
        <w:t xml:space="preserve"> the later represented by Aldous Huxley’s </w:t>
      </w:r>
      <w:r w:rsidRPr="00351E9B">
        <w:rPr>
          <w:i/>
          <w:iCs/>
        </w:rPr>
        <w:t xml:space="preserve">Brave New World </w:t>
      </w:r>
      <w:r w:rsidRPr="00351E9B">
        <w:t xml:space="preserve">(1932) and George Orwell’s </w:t>
      </w:r>
      <w:r w:rsidRPr="00351E9B">
        <w:rPr>
          <w:i/>
          <w:iCs/>
        </w:rPr>
        <w:t xml:space="preserve">Nineteen Eighty-Four </w:t>
      </w:r>
      <w:r w:rsidRPr="00351E9B">
        <w:t>(1949). The utopian focuses on a socio-political critique of the contemporary and desires a better world. Whereas the dystopian critiques through degradation of the contemporary, by underlining that which is worse. Atwood’s “[u]stopia is a word [she] made up by combining utopia and dystopia—the imagined perfect society and its opposite—because, in [her] view, each contains a latent version of the other.”</w:t>
      </w:r>
      <w:r w:rsidRPr="00351E9B">
        <w:rPr>
          <w:rStyle w:val="FootnoteReference"/>
        </w:rPr>
        <w:footnoteReference w:id="173"/>
      </w:r>
      <w:r w:rsidRPr="00351E9B">
        <w:t xml:space="preserve"> I introduced Carmen-Veronica Borbély and Petronia Popa Petrar reading of ‘ustopia’ as “the reciprocal relation between utopian and dystopian thought” and that it “commingles, in its dissolution of the generic boundaries between utopia and dystopia, the obverse and reverse sides the same coin.”</w:t>
      </w:r>
      <w:r w:rsidRPr="00351E9B">
        <w:rPr>
          <w:rStyle w:val="FootnoteReference"/>
        </w:rPr>
        <w:footnoteReference w:id="174"/>
      </w:r>
      <w:r w:rsidRPr="00351E9B">
        <w:t xml:space="preserve"> In order to explore further this ‘commingling’, this ‘reciprocal relation’ and </w:t>
      </w:r>
      <w:r w:rsidRPr="00351E9B">
        <w:lastRenderedPageBreak/>
        <w:t xml:space="preserve">explore Atwood’s </w:t>
      </w:r>
      <w:r w:rsidRPr="004F2886">
        <w:rPr>
          <w:i/>
          <w:iCs/>
        </w:rPr>
        <w:t>Maddaddam</w:t>
      </w:r>
      <w:r w:rsidRPr="00351E9B">
        <w:t xml:space="preserve"> Trilogy’s central critique of the apocalypse, it is first useful to turn to Tom Moylan’s </w:t>
      </w:r>
      <w:r w:rsidRPr="00351E9B">
        <w:rPr>
          <w:i/>
          <w:iCs/>
        </w:rPr>
        <w:t>Demand the Impossible: Science Fiction and the Utopian Imagination</w:t>
      </w:r>
      <w:r w:rsidRPr="00351E9B">
        <w:t xml:space="preserve"> (2014) and his exploration of the term ‘critical utopia.’</w:t>
      </w:r>
    </w:p>
    <w:p w14:paraId="144F5B39" w14:textId="3E7B90C7" w:rsidR="00C60761" w:rsidRPr="00351E9B" w:rsidRDefault="00C60761" w:rsidP="0027373D">
      <w:r w:rsidRPr="00351E9B">
        <w:t>Moylan lists some of the earliest utopian works, such as the Garden of Eden and the song “The Land of Cokaygne”, as images rather tha</w:t>
      </w:r>
      <w:r w:rsidR="007733A9">
        <w:t>n</w:t>
      </w:r>
      <w:r w:rsidRPr="00351E9B">
        <w:t xml:space="preserve"> blueprints to be followed. He refers to them as “beginnings […] of actual solutions to current problems” that “contribute to the open space of opposition.</w:t>
      </w:r>
      <w:r w:rsidRPr="00351E9B">
        <w:rPr>
          <w:rStyle w:val="FootnoteReference"/>
        </w:rPr>
        <w:footnoteReference w:id="175"/>
      </w:r>
      <w:r w:rsidRPr="00351E9B">
        <w:t xml:space="preserve"> With reference to A. L. Morton’s </w:t>
      </w:r>
      <w:r w:rsidRPr="00351E9B">
        <w:rPr>
          <w:i/>
          <w:iCs/>
        </w:rPr>
        <w:t>The English Utopia</w:t>
      </w:r>
      <w:r w:rsidRPr="00351E9B">
        <w:t>, Moylan points out the connections between utopian writing and new social-economic systems. He refers to the ‘new world’ utopian narratives such as Moore’s as “provid[ing] a sense of alternate space.”</w:t>
      </w:r>
      <w:r w:rsidRPr="00351E9B">
        <w:rPr>
          <w:rStyle w:val="FootnoteReference"/>
        </w:rPr>
        <w:footnoteReference w:id="176"/>
      </w:r>
      <w:r w:rsidRPr="00351E9B">
        <w:t xml:space="preserve"> While these utopian narratives occupied an alternate space, they did so prior to the 1850’s when, as M. H. Abensour identifies, a change in utopian narratives occurred. The narrative turned from “systematic building of alternative organizational models to a more open and heuristic discourse of alternative values.”</w:t>
      </w:r>
      <w:r w:rsidRPr="00351E9B">
        <w:rPr>
          <w:rStyle w:val="FootnoteReference"/>
        </w:rPr>
        <w:footnoteReference w:id="177"/>
      </w:r>
      <w:r w:rsidRPr="00351E9B">
        <w:t xml:space="preserve"> This more subversive tendency in the utopian narrative had to cope with the recognition of the impotence of a perfect mapping out of the perfect state in a world where the structures of domination were firmly established. The change proposed was within and reacting to “the already established economic/political/ideological order.”</w:t>
      </w:r>
      <w:r w:rsidRPr="00351E9B">
        <w:rPr>
          <w:rStyle w:val="FootnoteReference"/>
        </w:rPr>
        <w:footnoteReference w:id="178"/>
      </w:r>
      <w:r w:rsidRPr="00351E9B">
        <w:t xml:space="preserve"> The hope of a world structured in an entirely different way was sacrificed for the heuristic utopia, a subversion or reformation of the modern arrangement from within. These narratives began a critique of the contemporary not by contrasting it with distant ideal worlds, but rather a bettering from within, a warning shouted in the local language.</w:t>
      </w:r>
    </w:p>
    <w:p w14:paraId="436B508E" w14:textId="6BB9C1F1" w:rsidR="00C60761" w:rsidRPr="00351E9B" w:rsidRDefault="00C60761" w:rsidP="0027373D">
      <w:r w:rsidRPr="00351E9B">
        <w:lastRenderedPageBreak/>
        <w:t>Moylan argues that in the twentieth-century commodity-society, “utopia was reduced to the consumption of pleasurable weekends, Christmas dreams, and goods purchased weekly in pleasure-dome shopping malls of suburbia.”</w:t>
      </w:r>
      <w:r w:rsidRPr="00351E9B">
        <w:rPr>
          <w:rStyle w:val="FootnoteReference"/>
        </w:rPr>
        <w:footnoteReference w:id="179"/>
      </w:r>
      <w:r w:rsidRPr="00351E9B">
        <w:t xml:space="preserve"> Krishan Kumar refers to this as the “twilight of utopia” and pronounces utopia “dead – and dead beyond any hope of resurrection”</w:t>
      </w:r>
      <w:r w:rsidRPr="00351E9B">
        <w:rPr>
          <w:rStyle w:val="FootnoteReference"/>
        </w:rPr>
        <w:footnoteReference w:id="180"/>
      </w:r>
      <w:r w:rsidRPr="00351E9B">
        <w:t>. The dystopia emerged, and as mentioned in chapter one, narrative works such as those of Zamyatin (</w:t>
      </w:r>
      <w:r w:rsidRPr="00351E9B">
        <w:rPr>
          <w:i/>
          <w:iCs/>
        </w:rPr>
        <w:t>We</w:t>
      </w:r>
      <w:r w:rsidRPr="00351E9B">
        <w:t>), Huxley (</w:t>
      </w:r>
      <w:r w:rsidRPr="00351E9B">
        <w:rPr>
          <w:i/>
          <w:iCs/>
        </w:rPr>
        <w:t>Brave New World</w:t>
      </w:r>
      <w:r w:rsidRPr="00351E9B">
        <w:t>), Orwell (</w:t>
      </w:r>
      <w:r w:rsidRPr="00351E9B">
        <w:rPr>
          <w:i/>
          <w:iCs/>
        </w:rPr>
        <w:t>1984</w:t>
      </w:r>
      <w:r w:rsidRPr="00351E9B">
        <w:t>), among others, turned the utopian hope into “an attack on present social systems which claim to be already existing utopias.”</w:t>
      </w:r>
      <w:r w:rsidRPr="00351E9B">
        <w:rPr>
          <w:rStyle w:val="FootnoteReference"/>
        </w:rPr>
        <w:footnoteReference w:id="181"/>
      </w:r>
      <w:r w:rsidRPr="00351E9B">
        <w:t xml:space="preserve"> In the loss of an alternate space, and a belief in the inability to fundamentally change the structure of society, the utopian narrative was only, as Moylan muses, an advertiser’s trick to sell products to the work-weary. As Lyman Tower Sargent</w:t>
      </w:r>
      <w:r w:rsidRPr="00351E9B">
        <w:rPr>
          <w:rStyle w:val="FootnoteReference"/>
        </w:rPr>
        <w:footnoteReference w:id="182"/>
      </w:r>
      <w:r w:rsidRPr="00351E9B">
        <w:t xml:space="preserve"> lamented, utopia was no longer necessary, as it had already been achieved or was an unattainable dream. State and corporate control contained dystopia and strengthened the proof of the uselessness of utopia. But the 1960’s brought about a destruction of this dichotomy. Moylan posits that utopian writing was given a revival through science fiction and experimental fiction in the works of Russ, Le Guin, Piercy, Delany, and others. His term for this revival is ‘critical utopia’ and he uses the term critical in the Enlightenment sense of critique – as expressing oppositional thought, revealing, exposing the falseness, of the genre and its historical situation. He lays out three central concerns in critical utopia. First a self-conscious awareness of the limitations of the utopian tradition. Utopia is no longer received as a blueprint but is preserved as dream. Second, the focus is on the process of social change rather </w:t>
      </w:r>
      <w:r w:rsidRPr="00402F47">
        <w:rPr>
          <w:color w:val="000000" w:themeColor="text1"/>
        </w:rPr>
        <w:t xml:space="preserve">than </w:t>
      </w:r>
      <w:r w:rsidRPr="00351E9B">
        <w:t>by contrasting the utopian society with the “originary”</w:t>
      </w:r>
      <w:r w:rsidRPr="00351E9B">
        <w:rPr>
          <w:rStyle w:val="FootnoteReference"/>
        </w:rPr>
        <w:footnoteReference w:id="183"/>
      </w:r>
      <w:r w:rsidRPr="00351E9B">
        <w:t xml:space="preserve"> world. Thirdly, the works focus on the </w:t>
      </w:r>
      <w:r w:rsidRPr="00351E9B">
        <w:lastRenderedPageBreak/>
        <w:t>imperfections and differences within the utopian society and thereby serves to generate alternate spaces which are more recognisable and dynamic.</w:t>
      </w:r>
    </w:p>
    <w:p w14:paraId="06FE2FEE" w14:textId="77777777" w:rsidR="00C60761" w:rsidRPr="00351E9B" w:rsidRDefault="00C60761" w:rsidP="0027373D">
      <w:r w:rsidRPr="00351E9B">
        <w:t xml:space="preserve">Turning over the coin: from utopia to dystopia we encounter Lyman Tower Sargent’s term ‘critical dystopia.’ Moylan in </w:t>
      </w:r>
      <w:r w:rsidRPr="00351E9B">
        <w:rPr>
          <w:i/>
          <w:iCs/>
        </w:rPr>
        <w:t>Scraps of the Untainted Sky: Science Fiction Ustopia, Dystopia</w:t>
      </w:r>
      <w:r w:rsidRPr="00351E9B">
        <w:t xml:space="preserve"> defines Sargent’s term of ‘critical dystopia’ as “a textual mutation that self-reflexively takes on the present system and offers not only astute critiques of the order of things but also explorations of the appositional spaces and possibilities from which the next round of political activism can derive imaginative sustenance and inspiration.”</w:t>
      </w:r>
      <w:r w:rsidRPr="00351E9B">
        <w:rPr>
          <w:rStyle w:val="FootnoteReference"/>
        </w:rPr>
        <w:footnoteReference w:id="184"/>
      </w:r>
    </w:p>
    <w:p w14:paraId="608176DB" w14:textId="615382FA" w:rsidR="00C60761" w:rsidRPr="00351E9B" w:rsidRDefault="00C60761" w:rsidP="0027373D">
      <w:r w:rsidRPr="00351E9B">
        <w:t xml:space="preserve">Atwood’s trilogy alternates between the post-apocalyptic and the events that lead up to the catastrophe. In </w:t>
      </w:r>
      <w:r w:rsidRPr="00351E9B">
        <w:rPr>
          <w:i/>
          <w:iCs/>
        </w:rPr>
        <w:t xml:space="preserve">Oryx and Crake, </w:t>
      </w:r>
      <w:r w:rsidRPr="00351E9B">
        <w:t xml:space="preserve">Jimmy believes himself to be the sole survivor of a global apocalyptic disaster. Through his memories and his attempts to comprehend his new reality the reader gains insights into the cause of the destruction. </w:t>
      </w:r>
      <w:r w:rsidR="00414CF0" w:rsidRPr="00351E9B">
        <w:rPr>
          <w:i/>
          <w:iCs/>
        </w:rPr>
        <w:t>The Year of the Flood</w:t>
      </w:r>
      <w:r w:rsidR="00414CF0" w:rsidRPr="00351E9B">
        <w:t xml:space="preserve"> adds additional light to the events that transpire in </w:t>
      </w:r>
      <w:r w:rsidR="00414CF0" w:rsidRPr="00351E9B">
        <w:rPr>
          <w:i/>
          <w:iCs/>
        </w:rPr>
        <w:t>Oryx and Crake</w:t>
      </w:r>
      <w:r w:rsidR="00414CF0" w:rsidRPr="00351E9B">
        <w:t xml:space="preserve"> while relating a dual </w:t>
      </w:r>
      <w:r w:rsidR="00DE4DBA">
        <w:t>‘</w:t>
      </w:r>
      <w:r w:rsidR="00414CF0" w:rsidRPr="00351E9B">
        <w:t>Last Woman</w:t>
      </w:r>
      <w:r w:rsidR="00DE4DBA">
        <w:t>’</w:t>
      </w:r>
      <w:r w:rsidR="00414CF0" w:rsidRPr="00351E9B">
        <w:t xml:space="preserve"> narrative as mentioned in the previous chapter. </w:t>
      </w:r>
      <w:r w:rsidRPr="00351E9B">
        <w:t>The third book in the series acts as a sequel to both books and focuses primarily on the post-apocalyptic world and new possibilities, options and challenges faced by the surviving humans and their cohabitants. In chapter 2, I explored Atwood’s near-future projection of biotechnology married with neo-capitalism, and how it satirizes “our contemporary corporation-controlled and technologically driven world.”</w:t>
      </w:r>
      <w:r w:rsidRPr="00351E9B">
        <w:rPr>
          <w:rStyle w:val="FootnoteReference"/>
        </w:rPr>
        <w:footnoteReference w:id="185"/>
      </w:r>
      <w:r w:rsidRPr="00351E9B">
        <w:t xml:space="preserve"> This overriding oppression of the biocapitalist system, the totalitarian corporate-run police, the instrumentalization of life and the commodification of the uses of life, paint a darkly dystopian picture while offering “astute critiques of the order of things.”</w:t>
      </w:r>
      <w:r w:rsidRPr="00351E9B">
        <w:rPr>
          <w:rStyle w:val="FootnoteReference"/>
        </w:rPr>
        <w:footnoteReference w:id="186"/>
      </w:r>
      <w:r w:rsidRPr="00351E9B">
        <w:t xml:space="preserve"> Atwood’s pre-Flood world is easily recognisable as a near future projection of our contemporary society. </w:t>
      </w:r>
    </w:p>
    <w:p w14:paraId="61B98EA4" w14:textId="0D6D074F" w:rsidR="00C60761" w:rsidRPr="00351E9B" w:rsidRDefault="00C60761" w:rsidP="0027373D">
      <w:r w:rsidRPr="00351E9B">
        <w:lastRenderedPageBreak/>
        <w:t>The privileged few live in highly controlled and secure Compounds where complete allegiance and obsessive work are the status quo. The rest live in near squalor in disease infested, dangerous, polluted and dirty Pleeblands populated by “the addicts, the muggers, the paupers, [and] the crazies.”</w:t>
      </w:r>
      <w:r w:rsidRPr="00351E9B">
        <w:rPr>
          <w:rStyle w:val="FootnoteReference"/>
        </w:rPr>
        <w:footnoteReference w:id="187"/>
      </w:r>
      <w:r w:rsidRPr="00351E9B">
        <w:t xml:space="preserve"> Jimmy remembers the Pleeblands:</w:t>
      </w:r>
    </w:p>
    <w:p w14:paraId="26A216AD" w14:textId="77777777" w:rsidR="00C60761" w:rsidRPr="004136C4" w:rsidRDefault="00C60761" w:rsidP="004D76A4">
      <w:pPr>
        <w:ind w:left="720" w:right="1138"/>
        <w:rPr>
          <w:sz w:val="20"/>
          <w:szCs w:val="20"/>
        </w:rPr>
      </w:pPr>
      <w:r w:rsidRPr="004136C4">
        <w:rPr>
          <w:sz w:val="20"/>
          <w:szCs w:val="20"/>
        </w:rPr>
        <w:t>[…] they were strolling through the pleeblands north of New New York. […] Before setting out, Crake had stuck a needle in Jimmy’s arm – an all purpose, short-term vaccine he’d cooked himself. The pleeblands, he said, were a giant Petri dish: a lot of guck and contagious plasm got spread around there. If you grew up surrounded by it you were more or less immune, unless a new bioform came raging through […] The air was worse in the pleeblands, he said. More junk blowing in the wind.</w:t>
      </w:r>
      <w:r w:rsidRPr="004136C4">
        <w:rPr>
          <w:rStyle w:val="FootnoteReference"/>
          <w:sz w:val="20"/>
          <w:szCs w:val="20"/>
        </w:rPr>
        <w:footnoteReference w:id="188"/>
      </w:r>
    </w:p>
    <w:p w14:paraId="201488CA" w14:textId="77777777" w:rsidR="00C60761" w:rsidRPr="00351E9B" w:rsidRDefault="00C60761" w:rsidP="0027373D">
      <w:r w:rsidRPr="00351E9B">
        <w:t>As an oppositional space, the reader is presented with the living environment of the bioengineered Crakers in the Egg where “[e]verything was sparkling clean, landscaped, ecologically pristine, and very expensive. The air was particulate-free, due to the many solar whirlpool purifying towers, discreetly placed and disguised as modern art.”</w:t>
      </w:r>
      <w:r w:rsidRPr="00351E9B">
        <w:rPr>
          <w:rStyle w:val="FootnoteReference"/>
        </w:rPr>
        <w:footnoteReference w:id="189"/>
      </w:r>
    </w:p>
    <w:p w14:paraId="4ED068CD" w14:textId="77777777" w:rsidR="00C60761" w:rsidRPr="00351E9B" w:rsidRDefault="00C60761" w:rsidP="0027373D">
      <w:r w:rsidRPr="00351E9B">
        <w:t xml:space="preserve">Atwood, in her critique of the dystopian, provides a third appositional space. The reader is introduced, in </w:t>
      </w:r>
      <w:r w:rsidRPr="00351E9B">
        <w:rPr>
          <w:i/>
          <w:iCs/>
        </w:rPr>
        <w:t>The Year of the Flood</w:t>
      </w:r>
      <w:r w:rsidRPr="00351E9B">
        <w:t xml:space="preserve">, to the God’s Gardeners’ garden. </w:t>
      </w:r>
    </w:p>
    <w:p w14:paraId="2C515BE3" w14:textId="77777777" w:rsidR="00C60761" w:rsidRPr="004136C4" w:rsidRDefault="00C60761" w:rsidP="004D76A4">
      <w:pPr>
        <w:ind w:left="720" w:right="1138"/>
        <w:rPr>
          <w:sz w:val="20"/>
          <w:szCs w:val="20"/>
        </w:rPr>
      </w:pPr>
      <w:r w:rsidRPr="004136C4">
        <w:rPr>
          <w:sz w:val="20"/>
          <w:szCs w:val="20"/>
        </w:rPr>
        <w:t>The Garden wasn’t at all what Toby had expected from hearsay. It wasn’t a baked mudflat strewn with rotting vegetable waste – quite the reverse. She gazed around it in wonder: it was so beautiful, with plants and flowers of many kinds she’d never seen before. There were vivid butterflies; from nearby came the vibration of bees. Each petal and leaf was fully alive, shining with awareness of her. Even the air of the Garden was different. She found herself crying with relief and gratitude. It was as if a large, benevolent hand had reached down and picked her up, and was holding her safe.</w:t>
      </w:r>
      <w:r w:rsidRPr="004136C4">
        <w:rPr>
          <w:rStyle w:val="FootnoteReference"/>
          <w:sz w:val="20"/>
          <w:szCs w:val="20"/>
        </w:rPr>
        <w:footnoteReference w:id="190"/>
      </w:r>
    </w:p>
    <w:p w14:paraId="2ED83564" w14:textId="564FA6D9" w:rsidR="00C60761" w:rsidRPr="00351E9B" w:rsidRDefault="00C60761" w:rsidP="0027373D">
      <w:r w:rsidRPr="00351E9B">
        <w:t xml:space="preserve">The God’s Gardeners’ space offers it practitioners, as it does the reader, a reprieve from the dystopic landscapes offered in the post-apocalyptic world. This third appositional spaces represent an oasis amidst the dystopian. By investing in the Gardeners an adaptive religious </w:t>
      </w:r>
      <w:r w:rsidRPr="00351E9B">
        <w:lastRenderedPageBreak/>
        <w:t>practice, as discussed in chapter 4, inhabiting this oasis, Atwood provides not a</w:t>
      </w:r>
      <w:r w:rsidR="00DE4DBA">
        <w:t xml:space="preserve">n image </w:t>
      </w:r>
      <w:r w:rsidRPr="00351E9B">
        <w:t>for the utopian but rather a possibility for the utopian dream to take root. This appositional space offers a reflexive critique on the contemporary while providing possibilities, sustenance and inspiration for the Gardener’s in their retreat from the ‘Exfernal World’ and in so doing provides vicarious possibilities, sustenance and inspiration to the reader. Atwood pulls away from creating a</w:t>
      </w:r>
      <w:r w:rsidR="00DE4DBA">
        <w:t xml:space="preserve">n image </w:t>
      </w:r>
      <w:r w:rsidRPr="00351E9B">
        <w:t>of a perfect utopia and turns instead to a pre-apocalyptic exploration of a critical dystopia, as in her words, “we should probably not try to make things perfect, […] for that path leads to mass graves.”</w:t>
      </w:r>
      <w:r w:rsidRPr="00351E9B">
        <w:rPr>
          <w:rStyle w:val="FootnoteReference"/>
        </w:rPr>
        <w:footnoteReference w:id="191"/>
      </w:r>
      <w:r w:rsidRPr="00351E9B">
        <w:t xml:space="preserve"> And therein she exposes the impossibility of purist categorization of the dystopian and utopian genres. </w:t>
      </w:r>
    </w:p>
    <w:p w14:paraId="3785136C" w14:textId="06E2CBAB" w:rsidR="00C60761" w:rsidRDefault="00C60761" w:rsidP="0027373D">
      <w:r w:rsidRPr="00351E9B">
        <w:t xml:space="preserve">The dystopic slippery slope of the contemporary Anthropocene crisis coupled with the growing dominating influence of biocapitalism is projected in Atwood’s trilogy as the impetus for a headlong rush into an apocalypse, and it is Atwood’s reimaging of what this apocalypse </w:t>
      </w:r>
      <w:r w:rsidRPr="00984153">
        <w:rPr>
          <w:color w:val="000000" w:themeColor="text1"/>
        </w:rPr>
        <w:t xml:space="preserve">is </w:t>
      </w:r>
      <w:r w:rsidRPr="00351E9B">
        <w:t>that blurs the boundaries between the utopian and dystopian.</w:t>
      </w:r>
    </w:p>
    <w:p w14:paraId="45AC1FDC" w14:textId="6F28DB24" w:rsidR="003C21D1" w:rsidRPr="00351E9B" w:rsidRDefault="003C21D1" w:rsidP="003C21D1">
      <w:pPr>
        <w:pStyle w:val="Heading2"/>
      </w:pPr>
      <w:r>
        <w:t>Critiquing the Apocalypse</w:t>
      </w:r>
    </w:p>
    <w:p w14:paraId="0746E4C3" w14:textId="3F8A996E" w:rsidR="00C60761" w:rsidRPr="00351E9B" w:rsidRDefault="00C60761" w:rsidP="0027373D">
      <w:r w:rsidRPr="00351E9B">
        <w:t>In</w:t>
      </w:r>
      <w:r w:rsidRPr="00D519AB">
        <w:t xml:space="preserve"> </w:t>
      </w:r>
      <w:r w:rsidR="00225969" w:rsidRPr="00225969">
        <w:t>the</w:t>
      </w:r>
      <w:r w:rsidRPr="00351E9B">
        <w:t xml:space="preserve"> </w:t>
      </w:r>
      <w:r w:rsidRPr="00351E9B">
        <w:rPr>
          <w:i/>
          <w:iCs/>
        </w:rPr>
        <w:t>Maddaddam</w:t>
      </w:r>
      <w:r w:rsidRPr="00351E9B">
        <w:t xml:space="preserve"> trilogy, the immediate cause of the apocalypse is the bioengineer Crake who engineers a biological pandemic to eradicate all of humankind. However, in Atwood’s pre-Flood world the Anthropocene crisis has already surpassed the contemporary, as discussed in chapter 1, and is a driving force in Crake’s motivation to eradicate what he considers to be a blight on the planet. The </w:t>
      </w:r>
      <w:r w:rsidR="00DB2741" w:rsidRPr="00F675B0">
        <w:t>interrelation</w:t>
      </w:r>
      <w:r w:rsidRPr="00351E9B">
        <w:t xml:space="preserve"> of biocapitalism and the destruction of the environment make for the perfect storm. However, more than </w:t>
      </w:r>
      <w:r w:rsidRPr="00F675B0">
        <w:rPr>
          <w:color w:val="000000" w:themeColor="text1"/>
        </w:rPr>
        <w:t>serving as</w:t>
      </w:r>
      <w:r w:rsidRPr="00F675B0">
        <w:t xml:space="preserve"> </w:t>
      </w:r>
      <w:r w:rsidRPr="00351E9B">
        <w:t>a crude rehearsal of disaster, Atwood’s trilogy critiques apocalypse thinking and goes beyond a simple warning of the slippery slope of a world where "everything was being ruined and would never be the same again."</w:t>
      </w:r>
      <w:r w:rsidRPr="00351E9B">
        <w:rPr>
          <w:rStyle w:val="FootnoteReference"/>
        </w:rPr>
        <w:footnoteReference w:id="192"/>
      </w:r>
    </w:p>
    <w:p w14:paraId="45C2CE1A" w14:textId="0ACD5F8D" w:rsidR="00C60761" w:rsidRPr="00A736B5" w:rsidRDefault="00E34A32" w:rsidP="0027373D">
      <w:r w:rsidRPr="00A736B5">
        <w:lastRenderedPageBreak/>
        <w:t>This process</w:t>
      </w:r>
      <w:r w:rsidR="00C60761" w:rsidRPr="00A736B5">
        <w:t xml:space="preserve"> as discussed in the previous chapters, through the exploration of dichotomies (religion/science, human/nonhuman/posthuman, and utopian/dystopian narratives) and the possibilities that the deconstruction </w:t>
      </w:r>
      <w:r w:rsidR="004C62A2">
        <w:t xml:space="preserve">and blurring </w:t>
      </w:r>
      <w:r w:rsidR="00C60761" w:rsidRPr="00A736B5">
        <w:t>of these dichotomies open. These deconstructions concur with Žižek’s call for “an openness to radical contingency.”</w:t>
      </w:r>
      <w:r w:rsidR="00C60761" w:rsidRPr="00A736B5">
        <w:rPr>
          <w:rStyle w:val="FootnoteReference"/>
        </w:rPr>
        <w:footnoteReference w:id="193"/>
      </w:r>
      <w:r w:rsidR="00C60761" w:rsidRPr="00A736B5">
        <w:t xml:space="preserve"> Žižek argues that capitalism’s ability to deal with crises it has itself produced for its own purposes might in fact mean that “perhaps the forthcoming ecological crisis, far from undermining capitalism, will serve as its greatest boost.”</w:t>
      </w:r>
      <w:r w:rsidR="00C60761" w:rsidRPr="00A736B5">
        <w:rPr>
          <w:rStyle w:val="FootnoteReference"/>
        </w:rPr>
        <w:footnoteReference w:id="194"/>
      </w:r>
      <w:r w:rsidR="00C60761" w:rsidRPr="00A736B5">
        <w:t xml:space="preserve"> Žižek does however </w:t>
      </w:r>
      <w:r w:rsidR="00837563" w:rsidRPr="00A736B5">
        <w:t>suggest</w:t>
      </w:r>
      <w:r w:rsidR="00C60761" w:rsidRPr="00A736B5">
        <w:t xml:space="preserve"> that “accepting” the veracity of the Anthropocene crisis may bring about radical new possibilities. He explores the relationship with crisis through employing Elisabeth Kübler-Ross’s well-known ‘five stages of grief’ from her book </w:t>
      </w:r>
      <w:r w:rsidR="00C60761" w:rsidRPr="00A736B5">
        <w:rPr>
          <w:i/>
          <w:iCs/>
        </w:rPr>
        <w:t>On Death and Dying</w:t>
      </w:r>
      <w:r w:rsidR="00C60761" w:rsidRPr="00A736B5">
        <w:t xml:space="preserve"> and positions social response to the Anthropocene crisis in terms of dealing with profound grief. He posits that after passing through the first four stages (denial, anger, bargaining and depression) “the subject no longer perceives the situation as a threat, but as the chance of a new beginning.”</w:t>
      </w:r>
      <w:r w:rsidR="00C60761" w:rsidRPr="00A736B5">
        <w:rPr>
          <w:rStyle w:val="FootnoteReference"/>
        </w:rPr>
        <w:footnoteReference w:id="195"/>
      </w:r>
    </w:p>
    <w:p w14:paraId="5D699D4D" w14:textId="03D74DBD" w:rsidR="00C60761" w:rsidRPr="00351E9B" w:rsidRDefault="00C60761" w:rsidP="0027373D">
      <w:r w:rsidRPr="00351E9B">
        <w:t>Derrick King quotes David Harvey’s interpretation of crisis in capitalism as a reminder that “crises are, in effect, not only inevitable but also necessary […] [so that] the internal contradictions of capital accumulation can be temporarily resolved,” in so far as we should also bear in mind “at times of crisis there are always options. Which one is chosen depends critically on the balance of class forces and the mental conceptions as to what might be possible.”</w:t>
      </w:r>
      <w:r w:rsidRPr="00351E9B">
        <w:rPr>
          <w:rStyle w:val="FootnoteReference"/>
        </w:rPr>
        <w:footnoteReference w:id="196"/>
      </w:r>
    </w:p>
    <w:p w14:paraId="37C4755B" w14:textId="034066E9" w:rsidR="00C60761" w:rsidRPr="00351E9B" w:rsidRDefault="00C60761" w:rsidP="0027373D">
      <w:r w:rsidRPr="00351E9B">
        <w:t>As Kumar in “The Ends of Utopia” argues</w:t>
      </w:r>
      <w:r>
        <w:rPr>
          <w:color w:val="FF0000"/>
        </w:rPr>
        <w:t>,</w:t>
      </w:r>
      <w:r w:rsidRPr="00351E9B">
        <w:t xml:space="preserve"> “[t]raditionally apocalypse […] was linked to […] the hope and expectation of a new beginning, one that would inaugurate an age of peace, plenty, </w:t>
      </w:r>
      <w:r w:rsidRPr="00351E9B">
        <w:lastRenderedPageBreak/>
        <w:t>and righteousness.”</w:t>
      </w:r>
      <w:r w:rsidRPr="00351E9B">
        <w:rPr>
          <w:rStyle w:val="FootnoteReference"/>
        </w:rPr>
        <w:t xml:space="preserve"> </w:t>
      </w:r>
      <w:r w:rsidRPr="00351E9B">
        <w:rPr>
          <w:rStyle w:val="FootnoteReference"/>
        </w:rPr>
        <w:footnoteReference w:id="197"/>
      </w:r>
      <w:r w:rsidRPr="00351E9B">
        <w:t xml:space="preserve"> In his discussion of Ernst Bloch’s </w:t>
      </w:r>
      <w:r w:rsidRPr="00351E9B">
        <w:rPr>
          <w:i/>
          <w:iCs/>
        </w:rPr>
        <w:t>Principle of Hope</w:t>
      </w:r>
      <w:r w:rsidRPr="00351E9B">
        <w:t xml:space="preserve"> (1955-59), Kumar </w:t>
      </w:r>
      <w:r w:rsidRPr="00CE3AA2">
        <w:rPr>
          <w:color w:val="000000" w:themeColor="text1"/>
        </w:rPr>
        <w:t xml:space="preserve">quotes </w:t>
      </w:r>
      <w:r w:rsidRPr="004235D4">
        <w:t xml:space="preserve">Bloch’s </w:t>
      </w:r>
      <w:r w:rsidR="00CE3AA2" w:rsidRPr="00CE3AA2">
        <w:rPr>
          <w:color w:val="000000" w:themeColor="text1"/>
        </w:rPr>
        <w:t>assessment</w:t>
      </w:r>
      <w:r w:rsidRPr="00CE3AA2">
        <w:rPr>
          <w:color w:val="000000" w:themeColor="text1"/>
        </w:rPr>
        <w:t xml:space="preserve"> </w:t>
      </w:r>
      <w:r w:rsidRPr="00351E9B">
        <w:t>of the utopian impulse as “wishful thinking,” not in a derogatory fashion, but as part of an “anticipatory consciousness” that lays the ground work for the “Not-Yet-Become.” This “Not-Yet-Become” (</w:t>
      </w:r>
      <w:r w:rsidRPr="00351E9B">
        <w:rPr>
          <w:i/>
          <w:iCs/>
        </w:rPr>
        <w:t>noch nicht</w:t>
      </w:r>
      <w:r w:rsidRPr="00351E9B">
        <w:t xml:space="preserve">) is “the unfinished forward dream, the </w:t>
      </w:r>
      <w:r w:rsidRPr="00351E9B">
        <w:rPr>
          <w:i/>
          <w:iCs/>
        </w:rPr>
        <w:t>docta spes”</w:t>
      </w:r>
      <w:r w:rsidRPr="00351E9B">
        <w:t xml:space="preserve"> that both inspires the way to the future and acts as “a directing act of a cognitive kind.”</w:t>
      </w:r>
      <w:r w:rsidRPr="00351E9B">
        <w:rPr>
          <w:rStyle w:val="FootnoteReference"/>
        </w:rPr>
        <w:footnoteReference w:id="198"/>
      </w:r>
      <w:r w:rsidRPr="00351E9B">
        <w:t xml:space="preserve"> </w:t>
      </w:r>
    </w:p>
    <w:p w14:paraId="06D6EA7F" w14:textId="37F6C424" w:rsidR="00C60761" w:rsidRPr="00351E9B" w:rsidRDefault="00C60761" w:rsidP="0027373D">
      <w:r w:rsidRPr="00351E9B">
        <w:t>H.G. Wells, a master of the apocalyptic mode, accompanies his narratives with renewal and reconstruction</w:t>
      </w:r>
      <w:r w:rsidRPr="00351E9B">
        <w:rPr>
          <w:rStyle w:val="FootnoteReference"/>
        </w:rPr>
        <w:footnoteReference w:id="199"/>
      </w:r>
      <w:r w:rsidRPr="00351E9B">
        <w:t xml:space="preserve"> as does Atwood. Atwood appears to speculate on what Wells call “the cleansing disillusionment”</w:t>
      </w:r>
      <w:r w:rsidRPr="00351E9B">
        <w:rPr>
          <w:rStyle w:val="FootnoteReference"/>
        </w:rPr>
        <w:footnoteReference w:id="200"/>
      </w:r>
      <w:r w:rsidRPr="00351E9B">
        <w:t xml:space="preserve"> as her trilogy depicts not only “The End” but also a yearning for a new beginning, as Roselle puts it an “an ecological communitas.”</w:t>
      </w:r>
      <w:r w:rsidRPr="00351E9B">
        <w:rPr>
          <w:rStyle w:val="FootnoteReference"/>
        </w:rPr>
        <w:footnoteReference w:id="201"/>
      </w:r>
      <w:r w:rsidRPr="00351E9B">
        <w:t xml:space="preserve"> Atwood’s new beginning is born of a world where unfettered biocapitalism has created a world of “more plagues, more famines, more floods, more insect or microbe or small-mammal outbreaks, more droughts, more chickenshit boy soldier wars in distant countries”</w:t>
      </w:r>
      <w:r w:rsidRPr="00351E9B">
        <w:rPr>
          <w:rStyle w:val="FootnoteReference"/>
        </w:rPr>
        <w:footnoteReference w:id="202"/>
      </w:r>
      <w:r w:rsidRPr="00351E9B">
        <w:t xml:space="preserve"> and while the trilogy might be read as falling into Fredric Jameson’s category of ‘apocalyptic sf,’ I argue against this interpretation. “If it is so, as has been observed, that it is easier to imagine the end of the world than the end of capitalism,” writes Jameson in </w:t>
      </w:r>
      <w:r w:rsidRPr="00351E9B">
        <w:rPr>
          <w:i/>
          <w:iCs/>
        </w:rPr>
        <w:t>Archaeologies of the Future</w:t>
      </w:r>
      <w:r w:rsidRPr="00351E9B">
        <w:t xml:space="preserve"> (2007), “we probably need another term to characterize the increasingly popular visions of total destruction and of the extinction of life on earth which seem more plausible than the utopian vision of the new Jerusalem.” Jameson proposes the phrase ‘apocalyptic sf’ for </w:t>
      </w:r>
      <w:r w:rsidRPr="00692E2D">
        <w:rPr>
          <w:color w:val="000000" w:themeColor="text1"/>
        </w:rPr>
        <w:t xml:space="preserve">such </w:t>
      </w:r>
      <w:r w:rsidRPr="00351E9B">
        <w:t xml:space="preserve">narratives but offers the caveat that the classification should exclude narratives that end without new beginnings that are either utopian or dystopian. Here turning to James Berger, “the end itself, the moment of cataclysm, is only part </w:t>
      </w:r>
      <w:r w:rsidRPr="00351E9B">
        <w:lastRenderedPageBreak/>
        <w:t xml:space="preserve">of the point of apocalyptic writing.” He argues that “[s]omething is left over, and that world after the world, the post-apocalypse, is usually the true object of the apocalyptic writer’s concern.” Lois Parkinson Zamora in </w:t>
      </w:r>
      <w:r w:rsidRPr="00351E9B">
        <w:rPr>
          <w:i/>
          <w:iCs/>
        </w:rPr>
        <w:t>Writing the Apocalypse: Historical Vision in Contemporary U.S. and Latin American Fiction</w:t>
      </w:r>
      <w:r w:rsidRPr="00351E9B">
        <w:t xml:space="preserve"> argues a similar view. Zamora associates apocalyptic with the proposition of “cleansing,” of “radical renewal” and the promise of redemption for the faithful and punishment for the “unjust.”</w:t>
      </w:r>
      <w:r w:rsidRPr="00351E9B">
        <w:rPr>
          <w:rStyle w:val="FootnoteReference"/>
        </w:rPr>
        <w:footnoteReference w:id="203"/>
      </w:r>
      <w:r w:rsidRPr="00351E9B">
        <w:t xml:space="preserve"> Similar to Berger and Zamora, Gary Wolfe posits that the end of world narratives “are in fact the opposite” of what their name suggests and instead these narratives “dwell on the survival of key representative types of individuals.” Wolfe develops these ideas to argue that apocalyptic fiction implies the end of an old way of life or “a system of beliefs” in which “the old concept of the ‘world’ is destroyed and a new one must be built in its place.”</w:t>
      </w:r>
      <w:r w:rsidRPr="00351E9B">
        <w:rPr>
          <w:rStyle w:val="FootnoteReference"/>
        </w:rPr>
        <w:footnoteReference w:id="204"/>
      </w:r>
    </w:p>
    <w:p w14:paraId="7DEEB3B8" w14:textId="77777777" w:rsidR="00C60761" w:rsidRPr="00351E9B" w:rsidRDefault="00C60761" w:rsidP="0027373D">
      <w:r w:rsidRPr="00351E9B">
        <w:t xml:space="preserve">As Cooke states, Atwood’s trilogy “inherits the discourses of the apocalypse and the Last Man, and situates them in the </w:t>
      </w:r>
      <w:r w:rsidRPr="00351E9B">
        <w:rPr>
          <w:i/>
          <w:iCs/>
        </w:rPr>
        <w:t>what if</w:t>
      </w:r>
      <w:r w:rsidRPr="00351E9B">
        <w:t xml:space="preserve"> scenario of the moment.”</w:t>
      </w:r>
      <w:r w:rsidRPr="00351E9B">
        <w:rPr>
          <w:rStyle w:val="FootnoteReference"/>
        </w:rPr>
        <w:footnoteReference w:id="205"/>
      </w:r>
      <w:r w:rsidRPr="00351E9B">
        <w:t xml:space="preserve"> Cooke argues that Atwood presents an end of the human, depicted in the physical destruction of all but a scant few of the species and the destruction of the biocapitalist system. </w:t>
      </w:r>
    </w:p>
    <w:p w14:paraId="497192C7" w14:textId="77777777" w:rsidR="00C60761" w:rsidRPr="00351E9B" w:rsidRDefault="00C60761" w:rsidP="0027373D">
      <w:r w:rsidRPr="00351E9B">
        <w:t>Atwood depicts a post-apocalyptic world, a ‘Paradice’ created by Crake, where the systems of divisional categorizations and dichotomies are rent asunder and, in their place, a new world is born, a new beginning emerges, it is a space where “a hierarchy could not exist.”</w:t>
      </w:r>
      <w:r w:rsidRPr="00351E9B">
        <w:rPr>
          <w:rStyle w:val="FootnoteReference"/>
        </w:rPr>
        <w:footnoteReference w:id="206"/>
      </w:r>
      <w:r w:rsidRPr="00351E9B">
        <w:t xml:space="preserve"> Atwood’s critique of the apocalyptic mode imagines a changing interaction between the harmful trends of the contemporary world and the fictional near future, allowing for a myriad of possibilities and </w:t>
      </w:r>
      <w:r w:rsidRPr="00351E9B">
        <w:lastRenderedPageBreak/>
        <w:t>options without creating a perfect fixed blueprint of utopian society. Crakes ‘Paradice’ project is an attempt to create a utopia through the cold clinical application of biological and social engineering, and as Labududova</w:t>
      </w:r>
      <w:r w:rsidRPr="00351E9B">
        <w:rPr>
          <w:rStyle w:val="FootnoteReference"/>
        </w:rPr>
        <w:footnoteReference w:id="207"/>
      </w:r>
      <w:r w:rsidRPr="00351E9B">
        <w:t xml:space="preserve"> points out is an echoing of Sicher’s critique of utopia. “There is something inhuman (and potentially dysfunctional and dystopian) in the idea of utopia which requires that human society as currently constituted be replaced […] by a social order based on different (implicitly non-human) characteristics.”</w:t>
      </w:r>
      <w:r w:rsidRPr="00351E9B">
        <w:rPr>
          <w:rStyle w:val="FootnoteReference"/>
        </w:rPr>
        <w:footnoteReference w:id="208"/>
      </w:r>
    </w:p>
    <w:p w14:paraId="2518BCBA" w14:textId="07D01F52" w:rsidR="00C60761" w:rsidRPr="00351E9B" w:rsidRDefault="00C60761" w:rsidP="0027373D">
      <w:r w:rsidRPr="00351E9B">
        <w:t xml:space="preserve">Atwood keeps her writing open to multiple possibilities and weaves from utopia to dystopia and back. The depiction of a new posthuman society made up of human survivors, Crakers and the Pigoons opens possibilities to new inter species relationships and a redefinition of the human/nonhuman/posthuman relationships. Each species having to negotiate with the other to find a harmony of survival and cooperation as discussed earlier. The relationships between the human and the nonhuman are closely tied to the contemporary Anthropocene crisis as discussed in chapter 1. The breaking down and hybridization of these abstractions of human and nonhuman, as </w:t>
      </w:r>
      <w:r w:rsidR="00692E2D" w:rsidRPr="00351E9B">
        <w:t>discussed</w:t>
      </w:r>
      <w:r w:rsidRPr="00351E9B">
        <w:t xml:space="preserve"> in the case of the pigoons</w:t>
      </w:r>
      <w:r w:rsidR="00B56270">
        <w:t xml:space="preserve"> and the Crakers</w:t>
      </w:r>
      <w:r w:rsidRPr="00351E9B">
        <w:t>, plants the seeds for a vastly different relationship between the survivors and their environment.</w:t>
      </w:r>
    </w:p>
    <w:p w14:paraId="410CFCA5" w14:textId="50444FD2" w:rsidR="00C60761" w:rsidRPr="00351E9B" w:rsidRDefault="00C60761" w:rsidP="0027373D">
      <w:r w:rsidRPr="00351E9B">
        <w:t xml:space="preserve">The interbreeding between the Crakers and the humans introduces </w:t>
      </w:r>
      <w:r w:rsidR="003A7F2C" w:rsidRPr="00351E9B">
        <w:t>an</w:t>
      </w:r>
      <w:r w:rsidRPr="00351E9B">
        <w:t xml:space="preserve"> undefined array of options into the new post-Flood world. The trilogy leaves the both the future and the final determination of the species open and ambiguous. It is not yet known if the hybrid children can themselves have children or what the potential inherited traits of these </w:t>
      </w:r>
      <w:r w:rsidR="000722DA">
        <w:t>posthuman children</w:t>
      </w:r>
      <w:r w:rsidRPr="00351E9B">
        <w:t xml:space="preserve"> are. The group however grows and </w:t>
      </w:r>
      <w:r w:rsidRPr="00692E2D">
        <w:rPr>
          <w:color w:val="000000" w:themeColor="text1"/>
        </w:rPr>
        <w:t xml:space="preserve">therein </w:t>
      </w:r>
      <w:r w:rsidRPr="00351E9B">
        <w:t>lies a world of options. As Schmeink states</w:t>
      </w:r>
      <w:r w:rsidRPr="00692E2D">
        <w:rPr>
          <w:color w:val="000000" w:themeColor="text1"/>
        </w:rPr>
        <w:t>,</w:t>
      </w:r>
      <w:r w:rsidRPr="00351E9B">
        <w:t xml:space="preserve"> quoting Rozelle</w:t>
      </w:r>
      <w:r w:rsidRPr="000C01DA">
        <w:rPr>
          <w:color w:val="FF0000"/>
        </w:rPr>
        <w:t>,</w:t>
      </w:r>
      <w:r w:rsidRPr="00351E9B">
        <w:t xml:space="preserve"> “In this potential for a hybrid, multiple, and changing humanity (both genetically and epigenetically) lies the critical posthuman potential: ‘The Crakers also help us to remember that as a species, humans </w:t>
      </w:r>
      <w:r w:rsidRPr="00351E9B">
        <w:lastRenderedPageBreak/>
        <w:t>are not exempt from adaptations and mutations that occur through processes of evolution, despite our various advances.’</w:t>
      </w:r>
      <w:r w:rsidRPr="00351E9B">
        <w:rPr>
          <w:rStyle w:val="FootnoteReference"/>
        </w:rPr>
        <w:footnoteReference w:id="209"/>
      </w:r>
      <w:r w:rsidRPr="00351E9B">
        <w:t>”</w:t>
      </w:r>
      <w:r w:rsidRPr="00351E9B">
        <w:rPr>
          <w:rStyle w:val="FootnoteReference"/>
        </w:rPr>
        <w:footnoteReference w:id="210"/>
      </w:r>
    </w:p>
    <w:p w14:paraId="2A450DF3" w14:textId="77777777" w:rsidR="00C60761" w:rsidRPr="00351E9B" w:rsidRDefault="00C60761" w:rsidP="0027373D">
      <w:r w:rsidRPr="00351E9B">
        <w:t>Coupled with the evolution of the Gardeners’ adaptive religion and the probability of the Crakers developing their own belief system further, potential pathways are added. Atwood leaves the ending of her critical dystopia open and ambiguous, resisting the temptation of prescribing a blueprint, but instead leaving more questions than answers.</w:t>
      </w:r>
    </w:p>
    <w:p w14:paraId="2B408A40" w14:textId="5FDCD604" w:rsidR="00C60761" w:rsidRDefault="00C60761" w:rsidP="0027373D">
      <w:r w:rsidRPr="00351E9B">
        <w:t>The questions raised are not limited to her work but instead through her critique of the apocalypse, as a new beginning and a destruction of the old system, offers too, a myriad of options and possibilities: be they critical posthuman, adaptive religious beliefs or a transformation in the way we think of life itself. Atwood’s speculative fiction, read as a critical dystopian narrative, provide</w:t>
      </w:r>
      <w:r w:rsidR="000722DA">
        <w:t>s</w:t>
      </w:r>
      <w:bookmarkStart w:id="17" w:name="_GoBack"/>
      <w:bookmarkEnd w:id="17"/>
      <w:r w:rsidRPr="00351E9B">
        <w:t xml:space="preserve"> a range of possible options in the face of the Anthropocene crisis. Atwood leaves the possibilities open and ambiguous, though the path to them is anything but desirable. Her warning however bleak, it is not pessimistic. Possibilities survive, and where there are options there is hope. Her universe undergoes a transformation but is not destroyed. “It’s the gloaming: deeper, thicker, more layered than usual, the moths are more luminous, the scents of the evening flowers more intoxicating.”</w:t>
      </w:r>
      <w:r w:rsidRPr="00351E9B">
        <w:rPr>
          <w:rStyle w:val="FootnoteReference"/>
        </w:rPr>
        <w:footnoteReference w:id="211"/>
      </w:r>
      <w:r w:rsidRPr="00351E9B">
        <w:t xml:space="preserve"> Although the </w:t>
      </w:r>
      <w:r w:rsidRPr="00351E9B">
        <w:rPr>
          <w:i/>
          <w:iCs/>
        </w:rPr>
        <w:t>Maddaddam</w:t>
      </w:r>
      <w:r w:rsidRPr="00351E9B">
        <w:t xml:space="preserve"> trilogy is a dark satire of our contemporary greed and misuse of our planet and our abilities, and a dire warning of the apocalyptic outcomes of a continuation down that slippery slope, Atwood leaves the reader with the last utopian dream, a “thing of hope.”</w:t>
      </w:r>
      <w:r w:rsidRPr="00351E9B">
        <w:rPr>
          <w:rStyle w:val="FootnoteReference"/>
        </w:rPr>
        <w:footnoteReference w:id="212"/>
      </w:r>
    </w:p>
    <w:p w14:paraId="48ADB53C" w14:textId="4B0EA1B4" w:rsidR="00532DAF" w:rsidRDefault="00532DAF">
      <w:pPr>
        <w:spacing w:after="160" w:line="259" w:lineRule="auto"/>
      </w:pPr>
      <w:r>
        <w:br w:type="page"/>
      </w:r>
    </w:p>
    <w:p w14:paraId="638E00B2" w14:textId="77777777" w:rsidR="000369B5" w:rsidRDefault="000369B5" w:rsidP="000369B5">
      <w:pPr>
        <w:pStyle w:val="Heading1"/>
        <w:numPr>
          <w:ilvl w:val="0"/>
          <w:numId w:val="0"/>
        </w:numPr>
        <w:sectPr w:rsidR="000369B5" w:rsidSect="00B12128">
          <w:footnotePr>
            <w:numRestart w:val="eachSect"/>
          </w:footnotePr>
          <w:pgSz w:w="12240" w:h="15840"/>
          <w:pgMar w:top="1440" w:right="1440" w:bottom="1440" w:left="1440" w:header="720" w:footer="720" w:gutter="0"/>
          <w:cols w:space="720"/>
          <w:titlePg/>
          <w:docGrid w:linePitch="360"/>
        </w:sectPr>
      </w:pPr>
      <w:bookmarkStart w:id="18" w:name="_Toc52308276"/>
    </w:p>
    <w:p w14:paraId="0B5E473E" w14:textId="740449BE" w:rsidR="00532DAF" w:rsidRDefault="00532DAF" w:rsidP="000369B5">
      <w:pPr>
        <w:pStyle w:val="Heading1"/>
        <w:numPr>
          <w:ilvl w:val="0"/>
          <w:numId w:val="0"/>
        </w:numPr>
      </w:pPr>
      <w:r>
        <w:lastRenderedPageBreak/>
        <w:t>Bibliography:</w:t>
      </w:r>
      <w:bookmarkEnd w:id="18"/>
    </w:p>
    <w:p w14:paraId="60F91BEB" w14:textId="77777777" w:rsidR="00532DAF" w:rsidRPr="0098662C" w:rsidRDefault="00532DAF" w:rsidP="0098662C">
      <w:pPr>
        <w:spacing w:line="240" w:lineRule="auto"/>
        <w:ind w:hanging="480"/>
        <w:rPr>
          <w:sz w:val="20"/>
          <w:szCs w:val="20"/>
          <w:lang w:val="es-ES"/>
        </w:rPr>
      </w:pPr>
      <w:r w:rsidRPr="0098662C">
        <w:rPr>
          <w:sz w:val="20"/>
          <w:szCs w:val="20"/>
        </w:rPr>
        <w:t>Abensour, Miguel-Hervé, ‘Les Formes de l’Utopie Socialiste-Communiste: Essai Sur Le Communisme Critique et l’utopie’, 1973</w:t>
      </w:r>
    </w:p>
    <w:p w14:paraId="4FB0FFFB" w14:textId="77777777" w:rsidR="00532DAF" w:rsidRPr="0098662C" w:rsidRDefault="00532DAF" w:rsidP="0098662C">
      <w:pPr>
        <w:spacing w:line="240" w:lineRule="auto"/>
        <w:ind w:hanging="480"/>
        <w:rPr>
          <w:sz w:val="20"/>
          <w:szCs w:val="20"/>
        </w:rPr>
      </w:pPr>
      <w:r w:rsidRPr="0098662C">
        <w:rPr>
          <w:sz w:val="20"/>
          <w:szCs w:val="20"/>
        </w:rPr>
        <w:t xml:space="preserve">Asad, Talal, </w:t>
      </w:r>
      <w:r w:rsidRPr="0098662C">
        <w:rPr>
          <w:i/>
          <w:iCs/>
          <w:sz w:val="20"/>
          <w:szCs w:val="20"/>
        </w:rPr>
        <w:t>Formations of the Secular: Christianity, Islam, Modernity</w:t>
      </w:r>
      <w:r w:rsidRPr="0098662C">
        <w:rPr>
          <w:sz w:val="20"/>
          <w:szCs w:val="20"/>
        </w:rPr>
        <w:t>, Cultural Memory in the Present (Stanford, Calif: Stanford University Press, 2003)</w:t>
      </w:r>
    </w:p>
    <w:p w14:paraId="54591274" w14:textId="2FD1A8DD" w:rsidR="00532DAF" w:rsidRPr="0098662C" w:rsidRDefault="003F3513" w:rsidP="0098662C">
      <w:pPr>
        <w:spacing w:line="240" w:lineRule="auto"/>
        <w:ind w:hanging="480"/>
        <w:rPr>
          <w:sz w:val="20"/>
          <w:szCs w:val="20"/>
        </w:rPr>
      </w:pPr>
      <w:r w:rsidRPr="0098662C">
        <w:rPr>
          <w:sz w:val="20"/>
          <w:szCs w:val="20"/>
        </w:rPr>
        <w:t xml:space="preserve">Atwood, Margaret, </w:t>
      </w:r>
      <w:r w:rsidRPr="0098662C">
        <w:rPr>
          <w:i/>
          <w:iCs/>
          <w:sz w:val="20"/>
          <w:szCs w:val="20"/>
        </w:rPr>
        <w:t xml:space="preserve">Dire Cartographies: The Roads to Ustopia </w:t>
      </w:r>
      <w:r>
        <w:rPr>
          <w:i/>
          <w:iCs/>
          <w:sz w:val="20"/>
          <w:szCs w:val="20"/>
        </w:rPr>
        <w:t>a</w:t>
      </w:r>
      <w:r w:rsidRPr="0098662C">
        <w:rPr>
          <w:i/>
          <w:iCs/>
          <w:sz w:val="20"/>
          <w:szCs w:val="20"/>
        </w:rPr>
        <w:t>nd The Handmaid’s Tale</w:t>
      </w:r>
      <w:r w:rsidRPr="0098662C">
        <w:rPr>
          <w:sz w:val="20"/>
          <w:szCs w:val="20"/>
        </w:rPr>
        <w:t xml:space="preserve"> (New York: Anchor Books, 2015) </w:t>
      </w:r>
    </w:p>
    <w:p w14:paraId="7825D6E9" w14:textId="77777777" w:rsidR="00532DAF" w:rsidRPr="0098662C" w:rsidRDefault="00532DAF" w:rsidP="0098662C">
      <w:pPr>
        <w:spacing w:line="240" w:lineRule="auto"/>
        <w:ind w:hanging="480"/>
        <w:rPr>
          <w:sz w:val="20"/>
          <w:szCs w:val="20"/>
        </w:rPr>
      </w:pPr>
      <w:r w:rsidRPr="0098662C">
        <w:rPr>
          <w:sz w:val="20"/>
          <w:szCs w:val="20"/>
        </w:rPr>
        <w:t xml:space="preserve">———, </w:t>
      </w:r>
      <w:r w:rsidRPr="0098662C">
        <w:rPr>
          <w:i/>
          <w:iCs/>
          <w:sz w:val="20"/>
          <w:szCs w:val="20"/>
        </w:rPr>
        <w:t>In Other Worlds: SF and the Human Imagination</w:t>
      </w:r>
      <w:r w:rsidRPr="0098662C">
        <w:rPr>
          <w:sz w:val="20"/>
          <w:szCs w:val="20"/>
        </w:rPr>
        <w:t xml:space="preserve"> (New York: Anchor Books, 2013)</w:t>
      </w:r>
    </w:p>
    <w:p w14:paraId="5EB2A2A0" w14:textId="77777777" w:rsidR="00532DAF" w:rsidRPr="0098662C" w:rsidRDefault="00532DAF" w:rsidP="0098662C">
      <w:pPr>
        <w:spacing w:line="240" w:lineRule="auto"/>
        <w:ind w:hanging="480"/>
        <w:rPr>
          <w:sz w:val="20"/>
          <w:szCs w:val="20"/>
        </w:rPr>
      </w:pPr>
      <w:r w:rsidRPr="0098662C">
        <w:rPr>
          <w:sz w:val="20"/>
          <w:szCs w:val="20"/>
        </w:rPr>
        <w:t xml:space="preserve">———, </w:t>
      </w:r>
      <w:r w:rsidRPr="0098662C">
        <w:rPr>
          <w:i/>
          <w:iCs/>
          <w:sz w:val="20"/>
          <w:szCs w:val="20"/>
        </w:rPr>
        <w:t>Maddaddam</w:t>
      </w:r>
      <w:r w:rsidRPr="0098662C">
        <w:rPr>
          <w:sz w:val="20"/>
          <w:szCs w:val="20"/>
        </w:rPr>
        <w:t xml:space="preserve"> (London: Virago, 2014)</w:t>
      </w:r>
    </w:p>
    <w:p w14:paraId="0615C93E" w14:textId="77777777" w:rsidR="00532DAF" w:rsidRPr="0098662C" w:rsidRDefault="00532DAF" w:rsidP="0098662C">
      <w:pPr>
        <w:spacing w:line="240" w:lineRule="auto"/>
        <w:ind w:hanging="480"/>
        <w:rPr>
          <w:sz w:val="20"/>
          <w:szCs w:val="20"/>
        </w:rPr>
      </w:pPr>
      <w:r w:rsidRPr="0098662C">
        <w:rPr>
          <w:sz w:val="20"/>
          <w:szCs w:val="20"/>
        </w:rPr>
        <w:t xml:space="preserve">———, </w:t>
      </w:r>
      <w:r w:rsidRPr="0098662C">
        <w:rPr>
          <w:i/>
          <w:iCs/>
          <w:sz w:val="20"/>
          <w:szCs w:val="20"/>
        </w:rPr>
        <w:t>Moving Targets: Writing with Intent, 1982-2004</w:t>
      </w:r>
      <w:r w:rsidRPr="0098662C">
        <w:rPr>
          <w:sz w:val="20"/>
          <w:szCs w:val="20"/>
        </w:rPr>
        <w:t xml:space="preserve"> (Toronto: House of Anansi Press, 2004)</w:t>
      </w:r>
    </w:p>
    <w:p w14:paraId="0CD5FF55" w14:textId="77777777" w:rsidR="00532DAF" w:rsidRPr="0098662C" w:rsidRDefault="00532DAF" w:rsidP="0098662C">
      <w:pPr>
        <w:spacing w:line="240" w:lineRule="auto"/>
        <w:ind w:hanging="480"/>
        <w:rPr>
          <w:sz w:val="20"/>
          <w:szCs w:val="20"/>
        </w:rPr>
      </w:pPr>
      <w:r w:rsidRPr="0098662C">
        <w:rPr>
          <w:sz w:val="20"/>
          <w:szCs w:val="20"/>
        </w:rPr>
        <w:t xml:space="preserve">———, ‘Orwell and Me’, </w:t>
      </w:r>
      <w:r w:rsidRPr="0098662C">
        <w:rPr>
          <w:i/>
          <w:iCs/>
          <w:sz w:val="20"/>
          <w:szCs w:val="20"/>
        </w:rPr>
        <w:t>The Guardian</w:t>
      </w:r>
      <w:r w:rsidRPr="0098662C">
        <w:rPr>
          <w:sz w:val="20"/>
          <w:szCs w:val="20"/>
        </w:rPr>
        <w:t>, 16 June 2003, section Books &lt;</w:t>
      </w:r>
      <w:hyperlink r:id="rId12" w:history="1">
        <w:r w:rsidRPr="0098662C">
          <w:rPr>
            <w:rStyle w:val="Hyperlink"/>
            <w:sz w:val="20"/>
            <w:szCs w:val="20"/>
          </w:rPr>
          <w:t>https://www.theguardian.com/books/2003/jun/16/georgeorwell.artsfeatures</w:t>
        </w:r>
      </w:hyperlink>
      <w:r w:rsidRPr="0098662C">
        <w:rPr>
          <w:sz w:val="20"/>
          <w:szCs w:val="20"/>
        </w:rPr>
        <w:t>&gt; [accessed 12 June 2020]</w:t>
      </w:r>
    </w:p>
    <w:p w14:paraId="08B10F03" w14:textId="77777777" w:rsidR="00532DAF" w:rsidRPr="0098662C" w:rsidRDefault="00532DAF" w:rsidP="0098662C">
      <w:pPr>
        <w:spacing w:line="240" w:lineRule="auto"/>
        <w:ind w:hanging="480"/>
        <w:rPr>
          <w:sz w:val="20"/>
          <w:szCs w:val="20"/>
        </w:rPr>
      </w:pPr>
      <w:r w:rsidRPr="0098662C">
        <w:rPr>
          <w:sz w:val="20"/>
          <w:szCs w:val="20"/>
        </w:rPr>
        <w:t xml:space="preserve">———, </w:t>
      </w:r>
      <w:r w:rsidRPr="0098662C">
        <w:rPr>
          <w:i/>
          <w:iCs/>
          <w:sz w:val="20"/>
          <w:szCs w:val="20"/>
        </w:rPr>
        <w:t>Oryx And Crake</w:t>
      </w:r>
      <w:r w:rsidRPr="0098662C">
        <w:rPr>
          <w:sz w:val="20"/>
          <w:szCs w:val="20"/>
        </w:rPr>
        <w:t xml:space="preserve"> (London: Virago Press, 2013)</w:t>
      </w:r>
    </w:p>
    <w:p w14:paraId="0B99A33C" w14:textId="77777777" w:rsidR="00532DAF" w:rsidRPr="0098662C" w:rsidRDefault="00532DAF" w:rsidP="0098662C">
      <w:pPr>
        <w:spacing w:line="240" w:lineRule="auto"/>
        <w:ind w:hanging="480"/>
        <w:rPr>
          <w:sz w:val="20"/>
          <w:szCs w:val="20"/>
        </w:rPr>
      </w:pPr>
      <w:r w:rsidRPr="0098662C">
        <w:rPr>
          <w:sz w:val="20"/>
          <w:szCs w:val="20"/>
        </w:rPr>
        <w:t>———, ‘</w:t>
      </w:r>
      <w:r w:rsidRPr="0098662C">
        <w:rPr>
          <w:i/>
          <w:iCs/>
          <w:sz w:val="20"/>
          <w:szCs w:val="20"/>
        </w:rPr>
        <w:t>The Handmaid’s Tale</w:t>
      </w:r>
      <w:r w:rsidRPr="0098662C">
        <w:rPr>
          <w:sz w:val="20"/>
          <w:szCs w:val="20"/>
        </w:rPr>
        <w:t xml:space="preserve"> and </w:t>
      </w:r>
      <w:r w:rsidRPr="0098662C">
        <w:rPr>
          <w:i/>
          <w:iCs/>
          <w:sz w:val="20"/>
          <w:szCs w:val="20"/>
        </w:rPr>
        <w:t>Oryx and Crake</w:t>
      </w:r>
      <w:r w:rsidRPr="0098662C">
        <w:rPr>
          <w:sz w:val="20"/>
          <w:szCs w:val="20"/>
        </w:rPr>
        <w:t xml:space="preserve"> “In Context”’, </w:t>
      </w:r>
      <w:r w:rsidRPr="0098662C">
        <w:rPr>
          <w:i/>
          <w:iCs/>
          <w:sz w:val="20"/>
          <w:szCs w:val="20"/>
        </w:rPr>
        <w:t>PMLA</w:t>
      </w:r>
      <w:r w:rsidRPr="0098662C">
        <w:rPr>
          <w:sz w:val="20"/>
          <w:szCs w:val="20"/>
        </w:rPr>
        <w:t>, 119.3 (2004), 513–17</w:t>
      </w:r>
    </w:p>
    <w:p w14:paraId="2017F0AB" w14:textId="77777777" w:rsidR="00532DAF" w:rsidRPr="0098662C" w:rsidRDefault="00532DAF" w:rsidP="0098662C">
      <w:pPr>
        <w:spacing w:line="240" w:lineRule="auto"/>
        <w:ind w:hanging="480"/>
        <w:rPr>
          <w:sz w:val="20"/>
          <w:szCs w:val="20"/>
        </w:rPr>
      </w:pPr>
      <w:r w:rsidRPr="0098662C">
        <w:rPr>
          <w:sz w:val="20"/>
          <w:szCs w:val="20"/>
        </w:rPr>
        <w:t xml:space="preserve">———, </w:t>
      </w:r>
      <w:r w:rsidRPr="0098662C">
        <w:rPr>
          <w:i/>
          <w:iCs/>
          <w:sz w:val="20"/>
          <w:szCs w:val="20"/>
        </w:rPr>
        <w:t>The Year of the Flood</w:t>
      </w:r>
      <w:r w:rsidRPr="0098662C">
        <w:rPr>
          <w:sz w:val="20"/>
          <w:szCs w:val="20"/>
        </w:rPr>
        <w:t xml:space="preserve"> (London: Virago, 2014)</w:t>
      </w:r>
    </w:p>
    <w:p w14:paraId="5178889E" w14:textId="77777777" w:rsidR="00532DAF" w:rsidRPr="0098662C" w:rsidRDefault="00532DAF" w:rsidP="0098662C">
      <w:pPr>
        <w:spacing w:line="240" w:lineRule="auto"/>
        <w:ind w:hanging="480"/>
        <w:rPr>
          <w:sz w:val="20"/>
          <w:szCs w:val="20"/>
        </w:rPr>
      </w:pPr>
      <w:r w:rsidRPr="0098662C">
        <w:rPr>
          <w:sz w:val="20"/>
          <w:szCs w:val="20"/>
        </w:rPr>
        <w:t xml:space="preserve">Badmington, Neil, </w:t>
      </w:r>
      <w:r w:rsidRPr="0098662C">
        <w:rPr>
          <w:i/>
          <w:iCs/>
          <w:sz w:val="20"/>
          <w:szCs w:val="20"/>
        </w:rPr>
        <w:t>Alien Chic: Posthumanism and the Other Within</w:t>
      </w:r>
      <w:r w:rsidRPr="0098662C">
        <w:rPr>
          <w:sz w:val="20"/>
          <w:szCs w:val="20"/>
        </w:rPr>
        <w:t xml:space="preserve"> (London ; New York: Routledge, 2004)</w:t>
      </w:r>
    </w:p>
    <w:p w14:paraId="181DED98" w14:textId="77777777" w:rsidR="00532DAF" w:rsidRPr="0098662C" w:rsidRDefault="00532DAF" w:rsidP="0098662C">
      <w:pPr>
        <w:spacing w:line="240" w:lineRule="auto"/>
        <w:ind w:hanging="480"/>
        <w:rPr>
          <w:sz w:val="20"/>
          <w:szCs w:val="20"/>
        </w:rPr>
      </w:pPr>
      <w:r w:rsidRPr="0098662C">
        <w:rPr>
          <w:sz w:val="20"/>
          <w:szCs w:val="20"/>
        </w:rPr>
        <w:t xml:space="preserve">Berger, James, </w:t>
      </w:r>
      <w:r w:rsidRPr="0098662C">
        <w:rPr>
          <w:i/>
          <w:iCs/>
          <w:sz w:val="20"/>
          <w:szCs w:val="20"/>
        </w:rPr>
        <w:t>After the End: Representations of Post-Apocalypse</w:t>
      </w:r>
      <w:r w:rsidRPr="0098662C">
        <w:rPr>
          <w:sz w:val="20"/>
          <w:szCs w:val="20"/>
        </w:rPr>
        <w:t xml:space="preserve"> (Minneapolis: University of Minnesota Press, 1999)</w:t>
      </w:r>
    </w:p>
    <w:p w14:paraId="4F308BAD" w14:textId="77777777" w:rsidR="00532DAF" w:rsidRPr="0098662C" w:rsidRDefault="00532DAF" w:rsidP="0098662C">
      <w:pPr>
        <w:spacing w:line="240" w:lineRule="auto"/>
        <w:ind w:hanging="480"/>
        <w:rPr>
          <w:sz w:val="20"/>
          <w:szCs w:val="20"/>
        </w:rPr>
      </w:pPr>
      <w:r w:rsidRPr="0098662C">
        <w:rPr>
          <w:sz w:val="20"/>
          <w:szCs w:val="20"/>
        </w:rPr>
        <w:t xml:space="preserve">Best, Steven, and Douglas Kellner, </w:t>
      </w:r>
      <w:r w:rsidRPr="0098662C">
        <w:rPr>
          <w:i/>
          <w:iCs/>
          <w:sz w:val="20"/>
          <w:szCs w:val="20"/>
        </w:rPr>
        <w:t>The Postmodern Adventure: Science, Technology, and Cultural Studies at the Third Millennium</w:t>
      </w:r>
      <w:r w:rsidRPr="0098662C">
        <w:rPr>
          <w:sz w:val="20"/>
          <w:szCs w:val="20"/>
        </w:rPr>
        <w:t>, Critical Perspectives (New York: Guilford Press, 2001)</w:t>
      </w:r>
    </w:p>
    <w:p w14:paraId="146B532D" w14:textId="77777777" w:rsidR="00532DAF" w:rsidRPr="0098662C" w:rsidRDefault="00532DAF" w:rsidP="0098662C">
      <w:pPr>
        <w:spacing w:line="240" w:lineRule="auto"/>
        <w:ind w:hanging="480"/>
        <w:rPr>
          <w:sz w:val="20"/>
          <w:szCs w:val="20"/>
        </w:rPr>
      </w:pPr>
      <w:r w:rsidRPr="0098662C">
        <w:rPr>
          <w:sz w:val="20"/>
          <w:szCs w:val="20"/>
        </w:rPr>
        <w:t xml:space="preserve">Booker, M. Keith, </w:t>
      </w:r>
      <w:r w:rsidRPr="0098662C">
        <w:rPr>
          <w:i/>
          <w:iCs/>
          <w:sz w:val="20"/>
          <w:szCs w:val="20"/>
        </w:rPr>
        <w:t>The Dystopian Impulse in Modern Literature: Fiction as Social Criticism</w:t>
      </w:r>
      <w:r w:rsidRPr="0098662C">
        <w:rPr>
          <w:sz w:val="20"/>
          <w:szCs w:val="20"/>
        </w:rPr>
        <w:t>, Contributions to the Study of Science Fiction and Fantasy, no. 58 (Westport, Conn: Greenwood Press, 1994)</w:t>
      </w:r>
    </w:p>
    <w:p w14:paraId="7462AB54" w14:textId="77777777" w:rsidR="00532DAF" w:rsidRPr="0098662C" w:rsidRDefault="00532DAF" w:rsidP="0098662C">
      <w:pPr>
        <w:spacing w:line="240" w:lineRule="auto"/>
        <w:ind w:hanging="480"/>
        <w:rPr>
          <w:sz w:val="20"/>
          <w:szCs w:val="20"/>
        </w:rPr>
      </w:pPr>
      <w:r w:rsidRPr="0098662C">
        <w:rPr>
          <w:sz w:val="20"/>
          <w:szCs w:val="20"/>
        </w:rPr>
        <w:t xml:space="preserve">Borbély, Carmen-Veronica, and Petronia Popa Petrar, </w:t>
      </w:r>
      <w:r w:rsidRPr="0098662C">
        <w:rPr>
          <w:i/>
          <w:iCs/>
          <w:sz w:val="20"/>
          <w:szCs w:val="20"/>
        </w:rPr>
        <w:t>Our Heteromorphic Future: Encoding the Posthuman in Contemporary British Fiction</w:t>
      </w:r>
      <w:r w:rsidRPr="0098662C">
        <w:rPr>
          <w:sz w:val="20"/>
          <w:szCs w:val="20"/>
        </w:rPr>
        <w:t xml:space="preserve"> (Cluj-Napoca: Presa Universitară Clujeană, 2014)</w:t>
      </w:r>
    </w:p>
    <w:p w14:paraId="0853A862" w14:textId="77777777" w:rsidR="00532DAF" w:rsidRPr="0098662C" w:rsidRDefault="00532DAF" w:rsidP="0098662C">
      <w:pPr>
        <w:spacing w:line="240" w:lineRule="auto"/>
        <w:ind w:hanging="480"/>
        <w:rPr>
          <w:sz w:val="20"/>
          <w:szCs w:val="20"/>
        </w:rPr>
      </w:pPr>
      <w:r w:rsidRPr="0098662C">
        <w:rPr>
          <w:sz w:val="20"/>
          <w:szCs w:val="20"/>
        </w:rPr>
        <w:t xml:space="preserve">Bouson, J. Brooks, ‘“It’s Game Over Forever”: Atwood’s Satiric Vision of a Bioengineered Posthuman Future in </w:t>
      </w:r>
      <w:r w:rsidRPr="0098662C">
        <w:rPr>
          <w:i/>
          <w:iCs/>
          <w:sz w:val="20"/>
          <w:szCs w:val="20"/>
        </w:rPr>
        <w:t>Oryx and Crake</w:t>
      </w:r>
      <w:r w:rsidRPr="0098662C">
        <w:rPr>
          <w:sz w:val="20"/>
          <w:szCs w:val="20"/>
        </w:rPr>
        <w:t xml:space="preserve">’, </w:t>
      </w:r>
      <w:r w:rsidRPr="0098662C">
        <w:rPr>
          <w:i/>
          <w:iCs/>
          <w:sz w:val="20"/>
          <w:szCs w:val="20"/>
        </w:rPr>
        <w:t>The Journal of Commonwealth Literature</w:t>
      </w:r>
      <w:r w:rsidRPr="0098662C">
        <w:rPr>
          <w:sz w:val="20"/>
          <w:szCs w:val="20"/>
        </w:rPr>
        <w:t>, 39.3 (2004), 139–56 &lt;</w:t>
      </w:r>
      <w:hyperlink r:id="rId13" w:history="1">
        <w:r w:rsidRPr="0098662C">
          <w:rPr>
            <w:rStyle w:val="Hyperlink"/>
            <w:sz w:val="20"/>
            <w:szCs w:val="20"/>
          </w:rPr>
          <w:t>https://doi.org/10.1177/0021989404047051</w:t>
        </w:r>
      </w:hyperlink>
      <w:r w:rsidRPr="0098662C">
        <w:rPr>
          <w:sz w:val="20"/>
          <w:szCs w:val="20"/>
        </w:rPr>
        <w:t>&gt;</w:t>
      </w:r>
    </w:p>
    <w:p w14:paraId="0C6F7C9D" w14:textId="77777777" w:rsidR="00532DAF" w:rsidRPr="0098662C" w:rsidRDefault="00532DAF" w:rsidP="0098662C">
      <w:pPr>
        <w:spacing w:line="240" w:lineRule="auto"/>
        <w:ind w:hanging="480"/>
        <w:rPr>
          <w:sz w:val="20"/>
          <w:szCs w:val="20"/>
        </w:rPr>
      </w:pPr>
      <w:r w:rsidRPr="0098662C">
        <w:rPr>
          <w:sz w:val="20"/>
          <w:szCs w:val="20"/>
        </w:rPr>
        <w:t xml:space="preserve">———, ed., </w:t>
      </w:r>
      <w:r w:rsidRPr="0098662C">
        <w:rPr>
          <w:i/>
          <w:iCs/>
          <w:sz w:val="20"/>
          <w:szCs w:val="20"/>
        </w:rPr>
        <w:t>Margaret Atwood</w:t>
      </w:r>
      <w:r w:rsidRPr="0098662C">
        <w:rPr>
          <w:sz w:val="20"/>
          <w:szCs w:val="20"/>
        </w:rPr>
        <w:t>, Critical Insights (Ipswich, Mass: Salem Press, 2013)</w:t>
      </w:r>
    </w:p>
    <w:p w14:paraId="2C0C51AD" w14:textId="77777777" w:rsidR="00532DAF" w:rsidRPr="0098662C" w:rsidRDefault="00532DAF" w:rsidP="0098662C">
      <w:pPr>
        <w:spacing w:line="240" w:lineRule="auto"/>
        <w:ind w:hanging="480"/>
        <w:rPr>
          <w:sz w:val="20"/>
          <w:szCs w:val="20"/>
        </w:rPr>
      </w:pPr>
      <w:r w:rsidRPr="0098662C">
        <w:rPr>
          <w:sz w:val="20"/>
          <w:szCs w:val="20"/>
        </w:rPr>
        <w:t xml:space="preserve">Boyd, Brian, </w:t>
      </w:r>
      <w:r w:rsidRPr="0098662C">
        <w:rPr>
          <w:i/>
          <w:iCs/>
          <w:sz w:val="20"/>
          <w:szCs w:val="20"/>
        </w:rPr>
        <w:t>On the Origin of Stories: Evolution, Cognition, and Fiction</w:t>
      </w:r>
      <w:r w:rsidRPr="0098662C">
        <w:rPr>
          <w:sz w:val="20"/>
          <w:szCs w:val="20"/>
        </w:rPr>
        <w:t xml:space="preserve"> (Cambridge, Mass: Belknap Press of Harvard University Press, 2009)</w:t>
      </w:r>
    </w:p>
    <w:p w14:paraId="6FA62DFD" w14:textId="77777777" w:rsidR="00532DAF" w:rsidRPr="0098662C" w:rsidRDefault="00532DAF" w:rsidP="0098662C">
      <w:pPr>
        <w:spacing w:line="240" w:lineRule="auto"/>
        <w:ind w:hanging="480"/>
        <w:rPr>
          <w:sz w:val="20"/>
          <w:szCs w:val="20"/>
        </w:rPr>
      </w:pPr>
      <w:r w:rsidRPr="0098662C">
        <w:rPr>
          <w:sz w:val="20"/>
          <w:szCs w:val="20"/>
        </w:rPr>
        <w:t xml:space="preserve">Braidotti, Rosi, </w:t>
      </w:r>
      <w:r w:rsidRPr="0098662C">
        <w:rPr>
          <w:i/>
          <w:iCs/>
          <w:sz w:val="20"/>
          <w:szCs w:val="20"/>
        </w:rPr>
        <w:t>The Posthuman</w:t>
      </w:r>
      <w:r w:rsidRPr="0098662C">
        <w:rPr>
          <w:sz w:val="20"/>
          <w:szCs w:val="20"/>
        </w:rPr>
        <w:t xml:space="preserve"> (Cambridge, UK ; Malden, MA, USA: Polity Press, 2013)</w:t>
      </w:r>
    </w:p>
    <w:p w14:paraId="553F4270" w14:textId="77777777" w:rsidR="00532DAF" w:rsidRPr="0098662C" w:rsidRDefault="00532DAF" w:rsidP="0098662C">
      <w:pPr>
        <w:spacing w:line="240" w:lineRule="auto"/>
        <w:ind w:hanging="480"/>
        <w:rPr>
          <w:sz w:val="20"/>
          <w:szCs w:val="20"/>
        </w:rPr>
      </w:pPr>
      <w:r w:rsidRPr="0098662C">
        <w:rPr>
          <w:sz w:val="20"/>
          <w:szCs w:val="20"/>
        </w:rPr>
        <w:t xml:space="preserve">Bud, Robert, </w:t>
      </w:r>
      <w:r w:rsidRPr="0098662C">
        <w:rPr>
          <w:i/>
          <w:iCs/>
          <w:sz w:val="20"/>
          <w:szCs w:val="20"/>
        </w:rPr>
        <w:t>The Uses of Life: A History of Biotechnology</w:t>
      </w:r>
      <w:r w:rsidRPr="0098662C">
        <w:rPr>
          <w:sz w:val="20"/>
          <w:szCs w:val="20"/>
        </w:rPr>
        <w:t xml:space="preserve"> (Cambridge ; New York, NY, USA: Cambridge University Press, 1993)</w:t>
      </w:r>
    </w:p>
    <w:p w14:paraId="76E4A285" w14:textId="77777777" w:rsidR="00532DAF" w:rsidRPr="0098662C" w:rsidRDefault="00532DAF" w:rsidP="0098662C">
      <w:pPr>
        <w:spacing w:line="240" w:lineRule="auto"/>
        <w:ind w:hanging="480"/>
        <w:rPr>
          <w:sz w:val="20"/>
          <w:szCs w:val="20"/>
        </w:rPr>
      </w:pPr>
      <w:r w:rsidRPr="0098662C">
        <w:rPr>
          <w:sz w:val="20"/>
          <w:szCs w:val="20"/>
        </w:rPr>
        <w:t xml:space="preserve">Cady, Linell, ‘Secularism, Secularizing, and Secularization: Reflections on Stout’s Democracy and Tradition’, ed. by Jeffrey Stout, </w:t>
      </w:r>
      <w:r w:rsidRPr="0098662C">
        <w:rPr>
          <w:i/>
          <w:iCs/>
          <w:sz w:val="20"/>
          <w:szCs w:val="20"/>
        </w:rPr>
        <w:t>Journal of the American Academy of Religion</w:t>
      </w:r>
      <w:r w:rsidRPr="0098662C">
        <w:rPr>
          <w:sz w:val="20"/>
          <w:szCs w:val="20"/>
        </w:rPr>
        <w:t>, 73.3 (2005), 871–85</w:t>
      </w:r>
    </w:p>
    <w:p w14:paraId="3C3BAE5F" w14:textId="77777777" w:rsidR="00532DAF" w:rsidRPr="0098662C" w:rsidRDefault="00532DAF" w:rsidP="0098662C">
      <w:pPr>
        <w:spacing w:line="240" w:lineRule="auto"/>
        <w:ind w:hanging="480"/>
        <w:rPr>
          <w:sz w:val="20"/>
          <w:szCs w:val="20"/>
        </w:rPr>
      </w:pPr>
      <w:r w:rsidRPr="0098662C">
        <w:rPr>
          <w:sz w:val="20"/>
          <w:szCs w:val="20"/>
        </w:rPr>
        <w:t xml:space="preserve">Casanova, José, </w:t>
      </w:r>
      <w:r w:rsidRPr="0098662C">
        <w:rPr>
          <w:i/>
          <w:iCs/>
          <w:sz w:val="20"/>
          <w:szCs w:val="20"/>
        </w:rPr>
        <w:t>Public Religions in the Modern World</w:t>
      </w:r>
      <w:r w:rsidRPr="0098662C">
        <w:rPr>
          <w:sz w:val="20"/>
          <w:szCs w:val="20"/>
        </w:rPr>
        <w:t xml:space="preserve"> (Chicago: University of Chicago Press, 1994)</w:t>
      </w:r>
    </w:p>
    <w:p w14:paraId="589D3546" w14:textId="77777777" w:rsidR="00532DAF" w:rsidRPr="0098662C" w:rsidRDefault="00532DAF" w:rsidP="0098662C">
      <w:pPr>
        <w:spacing w:line="240" w:lineRule="auto"/>
        <w:ind w:hanging="480"/>
        <w:rPr>
          <w:sz w:val="20"/>
          <w:szCs w:val="20"/>
        </w:rPr>
      </w:pPr>
      <w:r w:rsidRPr="0098662C">
        <w:rPr>
          <w:sz w:val="20"/>
          <w:szCs w:val="20"/>
        </w:rPr>
        <w:t xml:space="preserve">Chakrabarty, Dipesh, ‘The Climate of History: Four Theses’, </w:t>
      </w:r>
      <w:r w:rsidRPr="0098662C">
        <w:rPr>
          <w:i/>
          <w:iCs/>
          <w:sz w:val="20"/>
          <w:szCs w:val="20"/>
        </w:rPr>
        <w:t>Critical Inquiry</w:t>
      </w:r>
      <w:r w:rsidRPr="0098662C">
        <w:rPr>
          <w:sz w:val="20"/>
          <w:szCs w:val="20"/>
        </w:rPr>
        <w:t>, 35.2 (2009), 197–222 &lt;</w:t>
      </w:r>
      <w:hyperlink r:id="rId14" w:history="1">
        <w:r w:rsidRPr="0098662C">
          <w:rPr>
            <w:rStyle w:val="Hyperlink"/>
            <w:sz w:val="20"/>
            <w:szCs w:val="20"/>
          </w:rPr>
          <w:t>https://doi.org/10.1086/596640</w:t>
        </w:r>
      </w:hyperlink>
      <w:r w:rsidRPr="0098662C">
        <w:rPr>
          <w:sz w:val="20"/>
          <w:szCs w:val="20"/>
        </w:rPr>
        <w:t>&gt;</w:t>
      </w:r>
    </w:p>
    <w:p w14:paraId="22119234" w14:textId="77777777" w:rsidR="00532DAF" w:rsidRPr="0098662C" w:rsidRDefault="00532DAF" w:rsidP="0098662C">
      <w:pPr>
        <w:spacing w:line="240" w:lineRule="auto"/>
        <w:ind w:hanging="480"/>
        <w:rPr>
          <w:sz w:val="20"/>
          <w:szCs w:val="20"/>
        </w:rPr>
      </w:pPr>
      <w:r w:rsidRPr="0098662C">
        <w:rPr>
          <w:sz w:val="20"/>
          <w:szCs w:val="20"/>
        </w:rPr>
        <w:t xml:space="preserve">Ciobanu, Calina, ‘Rewriting the Human at the End of the Anthropocene in Margaret Atwood’s </w:t>
      </w:r>
      <w:r w:rsidRPr="0098662C">
        <w:rPr>
          <w:i/>
          <w:iCs/>
          <w:sz w:val="20"/>
          <w:szCs w:val="20"/>
        </w:rPr>
        <w:t>MaddAddam</w:t>
      </w:r>
      <w:r w:rsidRPr="0098662C">
        <w:rPr>
          <w:sz w:val="20"/>
          <w:szCs w:val="20"/>
        </w:rPr>
        <w:t xml:space="preserve"> Trilogy’, </w:t>
      </w:r>
      <w:r w:rsidRPr="0098662C">
        <w:rPr>
          <w:i/>
          <w:iCs/>
          <w:sz w:val="20"/>
          <w:szCs w:val="20"/>
        </w:rPr>
        <w:t>The Minnesota Review</w:t>
      </w:r>
      <w:r w:rsidRPr="0098662C">
        <w:rPr>
          <w:sz w:val="20"/>
          <w:szCs w:val="20"/>
        </w:rPr>
        <w:t>, 2014.83 (2014), 153–62 &lt;</w:t>
      </w:r>
      <w:hyperlink r:id="rId15" w:history="1">
        <w:r w:rsidRPr="0098662C">
          <w:rPr>
            <w:rStyle w:val="Hyperlink"/>
            <w:sz w:val="20"/>
            <w:szCs w:val="20"/>
          </w:rPr>
          <w:t>https://doi.org/10.1215/00265667-2782351</w:t>
        </w:r>
      </w:hyperlink>
      <w:r w:rsidRPr="0098662C">
        <w:rPr>
          <w:sz w:val="20"/>
          <w:szCs w:val="20"/>
        </w:rPr>
        <w:t>&gt;</w:t>
      </w:r>
    </w:p>
    <w:p w14:paraId="17228B37" w14:textId="77777777" w:rsidR="00532DAF" w:rsidRPr="0098662C" w:rsidRDefault="00532DAF" w:rsidP="0098662C">
      <w:pPr>
        <w:spacing w:line="240" w:lineRule="auto"/>
        <w:ind w:hanging="480"/>
        <w:rPr>
          <w:sz w:val="20"/>
          <w:szCs w:val="20"/>
        </w:rPr>
      </w:pPr>
      <w:r w:rsidRPr="0098662C">
        <w:rPr>
          <w:sz w:val="20"/>
          <w:szCs w:val="20"/>
        </w:rPr>
        <w:t xml:space="preserve">Cooke, Grayson, ‘Technics and the Human at Zero-Hour: Margaret Atwood’s </w:t>
      </w:r>
      <w:r w:rsidRPr="0098662C">
        <w:rPr>
          <w:i/>
          <w:iCs/>
          <w:sz w:val="20"/>
          <w:szCs w:val="20"/>
        </w:rPr>
        <w:t>Oryx and Crake</w:t>
      </w:r>
      <w:r w:rsidRPr="0098662C">
        <w:rPr>
          <w:sz w:val="20"/>
          <w:szCs w:val="20"/>
        </w:rPr>
        <w:t xml:space="preserve">’, </w:t>
      </w:r>
      <w:r w:rsidRPr="0098662C">
        <w:rPr>
          <w:i/>
          <w:iCs/>
          <w:sz w:val="20"/>
          <w:szCs w:val="20"/>
        </w:rPr>
        <w:t>Studies in Canadian Literature</w:t>
      </w:r>
      <w:r w:rsidRPr="0098662C">
        <w:rPr>
          <w:sz w:val="20"/>
          <w:szCs w:val="20"/>
        </w:rPr>
        <w:t>, 2006 &lt;</w:t>
      </w:r>
      <w:hyperlink r:id="rId16" w:history="1">
        <w:r w:rsidRPr="0098662C">
          <w:rPr>
            <w:rStyle w:val="Hyperlink"/>
            <w:sz w:val="20"/>
            <w:szCs w:val="20"/>
          </w:rPr>
          <w:t>https://journals.lib.unb.ca/index.php/SCL/article/view/10216</w:t>
        </w:r>
      </w:hyperlink>
      <w:r w:rsidRPr="0098662C">
        <w:rPr>
          <w:sz w:val="20"/>
          <w:szCs w:val="20"/>
        </w:rPr>
        <w:t>&gt; [accessed 23 August 2020]</w:t>
      </w:r>
    </w:p>
    <w:p w14:paraId="23438AE8" w14:textId="77777777" w:rsidR="00532DAF" w:rsidRPr="0098662C" w:rsidRDefault="00532DAF" w:rsidP="0098662C">
      <w:pPr>
        <w:spacing w:line="240" w:lineRule="auto"/>
        <w:ind w:hanging="480"/>
        <w:rPr>
          <w:sz w:val="20"/>
          <w:szCs w:val="20"/>
        </w:rPr>
      </w:pPr>
      <w:r w:rsidRPr="0098662C">
        <w:rPr>
          <w:sz w:val="20"/>
          <w:szCs w:val="20"/>
        </w:rPr>
        <w:t xml:space="preserve">Crutzen, Paul J., ‘The “Anthropocene”’, in </w:t>
      </w:r>
      <w:r w:rsidRPr="0098662C">
        <w:rPr>
          <w:i/>
          <w:iCs/>
          <w:sz w:val="20"/>
          <w:szCs w:val="20"/>
        </w:rPr>
        <w:t>Earth System Science in the Anthropocene</w:t>
      </w:r>
      <w:r w:rsidRPr="0098662C">
        <w:rPr>
          <w:sz w:val="20"/>
          <w:szCs w:val="20"/>
        </w:rPr>
        <w:t>, ed. by Eckart Ehlers and Thomas Krafft (Berlin/Heidelberg: Springer-Verlag, 2006), pp. 13–18 &lt;</w:t>
      </w:r>
      <w:hyperlink r:id="rId17" w:history="1">
        <w:r w:rsidRPr="0098662C">
          <w:rPr>
            <w:rStyle w:val="Hyperlink"/>
            <w:sz w:val="20"/>
            <w:szCs w:val="20"/>
          </w:rPr>
          <w:t>https://doi.org/10.1007/3-540-26590-2_3</w:t>
        </w:r>
      </w:hyperlink>
      <w:r w:rsidRPr="0098662C">
        <w:rPr>
          <w:sz w:val="20"/>
          <w:szCs w:val="20"/>
        </w:rPr>
        <w:t>&gt;</w:t>
      </w:r>
    </w:p>
    <w:p w14:paraId="7134BC85" w14:textId="77777777" w:rsidR="00532DAF" w:rsidRPr="0098662C" w:rsidRDefault="00532DAF" w:rsidP="0098662C">
      <w:pPr>
        <w:spacing w:line="240" w:lineRule="auto"/>
        <w:ind w:hanging="480"/>
        <w:rPr>
          <w:sz w:val="20"/>
          <w:szCs w:val="20"/>
        </w:rPr>
      </w:pPr>
      <w:r w:rsidRPr="0098662C">
        <w:rPr>
          <w:sz w:val="20"/>
          <w:szCs w:val="20"/>
        </w:rPr>
        <w:t xml:space="preserve">Cuddon, John A, and Rafey Habib, </w:t>
      </w:r>
      <w:r w:rsidRPr="0098662C">
        <w:rPr>
          <w:i/>
          <w:iCs/>
          <w:sz w:val="20"/>
          <w:szCs w:val="20"/>
        </w:rPr>
        <w:t>A Dictionary of Literary Terms and Literary Theory</w:t>
      </w:r>
      <w:r w:rsidRPr="0098662C">
        <w:rPr>
          <w:sz w:val="20"/>
          <w:szCs w:val="20"/>
        </w:rPr>
        <w:t xml:space="preserve"> (Chichester, West Sussex: Wiley-Blackwell, 2013) &lt;</w:t>
      </w:r>
      <w:hyperlink r:id="rId18" w:history="1">
        <w:r w:rsidRPr="0098662C">
          <w:rPr>
            <w:rStyle w:val="Hyperlink"/>
            <w:sz w:val="20"/>
            <w:szCs w:val="20"/>
          </w:rPr>
          <w:t>http://onlinelibrary.wiley.com/book/10.1002/9781118325988</w:t>
        </w:r>
      </w:hyperlink>
      <w:r w:rsidRPr="0098662C">
        <w:rPr>
          <w:sz w:val="20"/>
          <w:szCs w:val="20"/>
        </w:rPr>
        <w:t>&gt; [accessed 15 September 2020]</w:t>
      </w:r>
    </w:p>
    <w:p w14:paraId="0F313D25" w14:textId="77777777" w:rsidR="00532DAF" w:rsidRPr="0098662C" w:rsidRDefault="00532DAF" w:rsidP="0098662C">
      <w:pPr>
        <w:spacing w:line="240" w:lineRule="auto"/>
        <w:ind w:hanging="480"/>
        <w:rPr>
          <w:sz w:val="20"/>
          <w:szCs w:val="20"/>
        </w:rPr>
      </w:pPr>
      <w:r w:rsidRPr="0098662C">
        <w:rPr>
          <w:sz w:val="20"/>
          <w:szCs w:val="20"/>
        </w:rPr>
        <w:t>Defalco, Amelia, ‘</w:t>
      </w:r>
      <w:r w:rsidRPr="0098662C">
        <w:rPr>
          <w:i/>
          <w:iCs/>
          <w:sz w:val="20"/>
          <w:szCs w:val="20"/>
        </w:rPr>
        <w:t>MaddAddam</w:t>
      </w:r>
      <w:r w:rsidRPr="0098662C">
        <w:rPr>
          <w:sz w:val="20"/>
          <w:szCs w:val="20"/>
        </w:rPr>
        <w:t xml:space="preserve">, Biocapitalism, and Affective Things’, </w:t>
      </w:r>
      <w:r w:rsidRPr="0098662C">
        <w:rPr>
          <w:i/>
          <w:iCs/>
          <w:sz w:val="20"/>
          <w:szCs w:val="20"/>
        </w:rPr>
        <w:t>Contemporary Women’s Writing</w:t>
      </w:r>
      <w:r w:rsidRPr="0098662C">
        <w:rPr>
          <w:sz w:val="20"/>
          <w:szCs w:val="20"/>
        </w:rPr>
        <w:t>, 11.3 (2017), 432–51 &lt;</w:t>
      </w:r>
      <w:hyperlink r:id="rId19" w:history="1">
        <w:r w:rsidRPr="0098662C">
          <w:rPr>
            <w:rStyle w:val="Hyperlink"/>
            <w:sz w:val="20"/>
            <w:szCs w:val="20"/>
          </w:rPr>
          <w:t>https://doi.org/10.1093/cww/vpx008</w:t>
        </w:r>
      </w:hyperlink>
      <w:r w:rsidRPr="0098662C">
        <w:rPr>
          <w:sz w:val="20"/>
          <w:szCs w:val="20"/>
        </w:rPr>
        <w:t>&gt;</w:t>
      </w:r>
    </w:p>
    <w:p w14:paraId="6F036D9C" w14:textId="77777777" w:rsidR="00532DAF" w:rsidRPr="0098662C" w:rsidRDefault="00532DAF" w:rsidP="0098662C">
      <w:pPr>
        <w:spacing w:line="240" w:lineRule="auto"/>
        <w:ind w:hanging="480"/>
        <w:rPr>
          <w:sz w:val="20"/>
          <w:szCs w:val="20"/>
        </w:rPr>
      </w:pPr>
      <w:r w:rsidRPr="0098662C">
        <w:rPr>
          <w:sz w:val="20"/>
          <w:szCs w:val="20"/>
        </w:rPr>
        <w:t xml:space="preserve">Del Villano, Bianca, ‘An Ecocritical Retelling of the Bible: Genesis and Apocalypse in Margaret Atwood’s </w:t>
      </w:r>
      <w:r w:rsidRPr="0098662C">
        <w:rPr>
          <w:i/>
          <w:iCs/>
          <w:sz w:val="20"/>
          <w:szCs w:val="20"/>
        </w:rPr>
        <w:t>The Year of the Flood</w:t>
      </w:r>
      <w:r w:rsidRPr="0098662C">
        <w:rPr>
          <w:sz w:val="20"/>
          <w:szCs w:val="20"/>
        </w:rPr>
        <w:t xml:space="preserve">’, </w:t>
      </w:r>
      <w:r w:rsidRPr="0098662C">
        <w:rPr>
          <w:i/>
          <w:iCs/>
          <w:sz w:val="20"/>
          <w:szCs w:val="20"/>
        </w:rPr>
        <w:t>Textus</w:t>
      </w:r>
      <w:r w:rsidRPr="0098662C">
        <w:rPr>
          <w:sz w:val="20"/>
          <w:szCs w:val="20"/>
        </w:rPr>
        <w:t>, 27.3 (2014), 151–69</w:t>
      </w:r>
    </w:p>
    <w:p w14:paraId="7190EA36" w14:textId="513C44F3" w:rsidR="00532DAF" w:rsidRPr="0098662C" w:rsidRDefault="00532DAF" w:rsidP="0098662C">
      <w:pPr>
        <w:spacing w:line="240" w:lineRule="auto"/>
        <w:ind w:hanging="480"/>
        <w:rPr>
          <w:sz w:val="20"/>
          <w:szCs w:val="20"/>
        </w:rPr>
      </w:pPr>
      <w:r w:rsidRPr="0098662C">
        <w:rPr>
          <w:sz w:val="20"/>
          <w:szCs w:val="20"/>
        </w:rPr>
        <w:t xml:space="preserve">DiMento, Joseph F. C, and Pamela Doughman, </w:t>
      </w:r>
      <w:r w:rsidRPr="0098662C">
        <w:rPr>
          <w:i/>
          <w:iCs/>
          <w:sz w:val="20"/>
          <w:szCs w:val="20"/>
        </w:rPr>
        <w:t>Climate Change: What It Means for Us, Our Children, and Our Grandchildren</w:t>
      </w:r>
      <w:r w:rsidRPr="0098662C">
        <w:rPr>
          <w:sz w:val="20"/>
          <w:szCs w:val="20"/>
        </w:rPr>
        <w:t>, 2014</w:t>
      </w:r>
      <w:r w:rsidR="0051232A" w:rsidRPr="0098662C">
        <w:rPr>
          <w:sz w:val="20"/>
          <w:szCs w:val="20"/>
        </w:rPr>
        <w:t>.</w:t>
      </w:r>
    </w:p>
    <w:p w14:paraId="5F761339" w14:textId="77777777" w:rsidR="00532DAF" w:rsidRPr="0098662C" w:rsidRDefault="00532DAF" w:rsidP="0098662C">
      <w:pPr>
        <w:spacing w:line="240" w:lineRule="auto"/>
        <w:ind w:hanging="480"/>
        <w:rPr>
          <w:sz w:val="20"/>
          <w:szCs w:val="20"/>
        </w:rPr>
      </w:pPr>
      <w:r w:rsidRPr="0098662C">
        <w:rPr>
          <w:sz w:val="20"/>
          <w:szCs w:val="20"/>
        </w:rPr>
        <w:t xml:space="preserve">Dinello, Daniel, </w:t>
      </w:r>
      <w:r w:rsidRPr="0098662C">
        <w:rPr>
          <w:i/>
          <w:iCs/>
          <w:sz w:val="20"/>
          <w:szCs w:val="20"/>
        </w:rPr>
        <w:t>Technophobia! Science Fiction Visions of Posthuman Technology</w:t>
      </w:r>
      <w:r w:rsidRPr="0098662C">
        <w:rPr>
          <w:sz w:val="20"/>
          <w:szCs w:val="20"/>
        </w:rPr>
        <w:t>, 1st ed (Austin: University of Texas Press, 2005)</w:t>
      </w:r>
    </w:p>
    <w:p w14:paraId="4FCC6A6A" w14:textId="77777777" w:rsidR="00532DAF" w:rsidRPr="0098662C" w:rsidRDefault="00532DAF" w:rsidP="0098662C">
      <w:pPr>
        <w:spacing w:line="240" w:lineRule="auto"/>
        <w:ind w:hanging="480"/>
        <w:rPr>
          <w:sz w:val="20"/>
          <w:szCs w:val="20"/>
        </w:rPr>
      </w:pPr>
      <w:r w:rsidRPr="0098662C">
        <w:rPr>
          <w:sz w:val="20"/>
          <w:szCs w:val="20"/>
        </w:rPr>
        <w:lastRenderedPageBreak/>
        <w:t xml:space="preserve">Dissanayake, Ellen, </w:t>
      </w:r>
      <w:r w:rsidRPr="0098662C">
        <w:rPr>
          <w:i/>
          <w:iCs/>
          <w:sz w:val="20"/>
          <w:szCs w:val="20"/>
        </w:rPr>
        <w:t>Art and Intimacy: How the Arts Began</w:t>
      </w:r>
      <w:r w:rsidRPr="0098662C">
        <w:rPr>
          <w:sz w:val="20"/>
          <w:szCs w:val="20"/>
        </w:rPr>
        <w:t xml:space="preserve"> (Seattle: University of Washington Press, 2015)</w:t>
      </w:r>
    </w:p>
    <w:p w14:paraId="701B563F" w14:textId="77777777" w:rsidR="00532DAF" w:rsidRPr="0098662C" w:rsidRDefault="00532DAF" w:rsidP="0098662C">
      <w:pPr>
        <w:spacing w:line="240" w:lineRule="auto"/>
        <w:ind w:hanging="480"/>
        <w:rPr>
          <w:sz w:val="20"/>
          <w:szCs w:val="20"/>
        </w:rPr>
      </w:pPr>
      <w:r w:rsidRPr="0098662C">
        <w:rPr>
          <w:sz w:val="20"/>
          <w:szCs w:val="20"/>
        </w:rPr>
        <w:t xml:space="preserve">Dolezal, Luna, ‘Human Life as Digitised Data Assemblage: Health, Wealth and Biopower in Gary Shteyngart’s </w:t>
      </w:r>
      <w:r w:rsidRPr="0098662C">
        <w:rPr>
          <w:i/>
          <w:iCs/>
          <w:sz w:val="20"/>
          <w:szCs w:val="20"/>
        </w:rPr>
        <w:t>Super Sad True Love Story</w:t>
      </w:r>
      <w:r w:rsidRPr="0098662C">
        <w:rPr>
          <w:sz w:val="20"/>
          <w:szCs w:val="20"/>
        </w:rPr>
        <w:t>’ &lt;</w:t>
      </w:r>
      <w:hyperlink r:id="rId20" w:history="1">
        <w:r w:rsidRPr="0098662C">
          <w:rPr>
            <w:rStyle w:val="Hyperlink"/>
            <w:sz w:val="20"/>
            <w:szCs w:val="20"/>
          </w:rPr>
          <w:t>http://search.proquest.com/docview/1845240753?OpenUrlRefId=info:xri/sid:primo&amp;accountid=130472</w:t>
        </w:r>
      </w:hyperlink>
      <w:r w:rsidRPr="0098662C">
        <w:rPr>
          <w:sz w:val="20"/>
          <w:szCs w:val="20"/>
        </w:rPr>
        <w:t>&gt; [accessed 16 August 2020]</w:t>
      </w:r>
    </w:p>
    <w:p w14:paraId="63C8A4BF" w14:textId="77777777" w:rsidR="00532DAF" w:rsidRPr="0098662C" w:rsidRDefault="00532DAF" w:rsidP="0098662C">
      <w:pPr>
        <w:spacing w:line="240" w:lineRule="auto"/>
        <w:ind w:hanging="480"/>
        <w:rPr>
          <w:sz w:val="20"/>
          <w:szCs w:val="20"/>
        </w:rPr>
      </w:pPr>
      <w:r w:rsidRPr="0098662C">
        <w:rPr>
          <w:sz w:val="20"/>
          <w:szCs w:val="20"/>
        </w:rPr>
        <w:t xml:space="preserve">Engeman, Thomas S., ‘Hythloday’s Utopia and More’s England: An Interpretation of Thomas More’s </w:t>
      </w:r>
      <w:r w:rsidRPr="0098662C">
        <w:rPr>
          <w:i/>
          <w:iCs/>
          <w:sz w:val="20"/>
          <w:szCs w:val="20"/>
        </w:rPr>
        <w:t>Utopia</w:t>
      </w:r>
      <w:r w:rsidRPr="0098662C">
        <w:rPr>
          <w:sz w:val="20"/>
          <w:szCs w:val="20"/>
        </w:rPr>
        <w:t xml:space="preserve">’, </w:t>
      </w:r>
      <w:r w:rsidRPr="0098662C">
        <w:rPr>
          <w:i/>
          <w:iCs/>
          <w:sz w:val="20"/>
          <w:szCs w:val="20"/>
        </w:rPr>
        <w:t>The Journal of Politics</w:t>
      </w:r>
      <w:r w:rsidRPr="0098662C">
        <w:rPr>
          <w:sz w:val="20"/>
          <w:szCs w:val="20"/>
        </w:rPr>
        <w:t>, 44.1 (1982), 131–49 &lt;</w:t>
      </w:r>
      <w:hyperlink r:id="rId21" w:history="1">
        <w:r w:rsidRPr="0098662C">
          <w:rPr>
            <w:rStyle w:val="Hyperlink"/>
            <w:sz w:val="20"/>
            <w:szCs w:val="20"/>
          </w:rPr>
          <w:t>https://doi.org/10.2307/2130287</w:t>
        </w:r>
      </w:hyperlink>
      <w:r w:rsidRPr="0098662C">
        <w:rPr>
          <w:sz w:val="20"/>
          <w:szCs w:val="20"/>
        </w:rPr>
        <w:t>&gt;</w:t>
      </w:r>
    </w:p>
    <w:p w14:paraId="236528F4" w14:textId="77777777" w:rsidR="00532DAF" w:rsidRPr="0098662C" w:rsidRDefault="00532DAF" w:rsidP="0098662C">
      <w:pPr>
        <w:spacing w:line="240" w:lineRule="auto"/>
        <w:ind w:hanging="480"/>
        <w:rPr>
          <w:sz w:val="20"/>
          <w:szCs w:val="20"/>
        </w:rPr>
      </w:pPr>
      <w:r w:rsidRPr="0098662C">
        <w:rPr>
          <w:sz w:val="20"/>
          <w:szCs w:val="20"/>
        </w:rPr>
        <w:t xml:space="preserve">Ferns, C. S, </w:t>
      </w:r>
      <w:r w:rsidRPr="0098662C">
        <w:rPr>
          <w:i/>
          <w:iCs/>
          <w:sz w:val="20"/>
          <w:szCs w:val="20"/>
        </w:rPr>
        <w:t>Narrating Utopia: Ideology, Gender, Form in Utopian Literature</w:t>
      </w:r>
      <w:r w:rsidRPr="0098662C">
        <w:rPr>
          <w:sz w:val="20"/>
          <w:szCs w:val="20"/>
        </w:rPr>
        <w:t>, 2014 &lt;</w:t>
      </w:r>
      <w:hyperlink r:id="rId22" w:history="1">
        <w:r w:rsidRPr="0098662C">
          <w:rPr>
            <w:rStyle w:val="Hyperlink"/>
            <w:sz w:val="20"/>
            <w:szCs w:val="20"/>
          </w:rPr>
          <w:t>http://dx.doi.org/10.5949/liverpool/9780853235941.001.0001</w:t>
        </w:r>
      </w:hyperlink>
      <w:r w:rsidRPr="0098662C">
        <w:rPr>
          <w:sz w:val="20"/>
          <w:szCs w:val="20"/>
        </w:rPr>
        <w:t>&gt; [accessed 26 April 2019]</w:t>
      </w:r>
    </w:p>
    <w:p w14:paraId="7AE0CBE3" w14:textId="77777777" w:rsidR="00532DAF" w:rsidRPr="0098662C" w:rsidRDefault="00532DAF" w:rsidP="0098662C">
      <w:pPr>
        <w:spacing w:line="240" w:lineRule="auto"/>
        <w:ind w:hanging="480"/>
        <w:rPr>
          <w:sz w:val="20"/>
          <w:szCs w:val="20"/>
        </w:rPr>
      </w:pPr>
      <w:r w:rsidRPr="0098662C">
        <w:rPr>
          <w:sz w:val="20"/>
          <w:szCs w:val="20"/>
        </w:rPr>
        <w:t xml:space="preserve">Fiddes, Nick, </w:t>
      </w:r>
      <w:r w:rsidRPr="0098662C">
        <w:rPr>
          <w:i/>
          <w:iCs/>
          <w:sz w:val="20"/>
          <w:szCs w:val="20"/>
        </w:rPr>
        <w:t>Meat: A Natural Symbol</w:t>
      </w:r>
      <w:r w:rsidRPr="0098662C">
        <w:rPr>
          <w:sz w:val="20"/>
          <w:szCs w:val="20"/>
        </w:rPr>
        <w:t>, Reprinted (London: Routledge, 1992)</w:t>
      </w:r>
    </w:p>
    <w:p w14:paraId="5C95B8D4" w14:textId="26AE3CA2" w:rsidR="00532DAF" w:rsidRPr="0098662C" w:rsidRDefault="00532DAF" w:rsidP="0098662C">
      <w:pPr>
        <w:spacing w:line="240" w:lineRule="auto"/>
        <w:ind w:hanging="480"/>
        <w:rPr>
          <w:sz w:val="20"/>
          <w:szCs w:val="20"/>
        </w:rPr>
      </w:pPr>
      <w:r w:rsidRPr="0098662C">
        <w:rPr>
          <w:sz w:val="20"/>
          <w:szCs w:val="20"/>
        </w:rPr>
        <w:t xml:space="preserve">Fukuyama, Francis, </w:t>
      </w:r>
      <w:r w:rsidRPr="0098662C">
        <w:rPr>
          <w:i/>
          <w:iCs/>
          <w:sz w:val="20"/>
          <w:szCs w:val="20"/>
        </w:rPr>
        <w:t>Our Posthuman Future: Consequences of the Biotechnology Revolution</w:t>
      </w:r>
      <w:r w:rsidRPr="0098662C">
        <w:rPr>
          <w:sz w:val="20"/>
          <w:szCs w:val="20"/>
        </w:rPr>
        <w:t xml:space="preserve"> (London: Profile Books, 2002)</w:t>
      </w:r>
    </w:p>
    <w:p w14:paraId="76E09772" w14:textId="77777777" w:rsidR="00532DAF" w:rsidRPr="0098662C" w:rsidRDefault="00532DAF" w:rsidP="0098662C">
      <w:pPr>
        <w:spacing w:line="240" w:lineRule="auto"/>
        <w:ind w:hanging="480"/>
        <w:rPr>
          <w:sz w:val="20"/>
          <w:szCs w:val="20"/>
        </w:rPr>
      </w:pPr>
      <w:r w:rsidRPr="0098662C">
        <w:rPr>
          <w:sz w:val="20"/>
          <w:szCs w:val="20"/>
        </w:rPr>
        <w:t xml:space="preserve">Galbreath, Marcy L., ‘Genomic Bodies: Un-Natural Selection, Extinction, and the Posthuman in Atwood’s </w:t>
      </w:r>
      <w:r w:rsidRPr="0098662C">
        <w:rPr>
          <w:i/>
          <w:iCs/>
          <w:sz w:val="20"/>
          <w:szCs w:val="20"/>
        </w:rPr>
        <w:t>Oryx and Crake</w:t>
      </w:r>
      <w:r w:rsidRPr="0098662C">
        <w:rPr>
          <w:sz w:val="20"/>
          <w:szCs w:val="20"/>
        </w:rPr>
        <w:t>’ &lt;</w:t>
      </w:r>
      <w:hyperlink r:id="rId23" w:history="1">
        <w:r w:rsidRPr="0098662C">
          <w:rPr>
            <w:rStyle w:val="Hyperlink"/>
            <w:sz w:val="20"/>
            <w:szCs w:val="20"/>
          </w:rPr>
          <w:t>https://www.academia.edu/238034/Genomic_Bodies_Un_Natural_Selection_Extinction_and_the_Posthuman_in_Atwood_s_Oryx_and_Crake</w:t>
        </w:r>
      </w:hyperlink>
      <w:r w:rsidRPr="0098662C">
        <w:rPr>
          <w:sz w:val="20"/>
          <w:szCs w:val="20"/>
        </w:rPr>
        <w:t>&gt; [accessed 18 August 2020]</w:t>
      </w:r>
    </w:p>
    <w:p w14:paraId="211EE8FA" w14:textId="77777777" w:rsidR="00532DAF" w:rsidRPr="0098662C" w:rsidRDefault="00532DAF" w:rsidP="0098662C">
      <w:pPr>
        <w:spacing w:line="240" w:lineRule="auto"/>
        <w:ind w:hanging="480"/>
        <w:rPr>
          <w:sz w:val="20"/>
          <w:szCs w:val="20"/>
        </w:rPr>
      </w:pPr>
      <w:r w:rsidRPr="0098662C">
        <w:rPr>
          <w:sz w:val="20"/>
          <w:szCs w:val="20"/>
        </w:rPr>
        <w:t xml:space="preserve">Ghosh, Amitav, </w:t>
      </w:r>
      <w:r w:rsidRPr="0098662C">
        <w:rPr>
          <w:i/>
          <w:iCs/>
          <w:sz w:val="20"/>
          <w:szCs w:val="20"/>
        </w:rPr>
        <w:t>The Great Derangement: Climate Change and the Unthinkable</w:t>
      </w:r>
      <w:r w:rsidRPr="0098662C">
        <w:rPr>
          <w:sz w:val="20"/>
          <w:szCs w:val="20"/>
        </w:rPr>
        <w:t>, The Randy L. and Melvin R. Berlin Family Lectures, Paperback edition (Chicago London: The University of Chicago Press, 2017)</w:t>
      </w:r>
    </w:p>
    <w:p w14:paraId="39DC7C56" w14:textId="77777777" w:rsidR="00532DAF" w:rsidRPr="0098662C" w:rsidRDefault="00532DAF" w:rsidP="0098662C">
      <w:pPr>
        <w:spacing w:line="240" w:lineRule="auto"/>
        <w:ind w:hanging="480"/>
        <w:rPr>
          <w:sz w:val="20"/>
          <w:szCs w:val="20"/>
        </w:rPr>
      </w:pPr>
      <w:r w:rsidRPr="0098662C">
        <w:rPr>
          <w:sz w:val="20"/>
          <w:szCs w:val="20"/>
        </w:rPr>
        <w:t xml:space="preserve">Guin, Ursula K. Le, ‘The Year of the Flood by Margaret Atwood | Book Review’, </w:t>
      </w:r>
      <w:r w:rsidRPr="0098662C">
        <w:rPr>
          <w:i/>
          <w:iCs/>
          <w:sz w:val="20"/>
          <w:szCs w:val="20"/>
        </w:rPr>
        <w:t>The Guardian</w:t>
      </w:r>
      <w:r w:rsidRPr="0098662C">
        <w:rPr>
          <w:sz w:val="20"/>
          <w:szCs w:val="20"/>
        </w:rPr>
        <w:t>, 2009 &lt;</w:t>
      </w:r>
      <w:hyperlink r:id="rId24" w:history="1">
        <w:r w:rsidRPr="0098662C">
          <w:rPr>
            <w:rStyle w:val="Hyperlink"/>
            <w:sz w:val="20"/>
            <w:szCs w:val="20"/>
          </w:rPr>
          <w:t>http://www.theguardian.com/books/2009/aug/29/margaret-atwood-year-of-flood</w:t>
        </w:r>
      </w:hyperlink>
      <w:r w:rsidRPr="0098662C">
        <w:rPr>
          <w:sz w:val="20"/>
          <w:szCs w:val="20"/>
        </w:rPr>
        <w:t>&gt; [accessed 9 August 2020]</w:t>
      </w:r>
    </w:p>
    <w:p w14:paraId="5A9ACDF3" w14:textId="77777777" w:rsidR="00532DAF" w:rsidRPr="0098662C" w:rsidRDefault="00532DAF" w:rsidP="0098662C">
      <w:pPr>
        <w:spacing w:line="240" w:lineRule="auto"/>
        <w:ind w:hanging="480"/>
        <w:rPr>
          <w:sz w:val="20"/>
          <w:szCs w:val="20"/>
        </w:rPr>
      </w:pPr>
      <w:r w:rsidRPr="0098662C">
        <w:rPr>
          <w:sz w:val="20"/>
          <w:szCs w:val="20"/>
        </w:rPr>
        <w:t xml:space="preserve">Hanson, Clare, ‘A Catastrophic Universe:: Lessing, Posthumanism and Deep History’, in </w:t>
      </w:r>
      <w:r w:rsidRPr="0098662C">
        <w:rPr>
          <w:i/>
          <w:iCs/>
          <w:sz w:val="20"/>
          <w:szCs w:val="20"/>
        </w:rPr>
        <w:t>Doris Lessing and the Forming of History</w:t>
      </w:r>
      <w:r w:rsidRPr="0098662C">
        <w:rPr>
          <w:sz w:val="20"/>
          <w:szCs w:val="20"/>
        </w:rPr>
        <w:t>, ed. by Kevin Brazil, David Sergeant, and Tom Sperlinger (Edinburgh University Press, 2016), pp. 164–80 &lt;</w:t>
      </w:r>
      <w:hyperlink r:id="rId25" w:history="1">
        <w:r w:rsidRPr="0098662C">
          <w:rPr>
            <w:rStyle w:val="Hyperlink"/>
            <w:sz w:val="20"/>
            <w:szCs w:val="20"/>
          </w:rPr>
          <w:t>https://www.jstor.org/stable/10.3366/j.ctt1g052d0.17</w:t>
        </w:r>
      </w:hyperlink>
      <w:r w:rsidRPr="0098662C">
        <w:rPr>
          <w:sz w:val="20"/>
          <w:szCs w:val="20"/>
        </w:rPr>
        <w:t>&gt; [accessed 16 August 2020]</w:t>
      </w:r>
    </w:p>
    <w:p w14:paraId="7FDBD3E4" w14:textId="77777777" w:rsidR="00532DAF" w:rsidRPr="0098662C" w:rsidRDefault="00532DAF" w:rsidP="0098662C">
      <w:pPr>
        <w:spacing w:line="240" w:lineRule="auto"/>
        <w:ind w:hanging="480"/>
        <w:rPr>
          <w:sz w:val="20"/>
          <w:szCs w:val="20"/>
        </w:rPr>
      </w:pPr>
      <w:r w:rsidRPr="0098662C">
        <w:rPr>
          <w:sz w:val="20"/>
          <w:szCs w:val="20"/>
        </w:rPr>
        <w:t xml:space="preserve">Haraway, Donna Jeanne, </w:t>
      </w:r>
      <w:r w:rsidRPr="0098662C">
        <w:rPr>
          <w:i/>
          <w:iCs/>
          <w:sz w:val="20"/>
          <w:szCs w:val="20"/>
        </w:rPr>
        <w:t>When Species Meet</w:t>
      </w:r>
      <w:r w:rsidRPr="0098662C">
        <w:rPr>
          <w:sz w:val="20"/>
          <w:szCs w:val="20"/>
        </w:rPr>
        <w:t>, Posthumanities, 3 (Minneapolis: University of Minnesota Press, 2008)</w:t>
      </w:r>
    </w:p>
    <w:p w14:paraId="2F5CD242" w14:textId="77777777" w:rsidR="00532DAF" w:rsidRPr="0098662C" w:rsidRDefault="00532DAF" w:rsidP="0098662C">
      <w:pPr>
        <w:spacing w:line="240" w:lineRule="auto"/>
        <w:ind w:hanging="480"/>
        <w:rPr>
          <w:sz w:val="20"/>
          <w:szCs w:val="20"/>
        </w:rPr>
      </w:pPr>
      <w:r w:rsidRPr="0098662C">
        <w:rPr>
          <w:sz w:val="20"/>
          <w:szCs w:val="20"/>
        </w:rPr>
        <w:t xml:space="preserve">Harvey, David, </w:t>
      </w:r>
      <w:r w:rsidRPr="0098662C">
        <w:rPr>
          <w:i/>
          <w:iCs/>
          <w:sz w:val="20"/>
          <w:szCs w:val="20"/>
        </w:rPr>
        <w:t>The Enigma of Capital and the Crises of Capitalism</w:t>
      </w:r>
      <w:r w:rsidRPr="0098662C">
        <w:rPr>
          <w:sz w:val="20"/>
          <w:szCs w:val="20"/>
        </w:rPr>
        <w:t xml:space="preserve"> (London: Profile, 2010)</w:t>
      </w:r>
    </w:p>
    <w:p w14:paraId="16FAEE58" w14:textId="77777777" w:rsidR="00532DAF" w:rsidRPr="0098662C" w:rsidRDefault="00532DAF" w:rsidP="0098662C">
      <w:pPr>
        <w:spacing w:line="240" w:lineRule="auto"/>
        <w:ind w:hanging="480"/>
        <w:rPr>
          <w:sz w:val="20"/>
          <w:szCs w:val="20"/>
        </w:rPr>
      </w:pPr>
      <w:r w:rsidRPr="0098662C">
        <w:rPr>
          <w:sz w:val="20"/>
          <w:szCs w:val="20"/>
        </w:rPr>
        <w:t xml:space="preserve">Heinlein, Robert A., and Virginia Heinlein, </w:t>
      </w:r>
      <w:r w:rsidRPr="0098662C">
        <w:rPr>
          <w:i/>
          <w:iCs/>
          <w:sz w:val="20"/>
          <w:szCs w:val="20"/>
        </w:rPr>
        <w:t>Grumbles from the Grave</w:t>
      </w:r>
      <w:r w:rsidRPr="0098662C">
        <w:rPr>
          <w:sz w:val="20"/>
          <w:szCs w:val="20"/>
        </w:rPr>
        <w:t>, An Orbit Book (London: Orbit, 1991)</w:t>
      </w:r>
    </w:p>
    <w:p w14:paraId="33965A92" w14:textId="77777777" w:rsidR="00532DAF" w:rsidRPr="0098662C" w:rsidRDefault="00532DAF" w:rsidP="0098662C">
      <w:pPr>
        <w:spacing w:line="240" w:lineRule="auto"/>
        <w:ind w:hanging="480"/>
        <w:rPr>
          <w:sz w:val="20"/>
          <w:szCs w:val="20"/>
        </w:rPr>
      </w:pPr>
      <w:r w:rsidRPr="0098662C">
        <w:rPr>
          <w:sz w:val="20"/>
          <w:szCs w:val="20"/>
        </w:rPr>
        <w:t xml:space="preserve">Helmreich, Stefan, ‘Species of Biocapital’, </w:t>
      </w:r>
      <w:r w:rsidRPr="0098662C">
        <w:rPr>
          <w:i/>
          <w:iCs/>
          <w:sz w:val="20"/>
          <w:szCs w:val="20"/>
        </w:rPr>
        <w:t>Science as Culture</w:t>
      </w:r>
      <w:r w:rsidRPr="0098662C">
        <w:rPr>
          <w:sz w:val="20"/>
          <w:szCs w:val="20"/>
        </w:rPr>
        <w:t>, 17.4 (2008), 463–78 &lt;</w:t>
      </w:r>
      <w:hyperlink r:id="rId26" w:history="1">
        <w:r w:rsidRPr="0098662C">
          <w:rPr>
            <w:rStyle w:val="Hyperlink"/>
            <w:sz w:val="20"/>
            <w:szCs w:val="20"/>
          </w:rPr>
          <w:t>https://doi.org/10.1080/09505430802519256</w:t>
        </w:r>
      </w:hyperlink>
      <w:r w:rsidRPr="0098662C">
        <w:rPr>
          <w:sz w:val="20"/>
          <w:szCs w:val="20"/>
        </w:rPr>
        <w:t>&gt;</w:t>
      </w:r>
    </w:p>
    <w:p w14:paraId="2A1D5A26" w14:textId="77777777" w:rsidR="00532DAF" w:rsidRPr="0098662C" w:rsidRDefault="00532DAF" w:rsidP="0098662C">
      <w:pPr>
        <w:spacing w:line="240" w:lineRule="auto"/>
        <w:ind w:hanging="480"/>
        <w:rPr>
          <w:sz w:val="20"/>
          <w:szCs w:val="20"/>
        </w:rPr>
      </w:pPr>
      <w:r w:rsidRPr="0098662C">
        <w:rPr>
          <w:sz w:val="20"/>
          <w:szCs w:val="20"/>
        </w:rPr>
        <w:t xml:space="preserve">Hollinger, Veronica, ‘Stories about the Future: From Patterns of Expectation to Pattern Recognition’, </w:t>
      </w:r>
      <w:r w:rsidRPr="0098662C">
        <w:rPr>
          <w:i/>
          <w:iCs/>
          <w:sz w:val="20"/>
          <w:szCs w:val="20"/>
        </w:rPr>
        <w:t>Science Fiction Studies</w:t>
      </w:r>
      <w:r w:rsidRPr="0098662C">
        <w:rPr>
          <w:sz w:val="20"/>
          <w:szCs w:val="20"/>
        </w:rPr>
        <w:t>, 33.3 (2006), 452–72</w:t>
      </w:r>
    </w:p>
    <w:p w14:paraId="431825BE" w14:textId="77777777" w:rsidR="00532DAF" w:rsidRPr="0098662C" w:rsidRDefault="00532DAF" w:rsidP="0098662C">
      <w:pPr>
        <w:spacing w:line="240" w:lineRule="auto"/>
        <w:ind w:hanging="480"/>
        <w:rPr>
          <w:sz w:val="20"/>
          <w:szCs w:val="20"/>
        </w:rPr>
      </w:pPr>
      <w:r w:rsidRPr="0098662C">
        <w:rPr>
          <w:sz w:val="20"/>
          <w:szCs w:val="20"/>
        </w:rPr>
        <w:t xml:space="preserve">Hoogheem, Andrew, ‘Secular Apocalypses: Darwinian Criticism and Atwoodian Floods’, </w:t>
      </w:r>
      <w:r w:rsidRPr="0098662C">
        <w:rPr>
          <w:i/>
          <w:iCs/>
          <w:sz w:val="20"/>
          <w:szCs w:val="20"/>
        </w:rPr>
        <w:t>Mosaic : A Journal for the Interdisciplinary Study of Literature; Winnipeg</w:t>
      </w:r>
      <w:r w:rsidRPr="0098662C">
        <w:rPr>
          <w:sz w:val="20"/>
          <w:szCs w:val="20"/>
        </w:rPr>
        <w:t>, 45.2 (2012), 55–71</w:t>
      </w:r>
    </w:p>
    <w:p w14:paraId="106CBDDF" w14:textId="77777777" w:rsidR="00532DAF" w:rsidRPr="0098662C" w:rsidRDefault="00532DAF" w:rsidP="0098662C">
      <w:pPr>
        <w:spacing w:line="240" w:lineRule="auto"/>
        <w:ind w:hanging="480"/>
        <w:rPr>
          <w:sz w:val="20"/>
          <w:szCs w:val="20"/>
        </w:rPr>
      </w:pPr>
      <w:r w:rsidRPr="0098662C">
        <w:rPr>
          <w:sz w:val="20"/>
          <w:szCs w:val="20"/>
        </w:rPr>
        <w:t xml:space="preserve">Jameson, Fredric, </w:t>
      </w:r>
      <w:r w:rsidRPr="0098662C">
        <w:rPr>
          <w:i/>
          <w:iCs/>
          <w:sz w:val="20"/>
          <w:szCs w:val="20"/>
        </w:rPr>
        <w:t>Archaeologies of the Future: The Desire Called Utopia and Other Science Fictions</w:t>
      </w:r>
      <w:r w:rsidRPr="0098662C">
        <w:rPr>
          <w:sz w:val="20"/>
          <w:szCs w:val="20"/>
        </w:rPr>
        <w:t xml:space="preserve"> (London; New York: Verso, 2007)</w:t>
      </w:r>
    </w:p>
    <w:p w14:paraId="36BCD14E" w14:textId="77777777" w:rsidR="00532DAF" w:rsidRPr="0098662C" w:rsidRDefault="00532DAF" w:rsidP="0098662C">
      <w:pPr>
        <w:spacing w:line="240" w:lineRule="auto"/>
        <w:ind w:hanging="480"/>
        <w:rPr>
          <w:sz w:val="20"/>
          <w:szCs w:val="20"/>
        </w:rPr>
      </w:pPr>
      <w:r w:rsidRPr="0098662C">
        <w:rPr>
          <w:sz w:val="20"/>
          <w:szCs w:val="20"/>
        </w:rPr>
        <w:t xml:space="preserve">———, </w:t>
      </w:r>
      <w:r w:rsidRPr="0098662C">
        <w:rPr>
          <w:i/>
          <w:iCs/>
          <w:sz w:val="20"/>
          <w:szCs w:val="20"/>
        </w:rPr>
        <w:t>The Antinomies of Realism</w:t>
      </w:r>
      <w:r w:rsidRPr="0098662C">
        <w:rPr>
          <w:sz w:val="20"/>
          <w:szCs w:val="20"/>
        </w:rPr>
        <w:t xml:space="preserve"> (London ; New York: Verso, 2013)</w:t>
      </w:r>
    </w:p>
    <w:p w14:paraId="04B66725" w14:textId="77777777" w:rsidR="00532DAF" w:rsidRPr="0098662C" w:rsidRDefault="00532DAF" w:rsidP="0098662C">
      <w:pPr>
        <w:spacing w:line="240" w:lineRule="auto"/>
        <w:ind w:hanging="480"/>
        <w:rPr>
          <w:sz w:val="20"/>
          <w:szCs w:val="20"/>
        </w:rPr>
      </w:pPr>
      <w:r w:rsidRPr="0098662C">
        <w:rPr>
          <w:sz w:val="20"/>
          <w:szCs w:val="20"/>
        </w:rPr>
        <w:t xml:space="preserve">Kaufmann, Michael W., ‘The Religious, the Secular, and Literary Studies: Rethinking the Secularization Narrative in Histories of the Profession’, </w:t>
      </w:r>
      <w:r w:rsidRPr="0098662C">
        <w:rPr>
          <w:i/>
          <w:iCs/>
          <w:sz w:val="20"/>
          <w:szCs w:val="20"/>
        </w:rPr>
        <w:t>New Literary History</w:t>
      </w:r>
      <w:r w:rsidRPr="0098662C">
        <w:rPr>
          <w:sz w:val="20"/>
          <w:szCs w:val="20"/>
        </w:rPr>
        <w:t>, 38.4 (2007), 607–27</w:t>
      </w:r>
    </w:p>
    <w:p w14:paraId="649FA6B1" w14:textId="77777777" w:rsidR="00532DAF" w:rsidRPr="0098662C" w:rsidRDefault="00532DAF" w:rsidP="0098662C">
      <w:pPr>
        <w:spacing w:line="240" w:lineRule="auto"/>
        <w:ind w:hanging="480"/>
        <w:rPr>
          <w:sz w:val="20"/>
          <w:szCs w:val="20"/>
        </w:rPr>
      </w:pPr>
      <w:r w:rsidRPr="0098662C">
        <w:rPr>
          <w:sz w:val="20"/>
          <w:szCs w:val="20"/>
        </w:rPr>
        <w:t xml:space="preserve">King, Derrick, ‘From Ecological Crisis to Utopian Hope: Kim Stanley Robinson’s Science in the Capital Trilogy as Realist Critical Dystopia’, </w:t>
      </w:r>
      <w:r w:rsidRPr="0098662C">
        <w:rPr>
          <w:i/>
          <w:iCs/>
          <w:sz w:val="20"/>
          <w:szCs w:val="20"/>
        </w:rPr>
        <w:t>Extrapolation.; Liverpool</w:t>
      </w:r>
      <w:r w:rsidRPr="0098662C">
        <w:rPr>
          <w:sz w:val="20"/>
          <w:szCs w:val="20"/>
        </w:rPr>
        <w:t>, 56.2 (2015), 195-214,138</w:t>
      </w:r>
    </w:p>
    <w:p w14:paraId="5BCAD39A" w14:textId="77777777" w:rsidR="00532DAF" w:rsidRPr="0098662C" w:rsidRDefault="00532DAF" w:rsidP="0098662C">
      <w:pPr>
        <w:spacing w:line="240" w:lineRule="auto"/>
        <w:ind w:hanging="480"/>
        <w:rPr>
          <w:sz w:val="20"/>
          <w:szCs w:val="20"/>
        </w:rPr>
      </w:pPr>
      <w:r w:rsidRPr="0098662C">
        <w:rPr>
          <w:sz w:val="20"/>
          <w:szCs w:val="20"/>
        </w:rPr>
        <w:t>Klein, Naomi, ‘Superstorm Sandy—a People’s Shock?’, 5 November 2012 &lt;</w:t>
      </w:r>
      <w:hyperlink r:id="rId27" w:history="1">
        <w:r w:rsidRPr="0098662C">
          <w:rPr>
            <w:rStyle w:val="Hyperlink"/>
            <w:sz w:val="20"/>
            <w:szCs w:val="20"/>
          </w:rPr>
          <w:t>https://www.thenation.com/article/archive/superstorm-sandy-peoples-shock/</w:t>
        </w:r>
      </w:hyperlink>
      <w:r w:rsidRPr="0098662C">
        <w:rPr>
          <w:sz w:val="20"/>
          <w:szCs w:val="20"/>
        </w:rPr>
        <w:t>&gt; [accessed 20 September 2020]</w:t>
      </w:r>
    </w:p>
    <w:p w14:paraId="0F24AC17" w14:textId="623B85CE" w:rsidR="00532DAF" w:rsidRPr="0098662C" w:rsidRDefault="00532DAF" w:rsidP="0098662C">
      <w:pPr>
        <w:spacing w:line="240" w:lineRule="auto"/>
        <w:ind w:hanging="480"/>
        <w:rPr>
          <w:sz w:val="20"/>
          <w:szCs w:val="20"/>
        </w:rPr>
      </w:pPr>
      <w:r w:rsidRPr="0098662C">
        <w:rPr>
          <w:sz w:val="20"/>
          <w:szCs w:val="20"/>
        </w:rPr>
        <w:t xml:space="preserve">Ku Chung-Hao, ‘Of Monster and Man: Transgenics and Transgression in Margaret Atwood’s </w:t>
      </w:r>
      <w:r w:rsidRPr="0098662C">
        <w:rPr>
          <w:i/>
          <w:iCs/>
          <w:sz w:val="20"/>
          <w:szCs w:val="20"/>
        </w:rPr>
        <w:t>Oryx and Crake</w:t>
      </w:r>
      <w:r w:rsidRPr="0098662C">
        <w:rPr>
          <w:sz w:val="20"/>
          <w:szCs w:val="20"/>
        </w:rPr>
        <w:t xml:space="preserve">’, </w:t>
      </w:r>
      <w:r w:rsidRPr="0098662C">
        <w:rPr>
          <w:i/>
          <w:iCs/>
          <w:sz w:val="20"/>
          <w:szCs w:val="20"/>
        </w:rPr>
        <w:t>Concentric</w:t>
      </w:r>
      <w:r w:rsidRPr="0098662C">
        <w:rPr>
          <w:rFonts w:eastAsia="MS Mincho"/>
          <w:i/>
          <w:iCs/>
          <w:sz w:val="20"/>
          <w:szCs w:val="20"/>
        </w:rPr>
        <w:t>：</w:t>
      </w:r>
      <w:r w:rsidRPr="0098662C">
        <w:rPr>
          <w:i/>
          <w:iCs/>
          <w:sz w:val="20"/>
          <w:szCs w:val="20"/>
        </w:rPr>
        <w:t xml:space="preserve"> Literary and Cultural Studies</w:t>
      </w:r>
      <w:r w:rsidRPr="0098662C">
        <w:rPr>
          <w:sz w:val="20"/>
          <w:szCs w:val="20"/>
        </w:rPr>
        <w:t>, 32.1 (2006), 107–33 &lt;</w:t>
      </w:r>
      <w:hyperlink r:id="rId28" w:history="1">
        <w:r w:rsidRPr="0098662C">
          <w:rPr>
            <w:rStyle w:val="Hyperlink"/>
            <w:sz w:val="20"/>
            <w:szCs w:val="20"/>
          </w:rPr>
          <w:t>https://doi.org/10.6240/concentric.lit.200601_32(1).0005</w:t>
        </w:r>
      </w:hyperlink>
      <w:r w:rsidRPr="0098662C">
        <w:rPr>
          <w:sz w:val="20"/>
          <w:szCs w:val="20"/>
        </w:rPr>
        <w:t>&gt;</w:t>
      </w:r>
    </w:p>
    <w:p w14:paraId="0CEAAC79" w14:textId="77777777" w:rsidR="00532DAF" w:rsidRPr="0098662C" w:rsidRDefault="00532DAF" w:rsidP="0098662C">
      <w:pPr>
        <w:spacing w:line="240" w:lineRule="auto"/>
        <w:ind w:hanging="480"/>
        <w:rPr>
          <w:sz w:val="20"/>
          <w:szCs w:val="20"/>
        </w:rPr>
      </w:pPr>
      <w:r w:rsidRPr="0098662C">
        <w:rPr>
          <w:sz w:val="20"/>
          <w:szCs w:val="20"/>
        </w:rPr>
        <w:t xml:space="preserve">Kübler-Ross, Elisabeth, and Ira Byock, </w:t>
      </w:r>
      <w:r w:rsidRPr="0098662C">
        <w:rPr>
          <w:i/>
          <w:iCs/>
          <w:sz w:val="20"/>
          <w:szCs w:val="20"/>
        </w:rPr>
        <w:t>On Death &amp; Dying: What the Dying Have to Teach Doctors, Nurses, Clergy &amp; Their Own Families</w:t>
      </w:r>
      <w:r w:rsidRPr="0098662C">
        <w:rPr>
          <w:sz w:val="20"/>
          <w:szCs w:val="20"/>
        </w:rPr>
        <w:t>, 50th anniversary edition (New York: Scribner, a division of Simon &amp; Schuster, Inc, 2019)</w:t>
      </w:r>
    </w:p>
    <w:p w14:paraId="21E767B0" w14:textId="77777777" w:rsidR="00532DAF" w:rsidRPr="0098662C" w:rsidRDefault="00532DAF" w:rsidP="0098662C">
      <w:pPr>
        <w:spacing w:line="240" w:lineRule="auto"/>
        <w:ind w:hanging="480"/>
        <w:rPr>
          <w:sz w:val="20"/>
          <w:szCs w:val="20"/>
        </w:rPr>
      </w:pPr>
      <w:r w:rsidRPr="0098662C">
        <w:rPr>
          <w:sz w:val="20"/>
          <w:szCs w:val="20"/>
        </w:rPr>
        <w:t xml:space="preserve">Kumar, Krishan, ‘The Ends of Utopia’, </w:t>
      </w:r>
      <w:r w:rsidRPr="0098662C">
        <w:rPr>
          <w:i/>
          <w:iCs/>
          <w:sz w:val="20"/>
          <w:szCs w:val="20"/>
        </w:rPr>
        <w:t>New Literary History</w:t>
      </w:r>
      <w:r w:rsidRPr="0098662C">
        <w:rPr>
          <w:sz w:val="20"/>
          <w:szCs w:val="20"/>
        </w:rPr>
        <w:t>, 41.3 (2010), 549–69</w:t>
      </w:r>
    </w:p>
    <w:p w14:paraId="45819A96" w14:textId="6F365411" w:rsidR="00532DAF" w:rsidRPr="0098662C" w:rsidRDefault="00532DAF" w:rsidP="0098662C">
      <w:pPr>
        <w:spacing w:line="240" w:lineRule="auto"/>
        <w:ind w:hanging="480"/>
        <w:rPr>
          <w:sz w:val="20"/>
          <w:szCs w:val="20"/>
        </w:rPr>
      </w:pPr>
      <w:r w:rsidRPr="0098662C">
        <w:rPr>
          <w:sz w:val="20"/>
          <w:szCs w:val="20"/>
        </w:rPr>
        <w:t xml:space="preserve">———, </w:t>
      </w:r>
      <w:r w:rsidRPr="0098662C">
        <w:rPr>
          <w:i/>
          <w:iCs/>
          <w:sz w:val="20"/>
          <w:szCs w:val="20"/>
        </w:rPr>
        <w:t>Utopia and Anti-Utopia in Modern Times</w:t>
      </w:r>
      <w:r w:rsidRPr="0098662C">
        <w:rPr>
          <w:sz w:val="20"/>
          <w:szCs w:val="20"/>
        </w:rPr>
        <w:t xml:space="preserve"> (Oxford, UK ; Cambridge, Mass., USA: B. Blackwell, 1991)</w:t>
      </w:r>
    </w:p>
    <w:p w14:paraId="4241902F" w14:textId="77777777" w:rsidR="0098662C" w:rsidRPr="0098662C" w:rsidRDefault="0098662C" w:rsidP="0098662C">
      <w:pPr>
        <w:spacing w:line="240" w:lineRule="auto"/>
        <w:ind w:hanging="480"/>
        <w:rPr>
          <w:sz w:val="20"/>
          <w:szCs w:val="20"/>
          <w:lang w:val="es-ES"/>
        </w:rPr>
      </w:pPr>
      <w:r w:rsidRPr="0098662C">
        <w:rPr>
          <w:sz w:val="20"/>
          <w:szCs w:val="20"/>
        </w:rPr>
        <w:t xml:space="preserve">Lant, Kathleen Margaret, ‘The Rape of the Text: Charlotte Gilman’s Violation of Herland’, </w:t>
      </w:r>
      <w:r w:rsidRPr="0098662C">
        <w:rPr>
          <w:i/>
          <w:iCs/>
          <w:sz w:val="20"/>
          <w:szCs w:val="20"/>
        </w:rPr>
        <w:t>Tulsa Studies in Women’s Literature</w:t>
      </w:r>
      <w:r w:rsidRPr="0098662C">
        <w:rPr>
          <w:sz w:val="20"/>
          <w:szCs w:val="20"/>
        </w:rPr>
        <w:t>, 9.2 (1990), 291–308 &lt;</w:t>
      </w:r>
      <w:hyperlink r:id="rId29" w:history="1">
        <w:r w:rsidRPr="0098662C">
          <w:rPr>
            <w:rStyle w:val="Hyperlink"/>
            <w:sz w:val="20"/>
            <w:szCs w:val="20"/>
          </w:rPr>
          <w:t>https://doi.org/10.2307/464226</w:t>
        </w:r>
      </w:hyperlink>
      <w:r w:rsidRPr="0098662C">
        <w:rPr>
          <w:sz w:val="20"/>
          <w:szCs w:val="20"/>
        </w:rPr>
        <w:t>&gt;</w:t>
      </w:r>
    </w:p>
    <w:p w14:paraId="1814498E" w14:textId="77777777" w:rsidR="00532DAF" w:rsidRPr="0098662C" w:rsidRDefault="00532DAF" w:rsidP="0098662C">
      <w:pPr>
        <w:spacing w:line="240" w:lineRule="auto"/>
        <w:ind w:hanging="480"/>
        <w:rPr>
          <w:sz w:val="20"/>
          <w:szCs w:val="20"/>
        </w:rPr>
      </w:pPr>
      <w:r w:rsidRPr="0098662C">
        <w:rPr>
          <w:sz w:val="20"/>
          <w:szCs w:val="20"/>
        </w:rPr>
        <w:t xml:space="preserve">Lakoff, George, and Mark Johnson, </w:t>
      </w:r>
      <w:r w:rsidRPr="0098662C">
        <w:rPr>
          <w:i/>
          <w:iCs/>
          <w:sz w:val="20"/>
          <w:szCs w:val="20"/>
        </w:rPr>
        <w:t>Metaphors We Live By</w:t>
      </w:r>
      <w:r w:rsidRPr="0098662C">
        <w:rPr>
          <w:sz w:val="20"/>
          <w:szCs w:val="20"/>
        </w:rPr>
        <w:t xml:space="preserve"> (Chicago: University of Chicago Press, 2003)</w:t>
      </w:r>
    </w:p>
    <w:p w14:paraId="5D5696FD" w14:textId="77777777" w:rsidR="00532DAF" w:rsidRPr="0098662C" w:rsidRDefault="00532DAF" w:rsidP="0098662C">
      <w:pPr>
        <w:spacing w:line="240" w:lineRule="auto"/>
        <w:ind w:hanging="480"/>
        <w:rPr>
          <w:sz w:val="20"/>
          <w:szCs w:val="20"/>
        </w:rPr>
      </w:pPr>
      <w:r w:rsidRPr="0098662C">
        <w:rPr>
          <w:sz w:val="20"/>
          <w:szCs w:val="20"/>
        </w:rPr>
        <w:t xml:space="preserve">Levitas, Ruth, </w:t>
      </w:r>
      <w:r w:rsidRPr="0098662C">
        <w:rPr>
          <w:i/>
          <w:iCs/>
          <w:sz w:val="20"/>
          <w:szCs w:val="20"/>
        </w:rPr>
        <w:t>The Concept of Utopia</w:t>
      </w:r>
      <w:r w:rsidRPr="0098662C">
        <w:rPr>
          <w:sz w:val="20"/>
          <w:szCs w:val="20"/>
        </w:rPr>
        <w:t xml:space="preserve"> (Bern: Peter Lang AG, Internationaler Verlag der Wissenschaften, 2011)</w:t>
      </w:r>
    </w:p>
    <w:p w14:paraId="5DEB4FE9" w14:textId="77777777" w:rsidR="00532DAF" w:rsidRPr="0098662C" w:rsidRDefault="00532DAF" w:rsidP="0098662C">
      <w:pPr>
        <w:spacing w:line="240" w:lineRule="auto"/>
        <w:ind w:hanging="480"/>
        <w:rPr>
          <w:sz w:val="20"/>
          <w:szCs w:val="20"/>
        </w:rPr>
      </w:pPr>
      <w:r w:rsidRPr="0098662C">
        <w:rPr>
          <w:sz w:val="20"/>
          <w:szCs w:val="20"/>
        </w:rPr>
        <w:lastRenderedPageBreak/>
        <w:t xml:space="preserve">Marques, Eduardo Marks de, ‘Children of Oryx, Children of Crake, Children of Men: Redefining the Post/Transhuman in Margaret Atwood’s “Ustopian” </w:t>
      </w:r>
      <w:r w:rsidRPr="0098662C">
        <w:rPr>
          <w:i/>
          <w:iCs/>
          <w:sz w:val="20"/>
          <w:szCs w:val="20"/>
        </w:rPr>
        <w:t>MaddAddam</w:t>
      </w:r>
      <w:r w:rsidRPr="0098662C">
        <w:rPr>
          <w:sz w:val="20"/>
          <w:szCs w:val="20"/>
        </w:rPr>
        <w:t xml:space="preserve"> Trilogy / Filhos de Oryx, Filhos de Crake, Filhos Dos Homens: Redefinindo a Pós-/Transumanidade Na Trilogia “Ustopiana” </w:t>
      </w:r>
      <w:r w:rsidRPr="0098662C">
        <w:rPr>
          <w:i/>
          <w:iCs/>
          <w:sz w:val="20"/>
          <w:szCs w:val="20"/>
        </w:rPr>
        <w:t>MaddAddam</w:t>
      </w:r>
      <w:r w:rsidRPr="0098662C">
        <w:rPr>
          <w:sz w:val="20"/>
          <w:szCs w:val="20"/>
        </w:rPr>
        <w:t xml:space="preserve">, de Margaret Atwood’, </w:t>
      </w:r>
      <w:r w:rsidRPr="0098662C">
        <w:rPr>
          <w:i/>
          <w:iCs/>
          <w:sz w:val="20"/>
          <w:szCs w:val="20"/>
        </w:rPr>
        <w:t>Aletria: Revista de Estudos de Literatura</w:t>
      </w:r>
      <w:r w:rsidRPr="0098662C">
        <w:rPr>
          <w:sz w:val="20"/>
          <w:szCs w:val="20"/>
        </w:rPr>
        <w:t>, 25.3 (2016), 133–46 &lt;</w:t>
      </w:r>
      <w:hyperlink r:id="rId30" w:history="1">
        <w:r w:rsidRPr="0098662C">
          <w:rPr>
            <w:rStyle w:val="Hyperlink"/>
            <w:sz w:val="20"/>
            <w:szCs w:val="20"/>
          </w:rPr>
          <w:t>https://doi.org/10.17851/2317-2096.25.3.133-146</w:t>
        </w:r>
      </w:hyperlink>
      <w:r w:rsidRPr="0098662C">
        <w:rPr>
          <w:sz w:val="20"/>
          <w:szCs w:val="20"/>
        </w:rPr>
        <w:t>&gt;</w:t>
      </w:r>
    </w:p>
    <w:p w14:paraId="27657BFB" w14:textId="470263F7" w:rsidR="00532DAF" w:rsidRPr="0098662C" w:rsidRDefault="00532DAF" w:rsidP="0098662C">
      <w:pPr>
        <w:spacing w:line="240" w:lineRule="auto"/>
        <w:ind w:hanging="480"/>
        <w:rPr>
          <w:sz w:val="20"/>
          <w:szCs w:val="20"/>
        </w:rPr>
      </w:pPr>
      <w:r w:rsidRPr="0098662C">
        <w:rPr>
          <w:sz w:val="20"/>
          <w:szCs w:val="20"/>
        </w:rPr>
        <w:t xml:space="preserve">de Marques, Eduardo Marks, ‘I Sing the Body Dystopic: Utopia and Posthuman Corporeality in P.d. James’s </w:t>
      </w:r>
      <w:r w:rsidR="0021177C" w:rsidRPr="0098662C">
        <w:rPr>
          <w:i/>
          <w:iCs/>
          <w:sz w:val="20"/>
          <w:szCs w:val="20"/>
        </w:rPr>
        <w:t>T</w:t>
      </w:r>
      <w:r w:rsidRPr="0098662C">
        <w:rPr>
          <w:i/>
          <w:iCs/>
          <w:sz w:val="20"/>
          <w:szCs w:val="20"/>
        </w:rPr>
        <w:t>he Children of Men</w:t>
      </w:r>
      <w:r w:rsidRPr="0098662C">
        <w:rPr>
          <w:sz w:val="20"/>
          <w:szCs w:val="20"/>
        </w:rPr>
        <w:t xml:space="preserve">’, </w:t>
      </w:r>
      <w:r w:rsidRPr="0098662C">
        <w:rPr>
          <w:i/>
          <w:iCs/>
          <w:sz w:val="20"/>
          <w:szCs w:val="20"/>
        </w:rPr>
        <w:t>Ilha Do Desterro; Florianópolis</w:t>
      </w:r>
      <w:r w:rsidRPr="0098662C">
        <w:rPr>
          <w:sz w:val="20"/>
          <w:szCs w:val="20"/>
        </w:rPr>
        <w:t>, 65, 2013, 29-48,230-231</w:t>
      </w:r>
    </w:p>
    <w:p w14:paraId="7B5219F5" w14:textId="77777777" w:rsidR="00532DAF" w:rsidRPr="0098662C" w:rsidRDefault="00532DAF" w:rsidP="0098662C">
      <w:pPr>
        <w:spacing w:line="240" w:lineRule="auto"/>
        <w:ind w:hanging="480"/>
        <w:rPr>
          <w:sz w:val="20"/>
          <w:szCs w:val="20"/>
        </w:rPr>
      </w:pPr>
      <w:r w:rsidRPr="0098662C">
        <w:rPr>
          <w:sz w:val="20"/>
          <w:szCs w:val="20"/>
        </w:rPr>
        <w:t xml:space="preserve">Marx, Karl, and Louis Bonaparte, </w:t>
      </w:r>
      <w:r w:rsidRPr="0098662C">
        <w:rPr>
          <w:i/>
          <w:iCs/>
          <w:sz w:val="20"/>
          <w:szCs w:val="20"/>
        </w:rPr>
        <w:t>The Eighteenth Brumaire of Louis Bonaparte</w:t>
      </w:r>
      <w:r w:rsidRPr="0098662C">
        <w:rPr>
          <w:sz w:val="20"/>
          <w:szCs w:val="20"/>
        </w:rPr>
        <w:t xml:space="preserve"> (New York: International publ, 1990)</w:t>
      </w:r>
    </w:p>
    <w:p w14:paraId="17BABAAD" w14:textId="77777777" w:rsidR="00532DAF" w:rsidRPr="0098662C" w:rsidRDefault="00532DAF" w:rsidP="0098662C">
      <w:pPr>
        <w:spacing w:line="240" w:lineRule="auto"/>
        <w:ind w:hanging="480"/>
        <w:rPr>
          <w:sz w:val="20"/>
          <w:szCs w:val="20"/>
        </w:rPr>
      </w:pPr>
      <w:r w:rsidRPr="0098662C">
        <w:rPr>
          <w:sz w:val="20"/>
          <w:szCs w:val="20"/>
        </w:rPr>
        <w:t xml:space="preserve">McQueen, Sean, ‘Antiviral: Capitalism of the Fourth Kind’, </w:t>
      </w:r>
      <w:r w:rsidRPr="0098662C">
        <w:rPr>
          <w:i/>
          <w:iCs/>
          <w:sz w:val="20"/>
          <w:szCs w:val="20"/>
        </w:rPr>
        <w:t>Science Fiction Film and Television; Liverpool</w:t>
      </w:r>
      <w:r w:rsidRPr="0098662C">
        <w:rPr>
          <w:sz w:val="20"/>
          <w:szCs w:val="20"/>
        </w:rPr>
        <w:t>, 8.1 (2015), 29-51,122</w:t>
      </w:r>
    </w:p>
    <w:p w14:paraId="71983D43" w14:textId="77777777" w:rsidR="00532DAF" w:rsidRPr="0098662C" w:rsidRDefault="00532DAF" w:rsidP="0098662C">
      <w:pPr>
        <w:spacing w:line="240" w:lineRule="auto"/>
        <w:ind w:hanging="480"/>
        <w:rPr>
          <w:sz w:val="20"/>
          <w:szCs w:val="20"/>
        </w:rPr>
      </w:pPr>
      <w:r w:rsidRPr="0098662C">
        <w:rPr>
          <w:sz w:val="20"/>
          <w:szCs w:val="20"/>
        </w:rPr>
        <w:t xml:space="preserve">Morton, A. L., </w:t>
      </w:r>
      <w:r w:rsidRPr="0098662C">
        <w:rPr>
          <w:i/>
          <w:iCs/>
          <w:sz w:val="20"/>
          <w:szCs w:val="20"/>
        </w:rPr>
        <w:t>The English Utopia</w:t>
      </w:r>
      <w:r w:rsidRPr="0098662C">
        <w:rPr>
          <w:sz w:val="20"/>
          <w:szCs w:val="20"/>
        </w:rPr>
        <w:t xml:space="preserve"> (London: Lawrence &amp; Wishart, 1969)</w:t>
      </w:r>
    </w:p>
    <w:p w14:paraId="787318F1" w14:textId="77777777" w:rsidR="00532DAF" w:rsidRPr="0098662C" w:rsidRDefault="00532DAF" w:rsidP="0098662C">
      <w:pPr>
        <w:spacing w:line="240" w:lineRule="auto"/>
        <w:ind w:hanging="480"/>
        <w:rPr>
          <w:sz w:val="20"/>
          <w:szCs w:val="20"/>
        </w:rPr>
      </w:pPr>
      <w:r w:rsidRPr="0098662C">
        <w:rPr>
          <w:sz w:val="20"/>
          <w:szCs w:val="20"/>
        </w:rPr>
        <w:t xml:space="preserve">Moylan, Tom, </w:t>
      </w:r>
      <w:r w:rsidRPr="0098662C">
        <w:rPr>
          <w:i/>
          <w:iCs/>
          <w:sz w:val="20"/>
          <w:szCs w:val="20"/>
        </w:rPr>
        <w:t>Scraps of the Untainted Sky: Science Fiction, Utopia, Dystopia</w:t>
      </w:r>
      <w:r w:rsidRPr="0098662C">
        <w:rPr>
          <w:sz w:val="20"/>
          <w:szCs w:val="20"/>
        </w:rPr>
        <w:t>, 2018</w:t>
      </w:r>
    </w:p>
    <w:p w14:paraId="7290BB13" w14:textId="77777777" w:rsidR="00532DAF" w:rsidRPr="0098662C" w:rsidRDefault="00532DAF" w:rsidP="0098662C">
      <w:pPr>
        <w:spacing w:line="240" w:lineRule="auto"/>
        <w:ind w:hanging="480"/>
        <w:rPr>
          <w:sz w:val="20"/>
          <w:szCs w:val="20"/>
        </w:rPr>
      </w:pPr>
      <w:r w:rsidRPr="0098662C">
        <w:rPr>
          <w:sz w:val="20"/>
          <w:szCs w:val="20"/>
        </w:rPr>
        <w:t xml:space="preserve">Moylan, Tom, and Raffaella Baccolini, </w:t>
      </w:r>
      <w:r w:rsidRPr="0098662C">
        <w:rPr>
          <w:i/>
          <w:iCs/>
          <w:sz w:val="20"/>
          <w:szCs w:val="20"/>
        </w:rPr>
        <w:t>Demand the Impossible: Science Fiction and the Utopian Imagination</w:t>
      </w:r>
      <w:r w:rsidRPr="0098662C">
        <w:rPr>
          <w:sz w:val="20"/>
          <w:szCs w:val="20"/>
        </w:rPr>
        <w:t>, Ralahine Utopian Studies, 14, New ed. (Oxford [u.a]: Lang, 2014)</w:t>
      </w:r>
    </w:p>
    <w:p w14:paraId="3565CCE7" w14:textId="77777777" w:rsidR="00532DAF" w:rsidRPr="0098662C" w:rsidRDefault="00532DAF" w:rsidP="0098662C">
      <w:pPr>
        <w:spacing w:line="240" w:lineRule="auto"/>
        <w:ind w:hanging="480"/>
        <w:rPr>
          <w:sz w:val="20"/>
          <w:szCs w:val="20"/>
        </w:rPr>
      </w:pPr>
      <w:r w:rsidRPr="0098662C">
        <w:rPr>
          <w:sz w:val="20"/>
          <w:szCs w:val="20"/>
        </w:rPr>
        <w:t xml:space="preserve">Murphy, Patrick D., </w:t>
      </w:r>
      <w:r w:rsidRPr="0098662C">
        <w:rPr>
          <w:i/>
          <w:iCs/>
          <w:sz w:val="20"/>
          <w:szCs w:val="20"/>
        </w:rPr>
        <w:t>Literature, Nature, and Other: Ecofeminist Critiques</w:t>
      </w:r>
      <w:r w:rsidRPr="0098662C">
        <w:rPr>
          <w:sz w:val="20"/>
          <w:szCs w:val="20"/>
        </w:rPr>
        <w:t xml:space="preserve"> (Albany: State University of New York Press, 1995)</w:t>
      </w:r>
    </w:p>
    <w:p w14:paraId="1D727D48" w14:textId="24ACBDE2" w:rsidR="00532DAF" w:rsidRPr="0098662C" w:rsidRDefault="00532DAF" w:rsidP="0098662C">
      <w:pPr>
        <w:spacing w:line="240" w:lineRule="auto"/>
        <w:rPr>
          <w:sz w:val="20"/>
          <w:szCs w:val="20"/>
          <w:lang w:val="es-ES"/>
        </w:rPr>
      </w:pPr>
      <w:r w:rsidRPr="0098662C">
        <w:rPr>
          <w:sz w:val="20"/>
          <w:szCs w:val="20"/>
        </w:rPr>
        <w:t xml:space="preserve">Murray, Andy, ‘Meat Cultures: Lab-Grown Meat and the Politics of Contamination’, </w:t>
      </w:r>
      <w:r w:rsidRPr="0098662C">
        <w:rPr>
          <w:i/>
          <w:iCs/>
          <w:sz w:val="20"/>
          <w:szCs w:val="20"/>
        </w:rPr>
        <w:t>BioSocieties; London</w:t>
      </w:r>
      <w:r w:rsidRPr="0098662C">
        <w:rPr>
          <w:sz w:val="20"/>
          <w:szCs w:val="20"/>
        </w:rPr>
        <w:t>, 13.2 (2018), 513–34 &lt;</w:t>
      </w:r>
      <w:r w:rsidR="00483C62" w:rsidRPr="0098662C">
        <w:rPr>
          <w:rStyle w:val="FootnoteReference"/>
          <w:sz w:val="20"/>
          <w:szCs w:val="20"/>
        </w:rPr>
        <w:t xml:space="preserve"> </w:t>
      </w:r>
      <w:r w:rsidR="00483C62" w:rsidRPr="0098662C">
        <w:rPr>
          <w:sz w:val="20"/>
          <w:szCs w:val="20"/>
          <w:lang w:val="es-ES"/>
        </w:rPr>
        <w:t>https://doi.org/</w:t>
      </w:r>
      <w:r w:rsidR="00483C62" w:rsidRPr="0098662C">
        <w:rPr>
          <w:i/>
          <w:iCs/>
          <w:sz w:val="20"/>
          <w:szCs w:val="20"/>
          <w:lang w:val="es-ES"/>
        </w:rPr>
        <w:t>10.1057</w:t>
      </w:r>
      <w:r w:rsidR="00483C62" w:rsidRPr="0098662C">
        <w:rPr>
          <w:sz w:val="20"/>
          <w:szCs w:val="20"/>
          <w:lang w:val="es-ES"/>
        </w:rPr>
        <w:t>/</w:t>
      </w:r>
      <w:r w:rsidR="00483C62" w:rsidRPr="0098662C">
        <w:rPr>
          <w:i/>
          <w:iCs/>
          <w:sz w:val="20"/>
          <w:szCs w:val="20"/>
          <w:lang w:val="es-ES"/>
        </w:rPr>
        <w:t>s41292</w:t>
      </w:r>
      <w:r w:rsidR="00483C62" w:rsidRPr="0098662C">
        <w:rPr>
          <w:sz w:val="20"/>
          <w:szCs w:val="20"/>
          <w:lang w:val="es-ES"/>
        </w:rPr>
        <w:t>-</w:t>
      </w:r>
      <w:r w:rsidR="00483C62" w:rsidRPr="0098662C">
        <w:rPr>
          <w:i/>
          <w:iCs/>
          <w:sz w:val="20"/>
          <w:szCs w:val="20"/>
          <w:lang w:val="es-ES"/>
        </w:rPr>
        <w:t>017-0082</w:t>
      </w:r>
      <w:r w:rsidR="00483C62" w:rsidRPr="0098662C">
        <w:rPr>
          <w:sz w:val="20"/>
          <w:szCs w:val="20"/>
          <w:lang w:val="es-ES"/>
        </w:rPr>
        <w:t>-</w:t>
      </w:r>
      <w:r w:rsidR="00483C62" w:rsidRPr="0098662C">
        <w:rPr>
          <w:i/>
          <w:iCs/>
          <w:sz w:val="20"/>
          <w:szCs w:val="20"/>
          <w:lang w:val="es-ES"/>
        </w:rPr>
        <w:t>z</w:t>
      </w:r>
      <w:r w:rsidR="00483C62" w:rsidRPr="0098662C">
        <w:rPr>
          <w:sz w:val="20"/>
          <w:szCs w:val="20"/>
          <w:lang w:val="es-ES"/>
        </w:rPr>
        <w:t>&gt;</w:t>
      </w:r>
    </w:p>
    <w:p w14:paraId="4C3CF1F2" w14:textId="30359991" w:rsidR="00532DAF" w:rsidRPr="0098662C" w:rsidRDefault="00532DAF" w:rsidP="0098662C">
      <w:pPr>
        <w:spacing w:line="240" w:lineRule="auto"/>
        <w:ind w:hanging="480"/>
        <w:rPr>
          <w:sz w:val="20"/>
          <w:szCs w:val="20"/>
        </w:rPr>
      </w:pPr>
      <w:r w:rsidRPr="0098662C">
        <w:rPr>
          <w:sz w:val="20"/>
          <w:szCs w:val="20"/>
        </w:rPr>
        <w:t xml:space="preserve">Narkunas, J. Paul, ‘Between Words, Numbers, and Things: Transgenics and Other Objects of Life in Margaret Atwood’s </w:t>
      </w:r>
      <w:r w:rsidR="00CE3337" w:rsidRPr="0098662C">
        <w:rPr>
          <w:sz w:val="20"/>
          <w:szCs w:val="20"/>
        </w:rPr>
        <w:t>MaddAddam</w:t>
      </w:r>
      <w:r w:rsidRPr="0098662C">
        <w:rPr>
          <w:sz w:val="20"/>
          <w:szCs w:val="20"/>
        </w:rPr>
        <w:t xml:space="preserve">’, </w:t>
      </w:r>
      <w:r w:rsidRPr="0098662C">
        <w:rPr>
          <w:i/>
          <w:iCs/>
          <w:sz w:val="20"/>
          <w:szCs w:val="20"/>
        </w:rPr>
        <w:t>Critique; Washington</w:t>
      </w:r>
      <w:r w:rsidRPr="0098662C">
        <w:rPr>
          <w:sz w:val="20"/>
          <w:szCs w:val="20"/>
        </w:rPr>
        <w:t>, 56.1 (2015), 1</w:t>
      </w:r>
    </w:p>
    <w:p w14:paraId="591AB2FE" w14:textId="77777777" w:rsidR="00532DAF" w:rsidRPr="0098662C" w:rsidRDefault="00532DAF" w:rsidP="0098662C">
      <w:pPr>
        <w:spacing w:line="240" w:lineRule="auto"/>
        <w:ind w:hanging="480"/>
        <w:rPr>
          <w:sz w:val="20"/>
          <w:szCs w:val="20"/>
        </w:rPr>
      </w:pPr>
      <w:r w:rsidRPr="0098662C">
        <w:rPr>
          <w:sz w:val="20"/>
          <w:szCs w:val="20"/>
        </w:rPr>
        <w:t xml:space="preserve">———, </w:t>
      </w:r>
      <w:r w:rsidRPr="0098662C">
        <w:rPr>
          <w:i/>
          <w:iCs/>
          <w:sz w:val="20"/>
          <w:szCs w:val="20"/>
        </w:rPr>
        <w:t>Reified Life: Speculative Capital and the Ahuman Condition</w:t>
      </w:r>
      <w:r w:rsidRPr="0098662C">
        <w:rPr>
          <w:sz w:val="20"/>
          <w:szCs w:val="20"/>
        </w:rPr>
        <w:t>, 1st edn (Fordham University Press, 2018) &lt;</w:t>
      </w:r>
      <w:hyperlink r:id="rId31" w:history="1">
        <w:r w:rsidRPr="0098662C">
          <w:rPr>
            <w:rStyle w:val="Hyperlink"/>
            <w:sz w:val="20"/>
            <w:szCs w:val="20"/>
          </w:rPr>
          <w:t>https://doi.org/10.2307/j.ctv19x55t</w:t>
        </w:r>
      </w:hyperlink>
      <w:r w:rsidRPr="0098662C">
        <w:rPr>
          <w:sz w:val="20"/>
          <w:szCs w:val="20"/>
        </w:rPr>
        <w:t>&gt;</w:t>
      </w:r>
    </w:p>
    <w:p w14:paraId="7051B18F" w14:textId="77777777" w:rsidR="00532DAF" w:rsidRPr="0098662C" w:rsidRDefault="00532DAF" w:rsidP="0098662C">
      <w:pPr>
        <w:spacing w:line="240" w:lineRule="auto"/>
        <w:ind w:hanging="480"/>
        <w:rPr>
          <w:sz w:val="20"/>
          <w:szCs w:val="20"/>
        </w:rPr>
      </w:pPr>
      <w:r w:rsidRPr="0098662C">
        <w:rPr>
          <w:sz w:val="20"/>
          <w:szCs w:val="20"/>
        </w:rPr>
        <w:t xml:space="preserve">O’Leary, S.D., </w:t>
      </w:r>
      <w:r w:rsidRPr="0098662C">
        <w:rPr>
          <w:i/>
          <w:iCs/>
          <w:sz w:val="20"/>
          <w:szCs w:val="20"/>
        </w:rPr>
        <w:t>Arguing the Apocalypse: A Theory of Millennial Rhetoric</w:t>
      </w:r>
      <w:r w:rsidRPr="0098662C">
        <w:rPr>
          <w:sz w:val="20"/>
          <w:szCs w:val="20"/>
        </w:rPr>
        <w:t xml:space="preserve"> (Oxford University Press, 1998) &lt;</w:t>
      </w:r>
      <w:hyperlink r:id="rId32" w:history="1">
        <w:r w:rsidRPr="0098662C">
          <w:rPr>
            <w:rStyle w:val="Hyperlink"/>
            <w:sz w:val="20"/>
            <w:szCs w:val="20"/>
          </w:rPr>
          <w:t>https://books.google.es/books?id=slB8WHY9B6QC</w:t>
        </w:r>
      </w:hyperlink>
      <w:r w:rsidRPr="0098662C">
        <w:rPr>
          <w:sz w:val="20"/>
          <w:szCs w:val="20"/>
        </w:rPr>
        <w:t>&gt;</w:t>
      </w:r>
    </w:p>
    <w:p w14:paraId="09159B63" w14:textId="77777777" w:rsidR="00532DAF" w:rsidRPr="0098662C" w:rsidRDefault="00532DAF" w:rsidP="0098662C">
      <w:pPr>
        <w:spacing w:line="240" w:lineRule="auto"/>
        <w:ind w:hanging="480"/>
        <w:rPr>
          <w:sz w:val="20"/>
          <w:szCs w:val="20"/>
        </w:rPr>
      </w:pPr>
      <w:r w:rsidRPr="0098662C">
        <w:rPr>
          <w:sz w:val="20"/>
          <w:szCs w:val="20"/>
        </w:rPr>
        <w:t>Parry, Jovian, ‘</w:t>
      </w:r>
      <w:r w:rsidRPr="0098662C">
        <w:rPr>
          <w:i/>
          <w:iCs/>
          <w:sz w:val="20"/>
          <w:szCs w:val="20"/>
        </w:rPr>
        <w:t>Oryx and Crake</w:t>
      </w:r>
      <w:r w:rsidRPr="0098662C">
        <w:rPr>
          <w:sz w:val="20"/>
          <w:szCs w:val="20"/>
        </w:rPr>
        <w:t xml:space="preserve"> and the New Nostalgia for Meat’, </w:t>
      </w:r>
      <w:r w:rsidRPr="0098662C">
        <w:rPr>
          <w:i/>
          <w:iCs/>
          <w:sz w:val="20"/>
          <w:szCs w:val="20"/>
        </w:rPr>
        <w:t>Society &amp; Animals</w:t>
      </w:r>
      <w:r w:rsidRPr="0098662C">
        <w:rPr>
          <w:sz w:val="20"/>
          <w:szCs w:val="20"/>
        </w:rPr>
        <w:t>, 17.3 (2009), 241–56 &lt;</w:t>
      </w:r>
      <w:hyperlink r:id="rId33" w:history="1">
        <w:r w:rsidRPr="0098662C">
          <w:rPr>
            <w:rStyle w:val="Hyperlink"/>
            <w:sz w:val="20"/>
            <w:szCs w:val="20"/>
          </w:rPr>
          <w:t>https://doi.org/10.1163/156853009X445406</w:t>
        </w:r>
      </w:hyperlink>
      <w:r w:rsidRPr="0098662C">
        <w:rPr>
          <w:sz w:val="20"/>
          <w:szCs w:val="20"/>
        </w:rPr>
        <w:t>&gt;</w:t>
      </w:r>
    </w:p>
    <w:p w14:paraId="1CF6CFC0" w14:textId="77777777" w:rsidR="00532DAF" w:rsidRPr="0098662C" w:rsidRDefault="00532DAF" w:rsidP="0098662C">
      <w:pPr>
        <w:spacing w:line="240" w:lineRule="auto"/>
        <w:ind w:hanging="480"/>
        <w:rPr>
          <w:sz w:val="20"/>
          <w:szCs w:val="20"/>
        </w:rPr>
      </w:pPr>
      <w:r w:rsidRPr="0098662C">
        <w:rPr>
          <w:sz w:val="20"/>
          <w:szCs w:val="20"/>
        </w:rPr>
        <w:t xml:space="preserve">Peat, Alexandra, ‘Traveling to Modernism’s Other Worlds: Huxley’s </w:t>
      </w:r>
      <w:r w:rsidRPr="0098662C">
        <w:rPr>
          <w:i/>
          <w:iCs/>
          <w:sz w:val="20"/>
          <w:szCs w:val="20"/>
        </w:rPr>
        <w:t>Brave New World</w:t>
      </w:r>
      <w:r w:rsidRPr="0098662C">
        <w:rPr>
          <w:sz w:val="20"/>
          <w:szCs w:val="20"/>
        </w:rPr>
        <w:t xml:space="preserve"> and Orwell’s </w:t>
      </w:r>
      <w:r w:rsidRPr="0098662C">
        <w:rPr>
          <w:i/>
          <w:iCs/>
          <w:sz w:val="20"/>
          <w:szCs w:val="20"/>
        </w:rPr>
        <w:t>Nineteen Eighty-Four</w:t>
      </w:r>
      <w:r w:rsidRPr="0098662C">
        <w:rPr>
          <w:sz w:val="20"/>
          <w:szCs w:val="20"/>
        </w:rPr>
        <w:t xml:space="preserve">’, </w:t>
      </w:r>
      <w:r w:rsidRPr="0098662C">
        <w:rPr>
          <w:i/>
          <w:iCs/>
          <w:sz w:val="20"/>
          <w:szCs w:val="20"/>
        </w:rPr>
        <w:t>Journeys; New York</w:t>
      </w:r>
      <w:r w:rsidRPr="0098662C">
        <w:rPr>
          <w:sz w:val="20"/>
          <w:szCs w:val="20"/>
        </w:rPr>
        <w:t>, 16.2 (2015), 38–59 &lt;</w:t>
      </w:r>
      <w:hyperlink r:id="rId34" w:history="1">
        <w:r w:rsidRPr="0098662C">
          <w:rPr>
            <w:rStyle w:val="Hyperlink"/>
            <w:sz w:val="20"/>
            <w:szCs w:val="20"/>
          </w:rPr>
          <w:t>http://dx.doi.org/10.3167/jys.2015.160203</w:t>
        </w:r>
      </w:hyperlink>
      <w:r w:rsidRPr="0098662C">
        <w:rPr>
          <w:sz w:val="20"/>
          <w:szCs w:val="20"/>
        </w:rPr>
        <w:t>&gt;</w:t>
      </w:r>
    </w:p>
    <w:p w14:paraId="438CC7B9" w14:textId="77777777" w:rsidR="00532DAF" w:rsidRPr="0098662C" w:rsidRDefault="00532DAF" w:rsidP="0098662C">
      <w:pPr>
        <w:spacing w:line="240" w:lineRule="auto"/>
        <w:ind w:hanging="480"/>
        <w:rPr>
          <w:sz w:val="20"/>
          <w:szCs w:val="20"/>
        </w:rPr>
      </w:pPr>
      <w:r w:rsidRPr="0098662C">
        <w:rPr>
          <w:sz w:val="20"/>
          <w:szCs w:val="20"/>
        </w:rPr>
        <w:t xml:space="preserve">Peters, Michael A., and Priya Venkatesan, ‘Biocapitalism and the Politics of Life’, </w:t>
      </w:r>
      <w:r w:rsidRPr="0098662C">
        <w:rPr>
          <w:i/>
          <w:iCs/>
          <w:sz w:val="20"/>
          <w:szCs w:val="20"/>
        </w:rPr>
        <w:t>Geopolitics, History and International Relations; Woodside</w:t>
      </w:r>
      <w:r w:rsidRPr="0098662C">
        <w:rPr>
          <w:sz w:val="20"/>
          <w:szCs w:val="20"/>
        </w:rPr>
        <w:t>, 2.2 (2010), 100–122</w:t>
      </w:r>
    </w:p>
    <w:p w14:paraId="0AD6EF48" w14:textId="77777777" w:rsidR="00532DAF" w:rsidRPr="0098662C" w:rsidRDefault="00532DAF" w:rsidP="0098662C">
      <w:pPr>
        <w:spacing w:line="240" w:lineRule="auto"/>
        <w:ind w:hanging="480"/>
        <w:rPr>
          <w:sz w:val="20"/>
          <w:szCs w:val="20"/>
        </w:rPr>
      </w:pPr>
      <w:r w:rsidRPr="0098662C">
        <w:rPr>
          <w:sz w:val="20"/>
          <w:szCs w:val="20"/>
        </w:rPr>
        <w:t xml:space="preserve">Polefrone, Phillip R., ‘Ecology without Us: Ecological Succession and History in Earth Abides’, </w:t>
      </w:r>
      <w:r w:rsidRPr="0098662C">
        <w:rPr>
          <w:i/>
          <w:iCs/>
          <w:sz w:val="20"/>
          <w:szCs w:val="20"/>
        </w:rPr>
        <w:t>Extrapolation</w:t>
      </w:r>
      <w:r w:rsidRPr="0098662C">
        <w:rPr>
          <w:sz w:val="20"/>
          <w:szCs w:val="20"/>
        </w:rPr>
        <w:t>, 59.3 (2018), 255–80 &lt;</w:t>
      </w:r>
      <w:hyperlink r:id="rId35" w:history="1">
        <w:r w:rsidRPr="0098662C">
          <w:rPr>
            <w:rStyle w:val="Hyperlink"/>
            <w:sz w:val="20"/>
            <w:szCs w:val="20"/>
          </w:rPr>
          <w:t>https://doi.org/10.3828/extr.2018.16</w:t>
        </w:r>
      </w:hyperlink>
      <w:r w:rsidRPr="0098662C">
        <w:rPr>
          <w:sz w:val="20"/>
          <w:szCs w:val="20"/>
        </w:rPr>
        <w:t>&gt;</w:t>
      </w:r>
    </w:p>
    <w:p w14:paraId="72A66649" w14:textId="77777777" w:rsidR="00532DAF" w:rsidRPr="0098662C" w:rsidRDefault="00532DAF" w:rsidP="0098662C">
      <w:pPr>
        <w:spacing w:line="240" w:lineRule="auto"/>
        <w:ind w:hanging="480"/>
        <w:rPr>
          <w:sz w:val="20"/>
          <w:szCs w:val="20"/>
        </w:rPr>
      </w:pPr>
      <w:r w:rsidRPr="0098662C">
        <w:rPr>
          <w:sz w:val="20"/>
          <w:szCs w:val="20"/>
        </w:rPr>
        <w:t xml:space="preserve">Pordzik, Ralph, ‘Anthropocentrism and the Other of Technology in Anglo-American Science Fiction’, </w:t>
      </w:r>
      <w:r w:rsidRPr="0098662C">
        <w:rPr>
          <w:i/>
          <w:iCs/>
          <w:sz w:val="20"/>
          <w:szCs w:val="20"/>
        </w:rPr>
        <w:t>Utopian Studies</w:t>
      </w:r>
      <w:r w:rsidRPr="0098662C">
        <w:rPr>
          <w:sz w:val="20"/>
          <w:szCs w:val="20"/>
        </w:rPr>
        <w:t>, 23.1 (2012), 142–61 &lt;</w:t>
      </w:r>
      <w:hyperlink r:id="rId36" w:history="1">
        <w:r w:rsidRPr="0098662C">
          <w:rPr>
            <w:rStyle w:val="Hyperlink"/>
            <w:sz w:val="20"/>
            <w:szCs w:val="20"/>
          </w:rPr>
          <w:t>https://doi.org/10.5325/utopianstudies.23.1.0142</w:t>
        </w:r>
      </w:hyperlink>
      <w:r w:rsidRPr="0098662C">
        <w:rPr>
          <w:sz w:val="20"/>
          <w:szCs w:val="20"/>
        </w:rPr>
        <w:t>&gt;</w:t>
      </w:r>
    </w:p>
    <w:p w14:paraId="74AEE325" w14:textId="77777777" w:rsidR="00532DAF" w:rsidRPr="0098662C" w:rsidRDefault="00532DAF" w:rsidP="0098662C">
      <w:pPr>
        <w:spacing w:line="240" w:lineRule="auto"/>
        <w:ind w:hanging="480"/>
        <w:rPr>
          <w:sz w:val="20"/>
          <w:szCs w:val="20"/>
        </w:rPr>
      </w:pPr>
      <w:r w:rsidRPr="0098662C">
        <w:rPr>
          <w:sz w:val="20"/>
          <w:szCs w:val="20"/>
        </w:rPr>
        <w:t xml:space="preserve">———, ‘The Posthuman Future of Man’:, </w:t>
      </w:r>
      <w:r w:rsidRPr="0098662C">
        <w:rPr>
          <w:i/>
          <w:iCs/>
          <w:sz w:val="20"/>
          <w:szCs w:val="20"/>
        </w:rPr>
        <w:t>Utopian Studies</w:t>
      </w:r>
      <w:r w:rsidRPr="0098662C">
        <w:rPr>
          <w:sz w:val="20"/>
          <w:szCs w:val="20"/>
        </w:rPr>
        <w:t>, 23.1 (2012), 142 &lt;</w:t>
      </w:r>
      <w:hyperlink r:id="rId37" w:history="1">
        <w:r w:rsidRPr="0098662C">
          <w:rPr>
            <w:rStyle w:val="Hyperlink"/>
            <w:sz w:val="20"/>
            <w:szCs w:val="20"/>
          </w:rPr>
          <w:t>https://doi.org/10.5325/utopianstudies.23.1.0142</w:t>
        </w:r>
      </w:hyperlink>
      <w:r w:rsidRPr="0098662C">
        <w:rPr>
          <w:sz w:val="20"/>
          <w:szCs w:val="20"/>
        </w:rPr>
        <w:t>&gt;</w:t>
      </w:r>
    </w:p>
    <w:p w14:paraId="744D008B" w14:textId="77777777" w:rsidR="00532DAF" w:rsidRPr="0098662C" w:rsidRDefault="00532DAF" w:rsidP="0098662C">
      <w:pPr>
        <w:spacing w:line="240" w:lineRule="auto"/>
        <w:ind w:hanging="480"/>
        <w:rPr>
          <w:sz w:val="20"/>
          <w:szCs w:val="20"/>
        </w:rPr>
      </w:pPr>
      <w:r w:rsidRPr="0098662C">
        <w:rPr>
          <w:sz w:val="20"/>
          <w:szCs w:val="20"/>
        </w:rPr>
        <w:t xml:space="preserve">Rose, Nikolas S, </w:t>
      </w:r>
      <w:r w:rsidRPr="0098662C">
        <w:rPr>
          <w:i/>
          <w:iCs/>
          <w:sz w:val="20"/>
          <w:szCs w:val="20"/>
        </w:rPr>
        <w:t>The Politics of Life Itself: Biomedicine, Power, and Subjectivity in the Twenty-First Century</w:t>
      </w:r>
      <w:r w:rsidRPr="0098662C">
        <w:rPr>
          <w:sz w:val="20"/>
          <w:szCs w:val="20"/>
        </w:rPr>
        <w:t xml:space="preserve"> (Princeton: Princeton University Press, 2007) &lt;</w:t>
      </w:r>
      <w:hyperlink r:id="rId38" w:history="1">
        <w:r w:rsidRPr="0098662C">
          <w:rPr>
            <w:rStyle w:val="Hyperlink"/>
            <w:sz w:val="20"/>
            <w:szCs w:val="20"/>
          </w:rPr>
          <w:t>https://doi.org/10.1515/9781400827503</w:t>
        </w:r>
      </w:hyperlink>
      <w:r w:rsidRPr="0098662C">
        <w:rPr>
          <w:sz w:val="20"/>
          <w:szCs w:val="20"/>
        </w:rPr>
        <w:t>&gt; [accessed 11 August 2020]</w:t>
      </w:r>
    </w:p>
    <w:p w14:paraId="491AC94F" w14:textId="3DAE2F8E" w:rsidR="00532DAF" w:rsidRPr="0098662C" w:rsidRDefault="00532DAF" w:rsidP="0098662C">
      <w:pPr>
        <w:spacing w:line="240" w:lineRule="auto"/>
        <w:ind w:hanging="480"/>
        <w:rPr>
          <w:sz w:val="20"/>
          <w:szCs w:val="20"/>
        </w:rPr>
      </w:pPr>
      <w:r w:rsidRPr="0098662C">
        <w:rPr>
          <w:sz w:val="20"/>
          <w:szCs w:val="20"/>
        </w:rPr>
        <w:t xml:space="preserve">Rozelle, Lee, ‘Liminal Ecologies in Margaret Atwood’s </w:t>
      </w:r>
      <w:r w:rsidRPr="0098662C">
        <w:rPr>
          <w:i/>
          <w:iCs/>
          <w:sz w:val="20"/>
          <w:szCs w:val="20"/>
        </w:rPr>
        <w:t>Oryx and Crake</w:t>
      </w:r>
      <w:r w:rsidRPr="0098662C">
        <w:rPr>
          <w:sz w:val="20"/>
          <w:szCs w:val="20"/>
        </w:rPr>
        <w:t xml:space="preserve">.’, </w:t>
      </w:r>
      <w:r w:rsidRPr="0098662C">
        <w:rPr>
          <w:i/>
          <w:iCs/>
          <w:sz w:val="20"/>
          <w:szCs w:val="20"/>
        </w:rPr>
        <w:t>Canadian Literature</w:t>
      </w:r>
      <w:r w:rsidRPr="0098662C">
        <w:rPr>
          <w:sz w:val="20"/>
          <w:szCs w:val="20"/>
        </w:rPr>
        <w:t>, 206, 2010, 61–72</w:t>
      </w:r>
    </w:p>
    <w:p w14:paraId="23A9BC6F" w14:textId="77777777" w:rsidR="00532DAF" w:rsidRPr="0098662C" w:rsidRDefault="00532DAF" w:rsidP="0098662C">
      <w:pPr>
        <w:spacing w:line="240" w:lineRule="auto"/>
        <w:ind w:hanging="480"/>
        <w:rPr>
          <w:sz w:val="20"/>
          <w:szCs w:val="20"/>
        </w:rPr>
      </w:pPr>
      <w:r w:rsidRPr="0098662C">
        <w:rPr>
          <w:sz w:val="20"/>
          <w:szCs w:val="20"/>
        </w:rPr>
        <w:t xml:space="preserve">Sargent, Lyman Tower, </w:t>
      </w:r>
      <w:r w:rsidRPr="0098662C">
        <w:rPr>
          <w:i/>
          <w:iCs/>
          <w:sz w:val="20"/>
          <w:szCs w:val="20"/>
        </w:rPr>
        <w:t>Utopianism: A Very Short Introduction</w:t>
      </w:r>
      <w:r w:rsidRPr="0098662C">
        <w:rPr>
          <w:sz w:val="20"/>
          <w:szCs w:val="20"/>
        </w:rPr>
        <w:t>, Very Short Introductions, 246 (Oxford: Oxford University Press, 2010)</w:t>
      </w:r>
    </w:p>
    <w:p w14:paraId="41AEB4E8" w14:textId="77777777" w:rsidR="00532DAF" w:rsidRPr="0098662C" w:rsidRDefault="00532DAF" w:rsidP="0098662C">
      <w:pPr>
        <w:spacing w:line="240" w:lineRule="auto"/>
        <w:ind w:hanging="480"/>
        <w:rPr>
          <w:sz w:val="20"/>
          <w:szCs w:val="20"/>
        </w:rPr>
      </w:pPr>
      <w:r w:rsidRPr="0098662C">
        <w:rPr>
          <w:sz w:val="20"/>
          <w:szCs w:val="20"/>
        </w:rPr>
        <w:t xml:space="preserve">Schmeink, Lars, </w:t>
      </w:r>
      <w:r w:rsidRPr="0098662C">
        <w:rPr>
          <w:i/>
          <w:iCs/>
          <w:sz w:val="20"/>
          <w:szCs w:val="20"/>
        </w:rPr>
        <w:t>Biopunk Dystopias Genetic Engineering, Society and Science Fiction</w:t>
      </w:r>
      <w:r w:rsidRPr="0098662C">
        <w:rPr>
          <w:sz w:val="20"/>
          <w:szCs w:val="20"/>
        </w:rPr>
        <w:t xml:space="preserve"> (Liverpool: Liverpool University Press, 2017)</w:t>
      </w:r>
    </w:p>
    <w:p w14:paraId="665F062A" w14:textId="77777777" w:rsidR="00532DAF" w:rsidRPr="0098662C" w:rsidRDefault="00532DAF" w:rsidP="0098662C">
      <w:pPr>
        <w:spacing w:line="240" w:lineRule="auto"/>
        <w:ind w:hanging="480"/>
        <w:rPr>
          <w:sz w:val="20"/>
          <w:szCs w:val="20"/>
        </w:rPr>
      </w:pPr>
      <w:r w:rsidRPr="0098662C">
        <w:rPr>
          <w:sz w:val="20"/>
          <w:szCs w:val="20"/>
        </w:rPr>
        <w:t xml:space="preserve">Showalter, Elaine, ‘The Apocalyptic Fables of H. G. Wells’, in </w:t>
      </w:r>
      <w:r w:rsidRPr="0098662C">
        <w:rPr>
          <w:i/>
          <w:iCs/>
          <w:sz w:val="20"/>
          <w:szCs w:val="20"/>
        </w:rPr>
        <w:t>Fin de Siècle/Fin Du Globe</w:t>
      </w:r>
      <w:r w:rsidRPr="0098662C">
        <w:rPr>
          <w:sz w:val="20"/>
          <w:szCs w:val="20"/>
        </w:rPr>
        <w:t>, by John Stokes (London: Palgrave Macmillan UK, 1992), pp. 69–84 &lt;</w:t>
      </w:r>
      <w:hyperlink r:id="rId39" w:history="1">
        <w:r w:rsidRPr="0098662C">
          <w:rPr>
            <w:rStyle w:val="Hyperlink"/>
            <w:sz w:val="20"/>
            <w:szCs w:val="20"/>
          </w:rPr>
          <w:t>https://doi.org/10.1007/978-1-349-22421-0_5</w:t>
        </w:r>
      </w:hyperlink>
      <w:r w:rsidRPr="0098662C">
        <w:rPr>
          <w:sz w:val="20"/>
          <w:szCs w:val="20"/>
        </w:rPr>
        <w:t>&gt;</w:t>
      </w:r>
    </w:p>
    <w:p w14:paraId="667C69F3" w14:textId="63A20C44" w:rsidR="00532DAF" w:rsidRPr="0098662C" w:rsidRDefault="00532DAF" w:rsidP="0098662C">
      <w:pPr>
        <w:spacing w:line="240" w:lineRule="auto"/>
        <w:ind w:hanging="480"/>
        <w:rPr>
          <w:sz w:val="20"/>
          <w:szCs w:val="20"/>
        </w:rPr>
      </w:pPr>
      <w:r w:rsidRPr="0098662C">
        <w:rPr>
          <w:sz w:val="20"/>
          <w:szCs w:val="20"/>
        </w:rPr>
        <w:t xml:space="preserve">Sicher, Efraim, and Natalia Skradol, ‘A World Neither Brave </w:t>
      </w:r>
      <w:r w:rsidR="00C01FD4" w:rsidRPr="0098662C">
        <w:rPr>
          <w:sz w:val="20"/>
          <w:szCs w:val="20"/>
        </w:rPr>
        <w:t>nor</w:t>
      </w:r>
      <w:r w:rsidRPr="0098662C">
        <w:rPr>
          <w:sz w:val="20"/>
          <w:szCs w:val="20"/>
        </w:rPr>
        <w:t xml:space="preserve"> New: Reading Dystopian Fiction after 9/11’, </w:t>
      </w:r>
      <w:r w:rsidRPr="0098662C">
        <w:rPr>
          <w:i/>
          <w:iCs/>
          <w:sz w:val="20"/>
          <w:szCs w:val="20"/>
        </w:rPr>
        <w:t>Partial Answers: Journal of Literature and the History of Ideas</w:t>
      </w:r>
      <w:r w:rsidRPr="0098662C">
        <w:rPr>
          <w:sz w:val="20"/>
          <w:szCs w:val="20"/>
        </w:rPr>
        <w:t>, 4.1 (2006), 151–179</w:t>
      </w:r>
    </w:p>
    <w:p w14:paraId="4DF9704F" w14:textId="77777777" w:rsidR="00532DAF" w:rsidRPr="0098662C" w:rsidRDefault="00532DAF" w:rsidP="0098662C">
      <w:pPr>
        <w:spacing w:line="240" w:lineRule="auto"/>
        <w:ind w:hanging="480"/>
        <w:rPr>
          <w:sz w:val="20"/>
          <w:szCs w:val="20"/>
        </w:rPr>
      </w:pPr>
      <w:r w:rsidRPr="0098662C">
        <w:rPr>
          <w:sz w:val="20"/>
          <w:szCs w:val="20"/>
        </w:rPr>
        <w:t xml:space="preserve">Stein, Karen, ‘Surviving the Waterless Flood: Feminism and Ecofeminism in Margaret Atwood’s </w:t>
      </w:r>
      <w:r w:rsidRPr="0098662C">
        <w:rPr>
          <w:i/>
          <w:iCs/>
          <w:sz w:val="20"/>
          <w:szCs w:val="20"/>
        </w:rPr>
        <w:t>The Handmaid’s Tale</w:t>
      </w:r>
      <w:r w:rsidRPr="0098662C">
        <w:rPr>
          <w:sz w:val="20"/>
          <w:szCs w:val="20"/>
        </w:rPr>
        <w:t>,</w:t>
      </w:r>
      <w:r w:rsidRPr="0098662C">
        <w:rPr>
          <w:i/>
          <w:iCs/>
          <w:sz w:val="20"/>
          <w:szCs w:val="20"/>
        </w:rPr>
        <w:t xml:space="preserve"> Oryx and Crake</w:t>
      </w:r>
      <w:r w:rsidRPr="0098662C">
        <w:rPr>
          <w:sz w:val="20"/>
          <w:szCs w:val="20"/>
        </w:rPr>
        <w:t xml:space="preserve"> and </w:t>
      </w:r>
      <w:r w:rsidRPr="0098662C">
        <w:rPr>
          <w:i/>
          <w:iCs/>
          <w:sz w:val="20"/>
          <w:szCs w:val="20"/>
        </w:rPr>
        <w:t>The Year of the Flood</w:t>
      </w:r>
      <w:r w:rsidRPr="0098662C">
        <w:rPr>
          <w:sz w:val="20"/>
          <w:szCs w:val="20"/>
        </w:rPr>
        <w:t xml:space="preserve">’, </w:t>
      </w:r>
      <w:r w:rsidRPr="0098662C">
        <w:rPr>
          <w:i/>
          <w:iCs/>
          <w:sz w:val="20"/>
          <w:szCs w:val="20"/>
        </w:rPr>
        <w:t>Critical Insights: Margaret Atwood. Ed. J. Brooks Bouson. Ipswich: Salem</w:t>
      </w:r>
      <w:r w:rsidRPr="0098662C">
        <w:rPr>
          <w:sz w:val="20"/>
          <w:szCs w:val="20"/>
        </w:rPr>
        <w:t>, 2013, 313–33</w:t>
      </w:r>
    </w:p>
    <w:p w14:paraId="75566927" w14:textId="77777777" w:rsidR="00532DAF" w:rsidRPr="0098662C" w:rsidRDefault="00532DAF" w:rsidP="0098662C">
      <w:pPr>
        <w:spacing w:line="240" w:lineRule="auto"/>
        <w:ind w:hanging="480"/>
        <w:rPr>
          <w:sz w:val="20"/>
          <w:szCs w:val="20"/>
        </w:rPr>
      </w:pPr>
      <w:r w:rsidRPr="0098662C">
        <w:rPr>
          <w:sz w:val="20"/>
          <w:szCs w:val="20"/>
        </w:rPr>
        <w:t xml:space="preserve">Sunder Rajan, Kaushik, and Project Muse, </w:t>
      </w:r>
      <w:r w:rsidRPr="0098662C">
        <w:rPr>
          <w:i/>
          <w:iCs/>
          <w:sz w:val="20"/>
          <w:szCs w:val="20"/>
        </w:rPr>
        <w:t>Biocapital The Constitution of Postgenomic Life</w:t>
      </w:r>
      <w:r w:rsidRPr="0098662C">
        <w:rPr>
          <w:sz w:val="20"/>
          <w:szCs w:val="20"/>
        </w:rPr>
        <w:t xml:space="preserve"> (Durham: Duke University Press, 2006) &lt;</w:t>
      </w:r>
      <w:hyperlink r:id="rId40" w:history="1">
        <w:r w:rsidRPr="0098662C">
          <w:rPr>
            <w:rStyle w:val="Hyperlink"/>
            <w:sz w:val="20"/>
            <w:szCs w:val="20"/>
          </w:rPr>
          <w:t>https://muse.jhu.edu/book/68891/</w:t>
        </w:r>
      </w:hyperlink>
      <w:r w:rsidRPr="0098662C">
        <w:rPr>
          <w:sz w:val="20"/>
          <w:szCs w:val="20"/>
        </w:rPr>
        <w:t>&gt; [accessed 11 August 2020]</w:t>
      </w:r>
    </w:p>
    <w:p w14:paraId="0F0CF0EF" w14:textId="77777777" w:rsidR="00532DAF" w:rsidRPr="0098662C" w:rsidRDefault="00532DAF" w:rsidP="0098662C">
      <w:pPr>
        <w:spacing w:line="240" w:lineRule="auto"/>
        <w:ind w:hanging="480"/>
        <w:rPr>
          <w:sz w:val="20"/>
          <w:szCs w:val="20"/>
        </w:rPr>
      </w:pPr>
      <w:r w:rsidRPr="0098662C">
        <w:rPr>
          <w:sz w:val="20"/>
          <w:szCs w:val="20"/>
        </w:rPr>
        <w:t xml:space="preserve">Suvin, Darko, </w:t>
      </w:r>
      <w:r w:rsidRPr="0098662C">
        <w:rPr>
          <w:i/>
          <w:iCs/>
          <w:sz w:val="20"/>
          <w:szCs w:val="20"/>
        </w:rPr>
        <w:t>Metamorphoses of Science Fiction: On the Poetics and History of a Literary Genre</w:t>
      </w:r>
      <w:r w:rsidRPr="0098662C">
        <w:rPr>
          <w:sz w:val="20"/>
          <w:szCs w:val="20"/>
        </w:rPr>
        <w:t xml:space="preserve"> (New Haven: Yale Univ. Press, 1979)</w:t>
      </w:r>
    </w:p>
    <w:p w14:paraId="7E83CCB9" w14:textId="1DF9159E" w:rsidR="00532DAF" w:rsidRPr="0098662C" w:rsidRDefault="00532DAF" w:rsidP="0098662C">
      <w:pPr>
        <w:spacing w:line="240" w:lineRule="auto"/>
        <w:ind w:hanging="480"/>
        <w:rPr>
          <w:sz w:val="20"/>
          <w:szCs w:val="20"/>
        </w:rPr>
      </w:pPr>
      <w:r w:rsidRPr="0098662C">
        <w:rPr>
          <w:sz w:val="20"/>
          <w:szCs w:val="20"/>
        </w:rPr>
        <w:t xml:space="preserve">Tamminen, Sakari, and Eric Deibel, </w:t>
      </w:r>
      <w:r w:rsidRPr="0098662C">
        <w:rPr>
          <w:i/>
          <w:iCs/>
          <w:sz w:val="20"/>
          <w:szCs w:val="20"/>
        </w:rPr>
        <w:t>Recoding Life : Information and the Biopolitical</w:t>
      </w:r>
      <w:r w:rsidRPr="0098662C">
        <w:rPr>
          <w:sz w:val="20"/>
          <w:szCs w:val="20"/>
        </w:rPr>
        <w:t xml:space="preserve"> (Taylor &amp; Francis, 2018)</w:t>
      </w:r>
    </w:p>
    <w:p w14:paraId="2151D57D" w14:textId="77777777" w:rsidR="00532DAF" w:rsidRPr="0098662C" w:rsidRDefault="00532DAF" w:rsidP="0098662C">
      <w:pPr>
        <w:spacing w:line="240" w:lineRule="auto"/>
        <w:ind w:hanging="480"/>
        <w:rPr>
          <w:sz w:val="20"/>
          <w:szCs w:val="20"/>
        </w:rPr>
      </w:pPr>
      <w:r w:rsidRPr="0098662C">
        <w:rPr>
          <w:sz w:val="20"/>
          <w:szCs w:val="20"/>
        </w:rPr>
        <w:lastRenderedPageBreak/>
        <w:t xml:space="preserve">Thacker, Eugene, ‘Data Made Flesh: Biotechnology and the Discourse of the Posthuman’, </w:t>
      </w:r>
      <w:r w:rsidRPr="0098662C">
        <w:rPr>
          <w:i/>
          <w:iCs/>
          <w:sz w:val="20"/>
          <w:szCs w:val="20"/>
        </w:rPr>
        <w:t>Cultural Critique</w:t>
      </w:r>
      <w:r w:rsidRPr="0098662C">
        <w:rPr>
          <w:sz w:val="20"/>
          <w:szCs w:val="20"/>
        </w:rPr>
        <w:t>, 53.1 (2003), 72–97 &lt;</w:t>
      </w:r>
      <w:hyperlink r:id="rId41" w:history="1">
        <w:r w:rsidRPr="0098662C">
          <w:rPr>
            <w:rStyle w:val="Hyperlink"/>
            <w:sz w:val="20"/>
            <w:szCs w:val="20"/>
          </w:rPr>
          <w:t>https://doi.org/10.1353/cul.2003.0029</w:t>
        </w:r>
      </w:hyperlink>
      <w:r w:rsidRPr="0098662C">
        <w:rPr>
          <w:sz w:val="20"/>
          <w:szCs w:val="20"/>
        </w:rPr>
        <w:t>&gt;</w:t>
      </w:r>
    </w:p>
    <w:p w14:paraId="5B77CEB0" w14:textId="77777777" w:rsidR="00532DAF" w:rsidRPr="0098662C" w:rsidRDefault="00532DAF" w:rsidP="0098662C">
      <w:pPr>
        <w:spacing w:line="240" w:lineRule="auto"/>
        <w:ind w:hanging="480"/>
        <w:rPr>
          <w:sz w:val="20"/>
          <w:szCs w:val="20"/>
        </w:rPr>
      </w:pPr>
      <w:r w:rsidRPr="0098662C">
        <w:rPr>
          <w:sz w:val="20"/>
          <w:szCs w:val="20"/>
        </w:rPr>
        <w:t xml:space="preserve">———, ‘What Is Biomedia?’, </w:t>
      </w:r>
      <w:r w:rsidRPr="0098662C">
        <w:rPr>
          <w:i/>
          <w:iCs/>
          <w:sz w:val="20"/>
          <w:szCs w:val="20"/>
        </w:rPr>
        <w:t>Configurations</w:t>
      </w:r>
      <w:r w:rsidRPr="0098662C">
        <w:rPr>
          <w:sz w:val="20"/>
          <w:szCs w:val="20"/>
        </w:rPr>
        <w:t>, 11.1 (2003), 47–79 &lt;</w:t>
      </w:r>
      <w:hyperlink r:id="rId42" w:history="1">
        <w:r w:rsidRPr="0098662C">
          <w:rPr>
            <w:rStyle w:val="Hyperlink"/>
            <w:sz w:val="20"/>
            <w:szCs w:val="20"/>
          </w:rPr>
          <w:t>https://doi.org/10.1353/con.2004.0014</w:t>
        </w:r>
      </w:hyperlink>
      <w:r w:rsidRPr="0098662C">
        <w:rPr>
          <w:sz w:val="20"/>
          <w:szCs w:val="20"/>
        </w:rPr>
        <w:t>&gt;</w:t>
      </w:r>
    </w:p>
    <w:p w14:paraId="1E410B35" w14:textId="77777777" w:rsidR="00532DAF" w:rsidRPr="0098662C" w:rsidRDefault="00532DAF" w:rsidP="0098662C">
      <w:pPr>
        <w:spacing w:line="240" w:lineRule="auto"/>
        <w:ind w:hanging="480"/>
        <w:rPr>
          <w:sz w:val="20"/>
          <w:szCs w:val="20"/>
        </w:rPr>
      </w:pPr>
      <w:r w:rsidRPr="0098662C">
        <w:rPr>
          <w:sz w:val="20"/>
          <w:szCs w:val="20"/>
        </w:rPr>
        <w:t xml:space="preserve">Trexler, Adam, </w:t>
      </w:r>
      <w:r w:rsidRPr="0098662C">
        <w:rPr>
          <w:i/>
          <w:iCs/>
          <w:sz w:val="20"/>
          <w:szCs w:val="20"/>
        </w:rPr>
        <w:t>Anthropocene Fictions: The Novel in a Time of Climate Change</w:t>
      </w:r>
      <w:r w:rsidRPr="0098662C">
        <w:rPr>
          <w:sz w:val="20"/>
          <w:szCs w:val="20"/>
        </w:rPr>
        <w:t xml:space="preserve"> (University of Virginia Press, 2015), JSTOR &lt;</w:t>
      </w:r>
      <w:hyperlink r:id="rId43" w:history="1">
        <w:r w:rsidRPr="0098662C">
          <w:rPr>
            <w:rStyle w:val="Hyperlink"/>
            <w:sz w:val="20"/>
            <w:szCs w:val="20"/>
          </w:rPr>
          <w:t>www.jstor.org/stable/j.ctt13x1r99</w:t>
        </w:r>
      </w:hyperlink>
      <w:r w:rsidRPr="0098662C">
        <w:rPr>
          <w:sz w:val="20"/>
          <w:szCs w:val="20"/>
        </w:rPr>
        <w:t>&gt; [accessed 27 November 2019]</w:t>
      </w:r>
    </w:p>
    <w:p w14:paraId="4057BEDB" w14:textId="77777777" w:rsidR="00532DAF" w:rsidRPr="0098662C" w:rsidRDefault="00532DAF" w:rsidP="0098662C">
      <w:pPr>
        <w:spacing w:line="240" w:lineRule="auto"/>
        <w:ind w:hanging="480"/>
        <w:rPr>
          <w:sz w:val="20"/>
          <w:szCs w:val="20"/>
        </w:rPr>
      </w:pPr>
      <w:r w:rsidRPr="0098662C">
        <w:rPr>
          <w:sz w:val="20"/>
          <w:szCs w:val="20"/>
        </w:rPr>
        <w:t xml:space="preserve">Tutton, Richard, ‘Promising Pessimism: Reading the Futures to Be Avoided in Biotech’, </w:t>
      </w:r>
      <w:r w:rsidRPr="0098662C">
        <w:rPr>
          <w:i/>
          <w:iCs/>
          <w:sz w:val="20"/>
          <w:szCs w:val="20"/>
        </w:rPr>
        <w:t>Social Studies of Science</w:t>
      </w:r>
      <w:r w:rsidRPr="0098662C">
        <w:rPr>
          <w:sz w:val="20"/>
          <w:szCs w:val="20"/>
        </w:rPr>
        <w:t>, 41.3 (2011), 411–29</w:t>
      </w:r>
    </w:p>
    <w:p w14:paraId="01419FCB" w14:textId="3C6BD007" w:rsidR="00532DAF" w:rsidRPr="0098662C" w:rsidRDefault="00532DAF" w:rsidP="0098662C">
      <w:pPr>
        <w:spacing w:line="240" w:lineRule="auto"/>
        <w:ind w:hanging="480"/>
        <w:rPr>
          <w:sz w:val="20"/>
          <w:szCs w:val="20"/>
        </w:rPr>
      </w:pPr>
      <w:r w:rsidRPr="0098662C">
        <w:rPr>
          <w:sz w:val="20"/>
          <w:szCs w:val="20"/>
        </w:rPr>
        <w:t xml:space="preserve">Unit, Biosafety, ‘Convention on </w:t>
      </w:r>
      <w:r w:rsidR="006D7693" w:rsidRPr="0098662C">
        <w:rPr>
          <w:sz w:val="20"/>
          <w:szCs w:val="20"/>
        </w:rPr>
        <w:t>Biological</w:t>
      </w:r>
      <w:r w:rsidRPr="0098662C">
        <w:rPr>
          <w:sz w:val="20"/>
          <w:szCs w:val="20"/>
        </w:rPr>
        <w:t xml:space="preserve"> Diversity - Convention Text’ (Secretariat of the Convention on Biological Diversity, 2006) &lt;</w:t>
      </w:r>
      <w:hyperlink r:id="rId44" w:history="1">
        <w:r w:rsidRPr="0098662C">
          <w:rPr>
            <w:rStyle w:val="Hyperlink"/>
            <w:sz w:val="20"/>
            <w:szCs w:val="20"/>
          </w:rPr>
          <w:t>https://www.cbd.int/convention/articles/?a=cbd-02</w:t>
        </w:r>
      </w:hyperlink>
      <w:r w:rsidRPr="0098662C">
        <w:rPr>
          <w:sz w:val="20"/>
          <w:szCs w:val="20"/>
        </w:rPr>
        <w:t>&gt; [accessed 14 August 2020]</w:t>
      </w:r>
    </w:p>
    <w:p w14:paraId="4D9BE61E" w14:textId="77777777" w:rsidR="00532DAF" w:rsidRPr="0098662C" w:rsidRDefault="00532DAF" w:rsidP="0098662C">
      <w:pPr>
        <w:spacing w:line="240" w:lineRule="auto"/>
        <w:ind w:hanging="480"/>
        <w:rPr>
          <w:sz w:val="20"/>
          <w:szCs w:val="20"/>
        </w:rPr>
      </w:pPr>
      <w:r w:rsidRPr="0098662C">
        <w:rPr>
          <w:sz w:val="20"/>
          <w:szCs w:val="20"/>
        </w:rPr>
        <w:t xml:space="preserve">Waldby, Cathy, </w:t>
      </w:r>
      <w:r w:rsidRPr="0098662C">
        <w:rPr>
          <w:i/>
          <w:iCs/>
          <w:sz w:val="20"/>
          <w:szCs w:val="20"/>
        </w:rPr>
        <w:t>The Visible Human Project: Informatic Bodies and Posthuman Medicine</w:t>
      </w:r>
      <w:r w:rsidRPr="0098662C">
        <w:rPr>
          <w:sz w:val="20"/>
          <w:szCs w:val="20"/>
        </w:rPr>
        <w:t xml:space="preserve"> (London ; New York: Routledge, 2000)</w:t>
      </w:r>
    </w:p>
    <w:p w14:paraId="70D7EFA7" w14:textId="77777777" w:rsidR="00532DAF" w:rsidRPr="0098662C" w:rsidRDefault="00532DAF" w:rsidP="0098662C">
      <w:pPr>
        <w:spacing w:line="240" w:lineRule="auto"/>
        <w:ind w:hanging="480"/>
        <w:rPr>
          <w:sz w:val="20"/>
          <w:szCs w:val="20"/>
        </w:rPr>
      </w:pPr>
      <w:r w:rsidRPr="0098662C">
        <w:rPr>
          <w:sz w:val="20"/>
          <w:szCs w:val="20"/>
        </w:rPr>
        <w:t xml:space="preserve">Wilson, David Sloan, </w:t>
      </w:r>
      <w:r w:rsidRPr="0098662C">
        <w:rPr>
          <w:i/>
          <w:iCs/>
          <w:sz w:val="20"/>
          <w:szCs w:val="20"/>
        </w:rPr>
        <w:t>Darwin’s Cathedral: Evolution, Religion, and the Nature of Society</w:t>
      </w:r>
      <w:r w:rsidRPr="0098662C">
        <w:rPr>
          <w:sz w:val="20"/>
          <w:szCs w:val="20"/>
        </w:rPr>
        <w:t xml:space="preserve"> (Chicago: University of Chicago Press, 2010) &lt;</w:t>
      </w:r>
      <w:hyperlink r:id="rId45" w:history="1">
        <w:r w:rsidRPr="0098662C">
          <w:rPr>
            <w:rStyle w:val="Hyperlink"/>
            <w:sz w:val="20"/>
            <w:szCs w:val="20"/>
          </w:rPr>
          <w:t>https://public.ebookcentral.proquest.com/choice/publicfullrecord.aspx?p=1249433</w:t>
        </w:r>
      </w:hyperlink>
      <w:r w:rsidRPr="0098662C">
        <w:rPr>
          <w:sz w:val="20"/>
          <w:szCs w:val="20"/>
        </w:rPr>
        <w:t>&gt; [accessed 10 September 2020]</w:t>
      </w:r>
    </w:p>
    <w:p w14:paraId="2711CE68" w14:textId="77777777" w:rsidR="00532DAF" w:rsidRPr="0098662C" w:rsidRDefault="00532DAF" w:rsidP="0098662C">
      <w:pPr>
        <w:spacing w:line="240" w:lineRule="auto"/>
        <w:ind w:hanging="480"/>
        <w:rPr>
          <w:sz w:val="20"/>
          <w:szCs w:val="20"/>
        </w:rPr>
      </w:pPr>
      <w:r w:rsidRPr="0098662C">
        <w:rPr>
          <w:sz w:val="20"/>
          <w:szCs w:val="20"/>
        </w:rPr>
        <w:t xml:space="preserve">Winstead, Ashley, ‘Beyond Persuasion: Margaret Atwood’s Speculative Politics’, </w:t>
      </w:r>
      <w:r w:rsidRPr="0098662C">
        <w:rPr>
          <w:i/>
          <w:iCs/>
          <w:sz w:val="20"/>
          <w:szCs w:val="20"/>
        </w:rPr>
        <w:t>Studies in the Novel; Denton</w:t>
      </w:r>
      <w:r w:rsidRPr="0098662C">
        <w:rPr>
          <w:sz w:val="20"/>
          <w:szCs w:val="20"/>
        </w:rPr>
        <w:t>, 49.2 (2017), 228–49 &lt;</w:t>
      </w:r>
      <w:hyperlink r:id="rId46" w:history="1">
        <w:r w:rsidRPr="0098662C">
          <w:rPr>
            <w:rStyle w:val="Hyperlink"/>
            <w:sz w:val="20"/>
            <w:szCs w:val="20"/>
          </w:rPr>
          <w:t>http://dx.doi.org/10.1353/sdn.2017.0018</w:t>
        </w:r>
      </w:hyperlink>
      <w:r w:rsidRPr="0098662C">
        <w:rPr>
          <w:sz w:val="20"/>
          <w:szCs w:val="20"/>
        </w:rPr>
        <w:t>&gt;</w:t>
      </w:r>
    </w:p>
    <w:p w14:paraId="7128459E" w14:textId="77777777" w:rsidR="00532DAF" w:rsidRPr="0098662C" w:rsidRDefault="00532DAF" w:rsidP="0098662C">
      <w:pPr>
        <w:spacing w:line="240" w:lineRule="auto"/>
        <w:ind w:hanging="480"/>
        <w:rPr>
          <w:sz w:val="20"/>
          <w:szCs w:val="20"/>
        </w:rPr>
      </w:pPr>
      <w:r w:rsidRPr="0098662C">
        <w:rPr>
          <w:sz w:val="20"/>
          <w:szCs w:val="20"/>
        </w:rPr>
        <w:t xml:space="preserve">Wolfe, Cary, </w:t>
      </w:r>
      <w:r w:rsidRPr="0098662C">
        <w:rPr>
          <w:i/>
          <w:iCs/>
          <w:sz w:val="20"/>
          <w:szCs w:val="20"/>
        </w:rPr>
        <w:t>What Is Posthumanism?</w:t>
      </w:r>
      <w:r w:rsidRPr="0098662C">
        <w:rPr>
          <w:sz w:val="20"/>
          <w:szCs w:val="20"/>
        </w:rPr>
        <w:t>, Posthumanities Series, v. 8 (Minneapolis: University of Minnesota Press, 2010)</w:t>
      </w:r>
    </w:p>
    <w:p w14:paraId="3103B66F" w14:textId="77777777" w:rsidR="00532DAF" w:rsidRPr="0098662C" w:rsidRDefault="00532DAF" w:rsidP="0098662C">
      <w:pPr>
        <w:spacing w:line="240" w:lineRule="auto"/>
        <w:ind w:hanging="480"/>
        <w:rPr>
          <w:sz w:val="20"/>
          <w:szCs w:val="20"/>
        </w:rPr>
      </w:pPr>
      <w:r w:rsidRPr="0098662C">
        <w:rPr>
          <w:sz w:val="20"/>
          <w:szCs w:val="20"/>
        </w:rPr>
        <w:t xml:space="preserve">Wolfe, Gary K., ‘The Remaking of Zero: Beginning at the End.’, in </w:t>
      </w:r>
      <w:r w:rsidRPr="0098662C">
        <w:rPr>
          <w:i/>
          <w:iCs/>
          <w:sz w:val="20"/>
          <w:szCs w:val="20"/>
        </w:rPr>
        <w:t>The End of the World</w:t>
      </w:r>
      <w:r w:rsidRPr="0098662C">
        <w:rPr>
          <w:sz w:val="20"/>
          <w:szCs w:val="20"/>
        </w:rPr>
        <w:t>, ed. by Eric S. Rabkin, Martin Harry Greenberg, and Joseph D. Olander, Alternatives (Carbondale: Southern Illinois University Press, 1983), pp. 1–19</w:t>
      </w:r>
    </w:p>
    <w:p w14:paraId="767A99DC" w14:textId="77777777" w:rsidR="00532DAF" w:rsidRPr="0098662C" w:rsidRDefault="00532DAF" w:rsidP="0098662C">
      <w:pPr>
        <w:spacing w:line="240" w:lineRule="auto"/>
        <w:ind w:hanging="480"/>
        <w:rPr>
          <w:sz w:val="20"/>
          <w:szCs w:val="20"/>
        </w:rPr>
      </w:pPr>
      <w:r w:rsidRPr="0098662C">
        <w:rPr>
          <w:sz w:val="20"/>
          <w:szCs w:val="20"/>
        </w:rPr>
        <w:t xml:space="preserve">Zamora, Lois Parkinson, </w:t>
      </w:r>
      <w:r w:rsidRPr="0098662C">
        <w:rPr>
          <w:i/>
          <w:iCs/>
          <w:sz w:val="20"/>
          <w:szCs w:val="20"/>
        </w:rPr>
        <w:t>Writing the Apocalypse: Historical Vision in Contemporary U.S. and Latin American Fiction</w:t>
      </w:r>
      <w:r w:rsidRPr="0098662C">
        <w:rPr>
          <w:sz w:val="20"/>
          <w:szCs w:val="20"/>
        </w:rPr>
        <w:t xml:space="preserve"> (Cambridge [England] ; New York: Cambridge University Press, 1989)</w:t>
      </w:r>
    </w:p>
    <w:p w14:paraId="586D8F72" w14:textId="77777777" w:rsidR="00532DAF" w:rsidRPr="0098662C" w:rsidRDefault="00532DAF" w:rsidP="0098662C">
      <w:pPr>
        <w:spacing w:line="240" w:lineRule="auto"/>
        <w:ind w:hanging="480"/>
        <w:rPr>
          <w:sz w:val="20"/>
          <w:szCs w:val="20"/>
        </w:rPr>
      </w:pPr>
      <w:r w:rsidRPr="0098662C">
        <w:rPr>
          <w:sz w:val="20"/>
          <w:szCs w:val="20"/>
        </w:rPr>
        <w:t xml:space="preserve">Žižek, Slavoj, </w:t>
      </w:r>
      <w:r w:rsidRPr="0098662C">
        <w:rPr>
          <w:i/>
          <w:iCs/>
          <w:sz w:val="20"/>
          <w:szCs w:val="20"/>
        </w:rPr>
        <w:t>Living in the End Times</w:t>
      </w:r>
      <w:r w:rsidRPr="0098662C">
        <w:rPr>
          <w:sz w:val="20"/>
          <w:szCs w:val="20"/>
        </w:rPr>
        <w:t xml:space="preserve"> (London: Verso, 2018)</w:t>
      </w:r>
    </w:p>
    <w:p w14:paraId="37D353F1" w14:textId="77777777" w:rsidR="00532DAF" w:rsidRPr="00351E9B" w:rsidRDefault="00532DAF" w:rsidP="0027373D"/>
    <w:sectPr w:rsidR="00532DAF" w:rsidRPr="00351E9B" w:rsidSect="003F3B79">
      <w:pgSz w:w="12240" w:h="15840"/>
      <w:pgMar w:top="1440" w:right="1440" w:bottom="1440" w:left="1440" w:header="720" w:footer="720" w:gutter="0"/>
      <w:pgNumType w:fmt="upperRoman" w:start="1"/>
      <w:cols w:space="720"/>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E04E8E" w16cex:dateUtc="2020-08-13T22:43:00Z"/>
  <w16cex:commentExtensible w16cex:durableId="22E04EB4" w16cex:dateUtc="2020-08-13T22:43:00Z"/>
  <w16cex:commentExtensible w16cex:durableId="22E04F34" w16cex:dateUtc="2020-08-13T22:45:00Z"/>
  <w16cex:commentExtensible w16cex:durableId="22E0510E" w16cex:dateUtc="2020-08-13T22:53:00Z"/>
  <w16cex:commentExtensible w16cex:durableId="22E0517A" w16cex:dateUtc="2020-08-13T22:55:00Z"/>
  <w16cex:commentExtensible w16cex:durableId="22E051F2" w16cex:dateUtc="2020-08-13T22:57:00Z"/>
  <w16cex:commentExtensible w16cex:durableId="22E05246" w16cex:dateUtc="2020-08-13T22:59:00Z"/>
  <w16cex:commentExtensible w16cex:durableId="22E055C8" w16cex:dateUtc="2020-08-13T23:14:00Z"/>
  <w16cex:commentExtensible w16cex:durableId="22E055DA" w16cex:dateUtc="2020-08-13T23:14:00Z"/>
  <w16cex:commentExtensible w16cex:durableId="22E0562C" w16cex:dateUtc="2020-08-13T23:15:00Z"/>
  <w16cex:commentExtensible w16cex:durableId="22E05677" w16cex:dateUtc="2020-08-13T23:16:00Z"/>
  <w16cex:commentExtensible w16cex:durableId="22E05747" w16cex:dateUtc="2020-08-13T23:20:00Z"/>
  <w16cex:commentExtensible w16cex:durableId="22E05958" w16cex:dateUtc="2020-08-13T23:29:00Z"/>
  <w16cex:commentExtensible w16cex:durableId="22E0597A" w16cex:dateUtc="2020-08-13T23:29:00Z"/>
  <w16cex:commentExtensible w16cex:durableId="22E05B04" w16cex:dateUtc="2020-08-13T23:36:00Z"/>
  <w16cex:commentExtensible w16cex:durableId="22E05B3C" w16cex:dateUtc="2020-08-13T23:37: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993A24" w14:textId="77777777" w:rsidR="00A53382" w:rsidRDefault="00A53382" w:rsidP="0027373D">
      <w:r>
        <w:separator/>
      </w:r>
    </w:p>
    <w:p w14:paraId="245832CC" w14:textId="77777777" w:rsidR="00A53382" w:rsidRDefault="00A53382" w:rsidP="0027373D"/>
  </w:endnote>
  <w:endnote w:type="continuationSeparator" w:id="0">
    <w:p w14:paraId="5EAC4C56" w14:textId="77777777" w:rsidR="00A53382" w:rsidRDefault="00A53382" w:rsidP="0027373D">
      <w:r>
        <w:continuationSeparator/>
      </w:r>
    </w:p>
    <w:p w14:paraId="12F976AE" w14:textId="77777777" w:rsidR="00A53382" w:rsidRDefault="00A53382" w:rsidP="0027373D"/>
  </w:endnote>
  <w:endnote w:type="continuationNotice" w:id="1">
    <w:p w14:paraId="58B0622C" w14:textId="77777777" w:rsidR="00A53382" w:rsidRDefault="00A53382" w:rsidP="0027373D"/>
    <w:p w14:paraId="01B3211B" w14:textId="77777777" w:rsidR="00A53382" w:rsidRDefault="00A53382" w:rsidP="0027373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5143854"/>
      <w:docPartObj>
        <w:docPartGallery w:val="Page Numbers (Bottom of Page)"/>
        <w:docPartUnique/>
      </w:docPartObj>
    </w:sdtPr>
    <w:sdtEndPr>
      <w:rPr>
        <w:rStyle w:val="PageNumber"/>
      </w:rPr>
    </w:sdtEndPr>
    <w:sdtContent>
      <w:p w14:paraId="4EF31C21" w14:textId="709A59F6" w:rsidR="007524FD" w:rsidRDefault="007524FD" w:rsidP="000421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F903D8" w14:textId="012E7AD9" w:rsidR="00B06F43" w:rsidRDefault="00B06F43" w:rsidP="007524FD">
    <w:pPr>
      <w:pStyle w:val="Footer"/>
      <w:ind w:right="360"/>
      <w:rPr>
        <w:rStyle w:val="PageNumber"/>
      </w:rPr>
    </w:pPr>
  </w:p>
  <w:p w14:paraId="34914CA8" w14:textId="77777777" w:rsidR="00B06F43" w:rsidRDefault="00B06F43" w:rsidP="0027373D">
    <w:pPr>
      <w:pStyle w:val="Footer"/>
    </w:pPr>
  </w:p>
  <w:p w14:paraId="618CCCA9" w14:textId="77777777" w:rsidR="00B06F43" w:rsidRDefault="00B06F43" w:rsidP="0027373D"/>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3628004"/>
      <w:docPartObj>
        <w:docPartGallery w:val="Page Numbers (Bottom of Page)"/>
        <w:docPartUnique/>
      </w:docPartObj>
    </w:sdtPr>
    <w:sdtEndPr>
      <w:rPr>
        <w:rStyle w:val="PageNumber"/>
      </w:rPr>
    </w:sdtEndPr>
    <w:sdtContent>
      <w:p w14:paraId="11D3D1BA" w14:textId="3BD89656" w:rsidR="00042111" w:rsidRDefault="00042111" w:rsidP="00E444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ii</w:t>
        </w:r>
        <w:r>
          <w:rPr>
            <w:rStyle w:val="PageNumber"/>
          </w:rPr>
          <w:fldChar w:fldCharType="end"/>
        </w:r>
      </w:p>
    </w:sdtContent>
  </w:sdt>
  <w:p w14:paraId="1A94FDA0" w14:textId="0F8D822F" w:rsidR="00B06F43" w:rsidRDefault="00B06F43" w:rsidP="007524FD">
    <w:pPr>
      <w:pStyle w:val="Footer"/>
      <w:ind w:right="360"/>
      <w:rPr>
        <w:rStyle w:val="PageNumber"/>
      </w:rPr>
    </w:pPr>
  </w:p>
  <w:p w14:paraId="5B1BE1CE" w14:textId="77777777" w:rsidR="00B06F43" w:rsidRDefault="00B06F43" w:rsidP="00042111">
    <w:pPr>
      <w:pStyle w:val="Footer"/>
      <w:jc w:val="right"/>
    </w:pPr>
  </w:p>
  <w:p w14:paraId="2F388695" w14:textId="77777777" w:rsidR="00B06F43" w:rsidRDefault="00B06F43" w:rsidP="0027373D"/>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10602732"/>
      <w:docPartObj>
        <w:docPartGallery w:val="Page Numbers (Bottom of Page)"/>
        <w:docPartUnique/>
      </w:docPartObj>
    </w:sdtPr>
    <w:sdtEndPr>
      <w:rPr>
        <w:rStyle w:val="PageNumber"/>
      </w:rPr>
    </w:sdtEndPr>
    <w:sdtContent>
      <w:p w14:paraId="4A0E2A53" w14:textId="38A4E2B9" w:rsidR="00042111" w:rsidRDefault="00042111" w:rsidP="0004211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30E8BDE1" w14:textId="767F5DAC" w:rsidR="00042111" w:rsidRDefault="00042111" w:rsidP="00042111">
    <w:pPr>
      <w:pStyle w:val="Footer"/>
      <w:framePr w:wrap="none" w:vAnchor="text" w:hAnchor="margin" w:xAlign="right" w:y="1"/>
      <w:ind w:right="360"/>
      <w:jc w:val="right"/>
      <w:rPr>
        <w:rStyle w:val="PageNumber"/>
      </w:rPr>
    </w:pPr>
  </w:p>
  <w:p w14:paraId="5C9AF6ED" w14:textId="2C59A881" w:rsidR="00042111" w:rsidRDefault="00042111" w:rsidP="00042111">
    <w:pPr>
      <w:pStyle w:val="Footer"/>
      <w:framePr w:wrap="none" w:vAnchor="text" w:hAnchor="margin" w:xAlign="right" w:y="1"/>
      <w:ind w:right="360"/>
      <w:jc w:val="right"/>
      <w:rPr>
        <w:rStyle w:val="PageNumber"/>
      </w:rPr>
    </w:pPr>
  </w:p>
  <w:p w14:paraId="01FBEBF2" w14:textId="77777777" w:rsidR="007524FD" w:rsidRDefault="007524FD" w:rsidP="007524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989003" w14:textId="77777777" w:rsidR="00A53382" w:rsidRDefault="00A53382" w:rsidP="0027373D">
      <w:r>
        <w:separator/>
      </w:r>
    </w:p>
    <w:p w14:paraId="67D9985B" w14:textId="77777777" w:rsidR="00A53382" w:rsidRDefault="00A53382" w:rsidP="0027373D"/>
  </w:footnote>
  <w:footnote w:type="continuationSeparator" w:id="0">
    <w:p w14:paraId="3BC79AD3" w14:textId="77777777" w:rsidR="00A53382" w:rsidRDefault="00A53382" w:rsidP="0027373D">
      <w:r>
        <w:continuationSeparator/>
      </w:r>
    </w:p>
    <w:p w14:paraId="738B5BCD" w14:textId="77777777" w:rsidR="00A53382" w:rsidRDefault="00A53382" w:rsidP="0027373D"/>
  </w:footnote>
  <w:footnote w:type="continuationNotice" w:id="1">
    <w:p w14:paraId="78031D61" w14:textId="77777777" w:rsidR="00A53382" w:rsidRDefault="00A53382" w:rsidP="0027373D"/>
    <w:p w14:paraId="2A8B1810" w14:textId="77777777" w:rsidR="00A53382" w:rsidRDefault="00A53382" w:rsidP="0027373D"/>
  </w:footnote>
  <w:footnote w:id="2">
    <w:p w14:paraId="5966368E" w14:textId="77777777" w:rsidR="006646E7" w:rsidRPr="00E137E7" w:rsidRDefault="006646E7" w:rsidP="006646E7">
      <w:pPr>
        <w:spacing w:line="240" w:lineRule="auto"/>
        <w:rPr>
          <w:sz w:val="20"/>
          <w:szCs w:val="20"/>
          <w:lang w:val="en-US"/>
        </w:rPr>
      </w:pPr>
      <w:r w:rsidRPr="00E137E7">
        <w:rPr>
          <w:rStyle w:val="FootnoteReference"/>
          <w:sz w:val="20"/>
          <w:szCs w:val="20"/>
        </w:rPr>
        <w:footnoteRef/>
      </w:r>
      <w:r w:rsidRPr="00E137E7">
        <w:rPr>
          <w:sz w:val="20"/>
          <w:szCs w:val="20"/>
          <w:lang w:val="en-US"/>
        </w:rPr>
        <w:t xml:space="preserve"> Margaret Atwood, </w:t>
      </w:r>
      <w:r w:rsidRPr="00E137E7">
        <w:rPr>
          <w:i/>
          <w:iCs/>
          <w:sz w:val="20"/>
          <w:szCs w:val="20"/>
          <w:lang w:val="en-US"/>
        </w:rPr>
        <w:t>Moving Targets: Writing with Intent, 1982-2004</w:t>
      </w:r>
      <w:r w:rsidRPr="00E137E7">
        <w:rPr>
          <w:sz w:val="20"/>
          <w:szCs w:val="20"/>
          <w:lang w:val="en-US"/>
        </w:rPr>
        <w:t xml:space="preserve"> (Toronto: House of Anansi Press, 2004) </w:t>
      </w:r>
      <w:r w:rsidRPr="00E137E7">
        <w:rPr>
          <w:sz w:val="20"/>
          <w:szCs w:val="20"/>
        </w:rPr>
        <w:t>p 323</w:t>
      </w:r>
    </w:p>
  </w:footnote>
  <w:footnote w:id="3">
    <w:p w14:paraId="4147CF03" w14:textId="77777777" w:rsidR="006646E7" w:rsidRPr="00E137E7" w:rsidRDefault="006646E7" w:rsidP="006646E7">
      <w:pPr>
        <w:spacing w:line="240" w:lineRule="auto"/>
        <w:rPr>
          <w:sz w:val="20"/>
          <w:szCs w:val="20"/>
        </w:rPr>
      </w:pPr>
      <w:r w:rsidRPr="00E137E7">
        <w:rPr>
          <w:rStyle w:val="FootnoteReference"/>
          <w:sz w:val="20"/>
          <w:szCs w:val="20"/>
        </w:rPr>
        <w:footnoteRef/>
      </w:r>
      <w:r w:rsidRPr="00E137E7">
        <w:rPr>
          <w:sz w:val="20"/>
          <w:szCs w:val="20"/>
        </w:rPr>
        <w:t xml:space="preserve"> </w:t>
      </w:r>
      <w:r w:rsidRPr="00E137E7">
        <w:rPr>
          <w:rStyle w:val="BookTitle"/>
          <w:lang w:val="en-US"/>
        </w:rPr>
        <w:t xml:space="preserve">Paul J. Crutzen, ‘The “Anthropocene”’, in </w:t>
      </w:r>
      <w:r w:rsidRPr="00E137E7">
        <w:rPr>
          <w:rStyle w:val="BookTitle"/>
          <w:i/>
          <w:iCs/>
          <w:lang w:val="en-US"/>
        </w:rPr>
        <w:t>Earth System Science in the Anthropocene</w:t>
      </w:r>
      <w:r w:rsidRPr="00E137E7">
        <w:rPr>
          <w:rStyle w:val="BookTitle"/>
          <w:lang w:val="en-US"/>
        </w:rPr>
        <w:t>, ed. by Eckart Ehlers and Thomas Krafft (Berlin/Heidelberg: Springer-Verlag, 2006), pp. 13–18 &lt;</w:t>
      </w:r>
      <w:hyperlink r:id="rId1" w:history="1">
        <w:r w:rsidRPr="00E137E7">
          <w:rPr>
            <w:rStyle w:val="Hyperlink"/>
            <w:sz w:val="20"/>
            <w:szCs w:val="20"/>
            <w:lang w:val="en-US"/>
          </w:rPr>
          <w:t>https://doi.org/10.1007/3-540-26590-2_3</w:t>
        </w:r>
      </w:hyperlink>
      <w:r w:rsidRPr="00E137E7">
        <w:rPr>
          <w:rStyle w:val="BookTitle"/>
          <w:lang w:val="en-US"/>
        </w:rPr>
        <w:t>&gt;.</w:t>
      </w:r>
    </w:p>
  </w:footnote>
  <w:footnote w:id="4">
    <w:p w14:paraId="7ADD6F5E" w14:textId="77777777" w:rsidR="006646E7" w:rsidRPr="00E137E7" w:rsidRDefault="006646E7" w:rsidP="006646E7">
      <w:pPr>
        <w:pStyle w:val="FootnoteText"/>
      </w:pPr>
      <w:r w:rsidRPr="00E137E7">
        <w:rPr>
          <w:rStyle w:val="FootnoteReference"/>
        </w:rPr>
        <w:footnoteRef/>
      </w:r>
      <w:r w:rsidRPr="00E137E7">
        <w:t xml:space="preserve"> Dipesh Chakrabarty, ‘The Climate of History: Four Theses’, </w:t>
      </w:r>
      <w:r w:rsidRPr="00E137E7">
        <w:rPr>
          <w:i/>
          <w:iCs/>
        </w:rPr>
        <w:t>Critical Inquiry</w:t>
      </w:r>
      <w:r w:rsidRPr="00E137E7">
        <w:t>, 35.2 (2009), 197–222 &lt;</w:t>
      </w:r>
      <w:hyperlink r:id="rId2">
        <w:r w:rsidRPr="00E137E7">
          <w:rPr>
            <w:rStyle w:val="Hyperlink"/>
          </w:rPr>
          <w:t>https://doi.org/10.1086/596640</w:t>
        </w:r>
      </w:hyperlink>
      <w:r w:rsidRPr="00E137E7">
        <w:t>&gt;.</w:t>
      </w:r>
    </w:p>
  </w:footnote>
  <w:footnote w:id="5">
    <w:p w14:paraId="1C065BB7" w14:textId="77777777" w:rsidR="006646E7" w:rsidRPr="00584A34" w:rsidRDefault="006646E7" w:rsidP="006646E7">
      <w:pPr>
        <w:pStyle w:val="FootnoteText"/>
      </w:pPr>
      <w:r w:rsidRPr="00E137E7">
        <w:rPr>
          <w:rStyle w:val="FootnoteReference"/>
        </w:rPr>
        <w:footnoteRef/>
      </w:r>
      <w:r w:rsidRPr="00E137E7">
        <w:t xml:space="preserve"> Adam Trexler, </w:t>
      </w:r>
      <w:r w:rsidRPr="00E137E7">
        <w:rPr>
          <w:i/>
          <w:iCs/>
        </w:rPr>
        <w:t>Anthropocene Fictions: The Novel in a Time of Climate Change</w:t>
      </w:r>
      <w:r w:rsidRPr="00E137E7">
        <w:t xml:space="preserve"> (University of Virginia Press, 2015).</w:t>
      </w:r>
    </w:p>
  </w:footnote>
  <w:footnote w:id="6">
    <w:p w14:paraId="3AF94AFB" w14:textId="77777777" w:rsidR="006646E7" w:rsidRPr="00984153" w:rsidRDefault="006646E7" w:rsidP="006646E7">
      <w:pPr>
        <w:pStyle w:val="FootnoteText"/>
        <w:rPr>
          <w:lang w:val="en-US"/>
        </w:rPr>
      </w:pPr>
      <w:r w:rsidRPr="00984153">
        <w:rPr>
          <w:rStyle w:val="FootnoteReference"/>
        </w:rPr>
        <w:footnoteRef/>
      </w:r>
      <w:r w:rsidRPr="00984153">
        <w:t xml:space="preserve"> </w:t>
      </w:r>
      <w:r w:rsidRPr="00CF7F98">
        <w:rPr>
          <w:lang w:val="en-US"/>
        </w:rPr>
        <w:t xml:space="preserve">Margaret Atwood, </w:t>
      </w:r>
      <w:r w:rsidRPr="00CF7F98">
        <w:rPr>
          <w:i/>
          <w:iCs/>
          <w:lang w:val="en-US"/>
        </w:rPr>
        <w:t>Oryx And Crake</w:t>
      </w:r>
      <w:r w:rsidRPr="00CF7F98">
        <w:rPr>
          <w:lang w:val="en-US"/>
        </w:rPr>
        <w:t xml:space="preserve"> (London: Virago Press, 2013)</w:t>
      </w:r>
      <w:r>
        <w:rPr>
          <w:lang w:val="en-US"/>
        </w:rPr>
        <w:t xml:space="preserve">, </w:t>
      </w:r>
      <w:r w:rsidRPr="00984153">
        <w:rPr>
          <w:lang w:val="en-US"/>
        </w:rPr>
        <w:t>p</w:t>
      </w:r>
      <w:r>
        <w:rPr>
          <w:lang w:val="en-US"/>
        </w:rPr>
        <w:t xml:space="preserve">. </w:t>
      </w:r>
      <w:r w:rsidRPr="00984153">
        <w:rPr>
          <w:lang w:val="en-US"/>
        </w:rPr>
        <w:t>33.</w:t>
      </w:r>
    </w:p>
  </w:footnote>
  <w:footnote w:id="7">
    <w:p w14:paraId="08BE4E50" w14:textId="77777777" w:rsidR="006646E7" w:rsidRPr="00984153" w:rsidRDefault="006646E7" w:rsidP="006646E7">
      <w:pPr>
        <w:rPr>
          <w:sz w:val="20"/>
          <w:szCs w:val="20"/>
          <w:lang w:val="en-US"/>
        </w:rPr>
      </w:pPr>
      <w:r w:rsidRPr="00984153">
        <w:rPr>
          <w:rStyle w:val="FootnoteReference"/>
          <w:sz w:val="20"/>
          <w:szCs w:val="20"/>
        </w:rPr>
        <w:footnoteRef/>
      </w:r>
      <w:r w:rsidRPr="00984153">
        <w:rPr>
          <w:sz w:val="20"/>
          <w:szCs w:val="20"/>
        </w:rPr>
        <w:t xml:space="preserve"> </w:t>
      </w:r>
      <w:r w:rsidRPr="00984153">
        <w:rPr>
          <w:sz w:val="20"/>
          <w:szCs w:val="20"/>
          <w:lang w:val="en-US"/>
        </w:rPr>
        <w:t xml:space="preserve">Karen Stein, ‘Surviving the Waterless Flood: Feminism and Ecofeminism in Margaret Atwood’s </w:t>
      </w:r>
      <w:r w:rsidRPr="00984153">
        <w:rPr>
          <w:i/>
          <w:iCs/>
          <w:sz w:val="20"/>
          <w:szCs w:val="20"/>
          <w:lang w:val="en-US"/>
        </w:rPr>
        <w:t>The Handmaid’s Tale</w:t>
      </w:r>
      <w:r w:rsidRPr="00984153">
        <w:rPr>
          <w:sz w:val="20"/>
          <w:szCs w:val="20"/>
          <w:lang w:val="en-US"/>
        </w:rPr>
        <w:t xml:space="preserve">, </w:t>
      </w:r>
      <w:r w:rsidRPr="00984153">
        <w:rPr>
          <w:i/>
          <w:iCs/>
          <w:sz w:val="20"/>
          <w:szCs w:val="20"/>
          <w:lang w:val="en-US"/>
        </w:rPr>
        <w:t>Oryx and Crake</w:t>
      </w:r>
      <w:r w:rsidRPr="00984153">
        <w:rPr>
          <w:sz w:val="20"/>
          <w:szCs w:val="20"/>
          <w:lang w:val="en-US"/>
        </w:rPr>
        <w:t xml:space="preserve"> and </w:t>
      </w:r>
      <w:r w:rsidRPr="00984153">
        <w:rPr>
          <w:i/>
          <w:iCs/>
          <w:sz w:val="20"/>
          <w:szCs w:val="20"/>
          <w:lang w:val="en-US"/>
        </w:rPr>
        <w:t>The Year of the Flood’</w:t>
      </w:r>
      <w:r w:rsidRPr="00984153">
        <w:rPr>
          <w:sz w:val="20"/>
          <w:szCs w:val="20"/>
          <w:lang w:val="en-US"/>
        </w:rPr>
        <w:t xml:space="preserve">, </w:t>
      </w:r>
      <w:r w:rsidRPr="00984153">
        <w:rPr>
          <w:i/>
          <w:iCs/>
          <w:sz w:val="20"/>
          <w:szCs w:val="20"/>
          <w:lang w:val="en-US"/>
        </w:rPr>
        <w:t>Critical Insights: Margaret Atwood</w:t>
      </w:r>
      <w:r w:rsidRPr="00984153">
        <w:rPr>
          <w:sz w:val="20"/>
          <w:szCs w:val="20"/>
          <w:lang w:val="en-US"/>
        </w:rPr>
        <w:t>. Ed. J. Brooks Bouson. Ipswich: Salem, 2013, 313–33 p</w:t>
      </w:r>
      <w:r>
        <w:rPr>
          <w:sz w:val="20"/>
          <w:szCs w:val="20"/>
          <w:lang w:val="en-US"/>
        </w:rPr>
        <w:t xml:space="preserve">. </w:t>
      </w:r>
      <w:r w:rsidRPr="00984153">
        <w:rPr>
          <w:sz w:val="20"/>
          <w:szCs w:val="20"/>
          <w:lang w:val="en-US"/>
        </w:rPr>
        <w:t xml:space="preserve">313. </w:t>
      </w:r>
    </w:p>
  </w:footnote>
  <w:footnote w:id="8">
    <w:p w14:paraId="29EBF564" w14:textId="0AFB2A14" w:rsidR="00B06F43" w:rsidRPr="000331C7" w:rsidRDefault="00B06F43" w:rsidP="0027373D">
      <w:r w:rsidRPr="005906A7">
        <w:rPr>
          <w:rStyle w:val="FootnoteReference"/>
        </w:rPr>
        <w:footnoteRef/>
      </w:r>
      <w:r w:rsidRPr="005906A7">
        <w:t xml:space="preserve"> </w:t>
      </w:r>
      <w:r w:rsidR="00302607">
        <w:t xml:space="preserve">See </w:t>
      </w:r>
      <w:r w:rsidRPr="00114826">
        <w:rPr>
          <w:rStyle w:val="BookTitle"/>
          <w:lang w:val="en-US"/>
        </w:rPr>
        <w:t>Crutzen</w:t>
      </w:r>
      <w:r w:rsidR="00971993">
        <w:rPr>
          <w:rStyle w:val="BookTitle"/>
          <w:lang w:val="en-US"/>
        </w:rPr>
        <w:t>.</w:t>
      </w:r>
    </w:p>
  </w:footnote>
  <w:footnote w:id="9">
    <w:p w14:paraId="5C31CFE6" w14:textId="1F123C23" w:rsidR="00B06F43" w:rsidRPr="005906A7" w:rsidRDefault="00B06F43" w:rsidP="0027373D">
      <w:pPr>
        <w:pStyle w:val="FootnoteText"/>
      </w:pPr>
      <w:r w:rsidRPr="005906A7">
        <w:rPr>
          <w:rStyle w:val="FootnoteReference"/>
        </w:rPr>
        <w:footnoteRef/>
      </w:r>
      <w:r w:rsidRPr="005906A7">
        <w:t xml:space="preserve"> </w:t>
      </w:r>
      <w:r w:rsidR="0089265F">
        <w:t xml:space="preserve">See </w:t>
      </w:r>
      <w:r w:rsidRPr="005906A7">
        <w:t>Trexler.</w:t>
      </w:r>
    </w:p>
  </w:footnote>
  <w:footnote w:id="10">
    <w:p w14:paraId="7E018AD6" w14:textId="0F89641F" w:rsidR="00B06F43" w:rsidRPr="005906A7" w:rsidRDefault="00B06F43" w:rsidP="0027373D">
      <w:pPr>
        <w:pStyle w:val="FootnoteText"/>
      </w:pPr>
      <w:r w:rsidRPr="005906A7">
        <w:rPr>
          <w:rStyle w:val="FootnoteReference"/>
        </w:rPr>
        <w:footnoteRef/>
      </w:r>
      <w:r w:rsidRPr="005906A7">
        <w:t xml:space="preserve"> Trexler, </w:t>
      </w:r>
      <w:r w:rsidRPr="006C6915">
        <w:rPr>
          <w:i/>
          <w:iCs/>
        </w:rPr>
        <w:t>Anthropocene Fictions</w:t>
      </w:r>
      <w:r>
        <w:t>,</w:t>
      </w:r>
      <w:r w:rsidRPr="005906A7">
        <w:t xml:space="preserve"> </w:t>
      </w:r>
      <w:r>
        <w:t>l</w:t>
      </w:r>
      <w:r w:rsidRPr="005906A7">
        <w:t>oc</w:t>
      </w:r>
      <w:r>
        <w:t>.</w:t>
      </w:r>
      <w:r w:rsidRPr="005906A7">
        <w:t xml:space="preserve"> 207</w:t>
      </w:r>
      <w:r>
        <w:t>.</w:t>
      </w:r>
    </w:p>
  </w:footnote>
  <w:footnote w:id="11">
    <w:p w14:paraId="1C381D3E" w14:textId="7DB5A3CF" w:rsidR="00B06F43" w:rsidRPr="005906A7" w:rsidRDefault="00B06F43" w:rsidP="0027373D">
      <w:pPr>
        <w:pStyle w:val="FootnoteText"/>
      </w:pPr>
      <w:r w:rsidRPr="005906A7">
        <w:rPr>
          <w:rStyle w:val="FootnoteReference"/>
        </w:rPr>
        <w:footnoteRef/>
      </w:r>
      <w:r w:rsidRPr="005906A7">
        <w:t xml:space="preserve"> </w:t>
      </w:r>
      <w:r w:rsidRPr="00CF7F98">
        <w:rPr>
          <w:lang w:val="en-US"/>
        </w:rPr>
        <w:t xml:space="preserve">Atwood, </w:t>
      </w:r>
      <w:r w:rsidRPr="00CF7F98">
        <w:rPr>
          <w:i/>
          <w:iCs/>
          <w:lang w:val="en-US"/>
        </w:rPr>
        <w:t>Oryx And Crake</w:t>
      </w:r>
      <w:r w:rsidR="006C6915">
        <w:rPr>
          <w:lang w:val="en-US"/>
        </w:rPr>
        <w:t xml:space="preserve">, </w:t>
      </w:r>
      <w:r>
        <w:rPr>
          <w:lang w:val="en-US"/>
        </w:rPr>
        <w:t>p. 320.</w:t>
      </w:r>
    </w:p>
  </w:footnote>
  <w:footnote w:id="12">
    <w:p w14:paraId="2FC6A3C6" w14:textId="03B4F2B6" w:rsidR="00B06F43" w:rsidRPr="005906A7" w:rsidRDefault="00B06F43" w:rsidP="0027373D">
      <w:pPr>
        <w:pStyle w:val="FootnoteText"/>
      </w:pPr>
      <w:r w:rsidRPr="005906A7">
        <w:rPr>
          <w:rStyle w:val="FootnoteReference"/>
        </w:rPr>
        <w:footnoteRef/>
      </w:r>
      <w:r w:rsidRPr="005906A7">
        <w:t xml:space="preserve"> </w:t>
      </w:r>
      <w:r w:rsidR="0089265F">
        <w:t xml:space="preserve">See </w:t>
      </w:r>
      <w:r w:rsidRPr="005906A7">
        <w:t>Chakrabarty</w:t>
      </w:r>
      <w:r w:rsidR="00EC3AC8">
        <w:t>.</w:t>
      </w:r>
    </w:p>
  </w:footnote>
  <w:footnote w:id="13">
    <w:p w14:paraId="7285AB02" w14:textId="55CBBE0A" w:rsidR="00B06F43" w:rsidRPr="005906A7" w:rsidRDefault="00B06F43" w:rsidP="0027373D">
      <w:pPr>
        <w:pStyle w:val="FootnoteText"/>
      </w:pPr>
      <w:r w:rsidRPr="005906A7">
        <w:rPr>
          <w:rStyle w:val="FootnoteReference"/>
        </w:rPr>
        <w:footnoteRef/>
      </w:r>
      <w:r w:rsidRPr="005906A7">
        <w:t xml:space="preserve"> Naomi Oreskes, “The Scientific Consensus on C</w:t>
      </w:r>
      <w:r>
        <w:t>l</w:t>
      </w:r>
      <w:r w:rsidRPr="005906A7">
        <w:t xml:space="preserve">imate Change: How Do We Know We’re Not Wrong?” in Joseph F. C DiMento and Pamela Doughman, </w:t>
      </w:r>
      <w:r w:rsidRPr="005906A7">
        <w:rPr>
          <w:i/>
          <w:iCs/>
        </w:rPr>
        <w:t>Climate Change: What It Means for Us, Our Children, and Our Grandchildren</w:t>
      </w:r>
      <w:r w:rsidRPr="005906A7">
        <w:t xml:space="preserve">, 2014. </w:t>
      </w:r>
      <w:r>
        <w:t>p</w:t>
      </w:r>
      <w:r w:rsidRPr="005906A7">
        <w:t>.</w:t>
      </w:r>
      <w:r>
        <w:t xml:space="preserve"> </w:t>
      </w:r>
      <w:r w:rsidRPr="005906A7">
        <w:t>93</w:t>
      </w:r>
    </w:p>
  </w:footnote>
  <w:footnote w:id="14">
    <w:p w14:paraId="0CFE61E4" w14:textId="57A95D52" w:rsidR="00B06F43" w:rsidRPr="005906A7" w:rsidRDefault="00B06F43" w:rsidP="0027373D">
      <w:pPr>
        <w:pStyle w:val="FootnoteText"/>
      </w:pPr>
      <w:r w:rsidRPr="005906A7">
        <w:rPr>
          <w:rStyle w:val="FootnoteReference"/>
        </w:rPr>
        <w:footnoteRef/>
      </w:r>
      <w:r w:rsidRPr="005906A7">
        <w:t xml:space="preserve"> </w:t>
      </w:r>
      <w:r w:rsidRPr="00CF7F98">
        <w:rPr>
          <w:lang w:val="en-US"/>
        </w:rPr>
        <w:t xml:space="preserve">Atwood, </w:t>
      </w:r>
      <w:r w:rsidRPr="00CF7F98">
        <w:rPr>
          <w:i/>
          <w:iCs/>
          <w:lang w:val="en-US"/>
        </w:rPr>
        <w:t>Oryx And Crake</w:t>
      </w:r>
      <w:r>
        <w:rPr>
          <w:lang w:val="en-US"/>
        </w:rPr>
        <w:t>, p. 295.</w:t>
      </w:r>
    </w:p>
  </w:footnote>
  <w:footnote w:id="15">
    <w:p w14:paraId="15FE2C8A" w14:textId="59F8AC76" w:rsidR="00B06F43" w:rsidRPr="005906A7" w:rsidRDefault="00B06F43" w:rsidP="0027373D">
      <w:pPr>
        <w:pStyle w:val="FootnoteText"/>
      </w:pPr>
      <w:r w:rsidRPr="005906A7">
        <w:rPr>
          <w:rStyle w:val="FootnoteReference"/>
        </w:rPr>
        <w:footnoteRef/>
      </w:r>
      <w:r w:rsidRPr="005906A7">
        <w:t xml:space="preserve"> Chakrabarty, ‘The Climate of History: Four Theses’.</w:t>
      </w:r>
    </w:p>
  </w:footnote>
  <w:footnote w:id="16">
    <w:p w14:paraId="52FF7343" w14:textId="3C1E0474" w:rsidR="00B06F43" w:rsidRPr="005906A7" w:rsidRDefault="00B06F43" w:rsidP="0027373D">
      <w:pPr>
        <w:pStyle w:val="FootnoteText"/>
      </w:pPr>
      <w:r w:rsidRPr="005906A7">
        <w:rPr>
          <w:rStyle w:val="FootnoteReference"/>
        </w:rPr>
        <w:footnoteRef/>
      </w:r>
      <w:r w:rsidRPr="005906A7">
        <w:t xml:space="preserve"> </w:t>
      </w:r>
      <w:r>
        <w:rPr>
          <w:i/>
          <w:iCs/>
        </w:rPr>
        <w:t>Ibid.,</w:t>
      </w:r>
      <w:r w:rsidRPr="00E837BF">
        <w:rPr>
          <w:i/>
          <w:iCs/>
        </w:rPr>
        <w:t xml:space="preserve"> </w:t>
      </w:r>
      <w:r w:rsidRPr="005906A7">
        <w:t>p</w:t>
      </w:r>
      <w:r>
        <w:t xml:space="preserve">. </w:t>
      </w:r>
      <w:r w:rsidRPr="005906A7">
        <w:t>18.</w:t>
      </w:r>
    </w:p>
  </w:footnote>
  <w:footnote w:id="17">
    <w:p w14:paraId="33F7FAC8" w14:textId="6F3AA689" w:rsidR="00B06F43" w:rsidRPr="007C211A" w:rsidRDefault="00B06F43" w:rsidP="0027373D">
      <w:pPr>
        <w:pStyle w:val="FootnoteText"/>
      </w:pPr>
      <w:r w:rsidRPr="007C211A">
        <w:rPr>
          <w:rStyle w:val="FootnoteReference"/>
        </w:rPr>
        <w:footnoteRef/>
      </w:r>
      <w:r w:rsidRPr="007C211A">
        <w:t xml:space="preserve"> Thomas S. Engeman, ‘Hythloday’s Utopia and More’s England: An Interpretation of Thomas More’s Utopia’, </w:t>
      </w:r>
      <w:r w:rsidRPr="007C211A">
        <w:rPr>
          <w:i/>
          <w:iCs/>
        </w:rPr>
        <w:t>The Journal of Politics</w:t>
      </w:r>
      <w:r w:rsidRPr="007C211A">
        <w:t>, 44.1 (1982), 131–49 &lt;</w:t>
      </w:r>
      <w:hyperlink r:id="rId3">
        <w:r w:rsidRPr="007C211A">
          <w:rPr>
            <w:rStyle w:val="Hyperlink"/>
            <w:color w:val="0000FF"/>
          </w:rPr>
          <w:t>https://doi.org/10.2307/2130287</w:t>
        </w:r>
      </w:hyperlink>
      <w:r w:rsidRPr="007C211A">
        <w:t>&gt;.</w:t>
      </w:r>
    </w:p>
  </w:footnote>
  <w:footnote w:id="18">
    <w:p w14:paraId="4B5CA5C5" w14:textId="77777777" w:rsidR="00B06F43" w:rsidRPr="007C211A" w:rsidRDefault="00B06F43" w:rsidP="0027373D">
      <w:pPr>
        <w:pStyle w:val="FootnoteText"/>
      </w:pPr>
      <w:r w:rsidRPr="007C211A">
        <w:rPr>
          <w:rStyle w:val="FootnoteReference"/>
        </w:rPr>
        <w:footnoteRef/>
      </w:r>
      <w:r w:rsidRPr="007C211A">
        <w:t xml:space="preserve"> Ruth Levitas, </w:t>
      </w:r>
      <w:r w:rsidRPr="007C211A">
        <w:rPr>
          <w:i/>
          <w:iCs/>
        </w:rPr>
        <w:t>The Concept of Utopia</w:t>
      </w:r>
      <w:r w:rsidRPr="007C211A">
        <w:t xml:space="preserve"> (Bern: Peter Lang AG, Internationaler Verlag der Wissenschaften, 2011)</w:t>
      </w:r>
    </w:p>
  </w:footnote>
  <w:footnote w:id="19">
    <w:p w14:paraId="3C504B9C" w14:textId="30F58D9E" w:rsidR="00B06F43" w:rsidRPr="007C211A" w:rsidRDefault="00B06F43" w:rsidP="0027373D">
      <w:pPr>
        <w:rPr>
          <w:sz w:val="20"/>
          <w:szCs w:val="20"/>
        </w:rPr>
      </w:pPr>
      <w:r w:rsidRPr="007C211A">
        <w:rPr>
          <w:rStyle w:val="FootnoteReference"/>
          <w:sz w:val="20"/>
          <w:szCs w:val="20"/>
        </w:rPr>
        <w:footnoteRef/>
      </w:r>
      <w:r w:rsidRPr="007C211A">
        <w:rPr>
          <w:sz w:val="20"/>
          <w:szCs w:val="20"/>
        </w:rPr>
        <w:t xml:space="preserve"> Tom Moylan, </w:t>
      </w:r>
      <w:r w:rsidRPr="00971993">
        <w:rPr>
          <w:i/>
          <w:iCs/>
          <w:sz w:val="20"/>
          <w:szCs w:val="20"/>
        </w:rPr>
        <w:t>Scraps of the Untainted Sky: Science Fiction, Utopia, Dystopia</w:t>
      </w:r>
      <w:r w:rsidRPr="007C211A">
        <w:rPr>
          <w:sz w:val="20"/>
          <w:szCs w:val="20"/>
        </w:rPr>
        <w:t>, 2018.</w:t>
      </w:r>
    </w:p>
  </w:footnote>
  <w:footnote w:id="20">
    <w:p w14:paraId="6F717FBA" w14:textId="67DA131B" w:rsidR="00B06F43" w:rsidRPr="007C211A" w:rsidRDefault="00B06F43" w:rsidP="0027373D">
      <w:pPr>
        <w:pStyle w:val="FootnoteText"/>
      </w:pPr>
      <w:r w:rsidRPr="007C211A">
        <w:rPr>
          <w:rStyle w:val="FootnoteReference"/>
        </w:rPr>
        <w:footnoteRef/>
      </w:r>
      <w:r w:rsidRPr="007C211A">
        <w:t xml:space="preserve"> M. Keith. Booker, </w:t>
      </w:r>
      <w:r w:rsidRPr="007C211A">
        <w:rPr>
          <w:i/>
          <w:iCs/>
        </w:rPr>
        <w:t>The Dystopian Impulse in Modern Literature: Fiction as Social Criticism</w:t>
      </w:r>
      <w:r w:rsidRPr="007C211A">
        <w:t>, Contributions to the Study of Science Fiction and Fantasy, No. 58 (Westport, Conn. London: Greenwood Press, 1994).</w:t>
      </w:r>
    </w:p>
  </w:footnote>
  <w:footnote w:id="21">
    <w:p w14:paraId="703DFD86" w14:textId="77777777" w:rsidR="00B06F43" w:rsidRPr="007C211A" w:rsidRDefault="00B06F43" w:rsidP="0027373D">
      <w:pPr>
        <w:rPr>
          <w:sz w:val="20"/>
          <w:szCs w:val="20"/>
        </w:rPr>
      </w:pPr>
      <w:r w:rsidRPr="007C211A">
        <w:rPr>
          <w:rStyle w:val="FootnoteReference"/>
          <w:sz w:val="20"/>
          <w:szCs w:val="20"/>
        </w:rPr>
        <w:footnoteRef/>
      </w:r>
      <w:r w:rsidRPr="007C211A">
        <w:rPr>
          <w:sz w:val="20"/>
          <w:szCs w:val="20"/>
        </w:rPr>
        <w:t xml:space="preserve"> Alexandra Peat, ‘Traveling to Modernism’s Other Worlds: Huxley’s Brave New World and Orwell’s Nineteen Eighty-Four’, </w:t>
      </w:r>
      <w:r w:rsidRPr="007C211A">
        <w:rPr>
          <w:i/>
          <w:iCs/>
          <w:sz w:val="20"/>
          <w:szCs w:val="20"/>
        </w:rPr>
        <w:t>Journeys; New York</w:t>
      </w:r>
      <w:r w:rsidRPr="007C211A">
        <w:rPr>
          <w:sz w:val="20"/>
          <w:szCs w:val="20"/>
        </w:rPr>
        <w:t>, 16.2 (2015), 38–59 &lt;</w:t>
      </w:r>
      <w:hyperlink r:id="rId4">
        <w:r w:rsidRPr="007C211A">
          <w:rPr>
            <w:rStyle w:val="Hyperlink"/>
            <w:color w:val="0563C1"/>
            <w:sz w:val="20"/>
            <w:szCs w:val="20"/>
          </w:rPr>
          <w:t>http://dx.doi.org/10.3167/jys.2015.160203</w:t>
        </w:r>
      </w:hyperlink>
      <w:r w:rsidRPr="007C211A">
        <w:rPr>
          <w:sz w:val="20"/>
          <w:szCs w:val="20"/>
        </w:rPr>
        <w:t>&gt;.</w:t>
      </w:r>
    </w:p>
  </w:footnote>
  <w:footnote w:id="22">
    <w:p w14:paraId="153400BB" w14:textId="77777777" w:rsidR="00B06F43" w:rsidRPr="005906A7" w:rsidRDefault="00B06F43" w:rsidP="0027373D">
      <w:pPr>
        <w:pStyle w:val="FootnoteText"/>
      </w:pPr>
      <w:r w:rsidRPr="005906A7">
        <w:rPr>
          <w:rStyle w:val="FootnoteReference"/>
        </w:rPr>
        <w:footnoteRef/>
      </w:r>
      <w:r w:rsidRPr="005906A7">
        <w:t xml:space="preserve"> C. S Ferns, </w:t>
      </w:r>
      <w:r w:rsidRPr="005906A7">
        <w:rPr>
          <w:i/>
          <w:iCs/>
        </w:rPr>
        <w:t>Narrating Utopia: Ideology, Gender, Form in Utopian Literature</w:t>
      </w:r>
      <w:r w:rsidRPr="005906A7">
        <w:t>, 2014 &lt;</w:t>
      </w:r>
      <w:hyperlink r:id="rId5">
        <w:r w:rsidRPr="005906A7">
          <w:rPr>
            <w:rStyle w:val="Hyperlink"/>
            <w:color w:val="0000FF"/>
          </w:rPr>
          <w:t>http://dx.doi.org/10.5949/liverpool/9780853235941.001.0001</w:t>
        </w:r>
      </w:hyperlink>
      <w:r w:rsidRPr="005906A7">
        <w:t>&gt; [accessed 26 April 2019]</w:t>
      </w:r>
    </w:p>
  </w:footnote>
  <w:footnote w:id="23">
    <w:p w14:paraId="2DF14C77" w14:textId="27417A1A" w:rsidR="00B06F43" w:rsidRPr="005906A7" w:rsidRDefault="00B06F43" w:rsidP="0027373D">
      <w:r w:rsidRPr="005906A7">
        <w:rPr>
          <w:rStyle w:val="FootnoteReference"/>
        </w:rPr>
        <w:footnoteRef/>
      </w:r>
      <w:r w:rsidRPr="005906A7">
        <w:t xml:space="preserve"> </w:t>
      </w:r>
      <w:r w:rsidRPr="005906A7">
        <w:rPr>
          <w:rStyle w:val="BookTitle"/>
          <w:lang w:val="en-GB"/>
        </w:rPr>
        <w:t>Margaret Atwood, ‘Orwell and Me’, The Guardian, 16 June 2003, section Books &lt;</w:t>
      </w:r>
      <w:hyperlink r:id="rId6" w:history="1">
        <w:r w:rsidRPr="005906A7">
          <w:rPr>
            <w:rStyle w:val="BookTitle"/>
            <w:lang w:val="en-GB"/>
          </w:rPr>
          <w:t>https://www.theguardian.com/books/2003/jun/16/georgeorwell.artsfeatures</w:t>
        </w:r>
      </w:hyperlink>
      <w:r w:rsidRPr="005906A7">
        <w:rPr>
          <w:rStyle w:val="BookTitle"/>
          <w:lang w:val="en-GB"/>
        </w:rPr>
        <w:t>&gt; [accessed 12 June 2020].</w:t>
      </w:r>
    </w:p>
  </w:footnote>
  <w:footnote w:id="24">
    <w:p w14:paraId="797474FD" w14:textId="6C2E7602" w:rsidR="00B06F43" w:rsidRPr="005906A7" w:rsidRDefault="00B06F43" w:rsidP="0027373D">
      <w:r w:rsidRPr="005906A7">
        <w:rPr>
          <w:rStyle w:val="FootnoteReference"/>
        </w:rPr>
        <w:footnoteRef/>
      </w:r>
      <w:r w:rsidRPr="005906A7">
        <w:t xml:space="preserve"> </w:t>
      </w:r>
      <w:r w:rsidRPr="005906A7">
        <w:rPr>
          <w:rStyle w:val="BookTitle"/>
          <w:lang w:val="en-GB"/>
        </w:rPr>
        <w:t xml:space="preserve">Calina Ciobanu, ‘Rewriting the Human at the End of the Anthropocene in Margaret Atwood’s </w:t>
      </w:r>
      <w:r w:rsidRPr="004F2886">
        <w:rPr>
          <w:rStyle w:val="BookTitle"/>
          <w:i/>
          <w:iCs/>
          <w:lang w:val="en-GB"/>
        </w:rPr>
        <w:t>MaddAddam</w:t>
      </w:r>
      <w:r w:rsidRPr="005906A7">
        <w:rPr>
          <w:rStyle w:val="BookTitle"/>
          <w:lang w:val="en-GB"/>
        </w:rPr>
        <w:t xml:space="preserve"> Trilogy’, The Minnesota Review, 2014.83 (2014), 153–62 &lt;</w:t>
      </w:r>
      <w:hyperlink r:id="rId7" w:history="1">
        <w:r w:rsidRPr="005906A7">
          <w:rPr>
            <w:rStyle w:val="BookTitle"/>
            <w:lang w:val="en-GB"/>
          </w:rPr>
          <w:t>https://doi.org/10.1215/00265667-2782351</w:t>
        </w:r>
      </w:hyperlink>
      <w:r w:rsidRPr="005906A7">
        <w:rPr>
          <w:rStyle w:val="BookTitle"/>
          <w:lang w:val="en-GB"/>
        </w:rPr>
        <w:t>&gt; p.</w:t>
      </w:r>
      <w:r>
        <w:rPr>
          <w:rStyle w:val="BookTitle"/>
          <w:lang w:val="en-GB"/>
        </w:rPr>
        <w:t xml:space="preserve"> </w:t>
      </w:r>
      <w:r w:rsidRPr="005906A7">
        <w:rPr>
          <w:rStyle w:val="BookTitle"/>
          <w:lang w:val="en-GB"/>
        </w:rPr>
        <w:t>156.</w:t>
      </w:r>
    </w:p>
  </w:footnote>
  <w:footnote w:id="25">
    <w:p w14:paraId="070CD3F0" w14:textId="0EF1D9BB" w:rsidR="00B06F43" w:rsidRPr="005906A7" w:rsidRDefault="00B06F43" w:rsidP="0027373D">
      <w:pPr>
        <w:pStyle w:val="FootnoteText"/>
      </w:pPr>
      <w:r w:rsidRPr="005906A7">
        <w:rPr>
          <w:rStyle w:val="FootnoteReference"/>
        </w:rPr>
        <w:footnoteRef/>
      </w:r>
      <w:r w:rsidRPr="005906A7">
        <w:t xml:space="preserve"> Lyman Tower Sargent, </w:t>
      </w:r>
      <w:r w:rsidRPr="005906A7">
        <w:rPr>
          <w:i/>
          <w:iCs/>
        </w:rPr>
        <w:t>Utopianism: A Very Short Introduction</w:t>
      </w:r>
      <w:r w:rsidRPr="005906A7">
        <w:t>, Very Short Introductions, 246 (Oxford: Oxford University Press, 2010) p</w:t>
      </w:r>
      <w:r>
        <w:t xml:space="preserve">. </w:t>
      </w:r>
      <w:r w:rsidRPr="005906A7">
        <w:t>5.</w:t>
      </w:r>
    </w:p>
  </w:footnote>
  <w:footnote w:id="26">
    <w:p w14:paraId="485679BE" w14:textId="374DBE1F" w:rsidR="00B06F43" w:rsidRPr="005906A7" w:rsidRDefault="00B06F43" w:rsidP="0027373D">
      <w:r w:rsidRPr="005906A7">
        <w:rPr>
          <w:rStyle w:val="FootnoteReference"/>
        </w:rPr>
        <w:footnoteRef/>
      </w:r>
      <w:r w:rsidRPr="005906A7">
        <w:t xml:space="preserve"> </w:t>
      </w:r>
      <w:r w:rsidRPr="005906A7">
        <w:rPr>
          <w:rStyle w:val="BookTitle"/>
          <w:lang w:val="en-GB"/>
        </w:rPr>
        <w:t xml:space="preserve">Eduardo Marks de Marques, ‘I Sing the Body Dystopic: Utopia and Posthuman Corporeality in P.D. James’s </w:t>
      </w:r>
      <w:r>
        <w:rPr>
          <w:rStyle w:val="BookTitle"/>
          <w:i/>
          <w:iCs/>
          <w:lang w:val="en-GB"/>
        </w:rPr>
        <w:t>T</w:t>
      </w:r>
      <w:r w:rsidRPr="005A5D5E">
        <w:rPr>
          <w:rStyle w:val="BookTitle"/>
          <w:i/>
          <w:iCs/>
          <w:lang w:val="en-GB"/>
        </w:rPr>
        <w:t>he Children of Men</w:t>
      </w:r>
      <w:r w:rsidRPr="005906A7">
        <w:rPr>
          <w:rStyle w:val="BookTitle"/>
          <w:lang w:val="en-GB"/>
        </w:rPr>
        <w:t>’, Ilha Do Desterro; Florianópolis, 65, 2013, 29-48,</w:t>
      </w:r>
      <w:r>
        <w:rPr>
          <w:rStyle w:val="BookTitle"/>
          <w:lang w:val="en-GB"/>
        </w:rPr>
        <w:t xml:space="preserve"> </w:t>
      </w:r>
      <w:r w:rsidRPr="005906A7">
        <w:rPr>
          <w:rStyle w:val="BookTitle"/>
          <w:lang w:val="en-GB"/>
        </w:rPr>
        <w:t>230-231</w:t>
      </w:r>
      <w:r w:rsidRPr="005906A7">
        <w:t>.</w:t>
      </w:r>
    </w:p>
  </w:footnote>
  <w:footnote w:id="27">
    <w:p w14:paraId="63225036" w14:textId="525F4F1E" w:rsidR="00B06F43" w:rsidRPr="007C211A" w:rsidRDefault="00B06F43" w:rsidP="0027373D">
      <w:pPr>
        <w:rPr>
          <w:sz w:val="20"/>
          <w:szCs w:val="20"/>
        </w:rPr>
      </w:pPr>
      <w:r w:rsidRPr="007C211A">
        <w:rPr>
          <w:rStyle w:val="FootnoteReference"/>
          <w:sz w:val="20"/>
          <w:szCs w:val="20"/>
        </w:rPr>
        <w:footnoteRef/>
      </w:r>
      <w:r w:rsidRPr="007C211A">
        <w:rPr>
          <w:sz w:val="20"/>
          <w:szCs w:val="20"/>
        </w:rPr>
        <w:t xml:space="preserve"> </w:t>
      </w:r>
      <w:r w:rsidRPr="007C211A">
        <w:rPr>
          <w:rStyle w:val="BookTitle"/>
          <w:lang w:val="en-GB"/>
        </w:rPr>
        <w:t xml:space="preserve"> </w:t>
      </w:r>
      <w:r w:rsidRPr="007C211A">
        <w:rPr>
          <w:sz w:val="20"/>
          <w:szCs w:val="20"/>
        </w:rPr>
        <w:t xml:space="preserve">Carmen-Veronica Borbély and Petronia Popa Petrar, </w:t>
      </w:r>
      <w:r w:rsidRPr="007C211A">
        <w:rPr>
          <w:i/>
          <w:iCs/>
          <w:sz w:val="20"/>
          <w:szCs w:val="20"/>
        </w:rPr>
        <w:t>Our Heteromorphic Future: Encoding the Posthuman in Contemporary British Fiction</w:t>
      </w:r>
      <w:r w:rsidRPr="007C211A">
        <w:rPr>
          <w:sz w:val="20"/>
          <w:szCs w:val="20"/>
        </w:rPr>
        <w:t xml:space="preserve"> (Cluj-Napoca: Presa Universitară Clujeană, 2014).</w:t>
      </w:r>
      <w:r w:rsidRPr="007C211A">
        <w:rPr>
          <w:rStyle w:val="BookTitle"/>
          <w:lang w:val="en-GB"/>
        </w:rPr>
        <w:t xml:space="preserve"> p. 26-27.</w:t>
      </w:r>
    </w:p>
  </w:footnote>
  <w:footnote w:id="28">
    <w:p w14:paraId="24967616" w14:textId="7769896C" w:rsidR="00B06F43" w:rsidRPr="007C211A" w:rsidRDefault="00B06F43" w:rsidP="0027373D">
      <w:pPr>
        <w:rPr>
          <w:sz w:val="20"/>
          <w:szCs w:val="20"/>
        </w:rPr>
      </w:pPr>
      <w:r w:rsidRPr="007C211A">
        <w:rPr>
          <w:rStyle w:val="FootnoteReference"/>
          <w:sz w:val="20"/>
          <w:szCs w:val="20"/>
        </w:rPr>
        <w:footnoteRef/>
      </w:r>
      <w:r w:rsidRPr="007C211A">
        <w:rPr>
          <w:sz w:val="20"/>
          <w:szCs w:val="20"/>
        </w:rPr>
        <w:t xml:space="preserve">Margaret Atwood, </w:t>
      </w:r>
      <w:r w:rsidRPr="007C211A">
        <w:rPr>
          <w:i/>
          <w:iCs/>
          <w:sz w:val="20"/>
          <w:szCs w:val="20"/>
        </w:rPr>
        <w:t>In Other Worlds: SF and the Human Imagination</w:t>
      </w:r>
      <w:r w:rsidRPr="007C211A">
        <w:rPr>
          <w:sz w:val="20"/>
          <w:szCs w:val="20"/>
        </w:rPr>
        <w:t xml:space="preserve"> (New York: Anchor Books, 2013), p. 122.</w:t>
      </w:r>
    </w:p>
  </w:footnote>
  <w:footnote w:id="29">
    <w:p w14:paraId="21CCB6EE" w14:textId="467B72EF" w:rsidR="00B06F43" w:rsidRPr="005906A7" w:rsidRDefault="00B06F43" w:rsidP="0027373D">
      <w:pPr>
        <w:rPr>
          <w:rStyle w:val="BookTitle"/>
          <w:lang w:val="en-GB"/>
        </w:rPr>
      </w:pPr>
      <w:r w:rsidRPr="005906A7">
        <w:rPr>
          <w:rStyle w:val="FootnoteReference"/>
        </w:rPr>
        <w:footnoteRef/>
      </w:r>
      <w:r w:rsidRPr="005906A7">
        <w:t xml:space="preserve"> </w:t>
      </w:r>
      <w:r w:rsidRPr="005906A7">
        <w:rPr>
          <w:rStyle w:val="BookTitle"/>
          <w:lang w:val="en-GB"/>
        </w:rPr>
        <w:t xml:space="preserve">Amitav Ghosh, </w:t>
      </w:r>
      <w:r w:rsidRPr="005906A7">
        <w:rPr>
          <w:rStyle w:val="BookTitle"/>
          <w:i/>
          <w:iCs/>
          <w:lang w:val="en-GB"/>
        </w:rPr>
        <w:t>The Great Derangement: Climate Change and the Unthinkable</w:t>
      </w:r>
      <w:r w:rsidRPr="005906A7">
        <w:rPr>
          <w:rStyle w:val="BookTitle"/>
          <w:lang w:val="en-GB"/>
        </w:rPr>
        <w:t>, The Randy L. and Melvin R. Berlin Family Lectures, Paperback edition (Chicago London: The University of Chicago Press, 2017).</w:t>
      </w:r>
    </w:p>
  </w:footnote>
  <w:footnote w:id="30">
    <w:p w14:paraId="30F90A50" w14:textId="2CCF41B3" w:rsidR="00B06F43" w:rsidRPr="005906A7" w:rsidRDefault="00B06F43" w:rsidP="0027373D">
      <w:pPr>
        <w:pStyle w:val="FootnoteText"/>
      </w:pPr>
      <w:r w:rsidRPr="005906A7">
        <w:rPr>
          <w:rStyle w:val="FootnoteReference"/>
        </w:rPr>
        <w:footnoteRef/>
      </w:r>
      <w:r w:rsidRPr="005906A7">
        <w:t xml:space="preserve"> Darko Suvin, Metamorphoses of Science Fiction: On the Poetics and History of a Literary Genre (New Haven: Yale Univ. Press, 1979) p</w:t>
      </w:r>
      <w:r>
        <w:t xml:space="preserve">. </w:t>
      </w:r>
      <w:r w:rsidRPr="005906A7">
        <w:t>7.</w:t>
      </w:r>
    </w:p>
  </w:footnote>
  <w:footnote w:id="31">
    <w:p w14:paraId="7F6F0DDF" w14:textId="0A21DA7E" w:rsidR="00B06F43" w:rsidRPr="005906A7" w:rsidRDefault="00B06F43" w:rsidP="0027373D">
      <w:pPr>
        <w:pStyle w:val="FootnoteText"/>
        <w:rPr>
          <w:rStyle w:val="BookTitle"/>
          <w:lang w:val="en-GB"/>
        </w:rPr>
      </w:pPr>
      <w:r w:rsidRPr="005906A7">
        <w:rPr>
          <w:rStyle w:val="FootnoteReference"/>
        </w:rPr>
        <w:footnoteRef/>
      </w:r>
      <w:r w:rsidRPr="005906A7">
        <w:t xml:space="preserve"> </w:t>
      </w:r>
      <w:r w:rsidRPr="005906A7">
        <w:rPr>
          <w:rStyle w:val="BookTitle"/>
          <w:lang w:val="en-GB"/>
        </w:rPr>
        <w:t xml:space="preserve">Fredric Jameson, </w:t>
      </w:r>
      <w:r w:rsidRPr="005906A7">
        <w:rPr>
          <w:rStyle w:val="BookTitle"/>
          <w:i/>
          <w:iCs/>
          <w:lang w:val="en-GB"/>
        </w:rPr>
        <w:t>Archaeologies of the Future</w:t>
      </w:r>
      <w:r>
        <w:rPr>
          <w:rStyle w:val="BookTitle"/>
          <w:i/>
          <w:iCs/>
          <w:lang w:val="en-GB"/>
        </w:rPr>
        <w:t>:</w:t>
      </w:r>
      <w:r w:rsidRPr="005906A7">
        <w:rPr>
          <w:rStyle w:val="BookTitle"/>
          <w:i/>
          <w:iCs/>
          <w:lang w:val="en-GB"/>
        </w:rPr>
        <w:t xml:space="preserve"> </w:t>
      </w:r>
      <w:r>
        <w:rPr>
          <w:rStyle w:val="BookTitle"/>
          <w:i/>
          <w:iCs/>
          <w:lang w:val="en-GB"/>
        </w:rPr>
        <w:t>T</w:t>
      </w:r>
      <w:r w:rsidRPr="005906A7">
        <w:rPr>
          <w:rStyle w:val="BookTitle"/>
          <w:i/>
          <w:iCs/>
          <w:lang w:val="en-GB"/>
        </w:rPr>
        <w:t>he Desire Called Utopia and Other Science Fictions</w:t>
      </w:r>
      <w:r w:rsidRPr="005906A7">
        <w:rPr>
          <w:rStyle w:val="BookTitle"/>
          <w:lang w:val="en-GB"/>
        </w:rPr>
        <w:t xml:space="preserve"> (London; New York: Verso, 2007) p</w:t>
      </w:r>
      <w:r>
        <w:rPr>
          <w:rStyle w:val="BookTitle"/>
          <w:lang w:val="en-GB"/>
        </w:rPr>
        <w:t xml:space="preserve">. </w:t>
      </w:r>
      <w:r w:rsidRPr="005906A7">
        <w:rPr>
          <w:rStyle w:val="BookTitle"/>
          <w:lang w:val="en-GB"/>
        </w:rPr>
        <w:t>286-8.</w:t>
      </w:r>
    </w:p>
  </w:footnote>
  <w:footnote w:id="32">
    <w:p w14:paraId="24502F35" w14:textId="7C6BDF85" w:rsidR="00B06F43" w:rsidRPr="005906A7" w:rsidRDefault="00B06F43" w:rsidP="0027373D">
      <w:pPr>
        <w:pStyle w:val="FootnoteText"/>
      </w:pPr>
      <w:r w:rsidRPr="005906A7">
        <w:rPr>
          <w:rStyle w:val="FootnoteReference"/>
        </w:rPr>
        <w:footnoteRef/>
      </w:r>
      <w:r w:rsidRPr="005906A7">
        <w:t xml:space="preserve"> Ursula K. Le Guin, ‘The Year of the Flood by Margaret Atwood | Book Review’, </w:t>
      </w:r>
      <w:r w:rsidRPr="005906A7">
        <w:rPr>
          <w:i/>
          <w:iCs/>
        </w:rPr>
        <w:t>The Guardian</w:t>
      </w:r>
      <w:r w:rsidRPr="005906A7">
        <w:t>, 2009 &lt;</w:t>
      </w:r>
      <w:hyperlink r:id="rId8">
        <w:r w:rsidRPr="005906A7">
          <w:rPr>
            <w:rStyle w:val="Hyperlink"/>
          </w:rPr>
          <w:t>http://www.theguardian.com/books/2009/aug/29/margaret-atwood-year-of-flood</w:t>
        </w:r>
      </w:hyperlink>
      <w:r w:rsidRPr="005906A7">
        <w:t>&gt; [accessed 9 August 2020].</w:t>
      </w:r>
    </w:p>
  </w:footnote>
  <w:footnote w:id="33">
    <w:p w14:paraId="1D263F92" w14:textId="0533CC48" w:rsidR="00B06F43" w:rsidRPr="005906A7" w:rsidRDefault="00B06F43" w:rsidP="0027373D">
      <w:pPr>
        <w:rPr>
          <w:rStyle w:val="BookTitle"/>
          <w:lang w:val="en-GB"/>
        </w:rPr>
      </w:pPr>
      <w:r w:rsidRPr="005906A7">
        <w:rPr>
          <w:rStyle w:val="FootnoteReference"/>
        </w:rPr>
        <w:footnoteRef/>
      </w:r>
      <w:r w:rsidRPr="005906A7">
        <w:t xml:space="preserve"> </w:t>
      </w:r>
      <w:r w:rsidRPr="005906A7">
        <w:rPr>
          <w:rStyle w:val="BookTitle"/>
          <w:lang w:val="en-GB"/>
        </w:rPr>
        <w:t xml:space="preserve">Atwood, </w:t>
      </w:r>
      <w:r w:rsidRPr="005906A7">
        <w:rPr>
          <w:rStyle w:val="BookTitle"/>
          <w:i/>
          <w:iCs/>
          <w:lang w:val="en-GB"/>
        </w:rPr>
        <w:t>In Other Worlds</w:t>
      </w:r>
      <w:r>
        <w:rPr>
          <w:rStyle w:val="BookTitle"/>
          <w:lang w:val="en-GB"/>
        </w:rPr>
        <w:t xml:space="preserve">, </w:t>
      </w:r>
      <w:r w:rsidRPr="005906A7">
        <w:rPr>
          <w:rStyle w:val="BookTitle"/>
          <w:lang w:val="en-GB"/>
        </w:rPr>
        <w:t>p</w:t>
      </w:r>
      <w:r>
        <w:rPr>
          <w:rStyle w:val="BookTitle"/>
          <w:lang w:val="en-GB"/>
        </w:rPr>
        <w:t xml:space="preserve"> </w:t>
      </w:r>
      <w:r w:rsidRPr="005906A7">
        <w:rPr>
          <w:rStyle w:val="BookTitle"/>
          <w:lang w:val="en-GB"/>
        </w:rPr>
        <w:t>22.</w:t>
      </w:r>
    </w:p>
  </w:footnote>
  <w:footnote w:id="34">
    <w:p w14:paraId="1D64C62E" w14:textId="0FC4CA4A" w:rsidR="00B06F43" w:rsidRPr="005906A7" w:rsidRDefault="00B06F43" w:rsidP="0027373D">
      <w:pPr>
        <w:rPr>
          <w:rStyle w:val="BookTitle"/>
          <w:lang w:val="en-GB"/>
        </w:rPr>
      </w:pPr>
      <w:r w:rsidRPr="005906A7">
        <w:rPr>
          <w:rStyle w:val="FootnoteReference"/>
        </w:rPr>
        <w:footnoteRef/>
      </w:r>
      <w:r w:rsidRPr="005906A7">
        <w:t xml:space="preserve"> </w:t>
      </w:r>
      <w:r w:rsidRPr="005906A7">
        <w:rPr>
          <w:rStyle w:val="BookTitle"/>
          <w:lang w:val="en-GB"/>
        </w:rPr>
        <w:t>Margaret Atwood, ‘The Handmaid’s Tale and Oryx and Crake “In Context”’, PMLA, 119.3 (2004), 513–17.</w:t>
      </w:r>
    </w:p>
  </w:footnote>
  <w:footnote w:id="35">
    <w:p w14:paraId="4689DF84" w14:textId="0D1F0B2F" w:rsidR="00B06F43" w:rsidRPr="005906A7" w:rsidRDefault="00B06F43" w:rsidP="0027373D">
      <w:pPr>
        <w:pStyle w:val="FootnoteText"/>
      </w:pPr>
      <w:r w:rsidRPr="005906A7">
        <w:rPr>
          <w:rStyle w:val="FootnoteReference"/>
        </w:rPr>
        <w:footnoteRef/>
      </w:r>
      <w:r w:rsidRPr="005906A7">
        <w:t xml:space="preserve"> </w:t>
      </w:r>
      <w:r w:rsidRPr="005B6BDE">
        <w:rPr>
          <w:rStyle w:val="BookTitle"/>
          <w:i/>
          <w:iCs/>
          <w:lang w:val="en-GB"/>
        </w:rPr>
        <w:t>Ibid.</w:t>
      </w:r>
    </w:p>
  </w:footnote>
  <w:footnote w:id="36">
    <w:p w14:paraId="42F24ADF" w14:textId="035F8D75" w:rsidR="00B06F43" w:rsidRPr="005906A7" w:rsidRDefault="00B06F43" w:rsidP="0027373D">
      <w:pPr>
        <w:pStyle w:val="FootnoteText"/>
      </w:pPr>
      <w:r w:rsidRPr="005906A7">
        <w:rPr>
          <w:rStyle w:val="FootnoteReference"/>
        </w:rPr>
        <w:footnoteRef/>
      </w:r>
      <w:r w:rsidRPr="005906A7">
        <w:t xml:space="preserve"> Robert A. Heinlein and Virginia Heinlein, </w:t>
      </w:r>
      <w:r w:rsidRPr="005906A7">
        <w:rPr>
          <w:i/>
          <w:iCs/>
        </w:rPr>
        <w:t>Grumbles from the Grave</w:t>
      </w:r>
      <w:r w:rsidRPr="005906A7">
        <w:t>, An Orbit Book (London: Orbit, 1991) p</w:t>
      </w:r>
      <w:r>
        <w:t xml:space="preserve">. </w:t>
      </w:r>
      <w:r w:rsidRPr="005906A7">
        <w:t>49.</w:t>
      </w:r>
    </w:p>
  </w:footnote>
  <w:footnote w:id="37">
    <w:p w14:paraId="2E2DA927" w14:textId="35630353" w:rsidR="00B06F43" w:rsidRPr="005906A7" w:rsidRDefault="00B06F43" w:rsidP="0027373D">
      <w:pPr>
        <w:pStyle w:val="FootnoteText"/>
      </w:pPr>
      <w:r w:rsidRPr="005906A7">
        <w:rPr>
          <w:rStyle w:val="FootnoteReference"/>
        </w:rPr>
        <w:footnoteRef/>
      </w:r>
      <w:r w:rsidRPr="005906A7">
        <w:t xml:space="preserve"> Fredric Jameson, </w:t>
      </w:r>
      <w:r w:rsidRPr="005906A7">
        <w:rPr>
          <w:i/>
          <w:iCs/>
        </w:rPr>
        <w:t>The Antinomies of Realism</w:t>
      </w:r>
      <w:r w:rsidRPr="005906A7">
        <w:t xml:space="preserve"> (London; New York: Verso, 2013).</w:t>
      </w:r>
    </w:p>
  </w:footnote>
  <w:footnote w:id="38">
    <w:p w14:paraId="3B16AC2F" w14:textId="5425E8D7" w:rsidR="00B06F43" w:rsidRPr="00F74E4F" w:rsidRDefault="00B06F43" w:rsidP="0027373D">
      <w:pPr>
        <w:rPr>
          <w:rStyle w:val="BookTitle"/>
          <w:lang w:val="en-GB"/>
        </w:rPr>
      </w:pPr>
      <w:r w:rsidRPr="00F74E4F">
        <w:rPr>
          <w:rStyle w:val="FootnoteReference"/>
          <w:sz w:val="20"/>
          <w:szCs w:val="20"/>
        </w:rPr>
        <w:footnoteRef/>
      </w:r>
      <w:r w:rsidRPr="00F74E4F">
        <w:rPr>
          <w:sz w:val="20"/>
          <w:szCs w:val="20"/>
        </w:rPr>
        <w:t xml:space="preserve"> </w:t>
      </w:r>
      <w:r w:rsidRPr="00F74E4F">
        <w:rPr>
          <w:rStyle w:val="BookTitle"/>
          <w:lang w:val="en-GB"/>
        </w:rPr>
        <w:t>Ashley Winstead, ‘Beyond Persuasion: Margaret Atwood’s Speculative Politics’, Studies in the Novel; Denton, 49.2 (2017), 228–49 &lt;</w:t>
      </w:r>
      <w:hyperlink r:id="rId9" w:history="1">
        <w:r w:rsidRPr="00F74E4F">
          <w:rPr>
            <w:rStyle w:val="BookTitle"/>
            <w:lang w:val="en-GB"/>
          </w:rPr>
          <w:t>http://dx.doi.org/10.1353/sdn.2017.0018</w:t>
        </w:r>
      </w:hyperlink>
      <w:r w:rsidRPr="00F74E4F">
        <w:rPr>
          <w:rStyle w:val="BookTitle"/>
          <w:lang w:val="en-GB"/>
        </w:rPr>
        <w:t>&gt; p. 517.</w:t>
      </w:r>
    </w:p>
  </w:footnote>
  <w:footnote w:id="39">
    <w:p w14:paraId="669CF159" w14:textId="5375C53F" w:rsidR="00B06F43" w:rsidRPr="00466A3D" w:rsidRDefault="00B06F43" w:rsidP="0027373D">
      <w:pPr>
        <w:pStyle w:val="FootnoteText"/>
      </w:pPr>
      <w:r w:rsidRPr="00466A3D">
        <w:rPr>
          <w:rStyle w:val="FootnoteReference"/>
        </w:rPr>
        <w:footnoteRef/>
      </w:r>
      <w:r w:rsidRPr="00466A3D">
        <w:t xml:space="preserve"> </w:t>
      </w:r>
      <w:r w:rsidR="00694F41">
        <w:t xml:space="preserve">See </w:t>
      </w:r>
      <w:r w:rsidRPr="00466A3D">
        <w:t>Trexler</w:t>
      </w:r>
      <w:r>
        <w:t>.</w:t>
      </w:r>
    </w:p>
  </w:footnote>
  <w:footnote w:id="40">
    <w:p w14:paraId="03DF8C2D" w14:textId="6DCB165A" w:rsidR="00B06F43" w:rsidRPr="00466A3D" w:rsidRDefault="00B06F43" w:rsidP="0027373D">
      <w:pPr>
        <w:pStyle w:val="FootnoteText"/>
      </w:pPr>
      <w:r w:rsidRPr="00466A3D">
        <w:rPr>
          <w:rStyle w:val="FootnoteReference"/>
        </w:rPr>
        <w:footnoteRef/>
      </w:r>
      <w:r w:rsidRPr="00466A3D">
        <w:t xml:space="preserve"> George Lakoff and Mark Johnson, Metaphors We Live By (Chicago and London: University of Chicago Press, 1980), p. 5.</w:t>
      </w:r>
    </w:p>
  </w:footnote>
  <w:footnote w:id="41">
    <w:p w14:paraId="3A65F1E8" w14:textId="0D88517A" w:rsidR="00B06F43" w:rsidRPr="00466A3D" w:rsidRDefault="00B06F43" w:rsidP="0027373D">
      <w:pPr>
        <w:pStyle w:val="FootnoteText"/>
      </w:pPr>
      <w:r w:rsidRPr="00466A3D">
        <w:rPr>
          <w:rStyle w:val="FootnoteReference"/>
        </w:rPr>
        <w:footnoteRef/>
      </w:r>
      <w:r w:rsidRPr="00466A3D">
        <w:t xml:space="preserve"> I use the term </w:t>
      </w:r>
      <w:r w:rsidRPr="00466A3D">
        <w:rPr>
          <w:i/>
          <w:iCs/>
        </w:rPr>
        <w:t>mechanism</w:t>
      </w:r>
      <w:r w:rsidRPr="00466A3D">
        <w:t xml:space="preserve"> to refer to metaphor as a cognitive tool, a means of comprehending and </w:t>
      </w:r>
      <w:r w:rsidRPr="00466A3D">
        <w:rPr>
          <w:iCs/>
        </w:rPr>
        <w:t>experiencing the world</w:t>
      </w:r>
      <w:r>
        <w:rPr>
          <w:iCs/>
        </w:rPr>
        <w:t>.</w:t>
      </w:r>
    </w:p>
  </w:footnote>
  <w:footnote w:id="42">
    <w:p w14:paraId="762B6B57" w14:textId="79561EC9" w:rsidR="00B06F43" w:rsidRPr="00466A3D" w:rsidRDefault="00B06F43" w:rsidP="0027373D">
      <w:r w:rsidRPr="00466A3D">
        <w:rPr>
          <w:rStyle w:val="FootnoteReference"/>
        </w:rPr>
        <w:footnoteRef/>
      </w:r>
      <w:r w:rsidRPr="00466A3D">
        <w:t xml:space="preserve"> </w:t>
      </w:r>
      <w:r w:rsidRPr="00466A3D">
        <w:rPr>
          <w:rStyle w:val="BookTitle"/>
          <w:lang w:val="en-GB"/>
        </w:rPr>
        <w:t>Winstead, p. 229.</w:t>
      </w:r>
    </w:p>
  </w:footnote>
  <w:footnote w:id="43">
    <w:p w14:paraId="05FCC6B9" w14:textId="7EE63A51" w:rsidR="00B06F43" w:rsidRPr="005906A7" w:rsidRDefault="00B06F43" w:rsidP="003A2FD7">
      <w:r w:rsidRPr="00466A3D">
        <w:rPr>
          <w:rStyle w:val="FootnoteReference"/>
        </w:rPr>
        <w:footnoteRef/>
      </w:r>
      <w:r w:rsidRPr="00466A3D">
        <w:t xml:space="preserve"> </w:t>
      </w:r>
      <w:r w:rsidRPr="00466A3D">
        <w:rPr>
          <w:rStyle w:val="BookTitle"/>
          <w:lang w:val="en-GB"/>
        </w:rPr>
        <w:t xml:space="preserve">Karl Marx and Louis Bonaparte, </w:t>
      </w:r>
      <w:r w:rsidRPr="00466A3D">
        <w:rPr>
          <w:rStyle w:val="BookTitle"/>
          <w:i/>
          <w:iCs/>
          <w:lang w:val="en-GB"/>
        </w:rPr>
        <w:t>The Eighteenth Brumaire of Louis Bonaparte</w:t>
      </w:r>
      <w:r w:rsidRPr="00466A3D">
        <w:rPr>
          <w:rStyle w:val="BookTitle"/>
          <w:lang w:val="en-GB"/>
        </w:rPr>
        <w:t xml:space="preserve"> (New York: International publ, 1990) p. 15.</w:t>
      </w:r>
    </w:p>
  </w:footnote>
  <w:footnote w:id="44">
    <w:p w14:paraId="16202844" w14:textId="27199EEE" w:rsidR="00B06F43" w:rsidRPr="005906A7" w:rsidRDefault="00B06F43" w:rsidP="0027373D">
      <w:pPr>
        <w:pStyle w:val="FootnoteText"/>
      </w:pPr>
      <w:r w:rsidRPr="005906A7">
        <w:rPr>
          <w:rStyle w:val="FootnoteReference"/>
        </w:rPr>
        <w:footnoteRef/>
      </w:r>
      <w:r w:rsidRPr="005906A7">
        <w:t xml:space="preserve"> Kaushik Sunder Rajan and Project Muse, </w:t>
      </w:r>
      <w:r w:rsidRPr="005906A7">
        <w:rPr>
          <w:i/>
          <w:iCs/>
        </w:rPr>
        <w:t>Biocapital The Constitution of Postgenomic Life</w:t>
      </w:r>
      <w:r w:rsidRPr="005906A7">
        <w:t xml:space="preserve"> (Durham: Duke University Press, 2006</w:t>
      </w:r>
      <w:r w:rsidR="001931D1">
        <w:t>)</w:t>
      </w:r>
      <w:r w:rsidRPr="005906A7">
        <w:t xml:space="preserve"> and Nikolas S Rose, </w:t>
      </w:r>
      <w:r w:rsidRPr="005906A7">
        <w:rPr>
          <w:i/>
          <w:iCs/>
        </w:rPr>
        <w:t>The Politics of Life Itself: Biomedicine, Power, and Subjectivity in the Twenty-First Century</w:t>
      </w:r>
      <w:r w:rsidRPr="005906A7">
        <w:t xml:space="preserve"> (Princeton: Princeton University Press, 2007</w:t>
      </w:r>
      <w:r w:rsidR="001931D1">
        <w:t>).</w:t>
      </w:r>
    </w:p>
  </w:footnote>
  <w:footnote w:id="45">
    <w:p w14:paraId="7ACB75A3" w14:textId="1E36D7B1" w:rsidR="00D07BBD" w:rsidRPr="00D07BBD" w:rsidRDefault="00D07BBD" w:rsidP="00D07BBD">
      <w:pPr>
        <w:spacing w:line="240" w:lineRule="auto"/>
        <w:rPr>
          <w:sz w:val="20"/>
          <w:szCs w:val="20"/>
          <w:lang w:val="es-ES"/>
        </w:rPr>
      </w:pPr>
      <w:r w:rsidRPr="00D07BBD">
        <w:rPr>
          <w:rStyle w:val="FootnoteReference"/>
          <w:sz w:val="20"/>
          <w:szCs w:val="20"/>
        </w:rPr>
        <w:footnoteRef/>
      </w:r>
      <w:r w:rsidRPr="00D07BBD">
        <w:rPr>
          <w:sz w:val="20"/>
          <w:szCs w:val="20"/>
        </w:rPr>
        <w:t xml:space="preserve"> Nikolas S Rose, </w:t>
      </w:r>
      <w:r w:rsidRPr="00D07BBD">
        <w:rPr>
          <w:i/>
          <w:iCs/>
          <w:sz w:val="20"/>
          <w:szCs w:val="20"/>
        </w:rPr>
        <w:t>The Politics of Life Itself: Biomedicine, Power, and Subjectivity in the Twenty-First Century</w:t>
      </w:r>
      <w:r w:rsidRPr="00D07BBD">
        <w:rPr>
          <w:sz w:val="20"/>
          <w:szCs w:val="20"/>
        </w:rPr>
        <w:t xml:space="preserve"> (Princeton: Princeton University Press, 2007), p. 6.</w:t>
      </w:r>
    </w:p>
  </w:footnote>
  <w:footnote w:id="46">
    <w:p w14:paraId="47F21A20" w14:textId="1EE6E954" w:rsidR="00B06F43" w:rsidRPr="003A2FD7" w:rsidRDefault="00B06F43" w:rsidP="0027373D">
      <w:pPr>
        <w:rPr>
          <w:sz w:val="20"/>
          <w:szCs w:val="20"/>
          <w:lang w:val="en-US"/>
        </w:rPr>
      </w:pPr>
      <w:r w:rsidRPr="003A2FD7">
        <w:rPr>
          <w:rStyle w:val="FootnoteReference"/>
          <w:sz w:val="20"/>
          <w:szCs w:val="20"/>
        </w:rPr>
        <w:footnoteRef/>
      </w:r>
      <w:r w:rsidRPr="003A2FD7">
        <w:rPr>
          <w:sz w:val="20"/>
          <w:szCs w:val="20"/>
          <w:lang w:val="en-US"/>
        </w:rPr>
        <w:t xml:space="preserve"> Biosafety Unit, ‘Convention on </w:t>
      </w:r>
      <w:r w:rsidR="001C2604" w:rsidRPr="003A2FD7">
        <w:rPr>
          <w:sz w:val="20"/>
          <w:szCs w:val="20"/>
          <w:lang w:val="en-US"/>
        </w:rPr>
        <w:t>Biological</w:t>
      </w:r>
      <w:r w:rsidRPr="003A2FD7">
        <w:rPr>
          <w:sz w:val="20"/>
          <w:szCs w:val="20"/>
          <w:lang w:val="en-US"/>
        </w:rPr>
        <w:t xml:space="preserve"> Diversity - Convention Text’ (Secretariat of the Convention on Biological Diversity, 2006) Web. &lt;</w:t>
      </w:r>
      <w:hyperlink r:id="rId10" w:history="1">
        <w:r w:rsidRPr="003A2FD7">
          <w:rPr>
            <w:color w:val="0000FF"/>
            <w:sz w:val="20"/>
            <w:szCs w:val="20"/>
            <w:u w:val="single"/>
            <w:lang w:val="en-US"/>
          </w:rPr>
          <w:t>https://www.cbd.int/convention/articles/?a=cbd-02</w:t>
        </w:r>
      </w:hyperlink>
      <w:r w:rsidRPr="003A2FD7">
        <w:rPr>
          <w:sz w:val="20"/>
          <w:szCs w:val="20"/>
          <w:lang w:val="en-US"/>
        </w:rPr>
        <w:t>&gt; [accessed 27 July 2020].</w:t>
      </w:r>
    </w:p>
  </w:footnote>
  <w:footnote w:id="47">
    <w:p w14:paraId="2DE11A63" w14:textId="77777777" w:rsidR="00B06F43" w:rsidRPr="003A2FD7" w:rsidRDefault="00B06F43" w:rsidP="0027373D">
      <w:pPr>
        <w:rPr>
          <w:sz w:val="20"/>
          <w:szCs w:val="20"/>
          <w:lang w:val="en-US"/>
        </w:rPr>
      </w:pPr>
      <w:r w:rsidRPr="003A2FD7">
        <w:rPr>
          <w:rStyle w:val="FootnoteReference"/>
          <w:sz w:val="20"/>
          <w:szCs w:val="20"/>
        </w:rPr>
        <w:footnoteRef/>
      </w:r>
      <w:r w:rsidRPr="003A2FD7">
        <w:rPr>
          <w:sz w:val="20"/>
          <w:szCs w:val="20"/>
          <w:lang w:val="en-US"/>
        </w:rPr>
        <w:t xml:space="preserve"> Robert Bud, </w:t>
      </w:r>
      <w:r w:rsidRPr="003A2FD7">
        <w:rPr>
          <w:i/>
          <w:iCs/>
          <w:sz w:val="20"/>
          <w:szCs w:val="20"/>
          <w:lang w:val="en-US"/>
        </w:rPr>
        <w:t>The Uses of Life: A History of Biotechnology</w:t>
      </w:r>
      <w:r w:rsidRPr="003A2FD7">
        <w:rPr>
          <w:sz w:val="20"/>
          <w:szCs w:val="20"/>
          <w:lang w:val="en-US"/>
        </w:rPr>
        <w:t xml:space="preserve"> (Cambridge ; New York, NY, USA: Cambridge University Press, 1993).</w:t>
      </w:r>
    </w:p>
  </w:footnote>
  <w:footnote w:id="48">
    <w:p w14:paraId="2FBE1CDC"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Eugene Thacker, ‘Data Made Flesh: Biotechnology and the Discourse of the Posthuman’, </w:t>
      </w:r>
      <w:r w:rsidRPr="00732AA5">
        <w:rPr>
          <w:i/>
          <w:iCs/>
          <w:sz w:val="20"/>
          <w:szCs w:val="20"/>
          <w:lang w:val="en-US"/>
        </w:rPr>
        <w:t>Cultural Critique</w:t>
      </w:r>
      <w:r w:rsidRPr="00732AA5">
        <w:rPr>
          <w:sz w:val="20"/>
          <w:szCs w:val="20"/>
          <w:lang w:val="en-US"/>
        </w:rPr>
        <w:t>, 53, 2003, 72–97 p. 84-5</w:t>
      </w:r>
    </w:p>
  </w:footnote>
  <w:footnote w:id="49">
    <w:p w14:paraId="2FE32B02" w14:textId="092B80FB" w:rsidR="00B73ECA" w:rsidRPr="00732AA5" w:rsidRDefault="00B73ECA" w:rsidP="00B73ECA">
      <w:pPr>
        <w:rPr>
          <w:sz w:val="20"/>
          <w:szCs w:val="20"/>
          <w:lang w:val="en-US"/>
        </w:rPr>
      </w:pPr>
      <w:r w:rsidRPr="00732AA5">
        <w:rPr>
          <w:rStyle w:val="FootnoteReference"/>
          <w:sz w:val="20"/>
          <w:szCs w:val="20"/>
        </w:rPr>
        <w:footnoteRef/>
      </w:r>
      <w:r w:rsidRPr="00732AA5">
        <w:rPr>
          <w:sz w:val="20"/>
          <w:szCs w:val="20"/>
          <w:lang w:val="en-US"/>
        </w:rPr>
        <w:t xml:space="preserve"> Stefan Helmreich, ‘Species of Biocapital’, </w:t>
      </w:r>
      <w:r w:rsidRPr="00732AA5">
        <w:rPr>
          <w:i/>
          <w:iCs/>
          <w:sz w:val="20"/>
          <w:szCs w:val="20"/>
          <w:lang w:val="en-US"/>
        </w:rPr>
        <w:t>Science as Culture</w:t>
      </w:r>
      <w:r w:rsidRPr="00732AA5">
        <w:rPr>
          <w:sz w:val="20"/>
          <w:szCs w:val="20"/>
          <w:lang w:val="en-US"/>
        </w:rPr>
        <w:t>, 17.4 (2008), 463–78 &lt;</w:t>
      </w:r>
      <w:hyperlink r:id="rId11" w:history="1">
        <w:r w:rsidRPr="00732AA5">
          <w:rPr>
            <w:color w:val="0000FF"/>
            <w:sz w:val="20"/>
            <w:szCs w:val="20"/>
            <w:u w:val="single"/>
            <w:lang w:val="en-US"/>
          </w:rPr>
          <w:t>https://doi.org/10.1080/09505430802519256</w:t>
        </w:r>
      </w:hyperlink>
      <w:r w:rsidRPr="00732AA5">
        <w:rPr>
          <w:sz w:val="20"/>
          <w:szCs w:val="20"/>
          <w:lang w:val="en-US"/>
        </w:rPr>
        <w:t>&gt;</w:t>
      </w:r>
      <w:r w:rsidR="00560CBA">
        <w:rPr>
          <w:sz w:val="20"/>
          <w:szCs w:val="20"/>
          <w:lang w:val="en-US"/>
        </w:rPr>
        <w:t xml:space="preserve">, p. </w:t>
      </w:r>
      <w:r w:rsidR="00420052">
        <w:rPr>
          <w:sz w:val="20"/>
          <w:szCs w:val="20"/>
          <w:lang w:val="en-US"/>
        </w:rPr>
        <w:t>4</w:t>
      </w:r>
      <w:r w:rsidR="00560CBA">
        <w:rPr>
          <w:sz w:val="20"/>
          <w:szCs w:val="20"/>
          <w:lang w:val="en-US"/>
        </w:rPr>
        <w:t>64</w:t>
      </w:r>
      <w:r w:rsidR="00420052">
        <w:rPr>
          <w:sz w:val="20"/>
          <w:szCs w:val="20"/>
          <w:lang w:val="en-US"/>
        </w:rPr>
        <w:t>.</w:t>
      </w:r>
    </w:p>
  </w:footnote>
  <w:footnote w:id="50">
    <w:p w14:paraId="1AB924E6" w14:textId="3B453E54" w:rsidR="002C6B53" w:rsidRPr="002C6B53" w:rsidRDefault="002C6B53">
      <w:pPr>
        <w:pStyle w:val="FootnoteText"/>
        <w:rPr>
          <w:i/>
          <w:iCs/>
          <w:lang w:val="en-US"/>
        </w:rPr>
      </w:pPr>
      <w:r>
        <w:rPr>
          <w:rStyle w:val="FootnoteReference"/>
        </w:rPr>
        <w:footnoteRef/>
      </w:r>
      <w:r>
        <w:t xml:space="preserve"> </w:t>
      </w:r>
      <w:r>
        <w:rPr>
          <w:i/>
          <w:iCs/>
          <w:lang w:val="en-US"/>
        </w:rPr>
        <w:t>Ibid.</w:t>
      </w:r>
    </w:p>
  </w:footnote>
  <w:footnote w:id="51">
    <w:p w14:paraId="019CE0D6" w14:textId="64E04432"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Lee Rozelle, ‘Liminal Ecologies in Margaret Atwood’s </w:t>
      </w:r>
      <w:r w:rsidRPr="00732AA5">
        <w:rPr>
          <w:i/>
          <w:iCs/>
          <w:sz w:val="20"/>
          <w:szCs w:val="20"/>
          <w:lang w:val="en-US"/>
        </w:rPr>
        <w:t>Oryx and Crake</w:t>
      </w:r>
      <w:r w:rsidRPr="00732AA5">
        <w:rPr>
          <w:sz w:val="20"/>
          <w:szCs w:val="20"/>
          <w:lang w:val="en-US"/>
        </w:rPr>
        <w:t xml:space="preserve">.’, </w:t>
      </w:r>
      <w:r w:rsidRPr="00732AA5">
        <w:rPr>
          <w:i/>
          <w:iCs/>
          <w:sz w:val="20"/>
          <w:szCs w:val="20"/>
          <w:lang w:val="en-US"/>
        </w:rPr>
        <w:t>Canadian Literature</w:t>
      </w:r>
      <w:r w:rsidRPr="00732AA5">
        <w:rPr>
          <w:sz w:val="20"/>
          <w:szCs w:val="20"/>
          <w:lang w:val="en-US"/>
        </w:rPr>
        <w:t>, 206, 2010, 61</w:t>
      </w:r>
      <w:r>
        <w:rPr>
          <w:sz w:val="20"/>
          <w:szCs w:val="20"/>
          <w:lang w:val="en-US"/>
        </w:rPr>
        <w:t>-</w:t>
      </w:r>
      <w:r w:rsidRPr="00732AA5">
        <w:rPr>
          <w:sz w:val="20"/>
          <w:szCs w:val="20"/>
          <w:lang w:val="en-US"/>
        </w:rPr>
        <w:t>72.</w:t>
      </w:r>
    </w:p>
  </w:footnote>
  <w:footnote w:id="52">
    <w:p w14:paraId="7A6A273D"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Margaret Atwood, </w:t>
      </w:r>
      <w:r w:rsidRPr="00732AA5">
        <w:rPr>
          <w:i/>
          <w:iCs/>
          <w:sz w:val="20"/>
          <w:szCs w:val="20"/>
          <w:lang w:val="en-US"/>
        </w:rPr>
        <w:t>Oryx And Crake</w:t>
      </w:r>
      <w:r w:rsidRPr="00732AA5">
        <w:rPr>
          <w:sz w:val="20"/>
          <w:szCs w:val="20"/>
          <w:lang w:val="en-US"/>
        </w:rPr>
        <w:t xml:space="preserve"> (London: Virago Press, 2013). p249-50.</w:t>
      </w:r>
    </w:p>
  </w:footnote>
  <w:footnote w:id="53">
    <w:p w14:paraId="55704386" w14:textId="77777777" w:rsidR="00B06F43" w:rsidRPr="00732AA5" w:rsidRDefault="00B06F43" w:rsidP="0027373D">
      <w:pPr>
        <w:pStyle w:val="FootnoteText"/>
        <w:rPr>
          <w:lang w:val="en-US"/>
        </w:rPr>
      </w:pPr>
      <w:r w:rsidRPr="00732AA5">
        <w:rPr>
          <w:rStyle w:val="FootnoteReference"/>
        </w:rPr>
        <w:footnoteRef/>
      </w:r>
      <w:r w:rsidRPr="00732AA5">
        <w:rPr>
          <w:lang w:val="en-US"/>
        </w:rPr>
        <w:t xml:space="preserve"> </w:t>
      </w:r>
      <w:r w:rsidRPr="00732AA5">
        <w:rPr>
          <w:i/>
          <w:iCs/>
          <w:lang w:val="en-US"/>
        </w:rPr>
        <w:t>Ibid.,</w:t>
      </w:r>
      <w:r w:rsidRPr="00732AA5">
        <w:rPr>
          <w:lang w:val="en-US"/>
        </w:rPr>
        <w:t xml:space="preserve"> p. 250.</w:t>
      </w:r>
    </w:p>
  </w:footnote>
  <w:footnote w:id="54">
    <w:p w14:paraId="4EDB5481" w14:textId="77777777" w:rsidR="00B06F43" w:rsidRPr="00732AA5" w:rsidRDefault="00B06F43" w:rsidP="0027373D">
      <w:pPr>
        <w:pStyle w:val="FootnoteText"/>
        <w:rPr>
          <w:lang w:val="en-US"/>
        </w:rPr>
      </w:pPr>
      <w:r w:rsidRPr="00732AA5">
        <w:rPr>
          <w:rStyle w:val="FootnoteReference"/>
        </w:rPr>
        <w:footnoteRef/>
      </w:r>
      <w:r w:rsidRPr="00732AA5">
        <w:rPr>
          <w:lang w:val="en-US"/>
        </w:rPr>
        <w:t xml:space="preserve"> </w:t>
      </w:r>
      <w:r w:rsidRPr="00291424">
        <w:rPr>
          <w:i/>
          <w:iCs/>
          <w:lang w:val="en-US"/>
        </w:rPr>
        <w:t>Ibid.</w:t>
      </w:r>
    </w:p>
  </w:footnote>
  <w:footnote w:id="55">
    <w:p w14:paraId="00A7F3BA" w14:textId="1B71AD9E" w:rsidR="006058EC" w:rsidRPr="006058EC" w:rsidRDefault="006058EC" w:rsidP="00D01E81">
      <w:pPr>
        <w:spacing w:line="240" w:lineRule="auto"/>
        <w:rPr>
          <w:sz w:val="20"/>
          <w:szCs w:val="20"/>
        </w:rPr>
      </w:pPr>
      <w:r w:rsidRPr="006058EC">
        <w:rPr>
          <w:rStyle w:val="FootnoteReference"/>
          <w:sz w:val="20"/>
          <w:szCs w:val="20"/>
        </w:rPr>
        <w:footnoteRef/>
      </w:r>
      <w:r w:rsidRPr="006058EC">
        <w:rPr>
          <w:sz w:val="20"/>
          <w:szCs w:val="20"/>
        </w:rPr>
        <w:t xml:space="preserve"> </w:t>
      </w:r>
      <w:r w:rsidRPr="006058EC">
        <w:rPr>
          <w:sz w:val="20"/>
          <w:szCs w:val="20"/>
        </w:rPr>
        <w:t xml:space="preserve">Galbreath, </w:t>
      </w:r>
      <w:r w:rsidRPr="006058EC">
        <w:rPr>
          <w:sz w:val="20"/>
          <w:szCs w:val="20"/>
        </w:rPr>
        <w:t>p. 2</w:t>
      </w:r>
      <w:r w:rsidRPr="006058EC">
        <w:rPr>
          <w:sz w:val="20"/>
          <w:szCs w:val="20"/>
        </w:rPr>
        <w:t>.</w:t>
      </w:r>
    </w:p>
  </w:footnote>
  <w:footnote w:id="56">
    <w:p w14:paraId="4F45B71F" w14:textId="77777777" w:rsidR="00B06F43" w:rsidRPr="00D84EAE" w:rsidRDefault="00B06F43" w:rsidP="00D01E81">
      <w:pPr>
        <w:spacing w:line="240" w:lineRule="auto"/>
        <w:rPr>
          <w:sz w:val="20"/>
          <w:szCs w:val="20"/>
          <w:lang w:val="en-US"/>
        </w:rPr>
      </w:pPr>
      <w:r w:rsidRPr="00D84EAE">
        <w:rPr>
          <w:rStyle w:val="FootnoteReference"/>
          <w:sz w:val="20"/>
          <w:szCs w:val="20"/>
        </w:rPr>
        <w:footnoteRef/>
      </w:r>
      <w:r w:rsidRPr="00D84EAE">
        <w:rPr>
          <w:sz w:val="20"/>
          <w:szCs w:val="20"/>
          <w:lang w:val="en-US"/>
        </w:rPr>
        <w:t xml:space="preserve"> J. Brooks Bouson, ‘“We’re Using Up the Earth. It’s Almost Gone”: A Return to the Post-Apocalyptic Future in Margaret Atwood’s </w:t>
      </w:r>
      <w:r w:rsidRPr="00D84EAE">
        <w:rPr>
          <w:i/>
          <w:iCs/>
          <w:color w:val="000000" w:themeColor="text1"/>
          <w:sz w:val="20"/>
          <w:szCs w:val="20"/>
          <w:lang w:val="en-US"/>
        </w:rPr>
        <w:t>The Year of the Flood</w:t>
      </w:r>
      <w:r w:rsidRPr="00D84EAE">
        <w:rPr>
          <w:color w:val="000000" w:themeColor="text1"/>
          <w:sz w:val="20"/>
          <w:szCs w:val="20"/>
          <w:lang w:val="en-US"/>
        </w:rPr>
        <w:t>’</w:t>
      </w:r>
      <w:r w:rsidRPr="00D84EAE">
        <w:rPr>
          <w:sz w:val="20"/>
          <w:szCs w:val="20"/>
          <w:lang w:val="en-US"/>
        </w:rPr>
        <w:t xml:space="preserve">, </w:t>
      </w:r>
      <w:r w:rsidRPr="00D84EAE">
        <w:rPr>
          <w:i/>
          <w:iCs/>
          <w:sz w:val="20"/>
          <w:szCs w:val="20"/>
          <w:lang w:val="en-US"/>
        </w:rPr>
        <w:t>The Journal of Commonwealth Literature</w:t>
      </w:r>
      <w:r w:rsidRPr="00D84EAE">
        <w:rPr>
          <w:sz w:val="20"/>
          <w:szCs w:val="20"/>
          <w:lang w:val="en-US"/>
        </w:rPr>
        <w:t>, 46.1 (2011), 9–26 &lt;</w:t>
      </w:r>
      <w:hyperlink r:id="rId12" w:history="1">
        <w:r w:rsidRPr="00D84EAE">
          <w:rPr>
            <w:rStyle w:val="Hyperlink"/>
            <w:sz w:val="20"/>
            <w:szCs w:val="20"/>
            <w:lang w:val="en-US"/>
          </w:rPr>
          <w:t>https://doi.org/10.1177/0021989410395430</w:t>
        </w:r>
      </w:hyperlink>
      <w:r w:rsidRPr="00D84EAE">
        <w:rPr>
          <w:sz w:val="20"/>
          <w:szCs w:val="20"/>
          <w:lang w:val="en-US"/>
        </w:rPr>
        <w:t>&gt;.</w:t>
      </w:r>
    </w:p>
  </w:footnote>
  <w:footnote w:id="57">
    <w:p w14:paraId="408F0D6F" w14:textId="77777777" w:rsidR="00B06F43" w:rsidRPr="00D84EAE" w:rsidRDefault="00B06F43" w:rsidP="00D01E81">
      <w:pPr>
        <w:pStyle w:val="FootnoteText"/>
      </w:pPr>
      <w:r w:rsidRPr="00D84EAE">
        <w:rPr>
          <w:rStyle w:val="FootnoteReference"/>
        </w:rPr>
        <w:footnoteRef/>
      </w:r>
      <w:r w:rsidRPr="00D84EAE">
        <w:rPr>
          <w:lang w:val="en-US"/>
        </w:rPr>
        <w:t xml:space="preserve"> Atwood, </w:t>
      </w:r>
      <w:r w:rsidRPr="00D84EAE">
        <w:rPr>
          <w:i/>
          <w:iCs/>
          <w:lang w:val="en-US"/>
        </w:rPr>
        <w:t>Oryx And Crake,</w:t>
      </w:r>
      <w:r w:rsidRPr="00D84EAE">
        <w:rPr>
          <w:lang w:val="en-US"/>
        </w:rPr>
        <w:t xml:space="preserve"> p. 22.</w:t>
      </w:r>
    </w:p>
  </w:footnote>
  <w:footnote w:id="58">
    <w:p w14:paraId="4B0327C0" w14:textId="77777777" w:rsidR="00B06F43" w:rsidRPr="00D84EAE" w:rsidRDefault="00B06F43" w:rsidP="00D01E81">
      <w:pPr>
        <w:pStyle w:val="FootnoteText"/>
      </w:pPr>
      <w:r w:rsidRPr="00D84EAE">
        <w:rPr>
          <w:rStyle w:val="FootnoteReference"/>
        </w:rPr>
        <w:footnoteRef/>
      </w:r>
      <w:r w:rsidRPr="00D84EAE">
        <w:rPr>
          <w:lang w:val="en-US"/>
        </w:rPr>
        <w:t xml:space="preserve"> </w:t>
      </w:r>
      <w:r w:rsidRPr="00D84EAE">
        <w:rPr>
          <w:i/>
          <w:iCs/>
          <w:lang w:val="en-US"/>
        </w:rPr>
        <w:t>Ibid.,</w:t>
      </w:r>
      <w:r w:rsidRPr="00D84EAE">
        <w:rPr>
          <w:lang w:val="en-US"/>
        </w:rPr>
        <w:t xml:space="preserve"> p. 250</w:t>
      </w:r>
    </w:p>
  </w:footnote>
  <w:footnote w:id="59">
    <w:p w14:paraId="5318D514" w14:textId="634C6504" w:rsidR="00B06F43" w:rsidRPr="00D84EAE" w:rsidRDefault="00B06F43" w:rsidP="00D01E81">
      <w:pPr>
        <w:spacing w:line="240" w:lineRule="auto"/>
        <w:rPr>
          <w:sz w:val="20"/>
          <w:szCs w:val="20"/>
          <w:lang w:val="en-US"/>
        </w:rPr>
      </w:pPr>
      <w:r w:rsidRPr="00C52D91">
        <w:rPr>
          <w:rStyle w:val="FootnoteReference"/>
          <w:sz w:val="20"/>
          <w:szCs w:val="20"/>
        </w:rPr>
        <w:footnoteRef/>
      </w:r>
      <w:r w:rsidR="001930C1" w:rsidRPr="00C52D91">
        <w:rPr>
          <w:sz w:val="20"/>
          <w:szCs w:val="20"/>
          <w:lang w:val="en-US"/>
        </w:rPr>
        <w:t xml:space="preserve"> </w:t>
      </w:r>
      <w:r w:rsidR="00C52D91" w:rsidRPr="00C52D91">
        <w:rPr>
          <w:sz w:val="20"/>
          <w:szCs w:val="20"/>
          <w:lang w:val="es-ES"/>
        </w:rPr>
        <w:t>J. Paul Narkunas, ‘</w:t>
      </w:r>
      <w:proofErr w:type="spellStart"/>
      <w:r w:rsidR="00C52D91" w:rsidRPr="00C52D91">
        <w:rPr>
          <w:sz w:val="20"/>
          <w:szCs w:val="20"/>
          <w:lang w:val="es-ES"/>
        </w:rPr>
        <w:t>Between</w:t>
      </w:r>
      <w:proofErr w:type="spellEnd"/>
      <w:r w:rsidR="00C52D91" w:rsidRPr="00C52D91">
        <w:rPr>
          <w:sz w:val="20"/>
          <w:szCs w:val="20"/>
          <w:lang w:val="es-ES"/>
        </w:rPr>
        <w:t xml:space="preserve"> </w:t>
      </w:r>
      <w:proofErr w:type="spellStart"/>
      <w:r w:rsidR="00C52D91" w:rsidRPr="00C52D91">
        <w:rPr>
          <w:sz w:val="20"/>
          <w:szCs w:val="20"/>
          <w:lang w:val="es-ES"/>
        </w:rPr>
        <w:t>Words</w:t>
      </w:r>
      <w:proofErr w:type="spellEnd"/>
      <w:r w:rsidR="00C52D91" w:rsidRPr="00C52D91">
        <w:rPr>
          <w:sz w:val="20"/>
          <w:szCs w:val="20"/>
          <w:lang w:val="es-ES"/>
        </w:rPr>
        <w:t xml:space="preserve">, </w:t>
      </w:r>
      <w:proofErr w:type="spellStart"/>
      <w:r w:rsidR="00C52D91" w:rsidRPr="00C52D91">
        <w:rPr>
          <w:sz w:val="20"/>
          <w:szCs w:val="20"/>
          <w:lang w:val="es-ES"/>
        </w:rPr>
        <w:t>Numbers</w:t>
      </w:r>
      <w:proofErr w:type="spellEnd"/>
      <w:r w:rsidR="00C52D91" w:rsidRPr="00C52D91">
        <w:rPr>
          <w:sz w:val="20"/>
          <w:szCs w:val="20"/>
          <w:lang w:val="es-ES"/>
        </w:rPr>
        <w:t xml:space="preserve">, and </w:t>
      </w:r>
      <w:proofErr w:type="spellStart"/>
      <w:r w:rsidR="00C52D91" w:rsidRPr="00C52D91">
        <w:rPr>
          <w:sz w:val="20"/>
          <w:szCs w:val="20"/>
          <w:lang w:val="es-ES"/>
        </w:rPr>
        <w:t>Things</w:t>
      </w:r>
      <w:proofErr w:type="spellEnd"/>
      <w:r w:rsidR="00C52D91" w:rsidRPr="00C52D91">
        <w:rPr>
          <w:sz w:val="20"/>
          <w:szCs w:val="20"/>
          <w:lang w:val="es-ES"/>
        </w:rPr>
        <w:t xml:space="preserve">: </w:t>
      </w:r>
      <w:proofErr w:type="spellStart"/>
      <w:r w:rsidR="00C52D91" w:rsidRPr="00C52D91">
        <w:rPr>
          <w:sz w:val="20"/>
          <w:szCs w:val="20"/>
          <w:lang w:val="es-ES"/>
        </w:rPr>
        <w:t>Transgenics</w:t>
      </w:r>
      <w:proofErr w:type="spellEnd"/>
      <w:r w:rsidR="00C52D91" w:rsidRPr="00C52D91">
        <w:rPr>
          <w:sz w:val="20"/>
          <w:szCs w:val="20"/>
          <w:lang w:val="es-ES"/>
        </w:rPr>
        <w:t xml:space="preserve"> and </w:t>
      </w:r>
      <w:proofErr w:type="spellStart"/>
      <w:r w:rsidR="00C52D91" w:rsidRPr="00C52D91">
        <w:rPr>
          <w:sz w:val="20"/>
          <w:szCs w:val="20"/>
          <w:lang w:val="es-ES"/>
        </w:rPr>
        <w:t>Other</w:t>
      </w:r>
      <w:proofErr w:type="spellEnd"/>
      <w:r w:rsidR="00C52D91" w:rsidRPr="00C52D91">
        <w:rPr>
          <w:sz w:val="20"/>
          <w:szCs w:val="20"/>
          <w:lang w:val="es-ES"/>
        </w:rPr>
        <w:t xml:space="preserve"> </w:t>
      </w:r>
      <w:proofErr w:type="spellStart"/>
      <w:r w:rsidR="00C52D91" w:rsidRPr="00C52D91">
        <w:rPr>
          <w:sz w:val="20"/>
          <w:szCs w:val="20"/>
          <w:lang w:val="es-ES"/>
        </w:rPr>
        <w:t>Objects</w:t>
      </w:r>
      <w:proofErr w:type="spellEnd"/>
      <w:r w:rsidR="00C52D91" w:rsidRPr="00C52D91">
        <w:rPr>
          <w:sz w:val="20"/>
          <w:szCs w:val="20"/>
          <w:lang w:val="es-ES"/>
        </w:rPr>
        <w:t xml:space="preserve"> of </w:t>
      </w:r>
      <w:proofErr w:type="spellStart"/>
      <w:r w:rsidR="00C52D91" w:rsidRPr="00C52D91">
        <w:rPr>
          <w:sz w:val="20"/>
          <w:szCs w:val="20"/>
          <w:lang w:val="es-ES"/>
        </w:rPr>
        <w:t>Life</w:t>
      </w:r>
      <w:proofErr w:type="spellEnd"/>
      <w:r w:rsidR="00C52D91" w:rsidRPr="00C52D91">
        <w:rPr>
          <w:sz w:val="20"/>
          <w:szCs w:val="20"/>
          <w:lang w:val="es-ES"/>
        </w:rPr>
        <w:t xml:space="preserve"> in Margaret </w:t>
      </w:r>
      <w:proofErr w:type="spellStart"/>
      <w:r w:rsidR="00C52D91" w:rsidRPr="00C52D91">
        <w:rPr>
          <w:sz w:val="20"/>
          <w:szCs w:val="20"/>
          <w:lang w:val="es-ES"/>
        </w:rPr>
        <w:t>Atwood’s</w:t>
      </w:r>
      <w:proofErr w:type="spellEnd"/>
      <w:r w:rsidR="00C52D91" w:rsidRPr="00C52D91">
        <w:rPr>
          <w:sz w:val="20"/>
          <w:szCs w:val="20"/>
          <w:lang w:val="es-ES"/>
        </w:rPr>
        <w:t xml:space="preserve"> </w:t>
      </w:r>
      <w:proofErr w:type="spellStart"/>
      <w:r w:rsidR="00C52D91" w:rsidRPr="00C52D91">
        <w:rPr>
          <w:sz w:val="20"/>
          <w:szCs w:val="20"/>
          <w:lang w:val="es-ES"/>
        </w:rPr>
        <w:t>MaddAddams</w:t>
      </w:r>
      <w:proofErr w:type="spellEnd"/>
      <w:r w:rsidR="00C52D91" w:rsidRPr="00C52D91">
        <w:rPr>
          <w:sz w:val="20"/>
          <w:szCs w:val="20"/>
          <w:lang w:val="es-ES"/>
        </w:rPr>
        <w:t xml:space="preserve">’, </w:t>
      </w:r>
      <w:r w:rsidR="00C52D91" w:rsidRPr="00C52D91">
        <w:rPr>
          <w:i/>
          <w:iCs/>
          <w:sz w:val="20"/>
          <w:szCs w:val="20"/>
          <w:lang w:val="es-ES"/>
        </w:rPr>
        <w:t>Critique; Washington</w:t>
      </w:r>
      <w:r w:rsidR="00C52D91" w:rsidRPr="00C52D91">
        <w:rPr>
          <w:sz w:val="20"/>
          <w:szCs w:val="20"/>
          <w:lang w:val="es-ES"/>
        </w:rPr>
        <w:t>, 56.1 (2015), 1</w:t>
      </w:r>
      <w:r w:rsidR="008A1B53" w:rsidRPr="00C52D91">
        <w:rPr>
          <w:sz w:val="20"/>
          <w:szCs w:val="20"/>
          <w:lang w:val="en-US"/>
        </w:rPr>
        <w:t xml:space="preserve">, p. </w:t>
      </w:r>
      <w:r w:rsidR="001930C1" w:rsidRPr="00C52D91">
        <w:rPr>
          <w:sz w:val="20"/>
          <w:szCs w:val="20"/>
          <w:lang w:val="en-US"/>
        </w:rPr>
        <w:t>226</w:t>
      </w:r>
      <w:r w:rsidR="008A1B53" w:rsidRPr="00C52D91">
        <w:rPr>
          <w:sz w:val="20"/>
          <w:szCs w:val="20"/>
          <w:lang w:val="en-US"/>
        </w:rPr>
        <w:t>.</w:t>
      </w:r>
    </w:p>
  </w:footnote>
  <w:footnote w:id="60">
    <w:p w14:paraId="5201B48B" w14:textId="07B167A7" w:rsidR="008A1B53" w:rsidRPr="00D84EAE" w:rsidRDefault="008A1B53" w:rsidP="00D01E81">
      <w:pPr>
        <w:spacing w:line="240" w:lineRule="auto"/>
        <w:rPr>
          <w:sz w:val="20"/>
          <w:szCs w:val="20"/>
          <w:lang w:val="en-US"/>
        </w:rPr>
      </w:pPr>
      <w:r w:rsidRPr="00D84EAE">
        <w:rPr>
          <w:rStyle w:val="FootnoteReference"/>
          <w:sz w:val="20"/>
          <w:szCs w:val="20"/>
        </w:rPr>
        <w:footnoteRef/>
      </w:r>
      <w:r w:rsidRPr="00D84EAE">
        <w:rPr>
          <w:sz w:val="20"/>
          <w:szCs w:val="20"/>
          <w:lang w:val="en-US"/>
        </w:rPr>
        <w:t xml:space="preserve"> Narkunas,</w:t>
      </w:r>
      <w:r w:rsidR="004E31C8">
        <w:rPr>
          <w:sz w:val="20"/>
          <w:szCs w:val="20"/>
          <w:lang w:val="en-US"/>
        </w:rPr>
        <w:t xml:space="preserve"> </w:t>
      </w:r>
      <w:r w:rsidR="001930C1">
        <w:rPr>
          <w:i/>
          <w:iCs/>
          <w:sz w:val="20"/>
          <w:szCs w:val="20"/>
          <w:lang w:val="en-US"/>
        </w:rPr>
        <w:t>“</w:t>
      </w:r>
      <w:r w:rsidR="001930C1" w:rsidRPr="001930C1">
        <w:rPr>
          <w:sz w:val="20"/>
          <w:szCs w:val="20"/>
          <w:lang w:val="en-US"/>
        </w:rPr>
        <w:t>Between Words</w:t>
      </w:r>
      <w:r w:rsidR="00C52D91">
        <w:rPr>
          <w:sz w:val="20"/>
          <w:szCs w:val="20"/>
          <w:lang w:val="en-US"/>
        </w:rPr>
        <w:t>”,</w:t>
      </w:r>
      <w:r w:rsidR="001930C1">
        <w:rPr>
          <w:i/>
          <w:iCs/>
          <w:sz w:val="20"/>
          <w:szCs w:val="20"/>
          <w:lang w:val="en-US"/>
        </w:rPr>
        <w:t xml:space="preserve"> </w:t>
      </w:r>
      <w:r w:rsidRPr="00D84EAE">
        <w:rPr>
          <w:sz w:val="20"/>
          <w:szCs w:val="20"/>
          <w:lang w:val="en-US"/>
        </w:rPr>
        <w:t xml:space="preserve"> </w:t>
      </w:r>
      <w:r>
        <w:rPr>
          <w:sz w:val="20"/>
          <w:szCs w:val="20"/>
          <w:lang w:val="en-US"/>
        </w:rPr>
        <w:t>p.</w:t>
      </w:r>
      <w:r w:rsidR="001930C1">
        <w:rPr>
          <w:sz w:val="20"/>
          <w:szCs w:val="20"/>
          <w:lang w:val="en-US"/>
        </w:rPr>
        <w:t>226</w:t>
      </w:r>
      <w:r>
        <w:rPr>
          <w:sz w:val="20"/>
          <w:szCs w:val="20"/>
          <w:lang w:val="en-US"/>
        </w:rPr>
        <w:t xml:space="preserve"> .</w:t>
      </w:r>
    </w:p>
  </w:footnote>
  <w:footnote w:id="61">
    <w:p w14:paraId="7AB3426B" w14:textId="489DF5F6" w:rsidR="00B06F43" w:rsidRPr="00D84EAE" w:rsidRDefault="00B06F43" w:rsidP="0027373D">
      <w:pPr>
        <w:rPr>
          <w:sz w:val="20"/>
          <w:szCs w:val="20"/>
          <w:lang w:val="en-US"/>
        </w:rPr>
      </w:pPr>
      <w:r w:rsidRPr="00D84EAE">
        <w:rPr>
          <w:rStyle w:val="FootnoteReference"/>
          <w:sz w:val="20"/>
          <w:szCs w:val="20"/>
        </w:rPr>
        <w:footnoteRef/>
      </w:r>
      <w:r w:rsidRPr="00D84EAE">
        <w:rPr>
          <w:sz w:val="20"/>
          <w:szCs w:val="20"/>
          <w:lang w:val="en-US"/>
        </w:rPr>
        <w:t xml:space="preserve"> Narkunas,</w:t>
      </w:r>
      <w:r w:rsidR="00420052">
        <w:rPr>
          <w:sz w:val="20"/>
          <w:szCs w:val="20"/>
          <w:lang w:val="en-US"/>
        </w:rPr>
        <w:t xml:space="preserve"> </w:t>
      </w:r>
      <w:r w:rsidR="00420052" w:rsidRPr="00420052">
        <w:rPr>
          <w:i/>
          <w:iCs/>
          <w:sz w:val="20"/>
          <w:szCs w:val="20"/>
          <w:lang w:val="en-US"/>
        </w:rPr>
        <w:t>Reified Life</w:t>
      </w:r>
      <w:r w:rsidR="00420052">
        <w:rPr>
          <w:sz w:val="20"/>
          <w:szCs w:val="20"/>
          <w:lang w:val="en-US"/>
        </w:rPr>
        <w:t>,</w:t>
      </w:r>
      <w:r w:rsidRPr="00D84EAE">
        <w:rPr>
          <w:sz w:val="20"/>
          <w:szCs w:val="20"/>
          <w:lang w:val="en-US"/>
        </w:rPr>
        <w:t xml:space="preserve"> p. 200.</w:t>
      </w:r>
    </w:p>
  </w:footnote>
  <w:footnote w:id="62">
    <w:p w14:paraId="4A080120" w14:textId="77777777" w:rsidR="00B06F43" w:rsidRPr="00D84EAE" w:rsidRDefault="00B06F43" w:rsidP="0027373D">
      <w:pPr>
        <w:rPr>
          <w:sz w:val="20"/>
          <w:szCs w:val="20"/>
          <w:lang w:val="en-US"/>
        </w:rPr>
      </w:pPr>
      <w:r w:rsidRPr="00D84EAE">
        <w:rPr>
          <w:rStyle w:val="FootnoteReference"/>
          <w:sz w:val="20"/>
          <w:szCs w:val="20"/>
        </w:rPr>
        <w:footnoteRef/>
      </w:r>
      <w:r w:rsidRPr="00D84EAE">
        <w:rPr>
          <w:sz w:val="20"/>
          <w:szCs w:val="20"/>
          <w:lang w:val="en-US"/>
        </w:rPr>
        <w:t xml:space="preserve"> Cathy Waldby, The Visible Human Project: Informatic Bodies and Posthuman Medicine (London ; New York: Routledge, 2000).</w:t>
      </w:r>
    </w:p>
  </w:footnote>
  <w:footnote w:id="63">
    <w:p w14:paraId="30200503" w14:textId="4E6FD7CB" w:rsidR="00B06F43" w:rsidRPr="00D84EAE" w:rsidRDefault="00B06F43" w:rsidP="0027373D">
      <w:pPr>
        <w:pStyle w:val="FootnoteText"/>
        <w:rPr>
          <w:color w:val="FF0000"/>
        </w:rPr>
      </w:pPr>
      <w:r w:rsidRPr="00D84EAE">
        <w:rPr>
          <w:rStyle w:val="FootnoteReference"/>
        </w:rPr>
        <w:footnoteRef/>
      </w:r>
      <w:r w:rsidRPr="00D84EAE">
        <w:rPr>
          <w:lang w:val="en-US"/>
        </w:rPr>
        <w:t xml:space="preserve"> Waldby</w:t>
      </w:r>
      <w:r w:rsidR="00291424">
        <w:rPr>
          <w:lang w:val="en-US"/>
        </w:rPr>
        <w:t>,</w:t>
      </w:r>
      <w:r w:rsidRPr="00D84EAE">
        <w:rPr>
          <w:lang w:val="en-US"/>
        </w:rPr>
        <w:t xml:space="preserve"> p. 33.</w:t>
      </w:r>
    </w:p>
  </w:footnote>
  <w:footnote w:id="64">
    <w:p w14:paraId="576D1C81" w14:textId="22B77EB6" w:rsidR="00B06F43" w:rsidRPr="00D84EAE" w:rsidRDefault="00B06F43" w:rsidP="0027373D">
      <w:pPr>
        <w:pStyle w:val="FootnoteText"/>
      </w:pPr>
      <w:r w:rsidRPr="00D84EAE">
        <w:rPr>
          <w:rStyle w:val="FootnoteReference"/>
        </w:rPr>
        <w:footnoteRef/>
      </w:r>
      <w:r w:rsidRPr="00D84EAE">
        <w:rPr>
          <w:lang w:val="en-US"/>
        </w:rPr>
        <w:t xml:space="preserve"> J. Brooks Bouson, ‘“It’s Game Over Forever”: Atwood’s Satiric Vision of a Bioengineered Posthuman Future in </w:t>
      </w:r>
      <w:r w:rsidRPr="00D84EAE">
        <w:rPr>
          <w:i/>
          <w:iCs/>
          <w:lang w:val="en-US"/>
        </w:rPr>
        <w:t>Oryx and Crake’</w:t>
      </w:r>
      <w:r w:rsidRPr="00D84EAE">
        <w:rPr>
          <w:lang w:val="en-US"/>
        </w:rPr>
        <w:t xml:space="preserve">, </w:t>
      </w:r>
      <w:r w:rsidRPr="00D84EAE">
        <w:rPr>
          <w:i/>
          <w:iCs/>
          <w:lang w:val="en-US"/>
        </w:rPr>
        <w:t>The Journal of Commonwealth Literature</w:t>
      </w:r>
      <w:r w:rsidRPr="00D84EAE">
        <w:rPr>
          <w:lang w:val="en-US"/>
        </w:rPr>
        <w:t>, 39.3 (2004), 139–56</w:t>
      </w:r>
      <w:r w:rsidR="00F166D7">
        <w:rPr>
          <w:lang w:val="en-US"/>
        </w:rPr>
        <w:t>.</w:t>
      </w:r>
    </w:p>
  </w:footnote>
  <w:footnote w:id="65">
    <w:p w14:paraId="0FEB6798" w14:textId="1554793E" w:rsidR="00B06F43" w:rsidRPr="00D84EAE" w:rsidRDefault="00B06F43" w:rsidP="0027373D">
      <w:pPr>
        <w:rPr>
          <w:sz w:val="20"/>
          <w:szCs w:val="20"/>
          <w:lang w:val="en-US"/>
        </w:rPr>
      </w:pPr>
      <w:r w:rsidRPr="00D84EAE">
        <w:rPr>
          <w:rStyle w:val="FootnoteReference"/>
          <w:sz w:val="20"/>
          <w:szCs w:val="20"/>
        </w:rPr>
        <w:footnoteRef/>
      </w:r>
      <w:r w:rsidRPr="00D84EAE">
        <w:rPr>
          <w:sz w:val="20"/>
          <w:szCs w:val="20"/>
          <w:lang w:val="en-US"/>
        </w:rPr>
        <w:t xml:space="preserve"> </w:t>
      </w:r>
      <w:r w:rsidR="004E28A2" w:rsidRPr="00D84EAE">
        <w:rPr>
          <w:sz w:val="20"/>
          <w:szCs w:val="20"/>
          <w:lang w:val="en-US"/>
        </w:rPr>
        <w:t xml:space="preserve">Marcy L. Galbreath, ‘Genomic Bodies: Un-Natural Selection, Extinction, and the Posthuman in Atwood’s </w:t>
      </w:r>
      <w:r w:rsidR="004E28A2" w:rsidRPr="00D84EAE">
        <w:rPr>
          <w:i/>
          <w:iCs/>
          <w:sz w:val="20"/>
          <w:szCs w:val="20"/>
          <w:lang w:val="en-US"/>
        </w:rPr>
        <w:t>Oryx and Crake’</w:t>
      </w:r>
      <w:r w:rsidR="004E28A2" w:rsidRPr="00D84EAE">
        <w:rPr>
          <w:sz w:val="20"/>
          <w:szCs w:val="20"/>
          <w:lang w:val="en-US"/>
        </w:rPr>
        <w:t xml:space="preserve"> &lt;</w:t>
      </w:r>
      <w:hyperlink r:id="rId13" w:history="1">
        <w:r w:rsidR="004E28A2" w:rsidRPr="00D84EAE">
          <w:rPr>
            <w:rStyle w:val="Hyperlink"/>
            <w:sz w:val="20"/>
            <w:szCs w:val="20"/>
            <w:lang w:val="en-US"/>
          </w:rPr>
          <w:t>https://www.academia.edu/238034/Genomic_Bodies_Un_Natural_Selection_Extinction_and_the_Posthuman_in_Atwood_s_Oryx_and_Crake</w:t>
        </w:r>
      </w:hyperlink>
      <w:r w:rsidR="004E28A2" w:rsidRPr="00D84EAE">
        <w:rPr>
          <w:sz w:val="20"/>
          <w:szCs w:val="20"/>
          <w:lang w:val="en-US"/>
        </w:rPr>
        <w:t>&gt; [accessed 18 August 2020]</w:t>
      </w:r>
      <w:r w:rsidR="004E28A2">
        <w:rPr>
          <w:sz w:val="20"/>
          <w:szCs w:val="20"/>
          <w:lang w:val="en-US"/>
        </w:rPr>
        <w:t>,</w:t>
      </w:r>
      <w:r w:rsidR="00C37B89">
        <w:rPr>
          <w:sz w:val="20"/>
          <w:szCs w:val="20"/>
          <w:lang w:val="en-US"/>
        </w:rPr>
        <w:t xml:space="preserve"> p. 2.</w:t>
      </w:r>
    </w:p>
  </w:footnote>
  <w:footnote w:id="66">
    <w:p w14:paraId="54F1E6D1" w14:textId="77777777" w:rsidR="00B06F43" w:rsidRPr="002812BB" w:rsidRDefault="00B06F43" w:rsidP="0027373D">
      <w:pPr>
        <w:pStyle w:val="FootnoteText"/>
      </w:pPr>
      <w:r w:rsidRPr="002812BB">
        <w:rPr>
          <w:rStyle w:val="FootnoteReference"/>
        </w:rPr>
        <w:footnoteRef/>
      </w:r>
      <w:r w:rsidRPr="002812BB">
        <w:rPr>
          <w:lang w:val="en-US"/>
        </w:rPr>
        <w:t xml:space="preserve"> Atwood, </w:t>
      </w:r>
      <w:r w:rsidRPr="002812BB">
        <w:rPr>
          <w:i/>
          <w:iCs/>
          <w:lang w:val="en-US"/>
        </w:rPr>
        <w:t>Oryx And Crake</w:t>
      </w:r>
      <w:r w:rsidRPr="002812BB">
        <w:rPr>
          <w:lang w:val="en-US"/>
        </w:rPr>
        <w:t>, p. 29.</w:t>
      </w:r>
    </w:p>
  </w:footnote>
  <w:footnote w:id="67">
    <w:p w14:paraId="5F30CD65" w14:textId="77777777" w:rsidR="00B06F43" w:rsidRPr="002812BB" w:rsidRDefault="00B06F43" w:rsidP="0027373D">
      <w:pPr>
        <w:pStyle w:val="FootnoteText"/>
      </w:pPr>
      <w:r w:rsidRPr="002812BB">
        <w:rPr>
          <w:rStyle w:val="FootnoteReference"/>
        </w:rPr>
        <w:footnoteRef/>
      </w:r>
      <w:r w:rsidRPr="002812BB">
        <w:rPr>
          <w:lang w:val="en-US"/>
        </w:rPr>
        <w:t xml:space="preserve"> Margaret Atwood, </w:t>
      </w:r>
      <w:r w:rsidRPr="002812BB">
        <w:rPr>
          <w:i/>
          <w:iCs/>
          <w:lang w:val="en-US"/>
        </w:rPr>
        <w:t>The Year of the Flood</w:t>
      </w:r>
      <w:r w:rsidRPr="002812BB">
        <w:rPr>
          <w:lang w:val="en-US"/>
        </w:rPr>
        <w:t xml:space="preserve"> (London: Virago, 2014), p. 33.</w:t>
      </w:r>
    </w:p>
  </w:footnote>
  <w:footnote w:id="68">
    <w:p w14:paraId="6E4483FD" w14:textId="77777777" w:rsidR="00B06F43" w:rsidRPr="002812BB" w:rsidRDefault="00B06F43" w:rsidP="0027373D">
      <w:pPr>
        <w:pStyle w:val="FootnoteText"/>
      </w:pPr>
      <w:r w:rsidRPr="002812BB">
        <w:rPr>
          <w:rStyle w:val="FootnoteReference"/>
        </w:rPr>
        <w:footnoteRef/>
      </w:r>
      <w:r w:rsidRPr="002812BB">
        <w:rPr>
          <w:lang w:val="en-US"/>
        </w:rPr>
        <w:t xml:space="preserve"> Atwood, The Year of the Flood, p. 33.</w:t>
      </w:r>
    </w:p>
  </w:footnote>
  <w:footnote w:id="69">
    <w:p w14:paraId="55887B1E" w14:textId="77777777" w:rsidR="00B06F43" w:rsidRPr="002812BB" w:rsidRDefault="00B06F43" w:rsidP="0027373D">
      <w:pPr>
        <w:rPr>
          <w:sz w:val="20"/>
          <w:szCs w:val="20"/>
          <w:lang w:val="en-US"/>
        </w:rPr>
      </w:pPr>
      <w:r w:rsidRPr="002812BB">
        <w:rPr>
          <w:rStyle w:val="FootnoteReference"/>
          <w:sz w:val="20"/>
          <w:szCs w:val="20"/>
        </w:rPr>
        <w:footnoteRef/>
      </w:r>
      <w:r w:rsidRPr="002812BB">
        <w:rPr>
          <w:sz w:val="20"/>
          <w:szCs w:val="20"/>
          <w:lang w:val="en-US"/>
        </w:rPr>
        <w:t xml:space="preserve"> </w:t>
      </w:r>
      <w:r w:rsidRPr="002812BB">
        <w:rPr>
          <w:i/>
          <w:iCs/>
          <w:sz w:val="20"/>
          <w:szCs w:val="20"/>
          <w:lang w:val="en-US"/>
        </w:rPr>
        <w:t>Ibid</w:t>
      </w:r>
      <w:r w:rsidRPr="002812BB">
        <w:rPr>
          <w:sz w:val="20"/>
          <w:szCs w:val="20"/>
          <w:lang w:val="en-US"/>
        </w:rPr>
        <w:t>., p. 34.</w:t>
      </w:r>
    </w:p>
  </w:footnote>
  <w:footnote w:id="70">
    <w:p w14:paraId="6FE811A0" w14:textId="77777777" w:rsidR="00B06F43" w:rsidRPr="002812BB" w:rsidRDefault="00B06F43" w:rsidP="0027373D">
      <w:pPr>
        <w:rPr>
          <w:sz w:val="20"/>
          <w:szCs w:val="20"/>
          <w:lang w:val="en-US"/>
        </w:rPr>
      </w:pPr>
      <w:r w:rsidRPr="002812BB">
        <w:rPr>
          <w:rStyle w:val="FootnoteReference"/>
          <w:sz w:val="20"/>
          <w:szCs w:val="20"/>
        </w:rPr>
        <w:footnoteRef/>
      </w:r>
      <w:r w:rsidRPr="002812BB">
        <w:rPr>
          <w:sz w:val="20"/>
          <w:szCs w:val="20"/>
          <w:lang w:val="en-US"/>
        </w:rPr>
        <w:t xml:space="preserve"> Lars Schmeink, </w:t>
      </w:r>
      <w:r w:rsidRPr="002812BB">
        <w:rPr>
          <w:i/>
          <w:iCs/>
          <w:sz w:val="20"/>
          <w:szCs w:val="20"/>
          <w:lang w:val="en-US"/>
        </w:rPr>
        <w:t>Biopunk Dystopias Genetic Engineering, Society and Science Fiction</w:t>
      </w:r>
      <w:r w:rsidRPr="002812BB">
        <w:rPr>
          <w:sz w:val="20"/>
          <w:szCs w:val="20"/>
          <w:lang w:val="en-US"/>
        </w:rPr>
        <w:t xml:space="preserve"> (Liverpool: Liverpool University Press, 2017) p. 82.</w:t>
      </w:r>
    </w:p>
  </w:footnote>
  <w:footnote w:id="71">
    <w:p w14:paraId="34F91E43" w14:textId="77777777" w:rsidR="00B06F43" w:rsidRPr="00605446" w:rsidRDefault="00B06F43" w:rsidP="0027373D">
      <w:pPr>
        <w:rPr>
          <w:color w:val="FF0000"/>
          <w:sz w:val="20"/>
          <w:szCs w:val="20"/>
          <w:lang w:val="en-US"/>
        </w:rPr>
      </w:pPr>
      <w:r w:rsidRPr="00605446">
        <w:rPr>
          <w:rStyle w:val="FootnoteReference"/>
          <w:sz w:val="20"/>
          <w:szCs w:val="20"/>
        </w:rPr>
        <w:footnoteRef/>
      </w:r>
      <w:r w:rsidRPr="00605446">
        <w:rPr>
          <w:sz w:val="20"/>
          <w:szCs w:val="20"/>
          <w:lang w:val="en-US"/>
        </w:rPr>
        <w:t xml:space="preserve"> Schmeink, p. 90.</w:t>
      </w:r>
    </w:p>
  </w:footnote>
  <w:footnote w:id="72">
    <w:p w14:paraId="540AC2FC" w14:textId="259399A8" w:rsidR="00B06F43" w:rsidRPr="003A6B80" w:rsidRDefault="00B06F43" w:rsidP="0027373D">
      <w:pPr>
        <w:rPr>
          <w:lang w:val="en-US"/>
        </w:rPr>
      </w:pPr>
      <w:r w:rsidRPr="00605446">
        <w:rPr>
          <w:rStyle w:val="FootnoteReference"/>
          <w:sz w:val="20"/>
          <w:szCs w:val="20"/>
        </w:rPr>
        <w:footnoteRef/>
      </w:r>
      <w:r w:rsidRPr="00605446">
        <w:rPr>
          <w:sz w:val="20"/>
          <w:szCs w:val="20"/>
          <w:lang w:val="en-US"/>
        </w:rPr>
        <w:t xml:space="preserve"> Chung-Hao Ku, ‘Of Monster and Man: Transgenics and Transgression in Margaret Atwood’s </w:t>
      </w:r>
      <w:r w:rsidRPr="00605446">
        <w:rPr>
          <w:i/>
          <w:iCs/>
          <w:color w:val="000000" w:themeColor="text1"/>
          <w:sz w:val="20"/>
          <w:szCs w:val="20"/>
          <w:lang w:val="en-US"/>
        </w:rPr>
        <w:t>Oryx and Crake’</w:t>
      </w:r>
      <w:r w:rsidRPr="00605446">
        <w:rPr>
          <w:sz w:val="20"/>
          <w:szCs w:val="20"/>
          <w:lang w:val="en-US"/>
        </w:rPr>
        <w:t xml:space="preserve">, </w:t>
      </w:r>
      <w:r w:rsidRPr="00605446">
        <w:rPr>
          <w:i/>
          <w:iCs/>
          <w:sz w:val="20"/>
          <w:szCs w:val="20"/>
          <w:lang w:val="en-US"/>
        </w:rPr>
        <w:t>Concentric: Literary and Cultural Studies</w:t>
      </w:r>
      <w:r w:rsidRPr="00605446">
        <w:rPr>
          <w:sz w:val="20"/>
          <w:szCs w:val="20"/>
          <w:lang w:val="en-US"/>
        </w:rPr>
        <w:t>, 32.1 (2006), 107–33</w:t>
      </w:r>
      <w:r w:rsidR="00004237">
        <w:rPr>
          <w:sz w:val="20"/>
          <w:szCs w:val="20"/>
          <w:lang w:val="en-US"/>
        </w:rPr>
        <w:t xml:space="preserve">, </w:t>
      </w:r>
      <w:r w:rsidRPr="003A6B80">
        <w:rPr>
          <w:lang w:val="en-US"/>
        </w:rPr>
        <w:t>&lt;</w:t>
      </w:r>
      <w:hyperlink r:id="rId14" w:history="1">
        <w:r w:rsidRPr="003A6B80">
          <w:rPr>
            <w:rStyle w:val="Hyperlink"/>
            <w:sz w:val="20"/>
            <w:szCs w:val="20"/>
            <w:lang w:val="en-US"/>
          </w:rPr>
          <w:t>https://doi.org/10.6240/concentric.lit.200601_32(1).0005</w:t>
        </w:r>
      </w:hyperlink>
      <w:r w:rsidRPr="003A6B80">
        <w:rPr>
          <w:lang w:val="en-US"/>
        </w:rPr>
        <w:t>&gt;</w:t>
      </w:r>
      <w:r w:rsidR="00004237">
        <w:rPr>
          <w:lang w:val="en-US"/>
        </w:rPr>
        <w:t xml:space="preserve">, </w:t>
      </w:r>
      <w:r w:rsidR="00004237" w:rsidRPr="00605446">
        <w:rPr>
          <w:sz w:val="20"/>
          <w:szCs w:val="20"/>
          <w:lang w:val="en-US"/>
        </w:rPr>
        <w:t>p. 113</w:t>
      </w:r>
    </w:p>
  </w:footnote>
  <w:footnote w:id="73">
    <w:p w14:paraId="3BE724CC" w14:textId="77777777" w:rsidR="00B06F43" w:rsidRPr="003F38BB" w:rsidRDefault="00B06F43" w:rsidP="0027373D">
      <w:pPr>
        <w:pStyle w:val="FootnoteText"/>
        <w:rPr>
          <w:lang w:val="en-US"/>
        </w:rPr>
      </w:pPr>
      <w:r>
        <w:rPr>
          <w:rStyle w:val="FootnoteReference"/>
        </w:rPr>
        <w:footnoteRef/>
      </w:r>
      <w:r w:rsidRPr="003F38BB">
        <w:rPr>
          <w:lang w:val="en-US"/>
        </w:rPr>
        <w:t xml:space="preserve"> </w:t>
      </w:r>
      <w:r w:rsidRPr="00354016">
        <w:rPr>
          <w:lang w:val="en-US"/>
        </w:rPr>
        <w:t xml:space="preserve">Atwood, </w:t>
      </w:r>
      <w:r w:rsidRPr="00E574E1">
        <w:rPr>
          <w:i/>
          <w:iCs/>
          <w:lang w:val="en-US"/>
        </w:rPr>
        <w:t>Maddaddam</w:t>
      </w:r>
      <w:r>
        <w:rPr>
          <w:lang w:val="en-US"/>
        </w:rPr>
        <w:t>, p. 34.</w:t>
      </w:r>
    </w:p>
  </w:footnote>
  <w:footnote w:id="74">
    <w:p w14:paraId="2D7B8B7D" w14:textId="77777777" w:rsidR="00B06F43" w:rsidRPr="003F38BB" w:rsidRDefault="00B06F43" w:rsidP="0027373D">
      <w:pPr>
        <w:pStyle w:val="FootnoteText"/>
        <w:rPr>
          <w:lang w:val="en-US"/>
        </w:rPr>
      </w:pPr>
      <w:r>
        <w:rPr>
          <w:rStyle w:val="FootnoteReference"/>
        </w:rPr>
        <w:footnoteRef/>
      </w:r>
      <w:r w:rsidRPr="003F38BB">
        <w:rPr>
          <w:lang w:val="en-US"/>
        </w:rPr>
        <w:t xml:space="preserve"> </w:t>
      </w:r>
      <w:r>
        <w:rPr>
          <w:i/>
          <w:iCs/>
          <w:lang w:val="en-US"/>
        </w:rPr>
        <w:t>Ibid.</w:t>
      </w:r>
      <w:r>
        <w:rPr>
          <w:lang w:val="en-US"/>
        </w:rPr>
        <w:t>, p. 34.</w:t>
      </w:r>
    </w:p>
  </w:footnote>
  <w:footnote w:id="75">
    <w:p w14:paraId="77A30B08" w14:textId="677F6C69" w:rsidR="00B06F43" w:rsidRPr="003F38BB" w:rsidRDefault="00B06F43" w:rsidP="0027373D">
      <w:pPr>
        <w:pStyle w:val="FootnoteText"/>
        <w:rPr>
          <w:lang w:val="en-US"/>
        </w:rPr>
      </w:pPr>
      <w:r>
        <w:rPr>
          <w:rStyle w:val="FootnoteReference"/>
        </w:rPr>
        <w:footnoteRef/>
      </w:r>
      <w:r w:rsidRPr="003F38BB">
        <w:rPr>
          <w:lang w:val="en-US"/>
        </w:rPr>
        <w:t xml:space="preserve"> </w:t>
      </w:r>
      <w:r w:rsidRPr="004C2F97">
        <w:rPr>
          <w:i/>
          <w:iCs/>
          <w:lang w:val="en-US"/>
        </w:rPr>
        <w:t>Ibid</w:t>
      </w:r>
      <w:r>
        <w:rPr>
          <w:lang w:val="en-US"/>
        </w:rPr>
        <w:t>.</w:t>
      </w:r>
    </w:p>
  </w:footnote>
  <w:footnote w:id="76">
    <w:p w14:paraId="44EB1CD4" w14:textId="1E6EDE59" w:rsidR="00B06F43" w:rsidRPr="00F2507C" w:rsidRDefault="00B06F43" w:rsidP="0027373D">
      <w:pPr>
        <w:pStyle w:val="FootnoteText"/>
        <w:rPr>
          <w:rFonts w:ascii="Garamond" w:hAnsi="Garamond"/>
          <w:i/>
          <w:iCs/>
          <w:color w:val="FF0000"/>
          <w:lang w:val="en-US"/>
        </w:rPr>
      </w:pPr>
      <w:r>
        <w:rPr>
          <w:rStyle w:val="FootnoteReference"/>
        </w:rPr>
        <w:footnoteRef/>
      </w:r>
      <w:r w:rsidRPr="003A6B80">
        <w:rPr>
          <w:lang w:val="en-US"/>
        </w:rPr>
        <w:t xml:space="preserve"> </w:t>
      </w:r>
      <w:r w:rsidR="00004237" w:rsidRPr="004C2F97">
        <w:rPr>
          <w:i/>
          <w:iCs/>
          <w:lang w:val="en-US"/>
        </w:rPr>
        <w:t>Ibid</w:t>
      </w:r>
      <w:r w:rsidR="00004237">
        <w:rPr>
          <w:lang w:val="en-US"/>
        </w:rPr>
        <w:t>.</w:t>
      </w:r>
    </w:p>
  </w:footnote>
  <w:footnote w:id="77">
    <w:p w14:paraId="0ABDD2A7" w14:textId="77777777" w:rsidR="00B06F43" w:rsidRPr="00B91627" w:rsidRDefault="00B06F43" w:rsidP="00491CEB">
      <w:pPr>
        <w:pStyle w:val="FootnoteText"/>
        <w:rPr>
          <w:lang w:val="en-US"/>
        </w:rPr>
      </w:pPr>
      <w:r w:rsidRPr="00B91627">
        <w:rPr>
          <w:rStyle w:val="FootnoteReference"/>
        </w:rPr>
        <w:footnoteRef/>
      </w:r>
      <w:r w:rsidRPr="00B91627">
        <w:rPr>
          <w:lang w:val="en-US"/>
        </w:rPr>
        <w:t xml:space="preserve"> Nick Fiddes, </w:t>
      </w:r>
      <w:r w:rsidRPr="00B91627">
        <w:rPr>
          <w:i/>
          <w:iCs/>
          <w:lang w:val="en-US"/>
        </w:rPr>
        <w:t>Meat: A Natural Symbol</w:t>
      </w:r>
      <w:r w:rsidRPr="00B91627">
        <w:rPr>
          <w:lang w:val="en-US"/>
        </w:rPr>
        <w:t>, Reprinted (London: Routledge, 1992).</w:t>
      </w:r>
    </w:p>
  </w:footnote>
  <w:footnote w:id="78">
    <w:p w14:paraId="2F46F7C8" w14:textId="77777777" w:rsidR="00B06F43" w:rsidRPr="002812BB" w:rsidRDefault="00B06F43" w:rsidP="0027373D">
      <w:pPr>
        <w:rPr>
          <w:sz w:val="20"/>
          <w:szCs w:val="20"/>
          <w:lang w:val="en-US"/>
        </w:rPr>
      </w:pPr>
      <w:r w:rsidRPr="002812BB">
        <w:rPr>
          <w:rStyle w:val="FootnoteReference"/>
          <w:sz w:val="20"/>
          <w:szCs w:val="20"/>
        </w:rPr>
        <w:footnoteRef/>
      </w:r>
      <w:r w:rsidRPr="002812BB">
        <w:rPr>
          <w:sz w:val="20"/>
          <w:szCs w:val="20"/>
          <w:lang w:val="en-US"/>
        </w:rPr>
        <w:t xml:space="preserve"> Jovian Parry, ‘</w:t>
      </w:r>
      <w:r w:rsidRPr="002812BB">
        <w:rPr>
          <w:i/>
          <w:iCs/>
          <w:color w:val="000000" w:themeColor="text1"/>
          <w:sz w:val="20"/>
          <w:szCs w:val="20"/>
          <w:lang w:val="en-US"/>
        </w:rPr>
        <w:t>Oryx and Crake</w:t>
      </w:r>
      <w:r w:rsidRPr="002812BB">
        <w:rPr>
          <w:color w:val="000000" w:themeColor="text1"/>
          <w:sz w:val="20"/>
          <w:szCs w:val="20"/>
          <w:lang w:val="en-US"/>
        </w:rPr>
        <w:t xml:space="preserve"> </w:t>
      </w:r>
      <w:r w:rsidRPr="002812BB">
        <w:rPr>
          <w:sz w:val="20"/>
          <w:szCs w:val="20"/>
          <w:lang w:val="en-US"/>
        </w:rPr>
        <w:t xml:space="preserve">and the New Nostalgia for Meat’, </w:t>
      </w:r>
      <w:r w:rsidRPr="002812BB">
        <w:rPr>
          <w:i/>
          <w:iCs/>
          <w:sz w:val="20"/>
          <w:szCs w:val="20"/>
          <w:lang w:val="en-US"/>
        </w:rPr>
        <w:t>Society &amp; Animals</w:t>
      </w:r>
      <w:r w:rsidRPr="002812BB">
        <w:rPr>
          <w:sz w:val="20"/>
          <w:szCs w:val="20"/>
          <w:lang w:val="en-US"/>
        </w:rPr>
        <w:t>, 17.3 (2009), 241–56 &lt;</w:t>
      </w:r>
      <w:hyperlink r:id="rId15" w:history="1">
        <w:r w:rsidRPr="002812BB">
          <w:rPr>
            <w:rStyle w:val="Hyperlink"/>
            <w:sz w:val="20"/>
            <w:szCs w:val="20"/>
            <w:lang w:val="en-US"/>
          </w:rPr>
          <w:t>https://doi.org/10.1163/156853009X445406</w:t>
        </w:r>
      </w:hyperlink>
      <w:r w:rsidRPr="002812BB">
        <w:rPr>
          <w:sz w:val="20"/>
          <w:szCs w:val="20"/>
          <w:lang w:val="en-US"/>
        </w:rPr>
        <w:t>&gt;.</w:t>
      </w:r>
    </w:p>
  </w:footnote>
  <w:footnote w:id="79">
    <w:p w14:paraId="509C8674" w14:textId="77777777" w:rsidR="00B06F43" w:rsidRPr="00336BB2" w:rsidRDefault="00B06F43" w:rsidP="0027373D">
      <w:pPr>
        <w:pStyle w:val="FootnoteText"/>
        <w:rPr>
          <w:lang w:val="en-US"/>
        </w:rPr>
      </w:pPr>
      <w:r>
        <w:rPr>
          <w:rStyle w:val="FootnoteReference"/>
        </w:rPr>
        <w:footnoteRef/>
      </w:r>
      <w:r w:rsidRPr="00336BB2">
        <w:rPr>
          <w:lang w:val="en-US"/>
        </w:rPr>
        <w:t xml:space="preserve"> </w:t>
      </w:r>
      <w:r w:rsidRPr="00885BFF">
        <w:rPr>
          <w:lang w:val="en-US"/>
        </w:rPr>
        <w:t>Atwood,</w:t>
      </w:r>
      <w:r w:rsidRPr="00354016">
        <w:rPr>
          <w:lang w:val="en-US"/>
        </w:rPr>
        <w:t xml:space="preserve"> </w:t>
      </w:r>
      <w:r w:rsidRPr="00354016">
        <w:rPr>
          <w:i/>
          <w:iCs/>
          <w:lang w:val="en-US"/>
        </w:rPr>
        <w:t>Oryx And Crake</w:t>
      </w:r>
      <w:r>
        <w:rPr>
          <w:i/>
          <w:iCs/>
          <w:lang w:val="en-US"/>
        </w:rPr>
        <w:t>,</w:t>
      </w:r>
      <w:r w:rsidRPr="00354016">
        <w:rPr>
          <w:lang w:val="en-US"/>
        </w:rPr>
        <w:t xml:space="preserve"> </w:t>
      </w:r>
      <w:r>
        <w:rPr>
          <w:lang w:val="en-US"/>
        </w:rPr>
        <w:t>p. 202-3.</w:t>
      </w:r>
    </w:p>
  </w:footnote>
  <w:footnote w:id="80">
    <w:p w14:paraId="1FDEDEF8" w14:textId="77777777" w:rsidR="00B06F43" w:rsidRPr="00CB4F87" w:rsidRDefault="00B06F43" w:rsidP="0027373D">
      <w:pPr>
        <w:pStyle w:val="FootnoteText"/>
        <w:rPr>
          <w:lang w:val="en-US"/>
        </w:rPr>
      </w:pPr>
      <w:r>
        <w:rPr>
          <w:rStyle w:val="FootnoteReference"/>
        </w:rPr>
        <w:footnoteRef/>
      </w:r>
      <w:r w:rsidRPr="00CB4F87">
        <w:rPr>
          <w:lang w:val="en-US"/>
        </w:rPr>
        <w:t xml:space="preserve"> </w:t>
      </w:r>
      <w:r>
        <w:rPr>
          <w:i/>
          <w:iCs/>
          <w:lang w:val="en-US"/>
        </w:rPr>
        <w:t>Ibid.,</w:t>
      </w:r>
      <w:r w:rsidRPr="00354016">
        <w:rPr>
          <w:lang w:val="en-US"/>
        </w:rPr>
        <w:t xml:space="preserve"> </w:t>
      </w:r>
      <w:r>
        <w:rPr>
          <w:lang w:val="en-US"/>
        </w:rPr>
        <w:t>p. 202.</w:t>
      </w:r>
    </w:p>
  </w:footnote>
  <w:footnote w:id="81">
    <w:p w14:paraId="441C86DE" w14:textId="77777777" w:rsidR="00B06F43" w:rsidRPr="00CB4F87" w:rsidRDefault="00B06F43" w:rsidP="0027373D">
      <w:pPr>
        <w:pStyle w:val="FootnoteText"/>
        <w:rPr>
          <w:lang w:val="en-US"/>
        </w:rPr>
      </w:pPr>
      <w:r>
        <w:rPr>
          <w:rStyle w:val="FootnoteReference"/>
        </w:rPr>
        <w:footnoteRef/>
      </w:r>
      <w:r w:rsidRPr="00CB4F87">
        <w:rPr>
          <w:lang w:val="en-US"/>
        </w:rPr>
        <w:t xml:space="preserve"> </w:t>
      </w:r>
      <w:r>
        <w:rPr>
          <w:i/>
          <w:iCs/>
          <w:lang w:val="en-US"/>
        </w:rPr>
        <w:t>Ibid.,</w:t>
      </w:r>
      <w:r w:rsidRPr="00354016">
        <w:rPr>
          <w:lang w:val="en-US"/>
        </w:rPr>
        <w:t xml:space="preserve"> </w:t>
      </w:r>
      <w:r>
        <w:rPr>
          <w:lang w:val="en-US"/>
        </w:rPr>
        <w:t>p. 202.</w:t>
      </w:r>
    </w:p>
  </w:footnote>
  <w:footnote w:id="82">
    <w:p w14:paraId="156EC406" w14:textId="77777777" w:rsidR="00B06F43" w:rsidRPr="002812BB" w:rsidRDefault="00B06F43" w:rsidP="0027373D">
      <w:pPr>
        <w:rPr>
          <w:sz w:val="20"/>
          <w:szCs w:val="20"/>
          <w:lang w:val="en-US"/>
        </w:rPr>
      </w:pPr>
      <w:r w:rsidRPr="002812BB">
        <w:rPr>
          <w:rStyle w:val="FootnoteReference"/>
          <w:sz w:val="20"/>
          <w:szCs w:val="20"/>
        </w:rPr>
        <w:footnoteRef/>
      </w:r>
      <w:r w:rsidRPr="002812BB">
        <w:rPr>
          <w:sz w:val="20"/>
          <w:szCs w:val="20"/>
          <w:lang w:val="en-US"/>
        </w:rPr>
        <w:t xml:space="preserve"> Donna Jeanne Haraway, </w:t>
      </w:r>
      <w:r w:rsidRPr="002812BB">
        <w:rPr>
          <w:i/>
          <w:iCs/>
          <w:sz w:val="20"/>
          <w:szCs w:val="20"/>
          <w:lang w:val="en-US"/>
        </w:rPr>
        <w:t>When Species Meet</w:t>
      </w:r>
      <w:r w:rsidRPr="002812BB">
        <w:rPr>
          <w:sz w:val="20"/>
          <w:szCs w:val="20"/>
          <w:lang w:val="en-US"/>
        </w:rPr>
        <w:t>, Posthumanities, 3 (Minneapolis: University of Minnesota Press, 2008) p. 268.</w:t>
      </w:r>
    </w:p>
  </w:footnote>
  <w:footnote w:id="83">
    <w:p w14:paraId="5562D7B2" w14:textId="77777777" w:rsidR="00B06F43" w:rsidRPr="00D308EA" w:rsidRDefault="00B06F43" w:rsidP="0027373D">
      <w:pPr>
        <w:pStyle w:val="FootnoteText"/>
        <w:rPr>
          <w:lang w:val="en-US"/>
        </w:rPr>
      </w:pPr>
      <w:r>
        <w:rPr>
          <w:rStyle w:val="FootnoteReference"/>
        </w:rPr>
        <w:footnoteRef/>
      </w:r>
      <w:r w:rsidRPr="00D308EA">
        <w:rPr>
          <w:lang w:val="en-US"/>
        </w:rPr>
        <w:t xml:space="preserve"> </w:t>
      </w:r>
      <w:r w:rsidRPr="00354016">
        <w:rPr>
          <w:lang w:val="en-US"/>
        </w:rPr>
        <w:t xml:space="preserve">Atwood, </w:t>
      </w:r>
      <w:r w:rsidRPr="00354016">
        <w:rPr>
          <w:i/>
          <w:iCs/>
          <w:lang w:val="en-US"/>
        </w:rPr>
        <w:t xml:space="preserve">Oryx And </w:t>
      </w:r>
      <w:r w:rsidRPr="008019E7">
        <w:rPr>
          <w:lang w:val="en-US"/>
        </w:rPr>
        <w:t>Crake</w:t>
      </w:r>
      <w:r>
        <w:rPr>
          <w:lang w:val="en-US"/>
        </w:rPr>
        <w:t xml:space="preserve">, </w:t>
      </w:r>
      <w:r w:rsidRPr="008019E7">
        <w:rPr>
          <w:lang w:val="en-US"/>
        </w:rPr>
        <w:t>p</w:t>
      </w:r>
      <w:r>
        <w:rPr>
          <w:lang w:val="en-US"/>
        </w:rPr>
        <w:t>. 242.</w:t>
      </w:r>
    </w:p>
  </w:footnote>
  <w:footnote w:id="84">
    <w:p w14:paraId="4BF9A65F" w14:textId="77777777" w:rsidR="00B06F43" w:rsidRPr="002812BB" w:rsidRDefault="00B06F43" w:rsidP="0027373D">
      <w:pPr>
        <w:rPr>
          <w:sz w:val="20"/>
          <w:szCs w:val="20"/>
          <w:lang w:val="en-US"/>
        </w:rPr>
      </w:pPr>
      <w:r w:rsidRPr="002812BB">
        <w:rPr>
          <w:rStyle w:val="FootnoteReference"/>
          <w:sz w:val="20"/>
          <w:szCs w:val="20"/>
        </w:rPr>
        <w:footnoteRef/>
      </w:r>
      <w:r w:rsidRPr="002812BB">
        <w:rPr>
          <w:sz w:val="20"/>
          <w:szCs w:val="20"/>
          <w:lang w:val="en-US"/>
        </w:rPr>
        <w:t xml:space="preserve"> Ku, p. 113.</w:t>
      </w:r>
    </w:p>
  </w:footnote>
  <w:footnote w:id="85">
    <w:p w14:paraId="43707B21" w14:textId="77777777" w:rsidR="00B06F43" w:rsidRPr="00107BB3" w:rsidRDefault="00B06F43" w:rsidP="0027373D">
      <w:pPr>
        <w:pStyle w:val="FootnoteText"/>
        <w:rPr>
          <w:lang w:val="en-US"/>
        </w:rPr>
      </w:pPr>
      <w:r>
        <w:rPr>
          <w:rStyle w:val="FootnoteReference"/>
        </w:rPr>
        <w:footnoteRef/>
      </w:r>
      <w:r w:rsidRPr="00107BB3">
        <w:rPr>
          <w:lang w:val="en-US"/>
        </w:rPr>
        <w:t xml:space="preserve"> </w:t>
      </w:r>
      <w:r w:rsidRPr="00354016">
        <w:rPr>
          <w:lang w:val="en-US"/>
        </w:rPr>
        <w:t xml:space="preserve">Atwood, </w:t>
      </w:r>
      <w:r w:rsidRPr="00354016">
        <w:rPr>
          <w:i/>
          <w:iCs/>
          <w:lang w:val="en-US"/>
        </w:rPr>
        <w:t>Oryx And Crake</w:t>
      </w:r>
      <w:r>
        <w:rPr>
          <w:lang w:val="en-US"/>
        </w:rPr>
        <w:t>, p. 293.</w:t>
      </w:r>
    </w:p>
  </w:footnote>
  <w:footnote w:id="86">
    <w:p w14:paraId="4D307B0D" w14:textId="77777777" w:rsidR="00B06F43" w:rsidRPr="00EE0AB7" w:rsidRDefault="00B06F43" w:rsidP="0027373D">
      <w:pPr>
        <w:pStyle w:val="FootnoteText"/>
        <w:rPr>
          <w:lang w:val="en-US"/>
        </w:rPr>
      </w:pPr>
      <w:r>
        <w:rPr>
          <w:rStyle w:val="FootnoteReference"/>
        </w:rPr>
        <w:footnoteRef/>
      </w:r>
      <w:r w:rsidRPr="00EE0AB7">
        <w:rPr>
          <w:lang w:val="en-US"/>
        </w:rPr>
        <w:t xml:space="preserve"> </w:t>
      </w:r>
      <w:r w:rsidRPr="008019E7">
        <w:rPr>
          <w:i/>
          <w:iCs/>
          <w:lang w:val="en-US"/>
        </w:rPr>
        <w:t>Ibid.,</w:t>
      </w:r>
      <w:r>
        <w:rPr>
          <w:lang w:val="en-US"/>
        </w:rPr>
        <w:t xml:space="preserve"> p. 293.</w:t>
      </w:r>
    </w:p>
  </w:footnote>
  <w:footnote w:id="87">
    <w:p w14:paraId="57ED884C" w14:textId="77777777" w:rsidR="00B06F43" w:rsidRPr="00D11FB7" w:rsidRDefault="00B06F43" w:rsidP="0027373D">
      <w:pPr>
        <w:pStyle w:val="FootnoteText"/>
        <w:rPr>
          <w:lang w:val="en-US"/>
        </w:rPr>
      </w:pPr>
      <w:r>
        <w:rPr>
          <w:rStyle w:val="FootnoteReference"/>
        </w:rPr>
        <w:footnoteRef/>
      </w:r>
      <w:r w:rsidRPr="00D11FB7">
        <w:rPr>
          <w:lang w:val="en-US"/>
        </w:rPr>
        <w:t xml:space="preserve"> </w:t>
      </w:r>
      <w:r w:rsidRPr="008019E7">
        <w:rPr>
          <w:i/>
          <w:iCs/>
          <w:lang w:val="en-US"/>
        </w:rPr>
        <w:t>Ibid.,</w:t>
      </w:r>
      <w:r>
        <w:rPr>
          <w:lang w:val="en-US"/>
        </w:rPr>
        <w:t xml:space="preserve"> p. 295.</w:t>
      </w:r>
    </w:p>
  </w:footnote>
  <w:footnote w:id="88">
    <w:p w14:paraId="4E92BF00" w14:textId="77777777" w:rsidR="00B06F43" w:rsidRPr="00D64F46" w:rsidRDefault="00B06F43" w:rsidP="0027373D">
      <w:pPr>
        <w:pStyle w:val="FootnoteText"/>
        <w:rPr>
          <w:lang w:val="en-US"/>
        </w:rPr>
      </w:pPr>
      <w:r>
        <w:rPr>
          <w:rStyle w:val="FootnoteReference"/>
        </w:rPr>
        <w:footnoteRef/>
      </w:r>
      <w:r w:rsidRPr="00D64F46">
        <w:rPr>
          <w:lang w:val="en-US"/>
        </w:rPr>
        <w:t xml:space="preserve"> </w:t>
      </w:r>
      <w:r w:rsidRPr="00354016">
        <w:rPr>
          <w:lang w:val="en-US"/>
        </w:rPr>
        <w:t xml:space="preserve">Atwood, </w:t>
      </w:r>
      <w:r w:rsidRPr="00354016">
        <w:rPr>
          <w:i/>
          <w:iCs/>
          <w:lang w:val="en-US"/>
        </w:rPr>
        <w:t>Oryx And Crake</w:t>
      </w:r>
      <w:r>
        <w:rPr>
          <w:i/>
          <w:iCs/>
          <w:lang w:val="en-US"/>
        </w:rPr>
        <w:t xml:space="preserve">, </w:t>
      </w:r>
      <w:r>
        <w:rPr>
          <w:lang w:val="en-US"/>
        </w:rPr>
        <w:t>p. 374.</w:t>
      </w:r>
    </w:p>
  </w:footnote>
  <w:footnote w:id="89">
    <w:p w14:paraId="6EB63259" w14:textId="3FB25BAB" w:rsidR="00B06F43" w:rsidRPr="00A551FF" w:rsidRDefault="00B06F43" w:rsidP="0027373D">
      <w:pPr>
        <w:rPr>
          <w:color w:val="FF0000"/>
          <w:sz w:val="20"/>
          <w:szCs w:val="20"/>
          <w:lang w:val="en-US"/>
        </w:rPr>
      </w:pPr>
      <w:r w:rsidRPr="00A551FF">
        <w:rPr>
          <w:rStyle w:val="FootnoteReference"/>
          <w:sz w:val="20"/>
          <w:szCs w:val="20"/>
        </w:rPr>
        <w:footnoteRef/>
      </w:r>
      <w:r w:rsidRPr="00A551FF">
        <w:rPr>
          <w:sz w:val="20"/>
          <w:szCs w:val="20"/>
          <w:lang w:val="en-US"/>
        </w:rPr>
        <w:t xml:space="preserve"> Rozelle, </w:t>
      </w:r>
      <w:r w:rsidR="00537215">
        <w:rPr>
          <w:sz w:val="20"/>
          <w:szCs w:val="20"/>
          <w:lang w:val="en-US"/>
        </w:rPr>
        <w:t>“Liminal Ecologies</w:t>
      </w:r>
      <w:r w:rsidR="00133EFE">
        <w:rPr>
          <w:sz w:val="20"/>
          <w:szCs w:val="20"/>
          <w:lang w:val="en-US"/>
        </w:rPr>
        <w:t xml:space="preserve">”, </w:t>
      </w:r>
      <w:r w:rsidRPr="00A551FF">
        <w:rPr>
          <w:color w:val="000000" w:themeColor="text1"/>
          <w:sz w:val="20"/>
          <w:szCs w:val="20"/>
          <w:lang w:val="en-US"/>
        </w:rPr>
        <w:t>p. 66.</w:t>
      </w:r>
    </w:p>
  </w:footnote>
  <w:footnote w:id="90">
    <w:p w14:paraId="4C4A108D" w14:textId="1386E726"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Francis Fukuyama, </w:t>
      </w:r>
      <w:r w:rsidRPr="006A2B26">
        <w:rPr>
          <w:i/>
          <w:iCs/>
          <w:sz w:val="20"/>
          <w:szCs w:val="20"/>
          <w:lang w:val="en-US"/>
        </w:rPr>
        <w:t>Our Posthuman Future: Consequences of the Biotechnology Revolution</w:t>
      </w:r>
      <w:r w:rsidRPr="00732AA5">
        <w:rPr>
          <w:sz w:val="20"/>
          <w:szCs w:val="20"/>
          <w:lang w:val="en-US"/>
        </w:rPr>
        <w:t xml:space="preserve"> (London: Profile Books, 2002) p.</w:t>
      </w:r>
      <w:r w:rsidR="006A2B26">
        <w:rPr>
          <w:sz w:val="20"/>
          <w:szCs w:val="20"/>
          <w:lang w:val="en-US"/>
        </w:rPr>
        <w:t xml:space="preserve"> </w:t>
      </w:r>
      <w:r w:rsidRPr="00732AA5">
        <w:rPr>
          <w:sz w:val="20"/>
          <w:szCs w:val="20"/>
          <w:lang w:val="en-US"/>
        </w:rPr>
        <w:t>7.</w:t>
      </w:r>
    </w:p>
  </w:footnote>
  <w:footnote w:id="91">
    <w:p w14:paraId="5069CF8F" w14:textId="744EF12B" w:rsidR="00B06F43" w:rsidRPr="00732AA5" w:rsidRDefault="00B06F43" w:rsidP="0027373D">
      <w:pPr>
        <w:rPr>
          <w:color w:val="00B050"/>
          <w:sz w:val="20"/>
          <w:szCs w:val="20"/>
          <w:lang w:val="en-US"/>
        </w:rPr>
      </w:pPr>
      <w:r w:rsidRPr="00732AA5">
        <w:rPr>
          <w:rStyle w:val="FootnoteReference"/>
          <w:sz w:val="20"/>
          <w:szCs w:val="20"/>
        </w:rPr>
        <w:footnoteRef/>
      </w:r>
      <w:r w:rsidRPr="00732AA5">
        <w:rPr>
          <w:sz w:val="20"/>
          <w:szCs w:val="20"/>
          <w:lang w:val="en-US"/>
        </w:rPr>
        <w:t xml:space="preserve"> Fukuyama, p.</w:t>
      </w:r>
      <w:r w:rsidR="006A2B26">
        <w:rPr>
          <w:sz w:val="20"/>
          <w:szCs w:val="20"/>
          <w:lang w:val="en-US"/>
        </w:rPr>
        <w:t xml:space="preserve"> </w:t>
      </w:r>
      <w:r w:rsidRPr="00732AA5">
        <w:rPr>
          <w:sz w:val="20"/>
          <w:szCs w:val="20"/>
          <w:lang w:val="en-US"/>
        </w:rPr>
        <w:t>213.</w:t>
      </w:r>
    </w:p>
  </w:footnote>
  <w:footnote w:id="92">
    <w:p w14:paraId="064C6EBB" w14:textId="7905F32D"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Narkunas, </w:t>
      </w:r>
      <w:r w:rsidR="006A2B26">
        <w:rPr>
          <w:sz w:val="20"/>
          <w:szCs w:val="20"/>
          <w:lang w:val="en-US"/>
        </w:rPr>
        <w:t xml:space="preserve">“Between Words”, </w:t>
      </w:r>
      <w:r w:rsidRPr="00732AA5">
        <w:rPr>
          <w:sz w:val="20"/>
          <w:szCs w:val="20"/>
          <w:lang w:val="en-US"/>
        </w:rPr>
        <w:t>p.</w:t>
      </w:r>
      <w:r w:rsidR="006A2B26">
        <w:rPr>
          <w:sz w:val="20"/>
          <w:szCs w:val="20"/>
          <w:lang w:val="en-US"/>
        </w:rPr>
        <w:t xml:space="preserve"> </w:t>
      </w:r>
      <w:r w:rsidRPr="00732AA5">
        <w:rPr>
          <w:sz w:val="20"/>
          <w:szCs w:val="20"/>
          <w:lang w:val="en-US"/>
        </w:rPr>
        <w:t>198.</w:t>
      </w:r>
    </w:p>
  </w:footnote>
  <w:footnote w:id="93">
    <w:p w14:paraId="3D409DE0"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Galbreath, p. 1. </w:t>
      </w:r>
    </w:p>
  </w:footnote>
  <w:footnote w:id="94">
    <w:p w14:paraId="72F57F13" w14:textId="4E58B72D"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Patrick D. Murphy, </w:t>
      </w:r>
      <w:r w:rsidRPr="00732AA5">
        <w:rPr>
          <w:i/>
          <w:iCs/>
          <w:sz w:val="20"/>
          <w:szCs w:val="20"/>
          <w:lang w:val="en-US"/>
        </w:rPr>
        <w:t>Literature, Nature, and Other: Ecofeminist Critiques</w:t>
      </w:r>
      <w:r w:rsidRPr="00732AA5">
        <w:rPr>
          <w:sz w:val="20"/>
          <w:szCs w:val="20"/>
          <w:lang w:val="en-US"/>
        </w:rPr>
        <w:t xml:space="preserve"> (Albany: State University of New York Press, 1995) p.</w:t>
      </w:r>
      <w:r w:rsidR="00EA1719">
        <w:rPr>
          <w:sz w:val="20"/>
          <w:szCs w:val="20"/>
          <w:lang w:val="en-US"/>
        </w:rPr>
        <w:t xml:space="preserve"> </w:t>
      </w:r>
      <w:r w:rsidRPr="00732AA5">
        <w:rPr>
          <w:sz w:val="20"/>
          <w:szCs w:val="20"/>
          <w:lang w:val="en-US"/>
        </w:rPr>
        <w:t>144.</w:t>
      </w:r>
    </w:p>
  </w:footnote>
  <w:footnote w:id="95">
    <w:p w14:paraId="4F1900E6"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Galbreath, p. 1.</w:t>
      </w:r>
    </w:p>
  </w:footnote>
  <w:footnote w:id="96">
    <w:p w14:paraId="0D446148" w14:textId="0CEBD50B" w:rsidR="00B06F43" w:rsidRPr="00732AA5" w:rsidRDefault="00B06F43" w:rsidP="0027373D">
      <w:pPr>
        <w:pStyle w:val="FootnoteText"/>
        <w:rPr>
          <w:lang w:val="en-US"/>
        </w:rPr>
      </w:pPr>
      <w:r w:rsidRPr="00732AA5">
        <w:rPr>
          <w:rStyle w:val="FootnoteReference"/>
        </w:rPr>
        <w:footnoteRef/>
      </w:r>
      <w:r w:rsidRPr="00732AA5">
        <w:t xml:space="preserve"> </w:t>
      </w:r>
      <w:r w:rsidRPr="00732AA5">
        <w:rPr>
          <w:lang w:val="en-US"/>
        </w:rPr>
        <w:t xml:space="preserve">Amelia Defalco, ‘MaddAddam, Biocapitalism, and Affective Things’, </w:t>
      </w:r>
      <w:r w:rsidRPr="00732AA5">
        <w:rPr>
          <w:i/>
          <w:iCs/>
          <w:lang w:val="en-US"/>
        </w:rPr>
        <w:t>Contemporary Women’s Writing</w:t>
      </w:r>
      <w:r w:rsidRPr="00732AA5">
        <w:rPr>
          <w:lang w:val="en-US"/>
        </w:rPr>
        <w:t>, 11.3 (2017), 432–51 &lt;</w:t>
      </w:r>
      <w:hyperlink r:id="rId16" w:history="1">
        <w:r w:rsidRPr="00732AA5">
          <w:rPr>
            <w:color w:val="0000FF"/>
            <w:u w:val="single"/>
            <w:lang w:val="en-US"/>
          </w:rPr>
          <w:t>https://doi.org/10.1093/cww/vpx008</w:t>
        </w:r>
      </w:hyperlink>
      <w:r w:rsidRPr="00732AA5">
        <w:rPr>
          <w:lang w:val="en-US"/>
        </w:rPr>
        <w:t>&gt;</w:t>
      </w:r>
      <w:r w:rsidR="00EA1719">
        <w:rPr>
          <w:lang w:val="en-US"/>
        </w:rPr>
        <w:t>, p. 434</w:t>
      </w:r>
      <w:r w:rsidRPr="00732AA5">
        <w:rPr>
          <w:lang w:val="en-US"/>
        </w:rPr>
        <w:t>.</w:t>
      </w:r>
    </w:p>
  </w:footnote>
  <w:footnote w:id="97">
    <w:p w14:paraId="1354C5F3"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Schmeink, p. 75.</w:t>
      </w:r>
    </w:p>
  </w:footnote>
  <w:footnote w:id="98">
    <w:p w14:paraId="363AB6FF" w14:textId="77777777" w:rsidR="00B06F43" w:rsidRPr="00732AA5" w:rsidRDefault="00B06F43" w:rsidP="0027373D">
      <w:pPr>
        <w:pStyle w:val="FootnoteText"/>
      </w:pPr>
      <w:r w:rsidRPr="00732AA5">
        <w:rPr>
          <w:rStyle w:val="FootnoteReference"/>
        </w:rPr>
        <w:footnoteRef/>
      </w:r>
      <w:r w:rsidRPr="00732AA5">
        <w:t xml:space="preserve"> </w:t>
      </w:r>
      <w:r w:rsidRPr="00732AA5">
        <w:rPr>
          <w:lang w:val="en-US"/>
        </w:rPr>
        <w:t xml:space="preserve">Atwood, </w:t>
      </w:r>
      <w:r w:rsidRPr="00732AA5">
        <w:rPr>
          <w:i/>
          <w:iCs/>
          <w:lang w:val="en-US"/>
        </w:rPr>
        <w:t>Oryx And Crake</w:t>
      </w:r>
      <w:r w:rsidRPr="00732AA5">
        <w:rPr>
          <w:lang w:val="en-US"/>
        </w:rPr>
        <w:t>, p. 158-9.</w:t>
      </w:r>
    </w:p>
  </w:footnote>
  <w:footnote w:id="99">
    <w:p w14:paraId="058B2590"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w:t>
      </w:r>
      <w:r w:rsidRPr="00732AA5">
        <w:rPr>
          <w:i/>
          <w:iCs/>
          <w:sz w:val="20"/>
          <w:szCs w:val="20"/>
          <w:lang w:val="en-US"/>
        </w:rPr>
        <w:t>Ibid.,</w:t>
      </w:r>
      <w:r w:rsidRPr="00732AA5">
        <w:rPr>
          <w:sz w:val="20"/>
          <w:szCs w:val="20"/>
          <w:lang w:val="en-US"/>
        </w:rPr>
        <w:t xml:space="preserve"> p. 158-9.</w:t>
      </w:r>
    </w:p>
  </w:footnote>
  <w:footnote w:id="100">
    <w:p w14:paraId="462CBF62" w14:textId="77777777" w:rsidR="00B06F43" w:rsidRPr="00732AA5" w:rsidRDefault="00B06F43" w:rsidP="0027373D">
      <w:pPr>
        <w:pStyle w:val="FootnoteText"/>
      </w:pPr>
      <w:r w:rsidRPr="00732AA5">
        <w:rPr>
          <w:rStyle w:val="FootnoteReference"/>
        </w:rPr>
        <w:footnoteRef/>
      </w:r>
      <w:r w:rsidRPr="00732AA5">
        <w:t xml:space="preserve"> </w:t>
      </w:r>
      <w:r w:rsidRPr="00732AA5">
        <w:rPr>
          <w:lang w:val="en-US"/>
        </w:rPr>
        <w:t xml:space="preserve">Atwood, </w:t>
      </w:r>
      <w:r w:rsidRPr="00732AA5">
        <w:rPr>
          <w:i/>
          <w:iCs/>
          <w:lang w:val="en-US"/>
        </w:rPr>
        <w:t>Oryx And Crake</w:t>
      </w:r>
      <w:r w:rsidRPr="00732AA5">
        <w:rPr>
          <w:lang w:val="en-US"/>
        </w:rPr>
        <w:t>, p. 158-9.</w:t>
      </w:r>
    </w:p>
  </w:footnote>
  <w:footnote w:id="101">
    <w:p w14:paraId="3DB6E3AD" w14:textId="77777777" w:rsidR="00B06F43" w:rsidRPr="00732AA5" w:rsidRDefault="00B06F43" w:rsidP="0027373D">
      <w:pPr>
        <w:pStyle w:val="FootnoteText"/>
      </w:pPr>
      <w:r w:rsidRPr="00732AA5">
        <w:rPr>
          <w:rStyle w:val="FootnoteReference"/>
        </w:rPr>
        <w:footnoteRef/>
      </w:r>
      <w:r w:rsidRPr="00732AA5">
        <w:t xml:space="preserve"> </w:t>
      </w:r>
      <w:r w:rsidRPr="00732AA5">
        <w:rPr>
          <w:i/>
          <w:iCs/>
          <w:lang w:val="en-US"/>
        </w:rPr>
        <w:t>Ibid.,</w:t>
      </w:r>
      <w:r w:rsidRPr="00732AA5">
        <w:rPr>
          <w:lang w:val="en-US"/>
        </w:rPr>
        <w:t xml:space="preserve"> p. </w:t>
      </w:r>
      <w:r w:rsidRPr="00732AA5">
        <w:t>154-5</w:t>
      </w:r>
      <w:r w:rsidRPr="00732AA5">
        <w:rPr>
          <w:lang w:val="en-US"/>
        </w:rPr>
        <w:t>.</w:t>
      </w:r>
    </w:p>
  </w:footnote>
  <w:footnote w:id="102">
    <w:p w14:paraId="2C492BDB" w14:textId="77777777" w:rsidR="00B06F43" w:rsidRPr="00732AA5" w:rsidRDefault="00B06F43" w:rsidP="0027373D">
      <w:pPr>
        <w:pStyle w:val="FootnoteText"/>
      </w:pPr>
      <w:r w:rsidRPr="00732AA5">
        <w:rPr>
          <w:rStyle w:val="FootnoteReference"/>
        </w:rPr>
        <w:footnoteRef/>
      </w:r>
      <w:r w:rsidRPr="00732AA5">
        <w:t xml:space="preserve"> </w:t>
      </w:r>
      <w:r w:rsidRPr="00732AA5">
        <w:rPr>
          <w:i/>
          <w:iCs/>
          <w:lang w:val="en-US"/>
        </w:rPr>
        <w:t>Ibid.,</w:t>
      </w:r>
      <w:r w:rsidRPr="00732AA5">
        <w:rPr>
          <w:lang w:val="en-US"/>
        </w:rPr>
        <w:t xml:space="preserve"> p. 164-65.</w:t>
      </w:r>
    </w:p>
  </w:footnote>
  <w:footnote w:id="103">
    <w:p w14:paraId="0E243964" w14:textId="77777777" w:rsidR="00B06F43" w:rsidRPr="00732AA5" w:rsidRDefault="00B06F43" w:rsidP="0027373D">
      <w:pPr>
        <w:pStyle w:val="FootnoteText"/>
      </w:pPr>
      <w:r w:rsidRPr="00732AA5">
        <w:rPr>
          <w:rStyle w:val="FootnoteReference"/>
        </w:rPr>
        <w:footnoteRef/>
      </w:r>
      <w:r w:rsidRPr="00732AA5">
        <w:t xml:space="preserve"> </w:t>
      </w:r>
      <w:r w:rsidRPr="00732AA5">
        <w:rPr>
          <w:i/>
          <w:iCs/>
          <w:lang w:val="en-US"/>
        </w:rPr>
        <w:t>Ibid.,</w:t>
      </w:r>
      <w:r w:rsidRPr="00732AA5">
        <w:rPr>
          <w:lang w:val="en-US"/>
        </w:rPr>
        <w:t xml:space="preserve"> p. 305.</w:t>
      </w:r>
    </w:p>
  </w:footnote>
  <w:footnote w:id="104">
    <w:p w14:paraId="7D56F4B7" w14:textId="77777777" w:rsidR="00B73982" w:rsidRPr="001B16AE" w:rsidRDefault="00B73982" w:rsidP="00B73982">
      <w:pPr>
        <w:pStyle w:val="FootnoteText"/>
        <w:rPr>
          <w:lang w:val="en-US"/>
        </w:rPr>
      </w:pPr>
      <w:r>
        <w:rPr>
          <w:rStyle w:val="FootnoteReference"/>
        </w:rPr>
        <w:footnoteRef/>
      </w:r>
      <w:r>
        <w:t xml:space="preserve"> </w:t>
      </w:r>
      <w:r>
        <w:rPr>
          <w:lang w:val="en-US"/>
        </w:rPr>
        <w:t xml:space="preserve">Atwood, </w:t>
      </w:r>
      <w:r>
        <w:rPr>
          <w:i/>
          <w:iCs/>
          <w:lang w:val="en-US"/>
        </w:rPr>
        <w:t>Oryx and Crake</w:t>
      </w:r>
      <w:r>
        <w:rPr>
          <w:lang w:val="en-US"/>
        </w:rPr>
        <w:t>, p. 5.</w:t>
      </w:r>
    </w:p>
  </w:footnote>
  <w:footnote w:id="105">
    <w:p w14:paraId="0BF70167" w14:textId="77777777" w:rsidR="00B73982" w:rsidRPr="00D573D2" w:rsidRDefault="00B73982" w:rsidP="00B73982">
      <w:pPr>
        <w:pStyle w:val="FootnoteText"/>
        <w:rPr>
          <w:lang w:val="en-US"/>
        </w:rPr>
      </w:pPr>
      <w:r>
        <w:rPr>
          <w:rStyle w:val="FootnoteReference"/>
        </w:rPr>
        <w:footnoteRef/>
      </w:r>
      <w:r>
        <w:t xml:space="preserve"> </w:t>
      </w:r>
      <w:r>
        <w:rPr>
          <w:lang w:val="en-US"/>
        </w:rPr>
        <w:t xml:space="preserve">Atwood, </w:t>
      </w:r>
      <w:r>
        <w:rPr>
          <w:i/>
          <w:iCs/>
          <w:lang w:val="en-US"/>
        </w:rPr>
        <w:t>Oryx and Crake</w:t>
      </w:r>
      <w:r>
        <w:rPr>
          <w:lang w:val="en-US"/>
        </w:rPr>
        <w:t>, p. 68.</w:t>
      </w:r>
    </w:p>
  </w:footnote>
  <w:footnote w:id="106">
    <w:p w14:paraId="1DFD75B5" w14:textId="77777777" w:rsidR="00B73982" w:rsidRPr="00C92C91" w:rsidRDefault="00B73982" w:rsidP="00B73982">
      <w:pPr>
        <w:pStyle w:val="FootnoteText"/>
        <w:rPr>
          <w:lang w:val="en-US"/>
        </w:rPr>
      </w:pPr>
      <w:r>
        <w:rPr>
          <w:rStyle w:val="FootnoteReference"/>
        </w:rPr>
        <w:footnoteRef/>
      </w:r>
      <w:r>
        <w:t xml:space="preserve"> </w:t>
      </w:r>
      <w:r>
        <w:rPr>
          <w:lang w:val="en-US"/>
        </w:rPr>
        <w:t xml:space="preserve">Cooke, </w:t>
      </w:r>
      <w:r w:rsidRPr="003526BB">
        <w:rPr>
          <w:lang w:val="en-US"/>
        </w:rPr>
        <w:t>p</w:t>
      </w:r>
      <w:r>
        <w:rPr>
          <w:lang w:val="en-US"/>
        </w:rPr>
        <w:t xml:space="preserve">. </w:t>
      </w:r>
      <w:r w:rsidRPr="003526BB">
        <w:rPr>
          <w:lang w:val="en-US"/>
        </w:rPr>
        <w:t>1</w:t>
      </w:r>
      <w:r>
        <w:rPr>
          <w:lang w:val="en-US"/>
        </w:rPr>
        <w:t>20-21.</w:t>
      </w:r>
    </w:p>
  </w:footnote>
  <w:footnote w:id="107">
    <w:p w14:paraId="1F995774" w14:textId="77777777" w:rsidR="00B73982" w:rsidRPr="001C74BC" w:rsidRDefault="00B73982" w:rsidP="00B73982">
      <w:pPr>
        <w:rPr>
          <w:lang w:val="en-US"/>
        </w:rPr>
      </w:pPr>
      <w:r w:rsidRPr="002F3C74">
        <w:rPr>
          <w:rStyle w:val="FootnoteReference"/>
          <w:sz w:val="20"/>
          <w:szCs w:val="20"/>
        </w:rPr>
        <w:footnoteRef/>
      </w:r>
      <w:r w:rsidRPr="002F3C74">
        <w:rPr>
          <w:sz w:val="20"/>
          <w:szCs w:val="20"/>
        </w:rPr>
        <w:t xml:space="preserve"> </w:t>
      </w:r>
      <w:r w:rsidRPr="002F3C74">
        <w:rPr>
          <w:sz w:val="20"/>
          <w:szCs w:val="20"/>
          <w:lang w:val="es-ES"/>
        </w:rPr>
        <w:t xml:space="preserve">Kathleen Margaret Lant, ‘The Rape of the Text: Charlotte Gilman’s Violation of Herland’, </w:t>
      </w:r>
      <w:r w:rsidRPr="002F3C74">
        <w:rPr>
          <w:i/>
          <w:iCs/>
          <w:sz w:val="20"/>
          <w:szCs w:val="20"/>
          <w:lang w:val="es-ES"/>
        </w:rPr>
        <w:t>Tulsa Studies in Women’s Literature</w:t>
      </w:r>
      <w:r w:rsidRPr="002F3C74">
        <w:rPr>
          <w:sz w:val="20"/>
          <w:szCs w:val="20"/>
          <w:lang w:val="es-ES"/>
        </w:rPr>
        <w:t>, 9.2 (1990), 291–308 &lt;</w:t>
      </w:r>
      <w:hyperlink r:id="rId17" w:history="1">
        <w:r w:rsidRPr="002F3C74">
          <w:rPr>
            <w:color w:val="0000FF"/>
            <w:sz w:val="20"/>
            <w:szCs w:val="20"/>
            <w:u w:val="single"/>
            <w:lang w:val="es-ES"/>
          </w:rPr>
          <w:t>https://doi.org/10.2307/464226</w:t>
        </w:r>
      </w:hyperlink>
      <w:r w:rsidRPr="002F3C74">
        <w:rPr>
          <w:sz w:val="20"/>
          <w:szCs w:val="20"/>
          <w:lang w:val="es-ES"/>
        </w:rPr>
        <w:t>&gt;</w:t>
      </w:r>
      <w:r>
        <w:rPr>
          <w:sz w:val="20"/>
          <w:szCs w:val="20"/>
          <w:lang w:val="es-ES"/>
        </w:rPr>
        <w:t>, p. 298.</w:t>
      </w:r>
    </w:p>
  </w:footnote>
  <w:footnote w:id="108">
    <w:p w14:paraId="58BCC78B" w14:textId="77777777" w:rsidR="00B73982" w:rsidRPr="00096B81" w:rsidRDefault="00B73982" w:rsidP="00B73982">
      <w:pPr>
        <w:pStyle w:val="FootnoteText"/>
        <w:rPr>
          <w:lang w:val="en-US"/>
        </w:rPr>
      </w:pPr>
      <w:r>
        <w:rPr>
          <w:rStyle w:val="FootnoteReference"/>
        </w:rPr>
        <w:footnoteRef/>
      </w:r>
      <w:r>
        <w:t xml:space="preserve"> </w:t>
      </w:r>
      <w:r>
        <w:rPr>
          <w:lang w:val="en-US"/>
        </w:rPr>
        <w:t xml:space="preserve">Atwood, </w:t>
      </w:r>
      <w:r>
        <w:rPr>
          <w:i/>
          <w:iCs/>
          <w:lang w:val="en-US"/>
        </w:rPr>
        <w:t>Oryx and Crake</w:t>
      </w:r>
      <w:r>
        <w:rPr>
          <w:lang w:val="en-US"/>
        </w:rPr>
        <w:t>, p. 98.</w:t>
      </w:r>
    </w:p>
  </w:footnote>
  <w:footnote w:id="109">
    <w:p w14:paraId="1EBA7A16"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Schmeink, p. 75.</w:t>
      </w:r>
    </w:p>
  </w:footnote>
  <w:footnote w:id="110">
    <w:p w14:paraId="72EA5FC7"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Bouson, “It’s Game Over Forever”, p. 151.</w:t>
      </w:r>
    </w:p>
  </w:footnote>
  <w:footnote w:id="111">
    <w:p w14:paraId="24694191" w14:textId="77777777" w:rsidR="00B06F43" w:rsidRPr="0087087D" w:rsidRDefault="00B06F43" w:rsidP="0027373D">
      <w:pPr>
        <w:rPr>
          <w:lang w:val="en-US"/>
        </w:rPr>
      </w:pPr>
      <w:r w:rsidRPr="00732AA5">
        <w:rPr>
          <w:rStyle w:val="FootnoteReference"/>
          <w:sz w:val="20"/>
          <w:szCs w:val="20"/>
        </w:rPr>
        <w:footnoteRef/>
      </w:r>
      <w:r w:rsidRPr="00732AA5">
        <w:rPr>
          <w:sz w:val="20"/>
          <w:szCs w:val="20"/>
          <w:lang w:val="en-US"/>
        </w:rPr>
        <w:t xml:space="preserve"> </w:t>
      </w:r>
      <w:r w:rsidRPr="00732AA5">
        <w:rPr>
          <w:i/>
          <w:iCs/>
          <w:sz w:val="20"/>
          <w:szCs w:val="20"/>
          <w:lang w:val="en-US"/>
        </w:rPr>
        <w:t>Ibid.,</w:t>
      </w:r>
      <w:r w:rsidRPr="00732AA5">
        <w:rPr>
          <w:sz w:val="20"/>
          <w:szCs w:val="20"/>
          <w:lang w:val="en-US"/>
        </w:rPr>
        <w:t xml:space="preserve"> p. 154.</w:t>
      </w:r>
    </w:p>
  </w:footnote>
  <w:footnote w:id="112">
    <w:p w14:paraId="75051D48"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Veronica Hollinger, ‘Stories about the Future: From Patterns of Expectation to Pattern Recognition’, </w:t>
      </w:r>
      <w:r w:rsidRPr="00732AA5">
        <w:rPr>
          <w:i/>
          <w:iCs/>
          <w:sz w:val="20"/>
          <w:szCs w:val="20"/>
          <w:lang w:val="en-US"/>
        </w:rPr>
        <w:t>Science Fiction Studies</w:t>
      </w:r>
      <w:r w:rsidRPr="00732AA5">
        <w:rPr>
          <w:sz w:val="20"/>
          <w:szCs w:val="20"/>
          <w:lang w:val="en-US"/>
        </w:rPr>
        <w:t>, 33.3 (2006), 452–72, p. 458.</w:t>
      </w:r>
    </w:p>
  </w:footnote>
  <w:footnote w:id="113">
    <w:p w14:paraId="6041498B"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Hollinger, p. 456.</w:t>
      </w:r>
    </w:p>
  </w:footnote>
  <w:footnote w:id="114">
    <w:p w14:paraId="43AF3309"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w:t>
      </w:r>
      <w:r w:rsidRPr="00732AA5">
        <w:rPr>
          <w:i/>
          <w:iCs/>
          <w:sz w:val="20"/>
          <w:szCs w:val="20"/>
          <w:lang w:val="en-US"/>
        </w:rPr>
        <w:t>Ibid</w:t>
      </w:r>
      <w:r w:rsidRPr="00732AA5">
        <w:rPr>
          <w:sz w:val="20"/>
          <w:szCs w:val="20"/>
          <w:lang w:val="en-US"/>
        </w:rPr>
        <w:t>., p. 456.</w:t>
      </w:r>
    </w:p>
  </w:footnote>
  <w:footnote w:id="115">
    <w:p w14:paraId="3345BC6F"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Grayson Cooke, ‘Technics and the Human at Zero-Hour: Margaret Atwood’s Oryx and Crake’, </w:t>
      </w:r>
      <w:r w:rsidRPr="00732AA5">
        <w:rPr>
          <w:i/>
          <w:iCs/>
          <w:sz w:val="20"/>
          <w:szCs w:val="20"/>
          <w:lang w:val="en-US"/>
        </w:rPr>
        <w:t>Studies in Canadian Literature</w:t>
      </w:r>
      <w:r w:rsidRPr="00732AA5">
        <w:rPr>
          <w:sz w:val="20"/>
          <w:szCs w:val="20"/>
          <w:lang w:val="en-US"/>
        </w:rPr>
        <w:t>, 2006 &lt;</w:t>
      </w:r>
      <w:hyperlink r:id="rId18" w:history="1">
        <w:r w:rsidRPr="00732AA5">
          <w:rPr>
            <w:color w:val="0000FF"/>
            <w:sz w:val="20"/>
            <w:szCs w:val="20"/>
            <w:u w:val="single"/>
            <w:lang w:val="en-US"/>
          </w:rPr>
          <w:t>https://journals.lib.unb.ca/index.php/SCL/article/view/10216</w:t>
        </w:r>
      </w:hyperlink>
      <w:r w:rsidRPr="00732AA5">
        <w:rPr>
          <w:sz w:val="20"/>
          <w:szCs w:val="20"/>
          <w:lang w:val="en-US"/>
        </w:rPr>
        <w:t>&gt; [accessed 23 August 2020], p. 108.</w:t>
      </w:r>
    </w:p>
  </w:footnote>
  <w:footnote w:id="116">
    <w:p w14:paraId="155AB1D6"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Cooke, p. 107.</w:t>
      </w:r>
    </w:p>
  </w:footnote>
  <w:footnote w:id="117">
    <w:p w14:paraId="53652B78" w14:textId="77777777" w:rsidR="00B06F43" w:rsidRPr="00732AA5" w:rsidRDefault="00B06F43" w:rsidP="0027373D">
      <w:pPr>
        <w:pStyle w:val="FootnoteText"/>
      </w:pPr>
      <w:r w:rsidRPr="00732AA5">
        <w:rPr>
          <w:rStyle w:val="FootnoteReference"/>
        </w:rPr>
        <w:footnoteRef/>
      </w:r>
      <w:r w:rsidRPr="00732AA5">
        <w:t xml:space="preserve"> </w:t>
      </w:r>
      <w:r w:rsidRPr="00732AA5">
        <w:rPr>
          <w:i/>
          <w:iCs/>
          <w:lang w:val="en-US"/>
        </w:rPr>
        <w:t>Ibid</w:t>
      </w:r>
      <w:r w:rsidRPr="00732AA5">
        <w:rPr>
          <w:lang w:val="en-US"/>
        </w:rPr>
        <w:t>., p. 116.</w:t>
      </w:r>
    </w:p>
  </w:footnote>
  <w:footnote w:id="118">
    <w:p w14:paraId="6B41746E"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Ralph Pordzik, ‘Anthropocentrism and the Other of Technology in Anglo-American Science Fiction’, </w:t>
      </w:r>
      <w:r w:rsidRPr="00732AA5">
        <w:rPr>
          <w:i/>
          <w:iCs/>
          <w:sz w:val="20"/>
          <w:szCs w:val="20"/>
          <w:lang w:val="en-US"/>
        </w:rPr>
        <w:t>Utopian Studies</w:t>
      </w:r>
      <w:r w:rsidRPr="00732AA5">
        <w:rPr>
          <w:sz w:val="20"/>
          <w:szCs w:val="20"/>
          <w:lang w:val="en-US"/>
        </w:rPr>
        <w:t>, 23.1 (2012), 142–61 &lt;</w:t>
      </w:r>
      <w:hyperlink r:id="rId19" w:history="1">
        <w:r w:rsidRPr="00732AA5">
          <w:rPr>
            <w:color w:val="0000FF"/>
            <w:sz w:val="20"/>
            <w:szCs w:val="20"/>
            <w:u w:val="single"/>
            <w:lang w:val="en-US"/>
          </w:rPr>
          <w:t>https://doi.org/10.5325/utopianstudies.23.1.0142</w:t>
        </w:r>
      </w:hyperlink>
      <w:r w:rsidRPr="00732AA5">
        <w:rPr>
          <w:sz w:val="20"/>
          <w:szCs w:val="20"/>
          <w:lang w:val="en-US"/>
        </w:rPr>
        <w:t>&gt;, p. 157.</w:t>
      </w:r>
    </w:p>
  </w:footnote>
  <w:footnote w:id="119">
    <w:p w14:paraId="7F886C7F" w14:textId="77777777" w:rsidR="003C03D0" w:rsidRPr="00732AA5" w:rsidRDefault="003C03D0" w:rsidP="003C03D0">
      <w:pPr>
        <w:rPr>
          <w:sz w:val="20"/>
          <w:szCs w:val="20"/>
          <w:lang w:val="en-US"/>
        </w:rPr>
      </w:pPr>
      <w:r w:rsidRPr="00732AA5">
        <w:rPr>
          <w:rStyle w:val="FootnoteReference"/>
          <w:sz w:val="20"/>
          <w:szCs w:val="20"/>
        </w:rPr>
        <w:footnoteRef/>
      </w:r>
      <w:r w:rsidRPr="00732AA5">
        <w:rPr>
          <w:sz w:val="20"/>
          <w:szCs w:val="20"/>
          <w:lang w:val="en-US"/>
        </w:rPr>
        <w:t xml:space="preserve"> Defalco, p. 6-7.</w:t>
      </w:r>
    </w:p>
  </w:footnote>
  <w:footnote w:id="120">
    <w:p w14:paraId="491C97FF" w14:textId="20B0DA4C"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w:t>
      </w:r>
      <w:r w:rsidR="003C03D0" w:rsidRPr="00732AA5">
        <w:rPr>
          <w:i/>
          <w:iCs/>
          <w:lang w:val="en-US"/>
        </w:rPr>
        <w:t>Ibid</w:t>
      </w:r>
      <w:r w:rsidR="003C03D0" w:rsidRPr="00732AA5">
        <w:rPr>
          <w:lang w:val="en-US"/>
        </w:rPr>
        <w:t xml:space="preserve">., </w:t>
      </w:r>
      <w:r w:rsidRPr="00732AA5">
        <w:rPr>
          <w:sz w:val="20"/>
          <w:szCs w:val="20"/>
          <w:lang w:val="en-US"/>
        </w:rPr>
        <w:t>p. 6-7.</w:t>
      </w:r>
    </w:p>
  </w:footnote>
  <w:footnote w:id="121">
    <w:p w14:paraId="68FFEB2D" w14:textId="77777777" w:rsidR="00B06F43" w:rsidRPr="00732AA5" w:rsidRDefault="00B06F43" w:rsidP="0027373D">
      <w:pPr>
        <w:pStyle w:val="FootnoteText"/>
      </w:pPr>
      <w:r w:rsidRPr="00732AA5">
        <w:rPr>
          <w:rStyle w:val="FootnoteReference"/>
        </w:rPr>
        <w:footnoteRef/>
      </w:r>
      <w:r w:rsidRPr="00732AA5">
        <w:t xml:space="preserve"> </w:t>
      </w:r>
      <w:r w:rsidRPr="00732AA5">
        <w:rPr>
          <w:i/>
          <w:iCs/>
          <w:lang w:val="en-US"/>
        </w:rPr>
        <w:t>Ibid</w:t>
      </w:r>
      <w:r w:rsidRPr="00732AA5">
        <w:rPr>
          <w:lang w:val="en-US"/>
        </w:rPr>
        <w:t>., p. 7.</w:t>
      </w:r>
    </w:p>
  </w:footnote>
  <w:footnote w:id="122">
    <w:p w14:paraId="3CEDF983"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Schmeink,</w:t>
      </w:r>
      <w:r w:rsidRPr="00732AA5">
        <w:rPr>
          <w:i/>
          <w:iCs/>
          <w:sz w:val="20"/>
          <w:szCs w:val="20"/>
          <w:lang w:val="en-US"/>
        </w:rPr>
        <w:t xml:space="preserve"> </w:t>
      </w:r>
      <w:r w:rsidRPr="00732AA5">
        <w:rPr>
          <w:sz w:val="20"/>
          <w:szCs w:val="20"/>
          <w:lang w:val="en-US"/>
        </w:rPr>
        <w:t>p. 13.</w:t>
      </w:r>
    </w:p>
  </w:footnote>
  <w:footnote w:id="123">
    <w:p w14:paraId="1089DA1A"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Cary Wolfe, </w:t>
      </w:r>
      <w:r w:rsidRPr="00732AA5">
        <w:rPr>
          <w:i/>
          <w:iCs/>
          <w:sz w:val="20"/>
          <w:szCs w:val="20"/>
          <w:lang w:val="en-US"/>
        </w:rPr>
        <w:t>What Is Posthumanism?</w:t>
      </w:r>
      <w:r w:rsidRPr="00351150">
        <w:rPr>
          <w:i/>
          <w:iCs/>
          <w:sz w:val="20"/>
          <w:szCs w:val="20"/>
          <w:lang w:val="en-US"/>
        </w:rPr>
        <w:t>,</w:t>
      </w:r>
      <w:r w:rsidRPr="00732AA5">
        <w:rPr>
          <w:sz w:val="20"/>
          <w:szCs w:val="20"/>
          <w:lang w:val="en-US"/>
        </w:rPr>
        <w:t xml:space="preserve"> Posthumanities Series, v. 8 (Minneapolis: University of Minnesota Press, 2010) p. xiii.</w:t>
      </w:r>
    </w:p>
  </w:footnote>
  <w:footnote w:id="124">
    <w:p w14:paraId="1380E42D" w14:textId="77777777" w:rsidR="00B06F43" w:rsidRPr="00732AA5" w:rsidRDefault="00B06F43" w:rsidP="0027373D">
      <w:pPr>
        <w:pStyle w:val="FootnoteText"/>
      </w:pPr>
      <w:r w:rsidRPr="00732AA5">
        <w:rPr>
          <w:rStyle w:val="FootnoteReference"/>
        </w:rPr>
        <w:footnoteRef/>
      </w:r>
      <w:r w:rsidRPr="00732AA5">
        <w:t xml:space="preserve"> </w:t>
      </w:r>
      <w:r w:rsidRPr="00732AA5">
        <w:rPr>
          <w:lang w:val="en-US"/>
        </w:rPr>
        <w:t>Schmeink, p. 13.</w:t>
      </w:r>
    </w:p>
  </w:footnote>
  <w:footnote w:id="125">
    <w:p w14:paraId="52BE45D3" w14:textId="77777777" w:rsidR="00B06F43" w:rsidRPr="00732AA5" w:rsidRDefault="00B06F43" w:rsidP="0027373D">
      <w:pPr>
        <w:pStyle w:val="FootnoteText"/>
      </w:pPr>
      <w:r w:rsidRPr="00732AA5">
        <w:rPr>
          <w:rStyle w:val="FootnoteReference"/>
        </w:rPr>
        <w:footnoteRef/>
      </w:r>
      <w:r w:rsidRPr="00732AA5">
        <w:t xml:space="preserve"> </w:t>
      </w:r>
      <w:r w:rsidRPr="00732AA5">
        <w:rPr>
          <w:i/>
          <w:iCs/>
          <w:lang w:val="en-US"/>
        </w:rPr>
        <w:t>Ibid</w:t>
      </w:r>
      <w:r w:rsidRPr="00732AA5">
        <w:rPr>
          <w:lang w:val="en-US"/>
        </w:rPr>
        <w:t>., p. 13.</w:t>
      </w:r>
    </w:p>
  </w:footnote>
  <w:footnote w:id="126">
    <w:p w14:paraId="68898152"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Rosi Braidotti, </w:t>
      </w:r>
      <w:r w:rsidRPr="00732AA5">
        <w:rPr>
          <w:i/>
          <w:iCs/>
          <w:sz w:val="20"/>
          <w:szCs w:val="20"/>
          <w:lang w:val="en-US"/>
        </w:rPr>
        <w:t>The Posthuman</w:t>
      </w:r>
      <w:r w:rsidRPr="00732AA5">
        <w:rPr>
          <w:sz w:val="20"/>
          <w:szCs w:val="20"/>
          <w:lang w:val="en-US"/>
        </w:rPr>
        <w:t xml:space="preserve"> (Cambridge, UK ; Malden, MA, USA: Polity Press, 2013) p. 47-48.</w:t>
      </w:r>
    </w:p>
  </w:footnote>
  <w:footnote w:id="127">
    <w:p w14:paraId="7E33268A"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Atwood, </w:t>
      </w:r>
      <w:r w:rsidRPr="00732AA5">
        <w:rPr>
          <w:i/>
          <w:iCs/>
          <w:sz w:val="20"/>
          <w:szCs w:val="20"/>
          <w:lang w:val="en-US"/>
        </w:rPr>
        <w:t>Oryx And Crake</w:t>
      </w:r>
      <w:r w:rsidRPr="00732AA5">
        <w:rPr>
          <w:sz w:val="20"/>
          <w:szCs w:val="20"/>
          <w:lang w:val="en-US"/>
        </w:rPr>
        <w:t>, p. 341.</w:t>
      </w:r>
    </w:p>
  </w:footnote>
  <w:footnote w:id="128">
    <w:p w14:paraId="0B5A70BA"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Atwood, </w:t>
      </w:r>
      <w:r w:rsidRPr="00732AA5">
        <w:rPr>
          <w:i/>
          <w:iCs/>
          <w:sz w:val="20"/>
          <w:szCs w:val="20"/>
          <w:lang w:val="en-US"/>
        </w:rPr>
        <w:t>Oryx And Crake</w:t>
      </w:r>
      <w:r w:rsidRPr="00732AA5">
        <w:rPr>
          <w:sz w:val="20"/>
          <w:szCs w:val="20"/>
          <w:lang w:val="en-US"/>
        </w:rPr>
        <w:t>, p. 267.</w:t>
      </w:r>
    </w:p>
  </w:footnote>
  <w:footnote w:id="129">
    <w:p w14:paraId="27A334F6" w14:textId="77777777" w:rsidR="00B06F43" w:rsidRPr="00732AA5" w:rsidRDefault="00B06F43" w:rsidP="0027373D">
      <w:pPr>
        <w:pStyle w:val="FootnoteText"/>
      </w:pPr>
      <w:r w:rsidRPr="00732AA5">
        <w:rPr>
          <w:rStyle w:val="FootnoteReference"/>
        </w:rPr>
        <w:footnoteRef/>
      </w:r>
      <w:r w:rsidRPr="00732AA5">
        <w:t xml:space="preserve"> </w:t>
      </w:r>
      <w:r w:rsidRPr="00732AA5">
        <w:rPr>
          <w:lang w:val="en-US"/>
        </w:rPr>
        <w:t>Schmeink, p. 116.</w:t>
      </w:r>
    </w:p>
  </w:footnote>
  <w:footnote w:id="130">
    <w:p w14:paraId="3B338D58"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Atwood, </w:t>
      </w:r>
      <w:r w:rsidRPr="00732AA5">
        <w:rPr>
          <w:i/>
          <w:iCs/>
          <w:sz w:val="20"/>
          <w:szCs w:val="20"/>
          <w:lang w:val="en-US"/>
        </w:rPr>
        <w:t>Oryx And Crake,</w:t>
      </w:r>
      <w:r w:rsidRPr="00732AA5">
        <w:rPr>
          <w:sz w:val="20"/>
          <w:szCs w:val="20"/>
          <w:lang w:val="en-US"/>
        </w:rPr>
        <w:t xml:space="preserve"> p. 223.</w:t>
      </w:r>
    </w:p>
  </w:footnote>
  <w:footnote w:id="131">
    <w:p w14:paraId="160C8F64" w14:textId="77777777" w:rsidR="0014645E" w:rsidRPr="004F1E8B" w:rsidRDefault="0014645E" w:rsidP="0014645E">
      <w:pPr>
        <w:pStyle w:val="FootnoteText"/>
        <w:rPr>
          <w:lang w:val="en-US"/>
        </w:rPr>
      </w:pPr>
      <w:r>
        <w:rPr>
          <w:rStyle w:val="FootnoteReference"/>
        </w:rPr>
        <w:footnoteRef/>
      </w:r>
      <w:r>
        <w:t xml:space="preserve"> </w:t>
      </w:r>
      <w:r w:rsidRPr="003526BB">
        <w:rPr>
          <w:lang w:val="en-US"/>
        </w:rPr>
        <w:t>Cooke, p</w:t>
      </w:r>
      <w:r>
        <w:rPr>
          <w:lang w:val="en-US"/>
        </w:rPr>
        <w:t xml:space="preserve">. </w:t>
      </w:r>
      <w:r w:rsidRPr="003526BB">
        <w:rPr>
          <w:lang w:val="en-US"/>
        </w:rPr>
        <w:t>1</w:t>
      </w:r>
      <w:r>
        <w:rPr>
          <w:lang w:val="en-US"/>
        </w:rPr>
        <w:t>23.</w:t>
      </w:r>
    </w:p>
  </w:footnote>
  <w:footnote w:id="132">
    <w:p w14:paraId="5BB7F6EA" w14:textId="77777777" w:rsidR="008633D2" w:rsidRPr="00732AA5" w:rsidRDefault="008633D2" w:rsidP="008633D2">
      <w:pPr>
        <w:rPr>
          <w:sz w:val="20"/>
          <w:szCs w:val="20"/>
          <w:lang w:val="en-US"/>
        </w:rPr>
      </w:pPr>
      <w:r w:rsidRPr="00732AA5">
        <w:rPr>
          <w:rStyle w:val="FootnoteReference"/>
          <w:sz w:val="20"/>
          <w:szCs w:val="20"/>
        </w:rPr>
        <w:footnoteRef/>
      </w:r>
      <w:r w:rsidRPr="00732AA5">
        <w:rPr>
          <w:sz w:val="20"/>
          <w:szCs w:val="20"/>
          <w:lang w:val="en-US"/>
        </w:rPr>
        <w:t xml:space="preserve"> Talal Asad, Formations of the Secular: Christianity, Islam, Modernity, Cultural Memory in the Present (Stanford, Calif: Stanford University Press, 2003).</w:t>
      </w:r>
    </w:p>
  </w:footnote>
  <w:footnote w:id="133">
    <w:p w14:paraId="7F83B2BF" w14:textId="7777777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Andrew Hoogheem, ‘Secular Apocalypses: Darwinian Criticism and Atwoodian Floods’, </w:t>
      </w:r>
      <w:r w:rsidRPr="00732AA5">
        <w:rPr>
          <w:i/>
          <w:iCs/>
          <w:sz w:val="20"/>
          <w:szCs w:val="20"/>
          <w:lang w:val="en-US"/>
        </w:rPr>
        <w:t>Mosaic : A Journal for the Interdisciplinary Study of Literature; Winnipeg</w:t>
      </w:r>
      <w:r w:rsidRPr="00732AA5">
        <w:rPr>
          <w:sz w:val="20"/>
          <w:szCs w:val="20"/>
          <w:lang w:val="en-US"/>
        </w:rPr>
        <w:t>, 45.2 (2012), 55–71 p58.</w:t>
      </w:r>
    </w:p>
  </w:footnote>
  <w:footnote w:id="134">
    <w:p w14:paraId="7A6D4457" w14:textId="07407A03"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Hoogheem, p</w:t>
      </w:r>
      <w:r w:rsidR="00351150">
        <w:rPr>
          <w:sz w:val="20"/>
          <w:szCs w:val="20"/>
          <w:lang w:val="en-US"/>
        </w:rPr>
        <w:t xml:space="preserve">. </w:t>
      </w:r>
      <w:r w:rsidRPr="00732AA5">
        <w:rPr>
          <w:sz w:val="20"/>
          <w:szCs w:val="20"/>
          <w:lang w:val="en-US"/>
        </w:rPr>
        <w:t>58.</w:t>
      </w:r>
    </w:p>
  </w:footnote>
  <w:footnote w:id="135">
    <w:p w14:paraId="4CE3C0A8" w14:textId="55C36665"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w:t>
      </w:r>
      <w:r w:rsidR="00C40178">
        <w:rPr>
          <w:i/>
          <w:iCs/>
          <w:sz w:val="20"/>
          <w:szCs w:val="20"/>
          <w:lang w:val="en-US"/>
        </w:rPr>
        <w:t>Ibid.,</w:t>
      </w:r>
      <w:r w:rsidRPr="00732AA5">
        <w:rPr>
          <w:sz w:val="20"/>
          <w:szCs w:val="20"/>
          <w:lang w:val="en-US"/>
        </w:rPr>
        <w:t xml:space="preserve"> p</w:t>
      </w:r>
      <w:r w:rsidR="00C40178">
        <w:rPr>
          <w:sz w:val="20"/>
          <w:szCs w:val="20"/>
          <w:lang w:val="en-US"/>
        </w:rPr>
        <w:t xml:space="preserve">. </w:t>
      </w:r>
      <w:r w:rsidRPr="00732AA5">
        <w:rPr>
          <w:sz w:val="20"/>
          <w:szCs w:val="20"/>
          <w:lang w:val="en-US"/>
        </w:rPr>
        <w:t>58.</w:t>
      </w:r>
    </w:p>
  </w:footnote>
  <w:footnote w:id="136">
    <w:p w14:paraId="5EADFF1E" w14:textId="0B3CF63A" w:rsidR="00B06F43" w:rsidRPr="00732AA5" w:rsidRDefault="00B06F43" w:rsidP="00732AA5">
      <w:pPr>
        <w:rPr>
          <w:sz w:val="20"/>
          <w:szCs w:val="20"/>
          <w:lang w:val="en-US"/>
        </w:rPr>
      </w:pPr>
      <w:r w:rsidRPr="00732AA5">
        <w:rPr>
          <w:rStyle w:val="FootnoteReference"/>
          <w:sz w:val="20"/>
          <w:szCs w:val="20"/>
        </w:rPr>
        <w:footnoteRef/>
      </w:r>
      <w:r w:rsidRPr="00732AA5">
        <w:rPr>
          <w:sz w:val="20"/>
          <w:szCs w:val="20"/>
          <w:lang w:val="en-US"/>
        </w:rPr>
        <w:t xml:space="preserve"> </w:t>
      </w:r>
      <w:r w:rsidR="00C40178">
        <w:rPr>
          <w:i/>
          <w:iCs/>
          <w:sz w:val="20"/>
          <w:szCs w:val="20"/>
          <w:lang w:val="en-US"/>
        </w:rPr>
        <w:t>Ibid.,</w:t>
      </w:r>
      <w:r w:rsidR="00C40178" w:rsidRPr="00732AA5">
        <w:rPr>
          <w:sz w:val="20"/>
          <w:szCs w:val="20"/>
          <w:lang w:val="en-US"/>
        </w:rPr>
        <w:t xml:space="preserve"> p</w:t>
      </w:r>
      <w:r w:rsidR="00C40178">
        <w:rPr>
          <w:sz w:val="20"/>
          <w:szCs w:val="20"/>
          <w:lang w:val="en-US"/>
        </w:rPr>
        <w:t xml:space="preserve">. </w:t>
      </w:r>
      <w:r w:rsidR="00C40178" w:rsidRPr="00732AA5">
        <w:rPr>
          <w:sz w:val="20"/>
          <w:szCs w:val="20"/>
          <w:lang w:val="en-US"/>
        </w:rPr>
        <w:t>58.</w:t>
      </w:r>
    </w:p>
  </w:footnote>
  <w:footnote w:id="137">
    <w:p w14:paraId="5420FA3D" w14:textId="4FC1950E"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David Sloan Wilson, </w:t>
      </w:r>
      <w:r w:rsidRPr="00732AA5">
        <w:rPr>
          <w:i/>
          <w:iCs/>
          <w:sz w:val="20"/>
          <w:szCs w:val="20"/>
          <w:lang w:val="en-US"/>
        </w:rPr>
        <w:t>Darwin’s Cathedral: Evolution, Religion, and the Nature of Society</w:t>
      </w:r>
      <w:r w:rsidRPr="00732AA5">
        <w:rPr>
          <w:sz w:val="20"/>
          <w:szCs w:val="20"/>
          <w:lang w:val="en-US"/>
        </w:rPr>
        <w:t xml:space="preserve"> (Chicago: University of Chicago Press, 2010) &lt;</w:t>
      </w:r>
      <w:hyperlink r:id="rId20" w:history="1">
        <w:r w:rsidRPr="00732AA5">
          <w:rPr>
            <w:color w:val="0000FF"/>
            <w:sz w:val="20"/>
            <w:szCs w:val="20"/>
            <w:u w:val="single"/>
            <w:lang w:val="en-US"/>
          </w:rPr>
          <w:t>https://public.ebookcentral.proquest.com/choice/publicfullrecord.aspx?p=1249433</w:t>
        </w:r>
      </w:hyperlink>
      <w:r w:rsidRPr="00732AA5">
        <w:rPr>
          <w:sz w:val="20"/>
          <w:szCs w:val="20"/>
          <w:lang w:val="en-US"/>
        </w:rPr>
        <w:t>&gt; [accessed 10 September 2020]</w:t>
      </w:r>
      <w:r w:rsidR="00C40178">
        <w:rPr>
          <w:sz w:val="20"/>
          <w:szCs w:val="20"/>
          <w:lang w:val="en-US"/>
        </w:rPr>
        <w:t>,</w:t>
      </w:r>
      <w:r w:rsidRPr="00732AA5">
        <w:rPr>
          <w:sz w:val="20"/>
          <w:szCs w:val="20"/>
          <w:lang w:val="en-US"/>
        </w:rPr>
        <w:t xml:space="preserve"> p</w:t>
      </w:r>
      <w:r w:rsidR="00C40178">
        <w:rPr>
          <w:sz w:val="20"/>
          <w:szCs w:val="20"/>
          <w:lang w:val="en-US"/>
        </w:rPr>
        <w:t xml:space="preserve">. </w:t>
      </w:r>
      <w:r w:rsidRPr="00732AA5">
        <w:rPr>
          <w:sz w:val="20"/>
          <w:szCs w:val="20"/>
          <w:lang w:val="en-US"/>
        </w:rPr>
        <w:t>158.</w:t>
      </w:r>
    </w:p>
  </w:footnote>
  <w:footnote w:id="138">
    <w:p w14:paraId="102CD5EC" w14:textId="19D40F06"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Brian Boyd, </w:t>
      </w:r>
      <w:r w:rsidRPr="00732AA5">
        <w:rPr>
          <w:i/>
          <w:iCs/>
          <w:sz w:val="20"/>
          <w:szCs w:val="20"/>
          <w:lang w:val="en-US"/>
        </w:rPr>
        <w:t>On the Origin of Stories: Evolution, Cognition, and Fiction</w:t>
      </w:r>
      <w:r w:rsidRPr="00732AA5">
        <w:rPr>
          <w:sz w:val="20"/>
          <w:szCs w:val="20"/>
          <w:lang w:val="en-US"/>
        </w:rPr>
        <w:t xml:space="preserve"> (Cambridge, Mass: Belknap Press of Harvard University Press, 2009)</w:t>
      </w:r>
      <w:r w:rsidR="00C40178">
        <w:rPr>
          <w:sz w:val="20"/>
          <w:szCs w:val="20"/>
          <w:lang w:val="en-US"/>
        </w:rPr>
        <w:t>,</w:t>
      </w:r>
      <w:r w:rsidRPr="00732AA5">
        <w:rPr>
          <w:sz w:val="20"/>
          <w:szCs w:val="20"/>
          <w:lang w:val="en-US"/>
        </w:rPr>
        <w:t xml:space="preserve"> p</w:t>
      </w:r>
      <w:r w:rsidR="00C40178">
        <w:rPr>
          <w:sz w:val="20"/>
          <w:szCs w:val="20"/>
          <w:lang w:val="en-US"/>
        </w:rPr>
        <w:t xml:space="preserve">. </w:t>
      </w:r>
      <w:r w:rsidRPr="00732AA5">
        <w:rPr>
          <w:sz w:val="20"/>
          <w:szCs w:val="20"/>
          <w:lang w:val="en-US"/>
        </w:rPr>
        <w:t>117-18.</w:t>
      </w:r>
    </w:p>
  </w:footnote>
  <w:footnote w:id="139">
    <w:p w14:paraId="23177775" w14:textId="1FDA04F7" w:rsidR="00B06F43" w:rsidRPr="00232D80" w:rsidRDefault="00B06F43" w:rsidP="0027373D">
      <w:pPr>
        <w:pStyle w:val="FootnoteText"/>
        <w:rPr>
          <w:lang w:val="en-US"/>
        </w:rPr>
      </w:pPr>
      <w:r w:rsidRPr="00232D80">
        <w:rPr>
          <w:rStyle w:val="FootnoteReference"/>
        </w:rPr>
        <w:footnoteRef/>
      </w:r>
      <w:r w:rsidRPr="00232D80">
        <w:rPr>
          <w:lang w:val="en-US"/>
        </w:rPr>
        <w:t xml:space="preserve"> Boyd, p</w:t>
      </w:r>
      <w:r w:rsidR="00E12B42">
        <w:rPr>
          <w:lang w:val="en-US"/>
        </w:rPr>
        <w:t xml:space="preserve">. </w:t>
      </w:r>
      <w:r w:rsidRPr="00232D80">
        <w:rPr>
          <w:lang w:val="en-US"/>
        </w:rPr>
        <w:t>115.</w:t>
      </w:r>
    </w:p>
  </w:footnote>
  <w:footnote w:id="140">
    <w:p w14:paraId="564E8A3C" w14:textId="62290EAB" w:rsidR="00B06F43" w:rsidRPr="00232D80" w:rsidRDefault="00B06F43" w:rsidP="0027373D">
      <w:pPr>
        <w:pStyle w:val="FootnoteText"/>
        <w:rPr>
          <w:lang w:val="en-US"/>
        </w:rPr>
      </w:pPr>
      <w:r w:rsidRPr="00232D80">
        <w:rPr>
          <w:rStyle w:val="FootnoteReference"/>
        </w:rPr>
        <w:footnoteRef/>
      </w:r>
      <w:r w:rsidRPr="00232D80">
        <w:rPr>
          <w:lang w:val="en-US"/>
        </w:rPr>
        <w:t xml:space="preserve"> </w:t>
      </w:r>
      <w:r w:rsidR="00E12B42">
        <w:rPr>
          <w:i/>
          <w:iCs/>
          <w:lang w:val="en-US"/>
        </w:rPr>
        <w:t>Ibid</w:t>
      </w:r>
      <w:r w:rsidR="008F77ED">
        <w:rPr>
          <w:lang w:val="en-US"/>
        </w:rPr>
        <w:t>.,</w:t>
      </w:r>
      <w:r w:rsidRPr="00232D80">
        <w:rPr>
          <w:lang w:val="en-US"/>
        </w:rPr>
        <w:t xml:space="preserve"> p</w:t>
      </w:r>
      <w:r w:rsidR="008F77ED">
        <w:rPr>
          <w:lang w:val="en-US"/>
        </w:rPr>
        <w:t xml:space="preserve">. </w:t>
      </w:r>
      <w:r w:rsidRPr="00232D80">
        <w:rPr>
          <w:lang w:val="en-US"/>
        </w:rPr>
        <w:t>114.</w:t>
      </w:r>
    </w:p>
  </w:footnote>
  <w:footnote w:id="141">
    <w:p w14:paraId="1E1A0B9F" w14:textId="3EAB9083" w:rsidR="00B06F43" w:rsidRPr="00232D80" w:rsidRDefault="00B06F43" w:rsidP="0027373D">
      <w:pPr>
        <w:rPr>
          <w:sz w:val="20"/>
          <w:szCs w:val="20"/>
          <w:lang w:val="en-US"/>
        </w:rPr>
      </w:pPr>
      <w:r w:rsidRPr="00232D80">
        <w:rPr>
          <w:rStyle w:val="FootnoteReference"/>
          <w:sz w:val="20"/>
          <w:szCs w:val="20"/>
        </w:rPr>
        <w:footnoteRef/>
      </w:r>
      <w:r w:rsidRPr="00232D80">
        <w:rPr>
          <w:sz w:val="20"/>
          <w:szCs w:val="20"/>
          <w:lang w:val="en-US"/>
        </w:rPr>
        <w:t xml:space="preserve"> Hoogheem, p</w:t>
      </w:r>
      <w:r w:rsidR="008F77ED">
        <w:rPr>
          <w:sz w:val="20"/>
          <w:szCs w:val="20"/>
          <w:lang w:val="en-US"/>
        </w:rPr>
        <w:t xml:space="preserve">. </w:t>
      </w:r>
      <w:r w:rsidRPr="00232D80">
        <w:rPr>
          <w:sz w:val="20"/>
          <w:szCs w:val="20"/>
          <w:lang w:val="en-US"/>
        </w:rPr>
        <w:t>59.</w:t>
      </w:r>
    </w:p>
  </w:footnote>
  <w:footnote w:id="142">
    <w:p w14:paraId="683C94D9" w14:textId="73C18F32" w:rsidR="00B06F43" w:rsidRPr="00232D80" w:rsidRDefault="00B06F43" w:rsidP="0027373D">
      <w:pPr>
        <w:rPr>
          <w:sz w:val="20"/>
          <w:szCs w:val="20"/>
          <w:lang w:val="en-US"/>
        </w:rPr>
      </w:pPr>
      <w:r w:rsidRPr="00232D80">
        <w:rPr>
          <w:rStyle w:val="FootnoteReference"/>
          <w:sz w:val="20"/>
          <w:szCs w:val="20"/>
        </w:rPr>
        <w:footnoteRef/>
      </w:r>
      <w:r w:rsidRPr="00232D80">
        <w:rPr>
          <w:sz w:val="20"/>
          <w:szCs w:val="20"/>
          <w:lang w:val="en-US"/>
        </w:rPr>
        <w:t xml:space="preserve"> Linell Cady, ‘Secularism, Secularizing, and Secularization: Reflections on Stout’s Democracy and Tradition’, ed. by Jeffrey Stout, </w:t>
      </w:r>
      <w:r w:rsidRPr="00232D80">
        <w:rPr>
          <w:i/>
          <w:iCs/>
          <w:sz w:val="20"/>
          <w:szCs w:val="20"/>
          <w:lang w:val="en-US"/>
        </w:rPr>
        <w:t>Journal of the American Academy of Religion</w:t>
      </w:r>
      <w:r w:rsidRPr="00232D80">
        <w:rPr>
          <w:sz w:val="20"/>
          <w:szCs w:val="20"/>
          <w:lang w:val="en-US"/>
        </w:rPr>
        <w:t>, 73.3 (2005), 871–85</w:t>
      </w:r>
      <w:r w:rsidR="003B7F5D">
        <w:rPr>
          <w:sz w:val="20"/>
          <w:szCs w:val="20"/>
          <w:lang w:val="en-US"/>
        </w:rPr>
        <w:t xml:space="preserve">, </w:t>
      </w:r>
      <w:r w:rsidRPr="00232D80">
        <w:rPr>
          <w:sz w:val="20"/>
          <w:szCs w:val="20"/>
          <w:lang w:val="en-US"/>
        </w:rPr>
        <w:t>p</w:t>
      </w:r>
      <w:r w:rsidR="003B7F5D">
        <w:rPr>
          <w:sz w:val="20"/>
          <w:szCs w:val="20"/>
          <w:lang w:val="en-US"/>
        </w:rPr>
        <w:t xml:space="preserve">. </w:t>
      </w:r>
      <w:r w:rsidRPr="00232D80">
        <w:rPr>
          <w:sz w:val="20"/>
          <w:szCs w:val="20"/>
          <w:lang w:val="en-US"/>
        </w:rPr>
        <w:t>874.</w:t>
      </w:r>
    </w:p>
  </w:footnote>
  <w:footnote w:id="143">
    <w:p w14:paraId="77272A9C" w14:textId="76E3F3DC" w:rsidR="00B06F43" w:rsidRPr="00232D80" w:rsidRDefault="00B06F43" w:rsidP="0027373D">
      <w:pPr>
        <w:rPr>
          <w:sz w:val="20"/>
          <w:szCs w:val="20"/>
          <w:lang w:val="en-US"/>
        </w:rPr>
      </w:pPr>
      <w:r w:rsidRPr="00232D80">
        <w:rPr>
          <w:rStyle w:val="FootnoteReference"/>
          <w:sz w:val="20"/>
          <w:szCs w:val="20"/>
        </w:rPr>
        <w:footnoteRef/>
      </w:r>
      <w:r w:rsidRPr="00232D80">
        <w:rPr>
          <w:sz w:val="20"/>
          <w:szCs w:val="20"/>
          <w:lang w:val="en-US"/>
        </w:rPr>
        <w:t xml:space="preserve"> Kaufmann, p</w:t>
      </w:r>
      <w:r w:rsidR="00934AC6">
        <w:rPr>
          <w:sz w:val="20"/>
          <w:szCs w:val="20"/>
          <w:lang w:val="en-US"/>
        </w:rPr>
        <w:t xml:space="preserve">. </w:t>
      </w:r>
      <w:r w:rsidRPr="00232D80">
        <w:rPr>
          <w:sz w:val="20"/>
          <w:szCs w:val="20"/>
          <w:lang w:val="en-US"/>
        </w:rPr>
        <w:t>609.</w:t>
      </w:r>
    </w:p>
  </w:footnote>
  <w:footnote w:id="144">
    <w:p w14:paraId="349AA473" w14:textId="3A5B17AF" w:rsidR="00B06F43" w:rsidRPr="00FE2E20" w:rsidRDefault="00B06F43" w:rsidP="0027373D">
      <w:pPr>
        <w:rPr>
          <w:lang w:val="en-US"/>
        </w:rPr>
      </w:pPr>
      <w:r w:rsidRPr="00232D80">
        <w:rPr>
          <w:rStyle w:val="FootnoteReference"/>
          <w:sz w:val="20"/>
          <w:szCs w:val="20"/>
        </w:rPr>
        <w:footnoteRef/>
      </w:r>
      <w:r w:rsidRPr="00232D80">
        <w:rPr>
          <w:sz w:val="20"/>
          <w:szCs w:val="20"/>
          <w:lang w:val="en-US"/>
        </w:rPr>
        <w:t xml:space="preserve"> </w:t>
      </w:r>
      <w:r w:rsidR="003B7F5D">
        <w:rPr>
          <w:i/>
          <w:iCs/>
          <w:sz w:val="20"/>
          <w:szCs w:val="20"/>
          <w:lang w:val="en-US"/>
        </w:rPr>
        <w:t>Ibid.,</w:t>
      </w:r>
      <w:r w:rsidR="003B7F5D" w:rsidRPr="00934AC6">
        <w:rPr>
          <w:sz w:val="20"/>
          <w:szCs w:val="20"/>
          <w:lang w:val="en-US"/>
        </w:rPr>
        <w:t xml:space="preserve"> p</w:t>
      </w:r>
      <w:r w:rsidR="003B7F5D">
        <w:rPr>
          <w:sz w:val="20"/>
          <w:szCs w:val="20"/>
          <w:lang w:val="en-US"/>
        </w:rPr>
        <w:t xml:space="preserve">. </w:t>
      </w:r>
      <w:r w:rsidR="003B7F5D" w:rsidRPr="00934AC6">
        <w:rPr>
          <w:sz w:val="20"/>
          <w:szCs w:val="20"/>
          <w:lang w:val="en-US"/>
        </w:rPr>
        <w:t>609</w:t>
      </w:r>
    </w:p>
  </w:footnote>
  <w:footnote w:id="145">
    <w:p w14:paraId="2BA39A55" w14:textId="0DABCA49" w:rsidR="00B06F43" w:rsidRPr="00934AC6" w:rsidRDefault="00B06F43" w:rsidP="0027373D">
      <w:pPr>
        <w:rPr>
          <w:sz w:val="20"/>
          <w:szCs w:val="20"/>
          <w:lang w:val="en-US"/>
        </w:rPr>
      </w:pPr>
      <w:r w:rsidRPr="00934AC6">
        <w:rPr>
          <w:rStyle w:val="FootnoteReference"/>
          <w:sz w:val="20"/>
          <w:szCs w:val="20"/>
        </w:rPr>
        <w:footnoteRef/>
      </w:r>
      <w:r w:rsidRPr="00934AC6">
        <w:rPr>
          <w:sz w:val="20"/>
          <w:szCs w:val="20"/>
          <w:lang w:val="en-US"/>
        </w:rPr>
        <w:t xml:space="preserve"> </w:t>
      </w:r>
      <w:r w:rsidR="00934AC6">
        <w:rPr>
          <w:i/>
          <w:iCs/>
          <w:sz w:val="20"/>
          <w:szCs w:val="20"/>
          <w:lang w:val="en-US"/>
        </w:rPr>
        <w:t>Ibid</w:t>
      </w:r>
      <w:r w:rsidR="003B7F5D" w:rsidRPr="003B7F5D">
        <w:rPr>
          <w:sz w:val="20"/>
          <w:szCs w:val="20"/>
          <w:lang w:val="en-US"/>
        </w:rPr>
        <w:t>.</w:t>
      </w:r>
    </w:p>
  </w:footnote>
  <w:footnote w:id="146">
    <w:p w14:paraId="3053FE3C" w14:textId="115E01E9"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Kaufmann, p</w:t>
      </w:r>
      <w:r w:rsidR="00325CB0">
        <w:rPr>
          <w:sz w:val="20"/>
          <w:szCs w:val="20"/>
          <w:lang w:val="en-US"/>
        </w:rPr>
        <w:t xml:space="preserve">. </w:t>
      </w:r>
      <w:r w:rsidRPr="00732AA5">
        <w:rPr>
          <w:sz w:val="20"/>
          <w:szCs w:val="20"/>
          <w:lang w:val="en-US"/>
        </w:rPr>
        <w:t>610.</w:t>
      </w:r>
    </w:p>
  </w:footnote>
  <w:footnote w:id="147">
    <w:p w14:paraId="13373668" w14:textId="77777777" w:rsidR="00A94FCE" w:rsidRPr="00732AA5" w:rsidRDefault="00A94FCE" w:rsidP="00A94FCE">
      <w:pPr>
        <w:rPr>
          <w:sz w:val="20"/>
          <w:szCs w:val="20"/>
          <w:lang w:val="en-US"/>
        </w:rPr>
      </w:pPr>
      <w:r w:rsidRPr="00732AA5">
        <w:rPr>
          <w:rStyle w:val="FootnoteReference"/>
          <w:sz w:val="20"/>
          <w:szCs w:val="20"/>
        </w:rPr>
        <w:footnoteRef/>
      </w:r>
      <w:r w:rsidRPr="00732AA5">
        <w:rPr>
          <w:sz w:val="20"/>
          <w:szCs w:val="20"/>
          <w:lang w:val="en-US"/>
        </w:rPr>
        <w:t xml:space="preserve"> Kaufmann, p</w:t>
      </w:r>
      <w:r>
        <w:rPr>
          <w:sz w:val="20"/>
          <w:szCs w:val="20"/>
          <w:lang w:val="en-US"/>
        </w:rPr>
        <w:t xml:space="preserve">. </w:t>
      </w:r>
      <w:r w:rsidRPr="00732AA5">
        <w:rPr>
          <w:sz w:val="20"/>
          <w:szCs w:val="20"/>
          <w:lang w:val="en-US"/>
        </w:rPr>
        <w:t>610.</w:t>
      </w:r>
    </w:p>
  </w:footnote>
  <w:footnote w:id="148">
    <w:p w14:paraId="214D1253" w14:textId="1C37CF67" w:rsidR="00B06F43" w:rsidRPr="00732AA5" w:rsidRDefault="00B06F43" w:rsidP="0027373D">
      <w:pPr>
        <w:rPr>
          <w:sz w:val="20"/>
          <w:szCs w:val="20"/>
          <w:lang w:val="en-US"/>
        </w:rPr>
      </w:pPr>
      <w:r w:rsidRPr="00732AA5">
        <w:rPr>
          <w:rStyle w:val="FootnoteReference"/>
          <w:sz w:val="20"/>
          <w:szCs w:val="20"/>
        </w:rPr>
        <w:footnoteRef/>
      </w:r>
      <w:r w:rsidRPr="00732AA5">
        <w:rPr>
          <w:sz w:val="20"/>
          <w:szCs w:val="20"/>
          <w:lang w:val="en-US"/>
        </w:rPr>
        <w:t xml:space="preserve"> José Casanova, </w:t>
      </w:r>
      <w:r w:rsidRPr="00732AA5">
        <w:rPr>
          <w:i/>
          <w:iCs/>
          <w:sz w:val="20"/>
          <w:szCs w:val="20"/>
          <w:lang w:val="en-US"/>
        </w:rPr>
        <w:t>Public Religions in the Modern World</w:t>
      </w:r>
      <w:r w:rsidRPr="00732AA5">
        <w:rPr>
          <w:sz w:val="20"/>
          <w:szCs w:val="20"/>
          <w:lang w:val="en-US"/>
        </w:rPr>
        <w:t xml:space="preserve"> (Chicago: University of Chicago Press, 1994)</w:t>
      </w:r>
      <w:r w:rsidR="00B65D5C">
        <w:rPr>
          <w:sz w:val="20"/>
          <w:szCs w:val="20"/>
          <w:lang w:val="en-US"/>
        </w:rPr>
        <w:t>,</w:t>
      </w:r>
      <w:r w:rsidRPr="00732AA5">
        <w:rPr>
          <w:sz w:val="20"/>
          <w:szCs w:val="20"/>
          <w:lang w:val="en-US"/>
        </w:rPr>
        <w:t xml:space="preserve"> p</w:t>
      </w:r>
      <w:r w:rsidR="00B65D5C">
        <w:rPr>
          <w:sz w:val="20"/>
          <w:szCs w:val="20"/>
          <w:lang w:val="en-US"/>
        </w:rPr>
        <w:t xml:space="preserve">. </w:t>
      </w:r>
      <w:r w:rsidRPr="00732AA5">
        <w:rPr>
          <w:sz w:val="20"/>
          <w:szCs w:val="20"/>
          <w:lang w:val="en-US"/>
        </w:rPr>
        <w:t>18.</w:t>
      </w:r>
    </w:p>
  </w:footnote>
  <w:footnote w:id="149">
    <w:p w14:paraId="3E647E74" w14:textId="5A5A8D65" w:rsidR="00B06F43" w:rsidRPr="00732AA5" w:rsidRDefault="00B06F43" w:rsidP="0027373D">
      <w:pPr>
        <w:pStyle w:val="FootnoteText"/>
        <w:rPr>
          <w:lang w:val="en-US"/>
        </w:rPr>
      </w:pPr>
      <w:r w:rsidRPr="00732AA5">
        <w:rPr>
          <w:rStyle w:val="FootnoteReference"/>
        </w:rPr>
        <w:footnoteRef/>
      </w:r>
      <w:r w:rsidRPr="00732AA5">
        <w:rPr>
          <w:lang w:val="en-US"/>
        </w:rPr>
        <w:t xml:space="preserve"> Hoogheem, </w:t>
      </w:r>
      <w:r w:rsidR="00B568CA">
        <w:rPr>
          <w:lang w:val="en-US"/>
        </w:rPr>
        <w:t xml:space="preserve">p. </w:t>
      </w:r>
      <w:r w:rsidR="00451023">
        <w:rPr>
          <w:lang w:val="en-US"/>
        </w:rPr>
        <w:t>60.</w:t>
      </w:r>
    </w:p>
  </w:footnote>
  <w:footnote w:id="150">
    <w:p w14:paraId="4FEB195D" w14:textId="6BB2CCC3" w:rsidR="00AD65E8" w:rsidRPr="0057205B" w:rsidRDefault="00AD65E8">
      <w:pPr>
        <w:pStyle w:val="FootnoteText"/>
        <w:rPr>
          <w:lang w:val="en-US"/>
        </w:rPr>
      </w:pPr>
      <w:r>
        <w:rPr>
          <w:rStyle w:val="FootnoteReference"/>
        </w:rPr>
        <w:footnoteRef/>
      </w:r>
      <w:r>
        <w:t xml:space="preserve"> </w:t>
      </w:r>
      <w:r w:rsidR="0057205B">
        <w:t xml:space="preserve">Atwood, </w:t>
      </w:r>
      <w:r w:rsidR="0057205B">
        <w:rPr>
          <w:i/>
          <w:iCs/>
        </w:rPr>
        <w:t>The Year of the Flood</w:t>
      </w:r>
      <w:r w:rsidR="0057205B">
        <w:t>, p. 11.</w:t>
      </w:r>
    </w:p>
  </w:footnote>
  <w:footnote w:id="151">
    <w:p w14:paraId="41A975D0" w14:textId="67B66FDF" w:rsidR="00AD65E8" w:rsidRPr="006C1FB6" w:rsidRDefault="00AD65E8">
      <w:pPr>
        <w:pStyle w:val="FootnoteText"/>
        <w:rPr>
          <w:i/>
          <w:iCs/>
          <w:lang w:val="en-US"/>
        </w:rPr>
      </w:pPr>
      <w:r>
        <w:rPr>
          <w:rStyle w:val="FootnoteReference"/>
        </w:rPr>
        <w:footnoteRef/>
      </w:r>
      <w:r>
        <w:t xml:space="preserve"> </w:t>
      </w:r>
      <w:r w:rsidR="006C1FB6">
        <w:rPr>
          <w:i/>
          <w:iCs/>
        </w:rPr>
        <w:t>Ibid</w:t>
      </w:r>
      <w:r w:rsidR="006C1FB6" w:rsidRPr="006C1FB6">
        <w:t>.,</w:t>
      </w:r>
      <w:r w:rsidR="006C1FB6">
        <w:t xml:space="preserve"> p. 188.</w:t>
      </w:r>
      <w:r w:rsidR="006C1FB6">
        <w:rPr>
          <w:i/>
          <w:iCs/>
        </w:rPr>
        <w:t xml:space="preserve"> </w:t>
      </w:r>
    </w:p>
  </w:footnote>
  <w:footnote w:id="152">
    <w:p w14:paraId="01EF5FD7" w14:textId="503338D9" w:rsidR="00060D01" w:rsidRPr="00060D01" w:rsidRDefault="00060D01">
      <w:pPr>
        <w:pStyle w:val="FootnoteText"/>
        <w:rPr>
          <w:lang w:val="en-US"/>
        </w:rPr>
      </w:pPr>
      <w:r>
        <w:rPr>
          <w:rStyle w:val="FootnoteReference"/>
        </w:rPr>
        <w:footnoteRef/>
      </w:r>
      <w:r>
        <w:t xml:space="preserve"> </w:t>
      </w:r>
      <w:r w:rsidRPr="000A27EE">
        <w:rPr>
          <w:lang w:val="en-US"/>
        </w:rPr>
        <w:t xml:space="preserve">Bianca Del Villano, ‘An Ecocritical Retelling of the Bible: Genesis and Apocalypse in Margaret Atwood’s The Year of the Flood’, </w:t>
      </w:r>
      <w:r w:rsidRPr="000A27EE">
        <w:rPr>
          <w:i/>
          <w:iCs/>
          <w:lang w:val="en-US"/>
        </w:rPr>
        <w:t>Textus</w:t>
      </w:r>
      <w:r w:rsidRPr="000A27EE">
        <w:rPr>
          <w:lang w:val="en-US"/>
        </w:rPr>
        <w:t>, 27.3 (2014), 151–69</w:t>
      </w:r>
      <w:r w:rsidR="00356BE7">
        <w:rPr>
          <w:lang w:val="en-US"/>
        </w:rPr>
        <w:t>,</w:t>
      </w:r>
      <w:r>
        <w:rPr>
          <w:lang w:val="en-US"/>
        </w:rPr>
        <w:t xml:space="preserve"> p</w:t>
      </w:r>
      <w:r w:rsidR="00356BE7">
        <w:rPr>
          <w:lang w:val="en-US"/>
        </w:rPr>
        <w:t xml:space="preserve">. </w:t>
      </w:r>
      <w:r>
        <w:rPr>
          <w:lang w:val="en-US"/>
        </w:rPr>
        <w:t>154.</w:t>
      </w:r>
    </w:p>
  </w:footnote>
  <w:footnote w:id="153">
    <w:p w14:paraId="734C1F7D" w14:textId="739F3896" w:rsidR="00060D01" w:rsidRPr="00060D01" w:rsidRDefault="00060D01">
      <w:pPr>
        <w:pStyle w:val="FootnoteText"/>
        <w:rPr>
          <w:lang w:val="en-US"/>
        </w:rPr>
      </w:pPr>
      <w:r>
        <w:rPr>
          <w:rStyle w:val="FootnoteReference"/>
        </w:rPr>
        <w:footnoteRef/>
      </w:r>
      <w:r>
        <w:t xml:space="preserve"> </w:t>
      </w:r>
      <w:r w:rsidR="00356BE7" w:rsidRPr="000A27EE">
        <w:rPr>
          <w:lang w:val="en-US"/>
        </w:rPr>
        <w:t xml:space="preserve">Atwood, </w:t>
      </w:r>
      <w:r w:rsidR="00356BE7" w:rsidRPr="000A27EE">
        <w:rPr>
          <w:i/>
          <w:iCs/>
          <w:lang w:val="en-US"/>
        </w:rPr>
        <w:t>The Year of the Flood</w:t>
      </w:r>
      <w:r w:rsidR="00356BE7">
        <w:rPr>
          <w:lang w:val="en-US"/>
        </w:rPr>
        <w:t>,</w:t>
      </w:r>
      <w:r w:rsidR="00356BE7" w:rsidRPr="000A27EE">
        <w:rPr>
          <w:lang w:val="en-US"/>
        </w:rPr>
        <w:t xml:space="preserve"> p</w:t>
      </w:r>
      <w:r w:rsidR="00356BE7">
        <w:rPr>
          <w:lang w:val="en-US"/>
        </w:rPr>
        <w:t>. 285</w:t>
      </w:r>
      <w:r w:rsidR="00356BE7" w:rsidRPr="000A27EE">
        <w:rPr>
          <w:lang w:val="en-US"/>
        </w:rPr>
        <w:t>.</w:t>
      </w:r>
    </w:p>
  </w:footnote>
  <w:footnote w:id="154">
    <w:p w14:paraId="4DE10F21" w14:textId="32AE8C47" w:rsidR="00D633B7" w:rsidRPr="00D633B7" w:rsidRDefault="00D633B7">
      <w:pPr>
        <w:pStyle w:val="FootnoteText"/>
        <w:rPr>
          <w:lang w:val="en-US"/>
        </w:rPr>
      </w:pPr>
      <w:r>
        <w:rPr>
          <w:rStyle w:val="FootnoteReference"/>
        </w:rPr>
        <w:footnoteRef/>
      </w:r>
      <w:r>
        <w:t xml:space="preserve"> </w:t>
      </w:r>
      <w:r w:rsidRPr="0029514E">
        <w:rPr>
          <w:lang w:val="en-US"/>
        </w:rPr>
        <w:t>Kaufmann, p</w:t>
      </w:r>
      <w:r>
        <w:rPr>
          <w:lang w:val="en-US"/>
        </w:rPr>
        <w:t xml:space="preserve">. </w:t>
      </w:r>
      <w:r w:rsidRPr="0029514E">
        <w:rPr>
          <w:lang w:val="en-US"/>
        </w:rPr>
        <w:t>609.</w:t>
      </w:r>
    </w:p>
  </w:footnote>
  <w:footnote w:id="155">
    <w:p w14:paraId="0256362E" w14:textId="115444D6" w:rsidR="0010418E" w:rsidRPr="0010418E" w:rsidRDefault="0010418E">
      <w:pPr>
        <w:pStyle w:val="FootnoteText"/>
        <w:rPr>
          <w:lang w:val="en-US"/>
        </w:rPr>
      </w:pPr>
      <w:r>
        <w:rPr>
          <w:rStyle w:val="FootnoteReference"/>
        </w:rPr>
        <w:footnoteRef/>
      </w:r>
      <w:r>
        <w:t xml:space="preserve"> </w:t>
      </w:r>
      <w:r w:rsidRPr="000A27EE">
        <w:rPr>
          <w:lang w:val="en-US"/>
        </w:rPr>
        <w:t xml:space="preserve">Atwood, </w:t>
      </w:r>
      <w:r w:rsidRPr="000A27EE">
        <w:rPr>
          <w:i/>
          <w:iCs/>
          <w:lang w:val="en-US"/>
        </w:rPr>
        <w:t>The Year of the Flood</w:t>
      </w:r>
      <w:r>
        <w:rPr>
          <w:lang w:val="en-US"/>
        </w:rPr>
        <w:t>,</w:t>
      </w:r>
      <w:r w:rsidRPr="000A27EE">
        <w:rPr>
          <w:lang w:val="en-US"/>
        </w:rPr>
        <w:t xml:space="preserve"> p</w:t>
      </w:r>
      <w:r>
        <w:rPr>
          <w:lang w:val="en-US"/>
        </w:rPr>
        <w:t xml:space="preserve">. </w:t>
      </w:r>
      <w:r w:rsidR="000876D2">
        <w:rPr>
          <w:lang w:val="en-US"/>
        </w:rPr>
        <w:t>14.</w:t>
      </w:r>
    </w:p>
  </w:footnote>
  <w:footnote w:id="156">
    <w:p w14:paraId="526F298C" w14:textId="7027057B" w:rsidR="001D7935" w:rsidRPr="001D7935" w:rsidRDefault="001D7935">
      <w:pPr>
        <w:pStyle w:val="FootnoteText"/>
        <w:rPr>
          <w:lang w:val="en-US"/>
        </w:rPr>
      </w:pPr>
      <w:r>
        <w:rPr>
          <w:rStyle w:val="FootnoteReference"/>
        </w:rPr>
        <w:footnoteRef/>
      </w:r>
      <w:r>
        <w:t xml:space="preserve"> </w:t>
      </w:r>
      <w:r w:rsidRPr="008C24D4">
        <w:rPr>
          <w:lang w:val="en-US"/>
        </w:rPr>
        <w:t>Del Villano, p</w:t>
      </w:r>
      <w:r>
        <w:rPr>
          <w:lang w:val="en-US"/>
        </w:rPr>
        <w:t xml:space="preserve">. </w:t>
      </w:r>
      <w:r w:rsidRPr="008C24D4">
        <w:rPr>
          <w:lang w:val="en-US"/>
        </w:rPr>
        <w:t>157.</w:t>
      </w:r>
    </w:p>
  </w:footnote>
  <w:footnote w:id="157">
    <w:p w14:paraId="3ACB3775" w14:textId="5AAEE717" w:rsidR="00AC4592" w:rsidRPr="00AC4592" w:rsidRDefault="00AC4592">
      <w:pPr>
        <w:pStyle w:val="FootnoteText"/>
        <w:rPr>
          <w:lang w:val="en-US"/>
        </w:rPr>
      </w:pPr>
      <w:r>
        <w:rPr>
          <w:rStyle w:val="FootnoteReference"/>
        </w:rPr>
        <w:footnoteRef/>
      </w:r>
      <w:r>
        <w:t xml:space="preserve"> </w:t>
      </w:r>
      <w:r>
        <w:rPr>
          <w:lang w:val="en-US"/>
        </w:rPr>
        <w:t>Hoogheem, p. 62</w:t>
      </w:r>
      <w:r w:rsidRPr="00C279C7">
        <w:rPr>
          <w:lang w:val="en-US"/>
        </w:rPr>
        <w:t>.</w:t>
      </w:r>
    </w:p>
  </w:footnote>
  <w:footnote w:id="158">
    <w:p w14:paraId="0412C789" w14:textId="4CE24550" w:rsidR="00DF030A" w:rsidRPr="00DF030A" w:rsidRDefault="00DF030A">
      <w:pPr>
        <w:pStyle w:val="FootnoteText"/>
        <w:rPr>
          <w:lang w:val="en-US"/>
        </w:rPr>
      </w:pPr>
      <w:r>
        <w:rPr>
          <w:rStyle w:val="FootnoteReference"/>
        </w:rPr>
        <w:footnoteRef/>
      </w:r>
      <w:r>
        <w:t xml:space="preserve"> Atwood, </w:t>
      </w:r>
      <w:r w:rsidRPr="00DF030A">
        <w:rPr>
          <w:i/>
          <w:iCs/>
        </w:rPr>
        <w:t>The Year of the Flood</w:t>
      </w:r>
      <w:r>
        <w:t xml:space="preserve">, </w:t>
      </w:r>
      <w:r w:rsidRPr="000A27EE">
        <w:rPr>
          <w:lang w:val="en-US"/>
        </w:rPr>
        <w:t>p</w:t>
      </w:r>
      <w:r>
        <w:rPr>
          <w:lang w:val="en-US"/>
        </w:rPr>
        <w:t>. 256-57.</w:t>
      </w:r>
    </w:p>
  </w:footnote>
  <w:footnote w:id="159">
    <w:p w14:paraId="7D9E4E00" w14:textId="7BAEF1E3" w:rsidR="00B06F43" w:rsidRPr="00AA3A50" w:rsidRDefault="00B06F43" w:rsidP="0027373D">
      <w:pPr>
        <w:pStyle w:val="FootnoteText"/>
        <w:rPr>
          <w:lang w:val="en-US"/>
        </w:rPr>
      </w:pPr>
      <w:r>
        <w:rPr>
          <w:rStyle w:val="FootnoteReference"/>
        </w:rPr>
        <w:footnoteRef/>
      </w:r>
      <w:r w:rsidRPr="00AA3A50">
        <w:rPr>
          <w:lang w:val="en-US"/>
        </w:rPr>
        <w:t xml:space="preserve"> </w:t>
      </w:r>
      <w:r w:rsidR="00A22103">
        <w:rPr>
          <w:i/>
          <w:iCs/>
          <w:lang w:val="en-US"/>
        </w:rPr>
        <w:t>Ibid</w:t>
      </w:r>
      <w:r w:rsidR="00A22103" w:rsidRPr="00A22103">
        <w:rPr>
          <w:lang w:val="en-US"/>
        </w:rPr>
        <w:t>.</w:t>
      </w:r>
      <w:r w:rsidR="00DF030A" w:rsidRPr="00A22103">
        <w:rPr>
          <w:lang w:val="en-US"/>
        </w:rPr>
        <w:t>,</w:t>
      </w:r>
      <w:r w:rsidRPr="000A27EE">
        <w:rPr>
          <w:lang w:val="en-US"/>
        </w:rPr>
        <w:t xml:space="preserve"> p</w:t>
      </w:r>
      <w:r w:rsidR="00DF030A">
        <w:rPr>
          <w:lang w:val="en-US"/>
        </w:rPr>
        <w:t xml:space="preserve">. </w:t>
      </w:r>
      <w:r>
        <w:rPr>
          <w:lang w:val="en-US"/>
        </w:rPr>
        <w:t>64.</w:t>
      </w:r>
    </w:p>
  </w:footnote>
  <w:footnote w:id="160">
    <w:p w14:paraId="3D234100" w14:textId="5174A6B7" w:rsidR="00B06F43" w:rsidRPr="007A0590" w:rsidRDefault="00B06F43" w:rsidP="0027373D">
      <w:pPr>
        <w:pStyle w:val="FootnoteText"/>
        <w:rPr>
          <w:lang w:val="en-US"/>
        </w:rPr>
      </w:pPr>
      <w:r>
        <w:rPr>
          <w:rStyle w:val="FootnoteReference"/>
        </w:rPr>
        <w:footnoteRef/>
      </w:r>
      <w:r w:rsidRPr="007A0590">
        <w:rPr>
          <w:lang w:val="en-US"/>
        </w:rPr>
        <w:t xml:space="preserve"> </w:t>
      </w:r>
      <w:r w:rsidRPr="000A27EE">
        <w:rPr>
          <w:lang w:val="en-US"/>
        </w:rPr>
        <w:t xml:space="preserve">Atwood, </w:t>
      </w:r>
      <w:r w:rsidRPr="000A27EE">
        <w:rPr>
          <w:i/>
          <w:iCs/>
          <w:lang w:val="en-US"/>
        </w:rPr>
        <w:t>The Year of the Flood</w:t>
      </w:r>
      <w:r w:rsidR="004E1FF1">
        <w:rPr>
          <w:lang w:val="en-US"/>
        </w:rPr>
        <w:t xml:space="preserve">, </w:t>
      </w:r>
      <w:r w:rsidRPr="000A27EE">
        <w:rPr>
          <w:lang w:val="en-US"/>
        </w:rPr>
        <w:t>p</w:t>
      </w:r>
      <w:r w:rsidR="004E1FF1">
        <w:rPr>
          <w:lang w:val="en-US"/>
        </w:rPr>
        <w:t xml:space="preserve">. </w:t>
      </w:r>
      <w:r>
        <w:rPr>
          <w:lang w:val="en-US"/>
        </w:rPr>
        <w:t>67.</w:t>
      </w:r>
    </w:p>
  </w:footnote>
  <w:footnote w:id="161">
    <w:p w14:paraId="0C815F2A" w14:textId="27900210" w:rsidR="00B06F43" w:rsidRPr="00F5034A" w:rsidRDefault="00B06F43" w:rsidP="0027373D">
      <w:pPr>
        <w:pStyle w:val="FootnoteText"/>
        <w:rPr>
          <w:lang w:val="en-US"/>
        </w:rPr>
      </w:pPr>
      <w:r>
        <w:rPr>
          <w:rStyle w:val="FootnoteReference"/>
        </w:rPr>
        <w:footnoteRef/>
      </w:r>
      <w:r w:rsidRPr="00F5034A">
        <w:rPr>
          <w:lang w:val="en-US"/>
        </w:rPr>
        <w:t xml:space="preserve"> </w:t>
      </w:r>
      <w:r w:rsidR="004E1FF1">
        <w:rPr>
          <w:i/>
          <w:iCs/>
          <w:lang w:val="en-US"/>
        </w:rPr>
        <w:t>Ibid</w:t>
      </w:r>
      <w:r w:rsidR="004E1FF1">
        <w:rPr>
          <w:lang w:val="en-US"/>
        </w:rPr>
        <w:t>.,</w:t>
      </w:r>
      <w:r w:rsidRPr="000A27EE">
        <w:rPr>
          <w:lang w:val="en-US"/>
        </w:rPr>
        <w:t xml:space="preserve"> p</w:t>
      </w:r>
      <w:r w:rsidR="004E1FF1">
        <w:rPr>
          <w:lang w:val="en-US"/>
        </w:rPr>
        <w:t xml:space="preserve">. </w:t>
      </w:r>
      <w:r>
        <w:rPr>
          <w:lang w:val="en-US"/>
        </w:rPr>
        <w:t>225.</w:t>
      </w:r>
    </w:p>
  </w:footnote>
  <w:footnote w:id="162">
    <w:p w14:paraId="5A2C90A5" w14:textId="490FD388" w:rsidR="00B06F43" w:rsidRPr="00025E4B" w:rsidRDefault="00B06F43" w:rsidP="0027373D">
      <w:pPr>
        <w:pStyle w:val="FootnoteText"/>
        <w:rPr>
          <w:lang w:val="en-US"/>
        </w:rPr>
      </w:pPr>
      <w:r>
        <w:rPr>
          <w:rStyle w:val="FootnoteReference"/>
        </w:rPr>
        <w:footnoteRef/>
      </w:r>
      <w:r w:rsidRPr="00025E4B">
        <w:rPr>
          <w:lang w:val="en-US"/>
        </w:rPr>
        <w:t xml:space="preserve"> </w:t>
      </w:r>
      <w:r w:rsidR="004E1FF1">
        <w:rPr>
          <w:i/>
          <w:iCs/>
          <w:lang w:val="en-US"/>
        </w:rPr>
        <w:t>Ibid</w:t>
      </w:r>
      <w:r w:rsidR="004E1FF1">
        <w:rPr>
          <w:lang w:val="en-US"/>
        </w:rPr>
        <w:t>.,</w:t>
      </w:r>
      <w:r w:rsidR="004E1FF1" w:rsidRPr="000A27EE">
        <w:rPr>
          <w:lang w:val="en-US"/>
        </w:rPr>
        <w:t xml:space="preserve"> </w:t>
      </w:r>
      <w:r w:rsidRPr="000A27EE">
        <w:rPr>
          <w:lang w:val="en-US"/>
        </w:rPr>
        <w:t>p</w:t>
      </w:r>
      <w:r w:rsidR="004E1FF1">
        <w:rPr>
          <w:lang w:val="en-US"/>
        </w:rPr>
        <w:t xml:space="preserve">. </w:t>
      </w:r>
      <w:r>
        <w:rPr>
          <w:lang w:val="en-US"/>
        </w:rPr>
        <w:t>61.</w:t>
      </w:r>
    </w:p>
  </w:footnote>
  <w:footnote w:id="163">
    <w:p w14:paraId="7AB5E13B" w14:textId="77777777" w:rsidR="00B06F43" w:rsidRPr="002F161B" w:rsidRDefault="00B06F43" w:rsidP="0027373D">
      <w:pPr>
        <w:pStyle w:val="FootnoteText"/>
        <w:rPr>
          <w:lang w:val="en-US"/>
        </w:rPr>
      </w:pPr>
      <w:r>
        <w:rPr>
          <w:rStyle w:val="FootnoteReference"/>
        </w:rPr>
        <w:footnoteRef/>
      </w:r>
      <w:r w:rsidRPr="002F161B">
        <w:rPr>
          <w:lang w:val="en-US"/>
        </w:rPr>
        <w:t xml:space="preserve"> </w:t>
      </w:r>
      <w:r w:rsidRPr="000A27EE">
        <w:rPr>
          <w:lang w:val="en-US"/>
        </w:rPr>
        <w:t xml:space="preserve">Margaret Atwood, </w:t>
      </w:r>
      <w:r w:rsidRPr="000A27EE">
        <w:rPr>
          <w:i/>
          <w:iCs/>
          <w:lang w:val="en-US"/>
        </w:rPr>
        <w:t>The Year of the Flood</w:t>
      </w:r>
      <w:r w:rsidRPr="000A27EE">
        <w:rPr>
          <w:lang w:val="en-US"/>
        </w:rPr>
        <w:t xml:space="preserve"> (London: Virago, 2014) p</w:t>
      </w:r>
      <w:r>
        <w:rPr>
          <w:lang w:val="en-US"/>
        </w:rPr>
        <w:t>68.</w:t>
      </w:r>
    </w:p>
  </w:footnote>
  <w:footnote w:id="164">
    <w:p w14:paraId="67E43312" w14:textId="7B8F4122" w:rsidR="005469C6" w:rsidRPr="005469C6" w:rsidRDefault="005469C6">
      <w:pPr>
        <w:pStyle w:val="FootnoteText"/>
        <w:rPr>
          <w:lang w:val="en-US"/>
        </w:rPr>
      </w:pPr>
      <w:r>
        <w:rPr>
          <w:rStyle w:val="FootnoteReference"/>
        </w:rPr>
        <w:footnoteRef/>
      </w:r>
      <w:r>
        <w:t xml:space="preserve"> </w:t>
      </w:r>
      <w:r w:rsidRPr="00211793">
        <w:rPr>
          <w:lang w:val="en-US"/>
        </w:rPr>
        <w:t xml:space="preserve">Dissanayake, </w:t>
      </w:r>
      <w:r w:rsidRPr="00211793">
        <w:rPr>
          <w:i/>
          <w:iCs/>
          <w:lang w:val="en-US"/>
        </w:rPr>
        <w:t>Art and Intimacy: How the Arts Began</w:t>
      </w:r>
      <w:r w:rsidRPr="00211793">
        <w:rPr>
          <w:lang w:val="en-US"/>
        </w:rPr>
        <w:t xml:space="preserve"> (Seattle: University of Washington Press, 2015)</w:t>
      </w:r>
      <w:r>
        <w:rPr>
          <w:lang w:val="en-US"/>
        </w:rPr>
        <w:t>,</w:t>
      </w:r>
      <w:r w:rsidRPr="00211793">
        <w:rPr>
          <w:lang w:val="en-US"/>
        </w:rPr>
        <w:t xml:space="preserve"> p</w:t>
      </w:r>
      <w:r>
        <w:rPr>
          <w:lang w:val="en-US"/>
        </w:rPr>
        <w:t xml:space="preserve">. </w:t>
      </w:r>
      <w:r w:rsidRPr="00211793">
        <w:rPr>
          <w:lang w:val="en-US"/>
        </w:rPr>
        <w:t>187.</w:t>
      </w:r>
    </w:p>
  </w:footnote>
  <w:footnote w:id="165">
    <w:p w14:paraId="6312990E" w14:textId="099E2764" w:rsidR="005469C6" w:rsidRPr="00C42680" w:rsidRDefault="005469C6">
      <w:pPr>
        <w:pStyle w:val="FootnoteText"/>
        <w:rPr>
          <w:lang w:val="en-US"/>
        </w:rPr>
      </w:pPr>
      <w:r>
        <w:rPr>
          <w:rStyle w:val="FootnoteReference"/>
        </w:rPr>
        <w:footnoteRef/>
      </w:r>
      <w:r>
        <w:t xml:space="preserve"> </w:t>
      </w:r>
      <w:r w:rsidR="00C42680" w:rsidRPr="00211793">
        <w:rPr>
          <w:lang w:val="en-US"/>
        </w:rPr>
        <w:t xml:space="preserve">Dissanayake, </w:t>
      </w:r>
      <w:r w:rsidR="00C42680">
        <w:rPr>
          <w:lang w:val="en-US"/>
        </w:rPr>
        <w:t>p. 187.</w:t>
      </w:r>
    </w:p>
  </w:footnote>
  <w:footnote w:id="166">
    <w:p w14:paraId="7AA47190" w14:textId="053B831F" w:rsidR="00C42680" w:rsidRPr="00C42680" w:rsidRDefault="00C42680">
      <w:pPr>
        <w:pStyle w:val="FootnoteText"/>
        <w:rPr>
          <w:lang w:val="en-US"/>
        </w:rPr>
      </w:pPr>
      <w:r>
        <w:rPr>
          <w:rStyle w:val="FootnoteReference"/>
        </w:rPr>
        <w:footnoteRef/>
      </w:r>
      <w:r>
        <w:t xml:space="preserve"> </w:t>
      </w:r>
      <w:r w:rsidRPr="00211793">
        <w:rPr>
          <w:lang w:val="en-US"/>
        </w:rPr>
        <w:t>Dissanayake</w:t>
      </w:r>
      <w:r w:rsidRPr="00C42680">
        <w:rPr>
          <w:lang w:val="en-US"/>
        </w:rPr>
        <w:t>, p. 187.</w:t>
      </w:r>
    </w:p>
  </w:footnote>
  <w:footnote w:id="167">
    <w:p w14:paraId="2E8E85BA" w14:textId="36448818" w:rsidR="00B06F43" w:rsidRPr="00C42680" w:rsidRDefault="00B06F43" w:rsidP="0027373D">
      <w:pPr>
        <w:rPr>
          <w:sz w:val="20"/>
          <w:szCs w:val="20"/>
          <w:lang w:val="en-US"/>
        </w:rPr>
      </w:pPr>
      <w:r w:rsidRPr="00C42680">
        <w:rPr>
          <w:rStyle w:val="FootnoteReference"/>
          <w:sz w:val="20"/>
          <w:szCs w:val="20"/>
        </w:rPr>
        <w:footnoteRef/>
      </w:r>
      <w:r w:rsidRPr="00C42680">
        <w:rPr>
          <w:sz w:val="20"/>
          <w:szCs w:val="20"/>
          <w:lang w:val="en-US"/>
        </w:rPr>
        <w:t xml:space="preserve"> </w:t>
      </w:r>
      <w:r w:rsidR="00C42680" w:rsidRPr="00C42680">
        <w:rPr>
          <w:i/>
          <w:iCs/>
          <w:sz w:val="20"/>
          <w:szCs w:val="20"/>
          <w:lang w:val="en-US"/>
        </w:rPr>
        <w:t>Ibid</w:t>
      </w:r>
      <w:r w:rsidR="00C42680" w:rsidRPr="00C42680">
        <w:rPr>
          <w:sz w:val="20"/>
          <w:szCs w:val="20"/>
          <w:lang w:val="en-US"/>
        </w:rPr>
        <w:t>., p. 187</w:t>
      </w:r>
    </w:p>
  </w:footnote>
  <w:footnote w:id="168">
    <w:p w14:paraId="2CACFCA0" w14:textId="21932FB9" w:rsidR="00B06F43" w:rsidRPr="00A74994" w:rsidRDefault="00B06F43" w:rsidP="0027373D">
      <w:pPr>
        <w:pStyle w:val="FootnoteText"/>
        <w:rPr>
          <w:lang w:val="en-US"/>
        </w:rPr>
      </w:pPr>
      <w:r>
        <w:rPr>
          <w:rStyle w:val="FootnoteReference"/>
        </w:rPr>
        <w:footnoteRef/>
      </w:r>
      <w:r w:rsidRPr="00A74994">
        <w:rPr>
          <w:lang w:val="en-US"/>
        </w:rPr>
        <w:t xml:space="preserve"> </w:t>
      </w:r>
      <w:r w:rsidRPr="000A27EE">
        <w:rPr>
          <w:lang w:val="en-US"/>
        </w:rPr>
        <w:t xml:space="preserve">Atwood, </w:t>
      </w:r>
      <w:r w:rsidRPr="000A27EE">
        <w:rPr>
          <w:i/>
          <w:iCs/>
          <w:lang w:val="en-US"/>
        </w:rPr>
        <w:t>The Year of the Flood</w:t>
      </w:r>
      <w:r w:rsidR="00062CCC">
        <w:rPr>
          <w:lang w:val="en-US"/>
        </w:rPr>
        <w:t xml:space="preserve">, </w:t>
      </w:r>
      <w:r w:rsidRPr="000A27EE">
        <w:rPr>
          <w:lang w:val="en-US"/>
        </w:rPr>
        <w:t>p</w:t>
      </w:r>
      <w:r w:rsidR="00062CCC">
        <w:rPr>
          <w:lang w:val="en-US"/>
        </w:rPr>
        <w:t xml:space="preserve">. </w:t>
      </w:r>
      <w:r>
        <w:rPr>
          <w:lang w:val="en-US"/>
        </w:rPr>
        <w:t>xi.</w:t>
      </w:r>
    </w:p>
  </w:footnote>
  <w:footnote w:id="169">
    <w:p w14:paraId="0364479E" w14:textId="61E0A3FD" w:rsidR="00B06F43" w:rsidRPr="00E41352" w:rsidRDefault="00B06F43" w:rsidP="0027373D">
      <w:pPr>
        <w:pStyle w:val="FootnoteText"/>
        <w:rPr>
          <w:lang w:val="en-US"/>
        </w:rPr>
      </w:pPr>
      <w:r>
        <w:rPr>
          <w:rStyle w:val="FootnoteReference"/>
        </w:rPr>
        <w:footnoteRef/>
      </w:r>
      <w:r w:rsidRPr="00E41352">
        <w:rPr>
          <w:lang w:val="en-US"/>
        </w:rPr>
        <w:t xml:space="preserve"> </w:t>
      </w:r>
      <w:r w:rsidR="00062CCC" w:rsidRPr="00062CCC">
        <w:rPr>
          <w:i/>
          <w:iCs/>
          <w:lang w:val="en-US"/>
        </w:rPr>
        <w:t>Ibid</w:t>
      </w:r>
      <w:r w:rsidR="00062CCC" w:rsidRPr="00062CCC">
        <w:rPr>
          <w:lang w:val="en-US"/>
        </w:rPr>
        <w:t>.,</w:t>
      </w:r>
      <w:r w:rsidRPr="00062CCC">
        <w:rPr>
          <w:lang w:val="en-US"/>
        </w:rPr>
        <w:t xml:space="preserve"> p</w:t>
      </w:r>
      <w:r w:rsidR="00062CCC">
        <w:rPr>
          <w:lang w:val="en-US"/>
        </w:rPr>
        <w:t xml:space="preserve">. </w:t>
      </w:r>
      <w:r w:rsidRPr="00062CCC">
        <w:rPr>
          <w:lang w:val="en-US"/>
        </w:rPr>
        <w:t>54.</w:t>
      </w:r>
    </w:p>
  </w:footnote>
  <w:footnote w:id="170">
    <w:p w14:paraId="391C226F" w14:textId="20DEAE68" w:rsidR="00B06F43" w:rsidRPr="00D034D3" w:rsidRDefault="00B06F43" w:rsidP="0027373D">
      <w:pPr>
        <w:pStyle w:val="FootnoteText"/>
        <w:rPr>
          <w:lang w:val="en-US"/>
        </w:rPr>
      </w:pPr>
      <w:r>
        <w:rPr>
          <w:rStyle w:val="FootnoteReference"/>
        </w:rPr>
        <w:footnoteRef/>
      </w:r>
      <w:r w:rsidRPr="00D034D3">
        <w:rPr>
          <w:lang w:val="en-US"/>
        </w:rPr>
        <w:t xml:space="preserve"> </w:t>
      </w:r>
      <w:r w:rsidR="00062CCC" w:rsidRPr="00062CCC">
        <w:rPr>
          <w:i/>
          <w:iCs/>
          <w:lang w:val="en-US"/>
        </w:rPr>
        <w:t>Ibid</w:t>
      </w:r>
      <w:r w:rsidR="00062CCC" w:rsidRPr="00062CCC">
        <w:rPr>
          <w:lang w:val="en-US"/>
        </w:rPr>
        <w:t>., p</w:t>
      </w:r>
      <w:r w:rsidR="00062CCC">
        <w:rPr>
          <w:lang w:val="en-US"/>
        </w:rPr>
        <w:t>. 348</w:t>
      </w:r>
      <w:r>
        <w:rPr>
          <w:lang w:val="en-US"/>
        </w:rPr>
        <w:t>.</w:t>
      </w:r>
    </w:p>
  </w:footnote>
  <w:footnote w:id="171">
    <w:p w14:paraId="0761D258" w14:textId="202CD387" w:rsidR="00B06F43" w:rsidRPr="00E03EB8" w:rsidRDefault="00B06F43" w:rsidP="0027373D">
      <w:pPr>
        <w:pStyle w:val="FootnoteText"/>
        <w:rPr>
          <w:lang w:val="en-US"/>
        </w:rPr>
      </w:pPr>
      <w:r>
        <w:rPr>
          <w:rStyle w:val="FootnoteReference"/>
        </w:rPr>
        <w:footnoteRef/>
      </w:r>
      <w:r w:rsidRPr="00E03EB8">
        <w:rPr>
          <w:lang w:val="en-US"/>
        </w:rPr>
        <w:t xml:space="preserve"> </w:t>
      </w:r>
      <w:r w:rsidRPr="000A27EE">
        <w:rPr>
          <w:lang w:val="en-US"/>
        </w:rPr>
        <w:t xml:space="preserve">Atwood, </w:t>
      </w:r>
      <w:r w:rsidRPr="000A27EE">
        <w:rPr>
          <w:i/>
          <w:iCs/>
          <w:lang w:val="en-US"/>
        </w:rPr>
        <w:t>The Year of the Flood</w:t>
      </w:r>
      <w:r w:rsidR="00FB74EA">
        <w:rPr>
          <w:lang w:val="en-US"/>
        </w:rPr>
        <w:t xml:space="preserve">, </w:t>
      </w:r>
      <w:r w:rsidRPr="000A27EE">
        <w:rPr>
          <w:lang w:val="en-US"/>
        </w:rPr>
        <w:t>p</w:t>
      </w:r>
      <w:r w:rsidR="00FB74EA">
        <w:rPr>
          <w:lang w:val="en-US"/>
        </w:rPr>
        <w:t xml:space="preserve">. </w:t>
      </w:r>
      <w:r>
        <w:rPr>
          <w:lang w:val="en-US"/>
        </w:rPr>
        <w:t>241</w:t>
      </w:r>
      <w:r w:rsidR="00FB74EA">
        <w:rPr>
          <w:lang w:val="en-US"/>
        </w:rPr>
        <w:t>.</w:t>
      </w:r>
    </w:p>
  </w:footnote>
  <w:footnote w:id="172">
    <w:p w14:paraId="0F5E3D3B" w14:textId="6497F82E" w:rsidR="00B06F43" w:rsidRPr="005A5841" w:rsidRDefault="00B06F43" w:rsidP="0027373D">
      <w:pPr>
        <w:rPr>
          <w:sz w:val="20"/>
          <w:szCs w:val="20"/>
          <w:lang w:val="en-US"/>
        </w:rPr>
      </w:pPr>
      <w:r w:rsidRPr="005A5841">
        <w:rPr>
          <w:rStyle w:val="FootnoteReference"/>
          <w:sz w:val="20"/>
          <w:szCs w:val="20"/>
        </w:rPr>
        <w:footnoteRef/>
      </w:r>
      <w:r w:rsidRPr="005A5841">
        <w:rPr>
          <w:sz w:val="20"/>
          <w:szCs w:val="20"/>
          <w:lang w:val="en-US"/>
        </w:rPr>
        <w:t xml:space="preserve"> Margaret Atwood, </w:t>
      </w:r>
      <w:r w:rsidRPr="005A5841">
        <w:rPr>
          <w:i/>
          <w:iCs/>
          <w:sz w:val="20"/>
          <w:szCs w:val="20"/>
          <w:lang w:val="en-US"/>
        </w:rPr>
        <w:t>Moving Targets: Writing with Intent, 1982-2004</w:t>
      </w:r>
      <w:r w:rsidRPr="005A5841">
        <w:rPr>
          <w:sz w:val="20"/>
          <w:szCs w:val="20"/>
          <w:lang w:val="en-US"/>
        </w:rPr>
        <w:t xml:space="preserve"> (Toronto: House of Anansi Press, 2004)</w:t>
      </w:r>
      <w:r w:rsidR="00E223B0" w:rsidRPr="005A5841">
        <w:rPr>
          <w:sz w:val="20"/>
          <w:szCs w:val="20"/>
          <w:lang w:val="en-US"/>
        </w:rPr>
        <w:t>,</w:t>
      </w:r>
      <w:r w:rsidRPr="005A5841">
        <w:rPr>
          <w:sz w:val="20"/>
          <w:szCs w:val="20"/>
          <w:lang w:val="en-US"/>
        </w:rPr>
        <w:t xml:space="preserve"> </w:t>
      </w:r>
      <w:r w:rsidRPr="005A5841">
        <w:rPr>
          <w:sz w:val="20"/>
          <w:szCs w:val="20"/>
        </w:rPr>
        <w:t>p</w:t>
      </w:r>
      <w:r w:rsidR="00E223B0" w:rsidRPr="005A5841">
        <w:rPr>
          <w:sz w:val="20"/>
          <w:szCs w:val="20"/>
        </w:rPr>
        <w:t xml:space="preserve">. </w:t>
      </w:r>
      <w:r w:rsidRPr="005A5841">
        <w:rPr>
          <w:sz w:val="20"/>
          <w:szCs w:val="20"/>
        </w:rPr>
        <w:t xml:space="preserve"> 323</w:t>
      </w:r>
      <w:r w:rsidR="005A5841" w:rsidRPr="005A5841">
        <w:rPr>
          <w:sz w:val="20"/>
          <w:szCs w:val="20"/>
        </w:rPr>
        <w:t>.</w:t>
      </w:r>
    </w:p>
  </w:footnote>
  <w:footnote w:id="173">
    <w:p w14:paraId="2D5FCAC4" w14:textId="235EB669" w:rsidR="00B06F43" w:rsidRPr="005A5841" w:rsidRDefault="00B06F43" w:rsidP="0027373D">
      <w:pPr>
        <w:rPr>
          <w:sz w:val="20"/>
          <w:szCs w:val="20"/>
          <w:lang w:val="en-US"/>
        </w:rPr>
      </w:pPr>
      <w:r w:rsidRPr="005A5841">
        <w:rPr>
          <w:rStyle w:val="FootnoteReference"/>
          <w:sz w:val="20"/>
          <w:szCs w:val="20"/>
        </w:rPr>
        <w:footnoteRef/>
      </w:r>
      <w:r w:rsidRPr="005A5841">
        <w:rPr>
          <w:sz w:val="20"/>
          <w:szCs w:val="20"/>
          <w:lang w:val="en-US"/>
        </w:rPr>
        <w:t xml:space="preserve"> Atwood, </w:t>
      </w:r>
      <w:r w:rsidRPr="005A5841">
        <w:rPr>
          <w:i/>
          <w:iCs/>
          <w:sz w:val="20"/>
          <w:szCs w:val="20"/>
          <w:lang w:val="en-US"/>
        </w:rPr>
        <w:t xml:space="preserve">In Other </w:t>
      </w:r>
      <w:r w:rsidRPr="005A5841">
        <w:rPr>
          <w:sz w:val="20"/>
          <w:szCs w:val="20"/>
          <w:lang w:val="en-US"/>
        </w:rPr>
        <w:t>Worlds</w:t>
      </w:r>
      <w:r w:rsidR="005A5841" w:rsidRPr="005A5841">
        <w:rPr>
          <w:sz w:val="20"/>
          <w:szCs w:val="20"/>
          <w:lang w:val="en-US"/>
        </w:rPr>
        <w:t xml:space="preserve">, </w:t>
      </w:r>
      <w:r w:rsidRPr="005A5841">
        <w:rPr>
          <w:sz w:val="20"/>
          <w:szCs w:val="20"/>
          <w:lang w:val="en-US"/>
        </w:rPr>
        <w:t>p.</w:t>
      </w:r>
      <w:r w:rsidR="005A5841" w:rsidRPr="005A5841">
        <w:rPr>
          <w:sz w:val="20"/>
          <w:szCs w:val="20"/>
          <w:lang w:val="en-US"/>
        </w:rPr>
        <w:t xml:space="preserve"> </w:t>
      </w:r>
      <w:r w:rsidRPr="005A5841">
        <w:rPr>
          <w:sz w:val="20"/>
          <w:szCs w:val="20"/>
          <w:lang w:val="en-US"/>
        </w:rPr>
        <w:t>122.</w:t>
      </w:r>
    </w:p>
  </w:footnote>
  <w:footnote w:id="174">
    <w:p w14:paraId="4EF27BDF" w14:textId="032D7B38" w:rsidR="00B06F43" w:rsidRPr="005A5841" w:rsidRDefault="00B06F43" w:rsidP="0027373D">
      <w:pPr>
        <w:rPr>
          <w:sz w:val="20"/>
          <w:szCs w:val="20"/>
        </w:rPr>
      </w:pPr>
      <w:r w:rsidRPr="005A5841">
        <w:rPr>
          <w:rStyle w:val="FootnoteReference"/>
          <w:sz w:val="20"/>
          <w:szCs w:val="20"/>
        </w:rPr>
        <w:footnoteRef/>
      </w:r>
      <w:r w:rsidRPr="005A5841">
        <w:rPr>
          <w:sz w:val="20"/>
          <w:szCs w:val="20"/>
        </w:rPr>
        <w:t xml:space="preserve"> </w:t>
      </w:r>
      <w:r w:rsidRPr="005A5841">
        <w:rPr>
          <w:rStyle w:val="BookTitle"/>
          <w:lang w:val="en-US"/>
        </w:rPr>
        <w:t>Borbély and Petrar, p. 26-27.</w:t>
      </w:r>
    </w:p>
  </w:footnote>
  <w:footnote w:id="175">
    <w:p w14:paraId="4786FC78" w14:textId="309AAAF7" w:rsidR="00B06F43" w:rsidRPr="00EA4693" w:rsidRDefault="00B06F43" w:rsidP="0027373D">
      <w:pPr>
        <w:rPr>
          <w:sz w:val="20"/>
          <w:szCs w:val="20"/>
          <w:lang w:val="en-US"/>
        </w:rPr>
      </w:pPr>
      <w:r w:rsidRPr="00EA4693">
        <w:rPr>
          <w:rStyle w:val="FootnoteReference"/>
          <w:sz w:val="20"/>
          <w:szCs w:val="20"/>
        </w:rPr>
        <w:footnoteRef/>
      </w:r>
      <w:r w:rsidRPr="00EA4693">
        <w:rPr>
          <w:sz w:val="20"/>
          <w:szCs w:val="20"/>
        </w:rPr>
        <w:t xml:space="preserve"> </w:t>
      </w:r>
      <w:r w:rsidR="00EA4693" w:rsidRPr="00EA4693">
        <w:rPr>
          <w:sz w:val="20"/>
          <w:szCs w:val="20"/>
          <w:lang w:val="en-US"/>
        </w:rPr>
        <w:t xml:space="preserve">Moylan, </w:t>
      </w:r>
      <w:r w:rsidR="00EA4693" w:rsidRPr="00EA4693">
        <w:rPr>
          <w:i/>
          <w:iCs/>
          <w:sz w:val="20"/>
          <w:szCs w:val="20"/>
          <w:lang w:val="en-US"/>
        </w:rPr>
        <w:t>Demand the Impossible</w:t>
      </w:r>
      <w:r w:rsidR="00EA4693" w:rsidRPr="00EA4693">
        <w:rPr>
          <w:sz w:val="20"/>
          <w:szCs w:val="20"/>
          <w:lang w:val="en-US"/>
        </w:rPr>
        <w:t xml:space="preserve">, </w:t>
      </w:r>
      <w:r w:rsidRPr="00EA4693">
        <w:rPr>
          <w:sz w:val="20"/>
          <w:szCs w:val="20"/>
          <w:lang w:val="en-US"/>
        </w:rPr>
        <w:t>p</w:t>
      </w:r>
      <w:r w:rsidR="00EA4693">
        <w:rPr>
          <w:sz w:val="20"/>
          <w:szCs w:val="20"/>
          <w:lang w:val="en-US"/>
        </w:rPr>
        <w:t xml:space="preserve">. </w:t>
      </w:r>
      <w:r w:rsidRPr="00EA4693">
        <w:rPr>
          <w:sz w:val="20"/>
          <w:szCs w:val="20"/>
          <w:lang w:val="en-US"/>
        </w:rPr>
        <w:t>1-3.</w:t>
      </w:r>
    </w:p>
  </w:footnote>
  <w:footnote w:id="176">
    <w:p w14:paraId="209054FF" w14:textId="485B3BFE" w:rsidR="00B06F43" w:rsidRPr="00402F47" w:rsidRDefault="00B06F43" w:rsidP="0027373D">
      <w:pPr>
        <w:pStyle w:val="FootnoteText"/>
        <w:rPr>
          <w:lang w:val="en-US"/>
        </w:rPr>
      </w:pPr>
      <w:r w:rsidRPr="00402F47">
        <w:rPr>
          <w:rStyle w:val="FootnoteReference"/>
        </w:rPr>
        <w:footnoteRef/>
      </w:r>
      <w:r w:rsidRPr="00402F47">
        <w:t xml:space="preserve"> </w:t>
      </w:r>
      <w:r w:rsidR="00EA4693" w:rsidRPr="001D2E74">
        <w:rPr>
          <w:i/>
          <w:iCs/>
          <w:lang w:val="en-US"/>
        </w:rPr>
        <w:t>Ibid</w:t>
      </w:r>
      <w:r w:rsidR="001D2E74">
        <w:rPr>
          <w:lang w:val="en-US"/>
        </w:rPr>
        <w:t>.</w:t>
      </w:r>
      <w:r w:rsidR="00EA7F82">
        <w:rPr>
          <w:lang w:val="en-US"/>
        </w:rPr>
        <w:t xml:space="preserve">, </w:t>
      </w:r>
      <w:r w:rsidRPr="00402F47">
        <w:rPr>
          <w:lang w:val="en-US"/>
        </w:rPr>
        <w:t>p</w:t>
      </w:r>
      <w:r w:rsidR="00EA7F82">
        <w:rPr>
          <w:lang w:val="en-US"/>
        </w:rPr>
        <w:t xml:space="preserve">. </w:t>
      </w:r>
      <w:r w:rsidRPr="00402F47">
        <w:rPr>
          <w:lang w:val="en-US"/>
        </w:rPr>
        <w:t>4.</w:t>
      </w:r>
    </w:p>
  </w:footnote>
  <w:footnote w:id="177">
    <w:p w14:paraId="5C198676" w14:textId="77777777" w:rsidR="00B06F43" w:rsidRPr="00402F47" w:rsidRDefault="00B06F43" w:rsidP="0027373D">
      <w:pPr>
        <w:rPr>
          <w:sz w:val="20"/>
          <w:szCs w:val="20"/>
        </w:rPr>
      </w:pPr>
      <w:r w:rsidRPr="00402F47">
        <w:rPr>
          <w:rStyle w:val="FootnoteReference"/>
          <w:sz w:val="20"/>
          <w:szCs w:val="20"/>
        </w:rPr>
        <w:footnoteRef/>
      </w:r>
      <w:r w:rsidRPr="00402F47">
        <w:rPr>
          <w:sz w:val="20"/>
          <w:szCs w:val="20"/>
        </w:rPr>
        <w:t xml:space="preserve"> Miguel-Hervé Abensour, ‘Les Formes de l’Utopie Socialiste-Communiste: Essai Sur Le Communisme Critique et l’utopie’, 1973.</w:t>
      </w:r>
    </w:p>
  </w:footnote>
  <w:footnote w:id="178">
    <w:p w14:paraId="5A48562D" w14:textId="5A651488" w:rsidR="00B06F43" w:rsidRPr="009B4B83" w:rsidRDefault="00B06F43" w:rsidP="0027373D">
      <w:pPr>
        <w:pStyle w:val="FootnoteText"/>
        <w:rPr>
          <w:lang w:val="en-US"/>
        </w:rPr>
      </w:pPr>
      <w:r w:rsidRPr="00402F47">
        <w:rPr>
          <w:rStyle w:val="FootnoteReference"/>
        </w:rPr>
        <w:footnoteRef/>
      </w:r>
      <w:r w:rsidRPr="00402F47">
        <w:t xml:space="preserve"> </w:t>
      </w:r>
      <w:r w:rsidRPr="00402F47">
        <w:rPr>
          <w:lang w:val="en-US"/>
        </w:rPr>
        <w:t xml:space="preserve">Moylan, </w:t>
      </w:r>
      <w:r w:rsidRPr="00402F47">
        <w:rPr>
          <w:i/>
          <w:iCs/>
          <w:lang w:val="en-US"/>
        </w:rPr>
        <w:t>Demand the Impossible</w:t>
      </w:r>
      <w:r w:rsidR="00EA7F82">
        <w:rPr>
          <w:lang w:val="en-US"/>
        </w:rPr>
        <w:t>,</w:t>
      </w:r>
      <w:r w:rsidRPr="00402F47">
        <w:rPr>
          <w:lang w:val="en-US"/>
        </w:rPr>
        <w:t xml:space="preserve"> p</w:t>
      </w:r>
      <w:r w:rsidR="00EA7F82">
        <w:rPr>
          <w:lang w:val="en-US"/>
        </w:rPr>
        <w:t xml:space="preserve">. </w:t>
      </w:r>
      <w:r w:rsidRPr="00402F47">
        <w:rPr>
          <w:lang w:val="en-US"/>
        </w:rPr>
        <w:t>6.</w:t>
      </w:r>
    </w:p>
  </w:footnote>
  <w:footnote w:id="179">
    <w:p w14:paraId="241ED91C" w14:textId="138A3859" w:rsidR="00B06F43" w:rsidRPr="00402F47" w:rsidRDefault="00B06F43" w:rsidP="0027373D">
      <w:pPr>
        <w:pStyle w:val="FootnoteText"/>
        <w:rPr>
          <w:lang w:val="en-US"/>
        </w:rPr>
      </w:pPr>
      <w:r w:rsidRPr="00402F47">
        <w:rPr>
          <w:rStyle w:val="FootnoteReference"/>
        </w:rPr>
        <w:footnoteRef/>
      </w:r>
      <w:r w:rsidRPr="00402F47">
        <w:t xml:space="preserve"> </w:t>
      </w:r>
      <w:r w:rsidRPr="00402F47">
        <w:rPr>
          <w:lang w:val="en-US"/>
        </w:rPr>
        <w:t xml:space="preserve">Moylan, </w:t>
      </w:r>
      <w:r w:rsidRPr="00402F47">
        <w:rPr>
          <w:i/>
          <w:iCs/>
          <w:lang w:val="en-US"/>
        </w:rPr>
        <w:t>Demand the Impossible</w:t>
      </w:r>
      <w:r w:rsidR="00CD076F">
        <w:rPr>
          <w:lang w:val="en-US"/>
        </w:rPr>
        <w:t>,</w:t>
      </w:r>
      <w:r w:rsidRPr="00402F47">
        <w:rPr>
          <w:lang w:val="en-US"/>
        </w:rPr>
        <w:t xml:space="preserve"> p</w:t>
      </w:r>
      <w:r w:rsidR="00CD076F">
        <w:rPr>
          <w:lang w:val="en-US"/>
        </w:rPr>
        <w:t xml:space="preserve">. </w:t>
      </w:r>
      <w:r w:rsidRPr="00402F47">
        <w:rPr>
          <w:lang w:val="en-US"/>
        </w:rPr>
        <w:t>8.</w:t>
      </w:r>
    </w:p>
  </w:footnote>
  <w:footnote w:id="180">
    <w:p w14:paraId="4E7BDC11" w14:textId="3575EB1F" w:rsidR="00B06F43" w:rsidRPr="00402F47" w:rsidRDefault="00B06F43" w:rsidP="0027373D">
      <w:pPr>
        <w:rPr>
          <w:sz w:val="20"/>
          <w:szCs w:val="20"/>
          <w:lang w:val="en-US"/>
        </w:rPr>
      </w:pPr>
      <w:r w:rsidRPr="00402F47">
        <w:rPr>
          <w:rStyle w:val="FootnoteReference"/>
          <w:sz w:val="20"/>
          <w:szCs w:val="20"/>
        </w:rPr>
        <w:footnoteRef/>
      </w:r>
      <w:r w:rsidRPr="00402F47">
        <w:rPr>
          <w:sz w:val="20"/>
          <w:szCs w:val="20"/>
        </w:rPr>
        <w:t xml:space="preserve"> Kumar, </w:t>
      </w:r>
      <w:r w:rsidRPr="00402F47">
        <w:rPr>
          <w:i/>
          <w:iCs/>
          <w:sz w:val="20"/>
          <w:szCs w:val="20"/>
        </w:rPr>
        <w:t>Utopia and Anti-Utopia</w:t>
      </w:r>
      <w:r w:rsidR="001D2E74" w:rsidRPr="001D2E74">
        <w:rPr>
          <w:sz w:val="20"/>
          <w:szCs w:val="20"/>
        </w:rPr>
        <w:t>,</w:t>
      </w:r>
      <w:r w:rsidRPr="00402F47">
        <w:rPr>
          <w:sz w:val="20"/>
          <w:szCs w:val="20"/>
        </w:rPr>
        <w:t xml:space="preserve"> p</w:t>
      </w:r>
      <w:r w:rsidR="004136C4">
        <w:rPr>
          <w:sz w:val="20"/>
          <w:szCs w:val="20"/>
        </w:rPr>
        <w:t xml:space="preserve">. </w:t>
      </w:r>
      <w:r w:rsidRPr="00402F47">
        <w:rPr>
          <w:sz w:val="20"/>
          <w:szCs w:val="20"/>
        </w:rPr>
        <w:t>380.</w:t>
      </w:r>
    </w:p>
  </w:footnote>
  <w:footnote w:id="181">
    <w:p w14:paraId="00B64A4D" w14:textId="462215D0" w:rsidR="00B06F43" w:rsidRPr="00402F47" w:rsidRDefault="00B06F43" w:rsidP="0027373D">
      <w:pPr>
        <w:pStyle w:val="FootnoteText"/>
        <w:rPr>
          <w:lang w:val="en-US"/>
        </w:rPr>
      </w:pPr>
      <w:r w:rsidRPr="00402F47">
        <w:rPr>
          <w:rStyle w:val="FootnoteReference"/>
        </w:rPr>
        <w:footnoteRef/>
      </w:r>
      <w:r w:rsidRPr="00402F47">
        <w:t xml:space="preserve"> </w:t>
      </w:r>
      <w:r w:rsidRPr="00402F47">
        <w:rPr>
          <w:lang w:val="en-US"/>
        </w:rPr>
        <w:t xml:space="preserve">Moylan, </w:t>
      </w:r>
      <w:r w:rsidRPr="00402F47">
        <w:rPr>
          <w:i/>
          <w:iCs/>
          <w:lang w:val="en-US"/>
        </w:rPr>
        <w:t>Demand the Impossible</w:t>
      </w:r>
      <w:r w:rsidR="004136C4">
        <w:rPr>
          <w:lang w:val="en-US"/>
        </w:rPr>
        <w:t>,</w:t>
      </w:r>
      <w:r w:rsidRPr="00402F47">
        <w:rPr>
          <w:lang w:val="en-US"/>
        </w:rPr>
        <w:t xml:space="preserve"> p</w:t>
      </w:r>
      <w:r w:rsidR="004136C4">
        <w:rPr>
          <w:lang w:val="en-US"/>
        </w:rPr>
        <w:t xml:space="preserve">. </w:t>
      </w:r>
      <w:r w:rsidRPr="00402F47">
        <w:rPr>
          <w:lang w:val="en-US"/>
        </w:rPr>
        <w:t>8.</w:t>
      </w:r>
    </w:p>
  </w:footnote>
  <w:footnote w:id="182">
    <w:p w14:paraId="6C4D2271" w14:textId="6597AC0F" w:rsidR="00B06F43" w:rsidRPr="004F7B43" w:rsidRDefault="00B06F43" w:rsidP="0027373D">
      <w:pPr>
        <w:rPr>
          <w:lang w:val="en-US"/>
        </w:rPr>
      </w:pPr>
      <w:r w:rsidRPr="00402F47">
        <w:rPr>
          <w:rStyle w:val="FootnoteReference"/>
          <w:sz w:val="20"/>
          <w:szCs w:val="20"/>
        </w:rPr>
        <w:footnoteRef/>
      </w:r>
      <w:r w:rsidRPr="00402F47">
        <w:rPr>
          <w:sz w:val="20"/>
          <w:szCs w:val="20"/>
          <w:lang w:val="en-US"/>
        </w:rPr>
        <w:t xml:space="preserve"> Sargent, </w:t>
      </w:r>
      <w:r w:rsidRPr="00402F47">
        <w:rPr>
          <w:i/>
          <w:iCs/>
          <w:sz w:val="20"/>
          <w:szCs w:val="20"/>
          <w:lang w:val="en-US"/>
        </w:rPr>
        <w:t>Utopianism</w:t>
      </w:r>
      <w:r w:rsidRPr="00402F47">
        <w:rPr>
          <w:sz w:val="20"/>
          <w:szCs w:val="20"/>
          <w:lang w:val="en-US"/>
        </w:rPr>
        <w:t>.</w:t>
      </w:r>
    </w:p>
  </w:footnote>
  <w:footnote w:id="183">
    <w:p w14:paraId="662F4B46" w14:textId="592D0DD2" w:rsidR="00B06F43" w:rsidRPr="00984153" w:rsidRDefault="00B06F43" w:rsidP="0027373D">
      <w:pPr>
        <w:pStyle w:val="FootnoteText"/>
        <w:rPr>
          <w:lang w:val="en-US"/>
        </w:rPr>
      </w:pPr>
      <w:r w:rsidRPr="00984153">
        <w:rPr>
          <w:rStyle w:val="FootnoteReference"/>
        </w:rPr>
        <w:footnoteRef/>
      </w:r>
      <w:r w:rsidRPr="00984153">
        <w:t xml:space="preserve"> </w:t>
      </w:r>
      <w:r w:rsidRPr="00984153">
        <w:rPr>
          <w:lang w:val="en-US"/>
        </w:rPr>
        <w:t xml:space="preserve">Moylan, </w:t>
      </w:r>
      <w:r w:rsidRPr="00984153">
        <w:rPr>
          <w:i/>
          <w:iCs/>
          <w:lang w:val="en-US"/>
        </w:rPr>
        <w:t>Demand the Impossible</w:t>
      </w:r>
      <w:r w:rsidR="004136C4">
        <w:rPr>
          <w:lang w:val="en-US"/>
        </w:rPr>
        <w:t>,</w:t>
      </w:r>
      <w:r w:rsidRPr="00984153">
        <w:rPr>
          <w:lang w:val="en-US"/>
        </w:rPr>
        <w:t xml:space="preserve"> p</w:t>
      </w:r>
      <w:r w:rsidR="004136C4">
        <w:rPr>
          <w:lang w:val="en-US"/>
        </w:rPr>
        <w:t xml:space="preserve">. </w:t>
      </w:r>
      <w:r w:rsidRPr="00984153">
        <w:rPr>
          <w:lang w:val="en-US"/>
        </w:rPr>
        <w:t>10.</w:t>
      </w:r>
    </w:p>
  </w:footnote>
  <w:footnote w:id="184">
    <w:p w14:paraId="3F67BC55" w14:textId="7E30AEBA" w:rsidR="00B06F43" w:rsidRPr="00984153" w:rsidRDefault="00B06F43" w:rsidP="0027373D">
      <w:pPr>
        <w:rPr>
          <w:sz w:val="20"/>
          <w:szCs w:val="20"/>
          <w:lang w:val="en-US"/>
        </w:rPr>
      </w:pPr>
      <w:r w:rsidRPr="00984153">
        <w:rPr>
          <w:rStyle w:val="FootnoteReference"/>
          <w:sz w:val="20"/>
          <w:szCs w:val="20"/>
        </w:rPr>
        <w:footnoteRef/>
      </w:r>
      <w:r w:rsidRPr="00984153">
        <w:rPr>
          <w:sz w:val="20"/>
          <w:szCs w:val="20"/>
          <w:lang w:val="en-US"/>
        </w:rPr>
        <w:t xml:space="preserve"> Moylan, </w:t>
      </w:r>
      <w:r w:rsidRPr="004D76A4">
        <w:rPr>
          <w:i/>
          <w:iCs/>
          <w:sz w:val="20"/>
          <w:szCs w:val="20"/>
          <w:lang w:val="en-US"/>
        </w:rPr>
        <w:t>Scraps of the Untainted Sky</w:t>
      </w:r>
      <w:r w:rsidR="004136C4">
        <w:rPr>
          <w:sz w:val="20"/>
          <w:szCs w:val="20"/>
          <w:lang w:val="en-US"/>
        </w:rPr>
        <w:t>,</w:t>
      </w:r>
      <w:r w:rsidRPr="00984153">
        <w:rPr>
          <w:sz w:val="20"/>
          <w:szCs w:val="20"/>
          <w:lang w:val="en-US"/>
        </w:rPr>
        <w:t xml:space="preserve"> p</w:t>
      </w:r>
      <w:r w:rsidR="004136C4">
        <w:rPr>
          <w:sz w:val="20"/>
          <w:szCs w:val="20"/>
          <w:lang w:val="en-US"/>
        </w:rPr>
        <w:t>.</w:t>
      </w:r>
      <w:r w:rsidRPr="00984153">
        <w:rPr>
          <w:sz w:val="20"/>
          <w:szCs w:val="20"/>
          <w:lang w:val="en-US"/>
        </w:rPr>
        <w:t xml:space="preserve"> xv.</w:t>
      </w:r>
    </w:p>
  </w:footnote>
  <w:footnote w:id="185">
    <w:p w14:paraId="09B0E50B" w14:textId="77777777" w:rsidR="00B06F43" w:rsidRPr="00984153" w:rsidRDefault="00B06F43" w:rsidP="0027373D">
      <w:pPr>
        <w:pStyle w:val="FootnoteText"/>
        <w:rPr>
          <w:lang w:val="en-US"/>
        </w:rPr>
      </w:pPr>
      <w:r w:rsidRPr="00984153">
        <w:rPr>
          <w:rStyle w:val="FootnoteReference"/>
        </w:rPr>
        <w:footnoteRef/>
      </w:r>
      <w:r w:rsidRPr="00984153">
        <w:t xml:space="preserve"> </w:t>
      </w:r>
      <w:r w:rsidRPr="00984153">
        <w:rPr>
          <w:lang w:val="en-US"/>
        </w:rPr>
        <w:t xml:space="preserve">Karen Stein, ‘Surviving the Waterless Flood: Feminism and Ecofeminism in Margaret Atwood’s </w:t>
      </w:r>
      <w:r w:rsidRPr="00984153">
        <w:rPr>
          <w:i/>
          <w:iCs/>
          <w:lang w:val="en-US"/>
        </w:rPr>
        <w:t>The Handmaid’s Tale</w:t>
      </w:r>
      <w:r w:rsidRPr="00984153">
        <w:rPr>
          <w:lang w:val="en-US"/>
        </w:rPr>
        <w:t xml:space="preserve">, </w:t>
      </w:r>
      <w:r w:rsidRPr="00984153">
        <w:rPr>
          <w:i/>
          <w:iCs/>
          <w:lang w:val="en-US"/>
        </w:rPr>
        <w:t>Oryx and Crake</w:t>
      </w:r>
      <w:r w:rsidRPr="00984153">
        <w:rPr>
          <w:lang w:val="en-US"/>
        </w:rPr>
        <w:t xml:space="preserve"> and </w:t>
      </w:r>
      <w:r w:rsidRPr="00984153">
        <w:rPr>
          <w:i/>
          <w:iCs/>
          <w:lang w:val="en-US"/>
        </w:rPr>
        <w:t>The Year of the Flood</w:t>
      </w:r>
      <w:r w:rsidRPr="00984153">
        <w:rPr>
          <w:lang w:val="en-US"/>
        </w:rPr>
        <w:t xml:space="preserve">’, </w:t>
      </w:r>
      <w:r w:rsidRPr="00984153">
        <w:rPr>
          <w:i/>
          <w:iCs/>
          <w:lang w:val="en-US"/>
        </w:rPr>
        <w:t>Critical Insights: Margaret Atwood</w:t>
      </w:r>
      <w:r w:rsidRPr="00984153">
        <w:rPr>
          <w:lang w:val="en-US"/>
        </w:rPr>
        <w:t>. Ed. J. Brooks Bouson. Ipswich: Salem, 2013, 313–33 p320</w:t>
      </w:r>
    </w:p>
  </w:footnote>
  <w:footnote w:id="186">
    <w:p w14:paraId="624F9A81" w14:textId="624E6D84" w:rsidR="00B06F43" w:rsidRPr="00984153" w:rsidRDefault="00B06F43" w:rsidP="0027373D">
      <w:pPr>
        <w:rPr>
          <w:sz w:val="20"/>
          <w:szCs w:val="20"/>
          <w:lang w:val="en-US"/>
        </w:rPr>
      </w:pPr>
      <w:r w:rsidRPr="00984153">
        <w:rPr>
          <w:rStyle w:val="FootnoteReference"/>
          <w:sz w:val="20"/>
          <w:szCs w:val="20"/>
        </w:rPr>
        <w:footnoteRef/>
      </w:r>
      <w:r w:rsidRPr="00984153">
        <w:rPr>
          <w:sz w:val="20"/>
          <w:szCs w:val="20"/>
          <w:lang w:val="en-US"/>
        </w:rPr>
        <w:t xml:space="preserve"> Moylan, </w:t>
      </w:r>
      <w:r w:rsidRPr="004136C4">
        <w:rPr>
          <w:i/>
          <w:iCs/>
          <w:sz w:val="20"/>
          <w:szCs w:val="20"/>
          <w:lang w:val="en-US"/>
        </w:rPr>
        <w:t>Scraps of the Untainted Sky</w:t>
      </w:r>
      <w:r w:rsidR="004136C4">
        <w:rPr>
          <w:sz w:val="20"/>
          <w:szCs w:val="20"/>
          <w:lang w:val="en-US"/>
        </w:rPr>
        <w:t xml:space="preserve">, </w:t>
      </w:r>
      <w:r w:rsidRPr="00984153">
        <w:rPr>
          <w:sz w:val="20"/>
          <w:szCs w:val="20"/>
          <w:lang w:val="en-US"/>
        </w:rPr>
        <w:t>p</w:t>
      </w:r>
      <w:r w:rsidR="004136C4">
        <w:rPr>
          <w:sz w:val="20"/>
          <w:szCs w:val="20"/>
          <w:lang w:val="en-US"/>
        </w:rPr>
        <w:t>.</w:t>
      </w:r>
      <w:r w:rsidRPr="00984153">
        <w:rPr>
          <w:sz w:val="20"/>
          <w:szCs w:val="20"/>
          <w:lang w:val="en-US"/>
        </w:rPr>
        <w:t xml:space="preserve"> xv.</w:t>
      </w:r>
    </w:p>
  </w:footnote>
  <w:footnote w:id="187">
    <w:p w14:paraId="22E739F5" w14:textId="2AD8E989" w:rsidR="00B06F43" w:rsidRPr="00984153" w:rsidRDefault="00B06F43" w:rsidP="0027373D">
      <w:pPr>
        <w:pStyle w:val="FootnoteText"/>
        <w:rPr>
          <w:lang w:val="en-US"/>
        </w:rPr>
      </w:pPr>
      <w:r w:rsidRPr="00984153">
        <w:rPr>
          <w:rStyle w:val="FootnoteReference"/>
        </w:rPr>
        <w:footnoteRef/>
      </w:r>
      <w:r w:rsidRPr="00984153">
        <w:t xml:space="preserve"> </w:t>
      </w:r>
      <w:r w:rsidR="004136C4">
        <w:t xml:space="preserve">Atwood, </w:t>
      </w:r>
      <w:r w:rsidRPr="004136C4">
        <w:rPr>
          <w:i/>
          <w:iCs/>
          <w:lang w:val="en-US"/>
        </w:rPr>
        <w:t>Oryx and Crake</w:t>
      </w:r>
      <w:r w:rsidR="004136C4">
        <w:rPr>
          <w:lang w:val="en-US"/>
        </w:rPr>
        <w:t>,</w:t>
      </w:r>
      <w:r w:rsidRPr="00984153">
        <w:rPr>
          <w:lang w:val="en-US"/>
        </w:rPr>
        <w:t xml:space="preserve"> p</w:t>
      </w:r>
      <w:r w:rsidR="004136C4">
        <w:rPr>
          <w:lang w:val="en-US"/>
        </w:rPr>
        <w:t xml:space="preserve">. </w:t>
      </w:r>
      <w:r w:rsidRPr="00984153">
        <w:rPr>
          <w:lang w:val="en-US"/>
        </w:rPr>
        <w:t>33.</w:t>
      </w:r>
    </w:p>
  </w:footnote>
  <w:footnote w:id="188">
    <w:p w14:paraId="756F835A" w14:textId="1CC0F3C7" w:rsidR="00B06F43" w:rsidRPr="00922108" w:rsidRDefault="00B06F43" w:rsidP="0027373D">
      <w:pPr>
        <w:pStyle w:val="FootnoteText"/>
        <w:rPr>
          <w:lang w:val="en-US"/>
        </w:rPr>
      </w:pPr>
      <w:r w:rsidRPr="00984153">
        <w:rPr>
          <w:rStyle w:val="FootnoteReference"/>
        </w:rPr>
        <w:footnoteRef/>
      </w:r>
      <w:r w:rsidRPr="00984153">
        <w:t xml:space="preserve"> </w:t>
      </w:r>
      <w:r w:rsidR="004136C4">
        <w:rPr>
          <w:i/>
          <w:iCs/>
          <w:lang w:val="en-US"/>
        </w:rPr>
        <w:t>Ibid</w:t>
      </w:r>
      <w:r w:rsidR="004136C4" w:rsidRPr="004136C4">
        <w:rPr>
          <w:lang w:val="en-US"/>
        </w:rPr>
        <w:t>.,</w:t>
      </w:r>
      <w:r w:rsidRPr="00984153">
        <w:rPr>
          <w:lang w:val="en-US"/>
        </w:rPr>
        <w:t xml:space="preserve"> p</w:t>
      </w:r>
      <w:r w:rsidR="004136C4">
        <w:rPr>
          <w:lang w:val="en-US"/>
        </w:rPr>
        <w:t xml:space="preserve">. </w:t>
      </w:r>
      <w:r w:rsidRPr="00984153">
        <w:rPr>
          <w:lang w:val="en-US"/>
        </w:rPr>
        <w:t>287</w:t>
      </w:r>
      <w:r w:rsidR="004136C4">
        <w:rPr>
          <w:lang w:val="en-US"/>
        </w:rPr>
        <w:t>.</w:t>
      </w:r>
    </w:p>
  </w:footnote>
  <w:footnote w:id="189">
    <w:p w14:paraId="520F1373" w14:textId="50CDF62D" w:rsidR="00B06F43" w:rsidRPr="00C03126" w:rsidRDefault="00B06F43" w:rsidP="0027373D">
      <w:pPr>
        <w:pStyle w:val="FootnoteText"/>
        <w:rPr>
          <w:lang w:val="en-US"/>
        </w:rPr>
      </w:pPr>
      <w:r>
        <w:rPr>
          <w:rStyle w:val="FootnoteReference"/>
        </w:rPr>
        <w:footnoteRef/>
      </w:r>
      <w:r>
        <w:t xml:space="preserve"> </w:t>
      </w:r>
      <w:r w:rsidR="004136C4">
        <w:rPr>
          <w:i/>
          <w:iCs/>
          <w:lang w:val="en-US"/>
        </w:rPr>
        <w:t>Ibid</w:t>
      </w:r>
      <w:r w:rsidR="004136C4" w:rsidRPr="004136C4">
        <w:rPr>
          <w:lang w:val="en-US"/>
        </w:rPr>
        <w:t>.,</w:t>
      </w:r>
      <w:r>
        <w:rPr>
          <w:lang w:val="en-US"/>
        </w:rPr>
        <w:t xml:space="preserve"> p. 291.</w:t>
      </w:r>
    </w:p>
  </w:footnote>
  <w:footnote w:id="190">
    <w:p w14:paraId="2769F114" w14:textId="1CBA22E1" w:rsidR="00B06F43" w:rsidRPr="00FA6372" w:rsidRDefault="00B06F43" w:rsidP="0027373D">
      <w:pPr>
        <w:pStyle w:val="FootnoteText"/>
        <w:rPr>
          <w:lang w:val="en-US"/>
        </w:rPr>
      </w:pPr>
      <w:r>
        <w:rPr>
          <w:rStyle w:val="FootnoteReference"/>
        </w:rPr>
        <w:footnoteRef/>
      </w:r>
      <w:r>
        <w:t xml:space="preserve"> Atwood, </w:t>
      </w:r>
      <w:r w:rsidRPr="00984153">
        <w:rPr>
          <w:i/>
          <w:iCs/>
          <w:lang w:val="en-US"/>
        </w:rPr>
        <w:t>The Year of the Flood</w:t>
      </w:r>
      <w:r>
        <w:rPr>
          <w:i/>
          <w:iCs/>
          <w:lang w:val="en-US"/>
        </w:rPr>
        <w:t>,</w:t>
      </w:r>
      <w:r>
        <w:rPr>
          <w:lang w:val="en-US"/>
        </w:rPr>
        <w:t xml:space="preserve"> p. 43.</w:t>
      </w:r>
    </w:p>
  </w:footnote>
  <w:footnote w:id="191">
    <w:p w14:paraId="26525EFD" w14:textId="3123F3BE" w:rsidR="00B06F43" w:rsidRPr="00692E2D" w:rsidRDefault="00B06F43" w:rsidP="0027373D">
      <w:pPr>
        <w:rPr>
          <w:sz w:val="20"/>
          <w:szCs w:val="20"/>
          <w:lang w:val="en-US"/>
        </w:rPr>
      </w:pPr>
      <w:r w:rsidRPr="00692E2D">
        <w:rPr>
          <w:rStyle w:val="FootnoteReference"/>
          <w:sz w:val="20"/>
          <w:szCs w:val="20"/>
        </w:rPr>
        <w:footnoteRef/>
      </w:r>
      <w:r w:rsidRPr="00692E2D">
        <w:rPr>
          <w:sz w:val="20"/>
          <w:szCs w:val="20"/>
        </w:rPr>
        <w:t xml:space="preserve"> Margaret Atwood, </w:t>
      </w:r>
      <w:r w:rsidRPr="004136C4">
        <w:rPr>
          <w:i/>
          <w:iCs/>
          <w:sz w:val="20"/>
          <w:szCs w:val="20"/>
        </w:rPr>
        <w:t xml:space="preserve">Dire Cartographies: The Roads </w:t>
      </w:r>
      <w:r w:rsidR="00720ACF">
        <w:rPr>
          <w:i/>
          <w:iCs/>
          <w:sz w:val="20"/>
          <w:szCs w:val="20"/>
        </w:rPr>
        <w:t>t</w:t>
      </w:r>
      <w:r w:rsidRPr="004136C4">
        <w:rPr>
          <w:i/>
          <w:iCs/>
          <w:sz w:val="20"/>
          <w:szCs w:val="20"/>
        </w:rPr>
        <w:t xml:space="preserve">o Ustopia </w:t>
      </w:r>
      <w:r w:rsidR="00720ACF">
        <w:rPr>
          <w:i/>
          <w:iCs/>
          <w:sz w:val="20"/>
          <w:szCs w:val="20"/>
        </w:rPr>
        <w:t>a</w:t>
      </w:r>
      <w:r w:rsidRPr="004136C4">
        <w:rPr>
          <w:i/>
          <w:iCs/>
          <w:sz w:val="20"/>
          <w:szCs w:val="20"/>
        </w:rPr>
        <w:t>nd The Handmaid’s Tale</w:t>
      </w:r>
      <w:r w:rsidR="004136C4">
        <w:rPr>
          <w:i/>
          <w:iCs/>
          <w:sz w:val="20"/>
          <w:szCs w:val="20"/>
        </w:rPr>
        <w:t>,</w:t>
      </w:r>
      <w:r w:rsidRPr="00692E2D">
        <w:rPr>
          <w:sz w:val="20"/>
          <w:szCs w:val="20"/>
        </w:rPr>
        <w:t xml:space="preserve"> (New York: Anchor Books, 2015)</w:t>
      </w:r>
      <w:r w:rsidR="004136C4">
        <w:rPr>
          <w:sz w:val="20"/>
          <w:szCs w:val="20"/>
        </w:rPr>
        <w:t>,</w:t>
      </w:r>
      <w:r w:rsidRPr="00692E2D">
        <w:rPr>
          <w:sz w:val="20"/>
          <w:szCs w:val="20"/>
        </w:rPr>
        <w:t xml:space="preserve"> p</w:t>
      </w:r>
      <w:r w:rsidR="004136C4">
        <w:rPr>
          <w:sz w:val="20"/>
          <w:szCs w:val="20"/>
        </w:rPr>
        <w:t xml:space="preserve">. </w:t>
      </w:r>
      <w:r w:rsidRPr="00692E2D">
        <w:rPr>
          <w:sz w:val="20"/>
          <w:szCs w:val="20"/>
        </w:rPr>
        <w:t>95.</w:t>
      </w:r>
    </w:p>
  </w:footnote>
  <w:footnote w:id="192">
    <w:p w14:paraId="4112D7C4" w14:textId="183C2CDA" w:rsidR="00B06F43" w:rsidRPr="00692E2D" w:rsidRDefault="00B06F43" w:rsidP="0027373D">
      <w:pPr>
        <w:pStyle w:val="FootnoteText"/>
        <w:rPr>
          <w:lang w:val="en-US"/>
        </w:rPr>
      </w:pPr>
      <w:r w:rsidRPr="00692E2D">
        <w:rPr>
          <w:rStyle w:val="FootnoteReference"/>
        </w:rPr>
        <w:footnoteRef/>
      </w:r>
      <w:r w:rsidRPr="00692E2D">
        <w:t xml:space="preserve"> </w:t>
      </w:r>
      <w:r w:rsidR="004136C4">
        <w:t xml:space="preserve">Atwood, </w:t>
      </w:r>
      <w:r w:rsidRPr="004136C4">
        <w:rPr>
          <w:i/>
          <w:iCs/>
          <w:lang w:val="en-US"/>
        </w:rPr>
        <w:t>Oryx and Crake</w:t>
      </w:r>
      <w:r w:rsidR="004136C4">
        <w:rPr>
          <w:lang w:val="en-US"/>
        </w:rPr>
        <w:t>,</w:t>
      </w:r>
      <w:r w:rsidRPr="00692E2D">
        <w:rPr>
          <w:lang w:val="en-US"/>
        </w:rPr>
        <w:t xml:space="preserve"> p</w:t>
      </w:r>
      <w:r w:rsidR="004136C4">
        <w:rPr>
          <w:lang w:val="en-US"/>
        </w:rPr>
        <w:t xml:space="preserve">. </w:t>
      </w:r>
      <w:r w:rsidRPr="00692E2D">
        <w:rPr>
          <w:lang w:val="en-US"/>
        </w:rPr>
        <w:t>63.</w:t>
      </w:r>
    </w:p>
  </w:footnote>
  <w:footnote w:id="193">
    <w:p w14:paraId="0AEC5B77" w14:textId="77777777" w:rsidR="00B06F43" w:rsidRPr="00692E2D" w:rsidRDefault="00B06F43" w:rsidP="0027373D">
      <w:pPr>
        <w:rPr>
          <w:sz w:val="20"/>
          <w:szCs w:val="20"/>
          <w:lang w:val="en-US"/>
        </w:rPr>
      </w:pPr>
      <w:r w:rsidRPr="00692E2D">
        <w:rPr>
          <w:rStyle w:val="FootnoteReference"/>
          <w:sz w:val="20"/>
          <w:szCs w:val="20"/>
        </w:rPr>
        <w:footnoteRef/>
      </w:r>
      <w:r w:rsidRPr="00692E2D">
        <w:rPr>
          <w:sz w:val="20"/>
          <w:szCs w:val="20"/>
        </w:rPr>
        <w:t xml:space="preserve"> </w:t>
      </w:r>
      <w:r w:rsidRPr="00692E2D">
        <w:rPr>
          <w:sz w:val="20"/>
          <w:szCs w:val="20"/>
          <w:lang w:val="en-US"/>
        </w:rPr>
        <w:t xml:space="preserve">Slavoj Žižek, </w:t>
      </w:r>
      <w:r w:rsidRPr="00692E2D">
        <w:rPr>
          <w:i/>
          <w:iCs/>
          <w:sz w:val="20"/>
          <w:szCs w:val="20"/>
          <w:lang w:val="en-US"/>
        </w:rPr>
        <w:t>Living in the End Times</w:t>
      </w:r>
      <w:r w:rsidRPr="00692E2D">
        <w:rPr>
          <w:sz w:val="20"/>
          <w:szCs w:val="20"/>
          <w:lang w:val="en-US"/>
        </w:rPr>
        <w:t xml:space="preserve"> (London: Verso, 2018) p352.</w:t>
      </w:r>
    </w:p>
  </w:footnote>
  <w:footnote w:id="194">
    <w:p w14:paraId="287D8EDE" w14:textId="1A677F52" w:rsidR="00B06F43" w:rsidRPr="00692E2D" w:rsidRDefault="00B06F43" w:rsidP="0027373D">
      <w:pPr>
        <w:pStyle w:val="FootnoteText"/>
        <w:rPr>
          <w:lang w:val="en-US"/>
        </w:rPr>
      </w:pPr>
      <w:r w:rsidRPr="00692E2D">
        <w:rPr>
          <w:rStyle w:val="FootnoteReference"/>
        </w:rPr>
        <w:footnoteRef/>
      </w:r>
      <w:r w:rsidRPr="00692E2D">
        <w:t xml:space="preserve"> </w:t>
      </w:r>
      <w:r w:rsidRPr="00692E2D">
        <w:rPr>
          <w:lang w:val="en-US"/>
        </w:rPr>
        <w:t>Žižek</w:t>
      </w:r>
      <w:r w:rsidR="00720ACF">
        <w:rPr>
          <w:lang w:val="en-US"/>
        </w:rPr>
        <w:t xml:space="preserve">, </w:t>
      </w:r>
      <w:r w:rsidRPr="00692E2D">
        <w:rPr>
          <w:lang w:val="en-US"/>
        </w:rPr>
        <w:t>p</w:t>
      </w:r>
      <w:r w:rsidR="00720ACF">
        <w:rPr>
          <w:lang w:val="en-US"/>
        </w:rPr>
        <w:t xml:space="preserve">. </w:t>
      </w:r>
      <w:r w:rsidRPr="00692E2D">
        <w:rPr>
          <w:lang w:val="en-US"/>
        </w:rPr>
        <w:t>329.</w:t>
      </w:r>
    </w:p>
  </w:footnote>
  <w:footnote w:id="195">
    <w:p w14:paraId="73DE9BAF" w14:textId="690FE349" w:rsidR="00B06F43" w:rsidRPr="00692E2D" w:rsidRDefault="00B06F43" w:rsidP="0027373D">
      <w:pPr>
        <w:pStyle w:val="FootnoteText"/>
        <w:rPr>
          <w:lang w:val="en-US"/>
        </w:rPr>
      </w:pPr>
      <w:r w:rsidRPr="00692E2D">
        <w:rPr>
          <w:rStyle w:val="FootnoteReference"/>
        </w:rPr>
        <w:footnoteRef/>
      </w:r>
      <w:r w:rsidRPr="00692E2D">
        <w:t xml:space="preserve"> </w:t>
      </w:r>
      <w:r w:rsidR="00720ACF">
        <w:rPr>
          <w:i/>
          <w:iCs/>
          <w:lang w:val="en-US"/>
        </w:rPr>
        <w:t>Ibid</w:t>
      </w:r>
      <w:r w:rsidR="00720ACF">
        <w:rPr>
          <w:lang w:val="en-US"/>
        </w:rPr>
        <w:t>.,</w:t>
      </w:r>
      <w:r w:rsidRPr="00692E2D">
        <w:rPr>
          <w:lang w:val="en-US"/>
        </w:rPr>
        <w:t xml:space="preserve"> p xii.</w:t>
      </w:r>
    </w:p>
  </w:footnote>
  <w:footnote w:id="196">
    <w:p w14:paraId="3E077BE4" w14:textId="77777777" w:rsidR="00B06F43" w:rsidRPr="00692E2D" w:rsidRDefault="00B06F43" w:rsidP="0027373D">
      <w:pPr>
        <w:rPr>
          <w:sz w:val="20"/>
          <w:szCs w:val="20"/>
        </w:rPr>
      </w:pPr>
      <w:r w:rsidRPr="00692E2D">
        <w:rPr>
          <w:rStyle w:val="FootnoteReference"/>
          <w:sz w:val="20"/>
          <w:szCs w:val="20"/>
        </w:rPr>
        <w:footnoteRef/>
      </w:r>
      <w:r w:rsidRPr="00692E2D">
        <w:rPr>
          <w:sz w:val="20"/>
          <w:szCs w:val="20"/>
          <w:lang w:val="en-US"/>
        </w:rPr>
        <w:t xml:space="preserve"> Derrick King, ‘From Ecological Crisis to Utopian Hope: Kim Stanley Robinson’s Science in the Capital Trilogy as Realist Critical Dystopia’, </w:t>
      </w:r>
      <w:r w:rsidRPr="00692E2D">
        <w:rPr>
          <w:i/>
          <w:iCs/>
          <w:sz w:val="20"/>
          <w:szCs w:val="20"/>
          <w:lang w:val="en-US"/>
        </w:rPr>
        <w:t>Extrapolation.; Liverpool</w:t>
      </w:r>
      <w:r w:rsidRPr="00692E2D">
        <w:rPr>
          <w:sz w:val="20"/>
          <w:szCs w:val="20"/>
          <w:lang w:val="en-US"/>
        </w:rPr>
        <w:t xml:space="preserve">, 56.2 (2015), 195-214,138. </w:t>
      </w:r>
    </w:p>
  </w:footnote>
  <w:footnote w:id="197">
    <w:p w14:paraId="4028A249" w14:textId="77777777" w:rsidR="00B06F43" w:rsidRPr="00692E2D" w:rsidRDefault="00B06F43" w:rsidP="0027373D">
      <w:pPr>
        <w:rPr>
          <w:sz w:val="20"/>
          <w:szCs w:val="20"/>
          <w:lang w:val="en-US"/>
        </w:rPr>
      </w:pPr>
      <w:r w:rsidRPr="00692E2D">
        <w:rPr>
          <w:rStyle w:val="FootnoteReference"/>
          <w:sz w:val="20"/>
          <w:szCs w:val="20"/>
        </w:rPr>
        <w:footnoteRef/>
      </w:r>
      <w:r w:rsidRPr="00692E2D">
        <w:rPr>
          <w:sz w:val="20"/>
          <w:szCs w:val="20"/>
          <w:lang w:val="en-US"/>
        </w:rPr>
        <w:t xml:space="preserve"> Krishan Kumar, ‘The Ends of Utopia’, </w:t>
      </w:r>
      <w:r w:rsidRPr="00692E2D">
        <w:rPr>
          <w:i/>
          <w:iCs/>
          <w:sz w:val="20"/>
          <w:szCs w:val="20"/>
          <w:lang w:val="en-US"/>
        </w:rPr>
        <w:t>New Literary History</w:t>
      </w:r>
      <w:r w:rsidRPr="00692E2D">
        <w:rPr>
          <w:sz w:val="20"/>
          <w:szCs w:val="20"/>
          <w:lang w:val="en-US"/>
        </w:rPr>
        <w:t>, 41.3 (2010), 549–69 p 562.</w:t>
      </w:r>
    </w:p>
  </w:footnote>
  <w:footnote w:id="198">
    <w:p w14:paraId="71E696CB" w14:textId="77D78A0A" w:rsidR="00B06F43" w:rsidRPr="00692E2D" w:rsidRDefault="00B06F43" w:rsidP="0027373D">
      <w:pPr>
        <w:rPr>
          <w:sz w:val="20"/>
          <w:szCs w:val="20"/>
          <w:lang w:val="en-US"/>
        </w:rPr>
      </w:pPr>
      <w:r w:rsidRPr="00692E2D">
        <w:rPr>
          <w:rStyle w:val="FootnoteReference"/>
          <w:sz w:val="20"/>
          <w:szCs w:val="20"/>
        </w:rPr>
        <w:footnoteRef/>
      </w:r>
      <w:r w:rsidRPr="00692E2D">
        <w:rPr>
          <w:sz w:val="20"/>
          <w:szCs w:val="20"/>
          <w:lang w:val="en-US"/>
        </w:rPr>
        <w:t xml:space="preserve"> Kumar, ‘The Ends of Utopia’, p</w:t>
      </w:r>
      <w:r w:rsidR="00720ACF">
        <w:rPr>
          <w:sz w:val="20"/>
          <w:szCs w:val="20"/>
          <w:lang w:val="en-US"/>
        </w:rPr>
        <w:t>.</w:t>
      </w:r>
      <w:r w:rsidRPr="00692E2D">
        <w:rPr>
          <w:sz w:val="20"/>
          <w:szCs w:val="20"/>
          <w:lang w:val="en-US"/>
        </w:rPr>
        <w:t xml:space="preserve"> 562.</w:t>
      </w:r>
    </w:p>
  </w:footnote>
  <w:footnote w:id="199">
    <w:p w14:paraId="3633E681" w14:textId="4247FE99" w:rsidR="00B06F43" w:rsidRPr="00692E2D" w:rsidRDefault="00B06F43" w:rsidP="0027373D">
      <w:pPr>
        <w:rPr>
          <w:sz w:val="20"/>
          <w:szCs w:val="20"/>
          <w:lang w:val="en-US"/>
        </w:rPr>
      </w:pPr>
      <w:r w:rsidRPr="00692E2D">
        <w:rPr>
          <w:rStyle w:val="FootnoteReference"/>
          <w:sz w:val="20"/>
          <w:szCs w:val="20"/>
        </w:rPr>
        <w:footnoteRef/>
      </w:r>
      <w:r w:rsidRPr="00692E2D">
        <w:rPr>
          <w:sz w:val="20"/>
          <w:szCs w:val="20"/>
          <w:lang w:val="en-US"/>
        </w:rPr>
        <w:t xml:space="preserve"> Kumar, </w:t>
      </w:r>
      <w:r w:rsidRPr="00692E2D">
        <w:rPr>
          <w:i/>
          <w:iCs/>
          <w:sz w:val="20"/>
          <w:szCs w:val="20"/>
          <w:lang w:val="en-US"/>
        </w:rPr>
        <w:t>Utopia and Anti-Utopia</w:t>
      </w:r>
      <w:r w:rsidRPr="00692E2D">
        <w:rPr>
          <w:sz w:val="20"/>
          <w:szCs w:val="20"/>
          <w:lang w:val="en-US"/>
        </w:rPr>
        <w:t>.</w:t>
      </w:r>
    </w:p>
  </w:footnote>
  <w:footnote w:id="200">
    <w:p w14:paraId="001EA6FA" w14:textId="3D56C83E" w:rsidR="00B06F43" w:rsidRPr="00692E2D" w:rsidRDefault="00B06F43" w:rsidP="0027373D">
      <w:pPr>
        <w:rPr>
          <w:sz w:val="20"/>
          <w:szCs w:val="20"/>
          <w:lang w:val="en-US"/>
        </w:rPr>
      </w:pPr>
      <w:r w:rsidRPr="00692E2D">
        <w:rPr>
          <w:rStyle w:val="FootnoteReference"/>
          <w:sz w:val="20"/>
          <w:szCs w:val="20"/>
        </w:rPr>
        <w:footnoteRef/>
      </w:r>
      <w:r w:rsidRPr="00692E2D">
        <w:rPr>
          <w:sz w:val="20"/>
          <w:szCs w:val="20"/>
        </w:rPr>
        <w:t xml:space="preserve"> </w:t>
      </w:r>
      <w:r w:rsidRPr="00692E2D">
        <w:rPr>
          <w:sz w:val="20"/>
          <w:szCs w:val="20"/>
          <w:lang w:val="en-US"/>
        </w:rPr>
        <w:t>Kumar, ‘The Ends of Utopia’, p</w:t>
      </w:r>
      <w:r w:rsidR="00720ACF">
        <w:rPr>
          <w:sz w:val="20"/>
          <w:szCs w:val="20"/>
          <w:lang w:val="en-US"/>
        </w:rPr>
        <w:t>.</w:t>
      </w:r>
      <w:r w:rsidRPr="00692E2D">
        <w:rPr>
          <w:sz w:val="20"/>
          <w:szCs w:val="20"/>
          <w:lang w:val="en-US"/>
        </w:rPr>
        <w:t xml:space="preserve"> 562.</w:t>
      </w:r>
    </w:p>
  </w:footnote>
  <w:footnote w:id="201">
    <w:p w14:paraId="32F87C91" w14:textId="65CABD84" w:rsidR="00B06F43" w:rsidRPr="00692E2D" w:rsidRDefault="00B06F43" w:rsidP="0027373D">
      <w:pPr>
        <w:rPr>
          <w:sz w:val="20"/>
          <w:szCs w:val="20"/>
          <w:lang w:val="en-US"/>
        </w:rPr>
      </w:pPr>
      <w:r w:rsidRPr="00692E2D">
        <w:rPr>
          <w:rStyle w:val="FootnoteReference"/>
          <w:sz w:val="20"/>
          <w:szCs w:val="20"/>
        </w:rPr>
        <w:footnoteRef/>
      </w:r>
      <w:r w:rsidRPr="00692E2D">
        <w:rPr>
          <w:sz w:val="20"/>
          <w:szCs w:val="20"/>
        </w:rPr>
        <w:t xml:space="preserve"> </w:t>
      </w:r>
      <w:r w:rsidRPr="00692E2D">
        <w:rPr>
          <w:sz w:val="20"/>
          <w:szCs w:val="20"/>
          <w:lang w:val="en-US"/>
        </w:rPr>
        <w:t>Rozelle,</w:t>
      </w:r>
    </w:p>
  </w:footnote>
  <w:footnote w:id="202">
    <w:p w14:paraId="01CFA5EA" w14:textId="5E4B2EC7" w:rsidR="00B06F43" w:rsidRPr="00C4750A" w:rsidRDefault="00B06F43" w:rsidP="0027373D">
      <w:pPr>
        <w:pStyle w:val="FootnoteText"/>
        <w:rPr>
          <w:lang w:val="en-US"/>
        </w:rPr>
      </w:pPr>
      <w:r w:rsidRPr="00692E2D">
        <w:rPr>
          <w:rStyle w:val="FootnoteReference"/>
        </w:rPr>
        <w:footnoteRef/>
      </w:r>
      <w:r w:rsidRPr="00692E2D">
        <w:t xml:space="preserve"> </w:t>
      </w:r>
      <w:r w:rsidR="00720ACF">
        <w:t xml:space="preserve">Atwood, </w:t>
      </w:r>
      <w:r w:rsidRPr="00720ACF">
        <w:rPr>
          <w:i/>
          <w:iCs/>
          <w:lang w:val="en-US"/>
        </w:rPr>
        <w:t>Oryx and Crake</w:t>
      </w:r>
      <w:r w:rsidR="00720ACF">
        <w:rPr>
          <w:lang w:val="en-US"/>
        </w:rPr>
        <w:t>,</w:t>
      </w:r>
      <w:r w:rsidRPr="00692E2D">
        <w:rPr>
          <w:lang w:val="en-US"/>
        </w:rPr>
        <w:t xml:space="preserve"> p</w:t>
      </w:r>
      <w:r w:rsidR="00720ACF">
        <w:rPr>
          <w:lang w:val="en-US"/>
        </w:rPr>
        <w:t>.</w:t>
      </w:r>
      <w:r w:rsidRPr="00692E2D">
        <w:rPr>
          <w:lang w:val="en-US"/>
        </w:rPr>
        <w:t xml:space="preserve"> 253-54.</w:t>
      </w:r>
    </w:p>
  </w:footnote>
  <w:footnote w:id="203">
    <w:p w14:paraId="161CBEB4" w14:textId="77777777" w:rsidR="00B06F43" w:rsidRPr="00692E2D" w:rsidRDefault="00B06F43" w:rsidP="0027373D">
      <w:pPr>
        <w:rPr>
          <w:sz w:val="20"/>
          <w:szCs w:val="20"/>
          <w:lang w:val="en-US"/>
        </w:rPr>
      </w:pPr>
      <w:r w:rsidRPr="00692E2D">
        <w:rPr>
          <w:rStyle w:val="FootnoteReference"/>
          <w:sz w:val="20"/>
          <w:szCs w:val="20"/>
        </w:rPr>
        <w:footnoteRef/>
      </w:r>
      <w:r w:rsidRPr="00692E2D">
        <w:rPr>
          <w:sz w:val="20"/>
          <w:szCs w:val="20"/>
        </w:rPr>
        <w:t xml:space="preserve"> </w:t>
      </w:r>
      <w:r w:rsidRPr="00692E2D">
        <w:rPr>
          <w:sz w:val="20"/>
          <w:szCs w:val="20"/>
          <w:lang w:val="en-US"/>
        </w:rPr>
        <w:t xml:space="preserve">Lois Parkinson Zamora, </w:t>
      </w:r>
      <w:r w:rsidRPr="00692E2D">
        <w:rPr>
          <w:i/>
          <w:iCs/>
          <w:sz w:val="20"/>
          <w:szCs w:val="20"/>
          <w:lang w:val="en-US"/>
        </w:rPr>
        <w:t>Writing the Apocalypse: Historical Vision in Contemporary U.S. and Latin American Fiction</w:t>
      </w:r>
      <w:r w:rsidRPr="00692E2D">
        <w:rPr>
          <w:sz w:val="20"/>
          <w:szCs w:val="20"/>
          <w:lang w:val="en-US"/>
        </w:rPr>
        <w:t xml:space="preserve"> (Cambridge [England]; New York: Cambridge University Press, 1989) p3.</w:t>
      </w:r>
    </w:p>
  </w:footnote>
  <w:footnote w:id="204">
    <w:p w14:paraId="67CCB7D0" w14:textId="5CDC35A5" w:rsidR="00B06F43" w:rsidRPr="00692E2D" w:rsidRDefault="00B06F43" w:rsidP="0027373D">
      <w:pPr>
        <w:rPr>
          <w:sz w:val="20"/>
          <w:szCs w:val="20"/>
          <w:lang w:val="en-US"/>
        </w:rPr>
      </w:pPr>
      <w:r w:rsidRPr="00692E2D">
        <w:rPr>
          <w:rStyle w:val="FootnoteReference"/>
          <w:sz w:val="20"/>
          <w:szCs w:val="20"/>
        </w:rPr>
        <w:footnoteRef/>
      </w:r>
      <w:r w:rsidRPr="00692E2D">
        <w:rPr>
          <w:sz w:val="20"/>
          <w:szCs w:val="20"/>
        </w:rPr>
        <w:t xml:space="preserve"> </w:t>
      </w:r>
      <w:r w:rsidRPr="00692E2D">
        <w:rPr>
          <w:sz w:val="20"/>
          <w:szCs w:val="20"/>
          <w:lang w:val="en-US"/>
        </w:rPr>
        <w:t xml:space="preserve">Gary K. Wolfe, ‘The Remaking of Zero: Beginning at the End.’, in </w:t>
      </w:r>
      <w:r w:rsidRPr="00692E2D">
        <w:rPr>
          <w:i/>
          <w:iCs/>
          <w:sz w:val="20"/>
          <w:szCs w:val="20"/>
          <w:lang w:val="en-US"/>
        </w:rPr>
        <w:t>The End of the World</w:t>
      </w:r>
      <w:r w:rsidRPr="00692E2D">
        <w:rPr>
          <w:sz w:val="20"/>
          <w:szCs w:val="20"/>
          <w:lang w:val="en-US"/>
        </w:rPr>
        <w:t>, ed. by Eric S. Rabkin, Martin Harry Greenberg, and Joseph D. Olander, Alternatives (Carbondale: Southern Illinois University Press, 1983), p. 1–19</w:t>
      </w:r>
      <w:r w:rsidR="003A7F2C">
        <w:rPr>
          <w:sz w:val="20"/>
          <w:szCs w:val="20"/>
          <w:lang w:val="en-US"/>
        </w:rPr>
        <w:t>, p. 1.</w:t>
      </w:r>
    </w:p>
  </w:footnote>
  <w:footnote w:id="205">
    <w:p w14:paraId="33B48ECA" w14:textId="633B2781" w:rsidR="00B06F43" w:rsidRPr="00692E2D" w:rsidRDefault="00B06F43" w:rsidP="0027373D">
      <w:pPr>
        <w:rPr>
          <w:sz w:val="20"/>
          <w:szCs w:val="20"/>
          <w:lang w:val="en-US"/>
        </w:rPr>
      </w:pPr>
      <w:r w:rsidRPr="00692E2D">
        <w:rPr>
          <w:rStyle w:val="FootnoteReference"/>
          <w:sz w:val="20"/>
          <w:szCs w:val="20"/>
        </w:rPr>
        <w:footnoteRef/>
      </w:r>
      <w:r w:rsidRPr="00692E2D">
        <w:rPr>
          <w:sz w:val="20"/>
          <w:szCs w:val="20"/>
        </w:rPr>
        <w:t xml:space="preserve"> Cooke</w:t>
      </w:r>
      <w:r w:rsidR="00D64AD2">
        <w:rPr>
          <w:sz w:val="20"/>
          <w:szCs w:val="20"/>
        </w:rPr>
        <w:t>, p. 122.</w:t>
      </w:r>
    </w:p>
  </w:footnote>
  <w:footnote w:id="206">
    <w:p w14:paraId="30D6A843" w14:textId="179153D4" w:rsidR="00B06F43" w:rsidRPr="009960AB" w:rsidRDefault="00B06F43" w:rsidP="0027373D">
      <w:pPr>
        <w:pStyle w:val="FootnoteText"/>
        <w:rPr>
          <w:lang w:val="en-US"/>
        </w:rPr>
      </w:pPr>
      <w:r w:rsidRPr="00692E2D">
        <w:rPr>
          <w:rStyle w:val="FootnoteReference"/>
        </w:rPr>
        <w:footnoteRef/>
      </w:r>
      <w:r w:rsidRPr="00692E2D">
        <w:t xml:space="preserve"> </w:t>
      </w:r>
      <w:r w:rsidR="003A7F2C">
        <w:t xml:space="preserve">Atwood, </w:t>
      </w:r>
      <w:r w:rsidRPr="003A7F2C">
        <w:rPr>
          <w:i/>
          <w:iCs/>
          <w:lang w:val="en-US"/>
        </w:rPr>
        <w:t>Oryx and Crake</w:t>
      </w:r>
      <w:r w:rsidR="003A7F2C">
        <w:rPr>
          <w:lang w:val="en-US"/>
        </w:rPr>
        <w:t>,</w:t>
      </w:r>
      <w:r>
        <w:rPr>
          <w:lang w:val="en-US"/>
        </w:rPr>
        <w:t xml:space="preserve"> p</w:t>
      </w:r>
      <w:r w:rsidR="003A7F2C">
        <w:rPr>
          <w:lang w:val="en-US"/>
        </w:rPr>
        <w:t>.</w:t>
      </w:r>
      <w:r>
        <w:rPr>
          <w:lang w:val="en-US"/>
        </w:rPr>
        <w:t xml:space="preserve"> 305</w:t>
      </w:r>
      <w:r w:rsidR="003A7F2C">
        <w:rPr>
          <w:lang w:val="en-US"/>
        </w:rPr>
        <w:t>.</w:t>
      </w:r>
    </w:p>
  </w:footnote>
  <w:footnote w:id="207">
    <w:p w14:paraId="3601D3C1" w14:textId="77777777" w:rsidR="00B06F43" w:rsidRPr="00692E2D" w:rsidRDefault="00B06F43" w:rsidP="0027373D">
      <w:pPr>
        <w:rPr>
          <w:sz w:val="20"/>
          <w:szCs w:val="20"/>
          <w:lang w:val="en-US"/>
        </w:rPr>
      </w:pPr>
      <w:r w:rsidRPr="00692E2D">
        <w:rPr>
          <w:rStyle w:val="FootnoteReference"/>
          <w:sz w:val="20"/>
          <w:szCs w:val="20"/>
        </w:rPr>
        <w:footnoteRef/>
      </w:r>
      <w:r w:rsidRPr="00692E2D">
        <w:rPr>
          <w:sz w:val="20"/>
          <w:szCs w:val="20"/>
        </w:rPr>
        <w:t xml:space="preserve"> </w:t>
      </w:r>
      <w:r w:rsidRPr="00692E2D">
        <w:rPr>
          <w:sz w:val="20"/>
          <w:szCs w:val="20"/>
          <w:lang w:val="en-US"/>
        </w:rPr>
        <w:t xml:space="preserve">Katarina Labudova, ‘Paradice Redesigned: Post-Apocalyptic Visions of Urban and Rural Spaces in Margaret Atwood’s </w:t>
      </w:r>
      <w:r w:rsidRPr="00692E2D">
        <w:rPr>
          <w:i/>
          <w:iCs/>
          <w:sz w:val="20"/>
          <w:szCs w:val="20"/>
          <w:lang w:val="en-US"/>
        </w:rPr>
        <w:t>Maddaddam</w:t>
      </w:r>
      <w:r w:rsidRPr="00692E2D">
        <w:rPr>
          <w:sz w:val="20"/>
          <w:szCs w:val="20"/>
          <w:lang w:val="en-US"/>
        </w:rPr>
        <w:t xml:space="preserve"> Trilogy’, </w:t>
      </w:r>
      <w:r w:rsidRPr="00692E2D">
        <w:rPr>
          <w:i/>
          <w:iCs/>
          <w:sz w:val="20"/>
          <w:szCs w:val="20"/>
          <w:lang w:val="en-US"/>
        </w:rPr>
        <w:t>Eger Journal of English Studies</w:t>
      </w:r>
      <w:r w:rsidRPr="00692E2D">
        <w:rPr>
          <w:sz w:val="20"/>
          <w:szCs w:val="20"/>
          <w:lang w:val="en-US"/>
        </w:rPr>
        <w:t>, 13 (2013), 27–36.</w:t>
      </w:r>
    </w:p>
  </w:footnote>
  <w:footnote w:id="208">
    <w:p w14:paraId="7F255C8A" w14:textId="0E70D5BF" w:rsidR="00B06F43" w:rsidRPr="00E969F2" w:rsidRDefault="00B06F43" w:rsidP="0027373D">
      <w:pPr>
        <w:rPr>
          <w:lang w:val="en-US"/>
        </w:rPr>
      </w:pPr>
      <w:r w:rsidRPr="00692E2D">
        <w:rPr>
          <w:rStyle w:val="FootnoteReference"/>
          <w:sz w:val="20"/>
          <w:szCs w:val="20"/>
        </w:rPr>
        <w:footnoteRef/>
      </w:r>
      <w:r w:rsidRPr="00692E2D">
        <w:rPr>
          <w:sz w:val="20"/>
          <w:szCs w:val="20"/>
          <w:lang w:val="en-US"/>
        </w:rPr>
        <w:t xml:space="preserve"> Efraim Sicher and Natalia Skradol, ‘A World Neither Brave </w:t>
      </w:r>
      <w:r w:rsidR="00A462BF" w:rsidRPr="00692E2D">
        <w:rPr>
          <w:sz w:val="20"/>
          <w:szCs w:val="20"/>
          <w:lang w:val="en-US"/>
        </w:rPr>
        <w:t>nor</w:t>
      </w:r>
      <w:r w:rsidRPr="00692E2D">
        <w:rPr>
          <w:sz w:val="20"/>
          <w:szCs w:val="20"/>
          <w:lang w:val="en-US"/>
        </w:rPr>
        <w:t xml:space="preserve"> New: Reading Dystopian Fiction after 9/11’, </w:t>
      </w:r>
      <w:r w:rsidRPr="00692E2D">
        <w:rPr>
          <w:i/>
          <w:iCs/>
          <w:sz w:val="20"/>
          <w:szCs w:val="20"/>
          <w:lang w:val="en-US"/>
        </w:rPr>
        <w:t>Partial Answers: Journal of Literature and the History of Ideas</w:t>
      </w:r>
      <w:r w:rsidRPr="00692E2D">
        <w:rPr>
          <w:sz w:val="20"/>
          <w:szCs w:val="20"/>
          <w:lang w:val="en-US"/>
        </w:rPr>
        <w:t>, 4.1 (2006), 151–179, p</w:t>
      </w:r>
      <w:r w:rsidR="003A7F2C">
        <w:rPr>
          <w:sz w:val="20"/>
          <w:szCs w:val="20"/>
          <w:lang w:val="en-US"/>
        </w:rPr>
        <w:t>.</w:t>
      </w:r>
      <w:r w:rsidRPr="00692E2D">
        <w:rPr>
          <w:sz w:val="20"/>
          <w:szCs w:val="20"/>
          <w:lang w:val="en-US"/>
        </w:rPr>
        <w:t xml:space="preserve"> 155.</w:t>
      </w:r>
    </w:p>
  </w:footnote>
  <w:footnote w:id="209">
    <w:p w14:paraId="575C1AA2" w14:textId="647159A4" w:rsidR="00B06F43" w:rsidRPr="00692E2D" w:rsidRDefault="00B06F43" w:rsidP="0027373D">
      <w:pPr>
        <w:rPr>
          <w:sz w:val="20"/>
          <w:szCs w:val="20"/>
          <w:lang w:val="en-US"/>
        </w:rPr>
      </w:pPr>
      <w:r w:rsidRPr="00692E2D">
        <w:rPr>
          <w:rStyle w:val="FootnoteReference"/>
          <w:sz w:val="20"/>
          <w:szCs w:val="20"/>
        </w:rPr>
        <w:footnoteRef/>
      </w:r>
      <w:r w:rsidRPr="00692E2D">
        <w:rPr>
          <w:sz w:val="20"/>
          <w:szCs w:val="20"/>
          <w:lang w:val="en-US"/>
        </w:rPr>
        <w:t xml:space="preserve"> Rozelle, p</w:t>
      </w:r>
      <w:r w:rsidR="00532DAF">
        <w:rPr>
          <w:sz w:val="20"/>
          <w:szCs w:val="20"/>
          <w:lang w:val="en-US"/>
        </w:rPr>
        <w:t>.</w:t>
      </w:r>
      <w:r w:rsidRPr="00692E2D">
        <w:rPr>
          <w:sz w:val="20"/>
          <w:szCs w:val="20"/>
          <w:lang w:val="en-US"/>
        </w:rPr>
        <w:t xml:space="preserve"> 69.</w:t>
      </w:r>
    </w:p>
  </w:footnote>
  <w:footnote w:id="210">
    <w:p w14:paraId="0376A67A" w14:textId="131CEDD8" w:rsidR="00B06F43" w:rsidRPr="00692E2D" w:rsidRDefault="00B06F43" w:rsidP="0027373D">
      <w:pPr>
        <w:rPr>
          <w:sz w:val="20"/>
          <w:szCs w:val="20"/>
          <w:lang w:val="en-US"/>
        </w:rPr>
      </w:pPr>
      <w:r w:rsidRPr="00692E2D">
        <w:rPr>
          <w:rStyle w:val="FootnoteReference"/>
          <w:sz w:val="20"/>
          <w:szCs w:val="20"/>
        </w:rPr>
        <w:footnoteRef/>
      </w:r>
      <w:r w:rsidRPr="00692E2D">
        <w:rPr>
          <w:sz w:val="20"/>
          <w:szCs w:val="20"/>
          <w:lang w:val="en-US"/>
        </w:rPr>
        <w:t xml:space="preserve"> Schmeink, p</w:t>
      </w:r>
      <w:r w:rsidR="00532DAF">
        <w:rPr>
          <w:sz w:val="20"/>
          <w:szCs w:val="20"/>
          <w:lang w:val="en-US"/>
        </w:rPr>
        <w:t>.</w:t>
      </w:r>
      <w:r w:rsidRPr="00692E2D">
        <w:rPr>
          <w:sz w:val="20"/>
          <w:szCs w:val="20"/>
          <w:lang w:val="en-US"/>
        </w:rPr>
        <w:t xml:space="preserve"> 110.</w:t>
      </w:r>
    </w:p>
  </w:footnote>
  <w:footnote w:id="211">
    <w:p w14:paraId="79DD3FD4" w14:textId="064A7054" w:rsidR="00B06F43" w:rsidRPr="00A50A61" w:rsidRDefault="00B06F43" w:rsidP="0027373D">
      <w:pPr>
        <w:pStyle w:val="FootnoteText"/>
        <w:rPr>
          <w:lang w:val="en-US"/>
        </w:rPr>
      </w:pPr>
      <w:r w:rsidRPr="00692E2D">
        <w:rPr>
          <w:rStyle w:val="FootnoteReference"/>
        </w:rPr>
        <w:footnoteRef/>
      </w:r>
      <w:r>
        <w:t xml:space="preserve"> </w:t>
      </w:r>
      <w:r w:rsidR="00532DAF" w:rsidRPr="00532DAF">
        <w:t xml:space="preserve">Atwood, </w:t>
      </w:r>
      <w:r w:rsidRPr="000044AC">
        <w:rPr>
          <w:i/>
          <w:iCs/>
          <w:lang w:val="en-US"/>
        </w:rPr>
        <w:t>Maddaddam</w:t>
      </w:r>
      <w:r w:rsidR="00532DAF">
        <w:rPr>
          <w:lang w:val="en-US"/>
        </w:rPr>
        <w:t>,</w:t>
      </w:r>
      <w:r>
        <w:rPr>
          <w:lang w:val="en-US"/>
        </w:rPr>
        <w:t xml:space="preserve"> p</w:t>
      </w:r>
      <w:r w:rsidR="00532DAF">
        <w:rPr>
          <w:lang w:val="en-US"/>
        </w:rPr>
        <w:t>.</w:t>
      </w:r>
      <w:r>
        <w:rPr>
          <w:lang w:val="en-US"/>
        </w:rPr>
        <w:t xml:space="preserve"> 227.</w:t>
      </w:r>
    </w:p>
  </w:footnote>
  <w:footnote w:id="212">
    <w:p w14:paraId="37E699FB" w14:textId="628566F5" w:rsidR="00B06F43" w:rsidRPr="009624A7" w:rsidRDefault="00B06F43" w:rsidP="0027373D">
      <w:pPr>
        <w:pStyle w:val="FootnoteText"/>
        <w:rPr>
          <w:lang w:val="en-US"/>
        </w:rPr>
      </w:pPr>
      <w:r>
        <w:rPr>
          <w:rStyle w:val="FootnoteReference"/>
        </w:rPr>
        <w:footnoteRef/>
      </w:r>
      <w:r>
        <w:t xml:space="preserve"> </w:t>
      </w:r>
      <w:r w:rsidR="00532DAF">
        <w:t xml:space="preserve">Atwood, </w:t>
      </w:r>
      <w:r w:rsidRPr="000044AC">
        <w:rPr>
          <w:i/>
          <w:iCs/>
          <w:lang w:val="en-US"/>
        </w:rPr>
        <w:t>Maddaddam</w:t>
      </w:r>
      <w:r w:rsidR="00532DAF">
        <w:rPr>
          <w:lang w:val="en-US"/>
        </w:rPr>
        <w:t>,</w:t>
      </w:r>
      <w:r>
        <w:rPr>
          <w:lang w:val="en-US"/>
        </w:rPr>
        <w:t xml:space="preserve"> p</w:t>
      </w:r>
      <w:r w:rsidR="00532DAF">
        <w:rPr>
          <w:lang w:val="en-US"/>
        </w:rPr>
        <w:t>.</w:t>
      </w:r>
      <w:r>
        <w:rPr>
          <w:lang w:val="en-US"/>
        </w:rPr>
        <w:t xml:space="preserve"> 390</w:t>
      </w:r>
      <w:r w:rsidR="00532DAF">
        <w:rPr>
          <w:lang w:val="en-US"/>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B93807D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10AA92C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CC7C419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C8F058F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1E74A2AE"/>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C6A6454"/>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79949C4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12C785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1F8CBF9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3D0A9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253E9F"/>
    <w:multiLevelType w:val="multilevel"/>
    <w:tmpl w:val="1A024772"/>
    <w:numStyleLink w:val="Style1"/>
  </w:abstractNum>
  <w:abstractNum w:abstractNumId="11" w15:restartNumberingAfterBreak="0">
    <w:nsid w:val="05CF7FD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8886E77"/>
    <w:multiLevelType w:val="multilevel"/>
    <w:tmpl w:val="1A024772"/>
    <w:lvl w:ilvl="0">
      <w:start w:val="1"/>
      <w:numFmt w:val="decimal"/>
      <w:suff w:val="space"/>
      <w:lvlText w:val="Chapter %1"/>
      <w:lvlJc w:val="left"/>
      <w:pPr>
        <w:ind w:left="0" w:firstLine="0"/>
      </w:pPr>
      <w:rPr>
        <w:rFonts w:ascii="Times New Roman" w:hAnsi="Times New Roman" w:hint="default"/>
        <w:b/>
        <w:i w:val="0"/>
        <w:color w:val="000000" w:themeColor="text1"/>
        <w:sz w:val="28"/>
      </w:rPr>
    </w:lvl>
    <w:lvl w:ilvl="1">
      <w:start w:val="1"/>
      <w:numFmt w:val="decimal"/>
      <w:suff w:val="space"/>
      <w:lvlText w:val="1.%2"/>
      <w:lvlJc w:val="left"/>
      <w:pPr>
        <w:ind w:left="0" w:firstLine="0"/>
      </w:pPr>
      <w:rPr>
        <w:rFonts w:ascii="Times New Roman" w:hAnsi="Times New Roman" w:hint="default"/>
        <w:b/>
        <w:i w:val="0"/>
        <w:color w:val="000000" w:themeColor="text1"/>
        <w:sz w:val="24"/>
        <w:u w:val="none"/>
      </w:rPr>
    </w:lvl>
    <w:lvl w:ilvl="2">
      <w:start w:val="1"/>
      <w:numFmt w:val="decimal"/>
      <w:lvlText w:val="%3"/>
      <w:lvlJc w:val="left"/>
      <w:pPr>
        <w:ind w:left="360" w:hanging="360"/>
      </w:pPr>
      <w:rPr>
        <w:rFonts w:ascii="Times New Roman" w:hAnsi="Times New Roman" w:hint="default"/>
        <w:b/>
        <w:color w:val="000000" w:themeColor="text1"/>
        <w:sz w:val="24"/>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0E226AFC"/>
    <w:multiLevelType w:val="multilevel"/>
    <w:tmpl w:val="1A024772"/>
    <w:numStyleLink w:val="Style1"/>
  </w:abstractNum>
  <w:abstractNum w:abstractNumId="14" w15:restartNumberingAfterBreak="0">
    <w:nsid w:val="101C31AE"/>
    <w:multiLevelType w:val="multilevel"/>
    <w:tmpl w:val="1A024772"/>
    <w:numStyleLink w:val="Style1"/>
  </w:abstractNum>
  <w:abstractNum w:abstractNumId="15" w15:restartNumberingAfterBreak="0">
    <w:nsid w:val="1F150F8B"/>
    <w:multiLevelType w:val="multilevel"/>
    <w:tmpl w:val="1A024772"/>
    <w:numStyleLink w:val="Style1"/>
  </w:abstractNum>
  <w:abstractNum w:abstractNumId="16" w15:restartNumberingAfterBreak="0">
    <w:nsid w:val="25090A3F"/>
    <w:multiLevelType w:val="multilevel"/>
    <w:tmpl w:val="1A024772"/>
    <w:numStyleLink w:val="Style1"/>
  </w:abstractNum>
  <w:abstractNum w:abstractNumId="17" w15:restartNumberingAfterBreak="0">
    <w:nsid w:val="28C96780"/>
    <w:multiLevelType w:val="multilevel"/>
    <w:tmpl w:val="1A024772"/>
    <w:numStyleLink w:val="Style1"/>
  </w:abstractNum>
  <w:abstractNum w:abstractNumId="18" w15:restartNumberingAfterBreak="0">
    <w:nsid w:val="3F170A87"/>
    <w:multiLevelType w:val="multilevel"/>
    <w:tmpl w:val="1A024772"/>
    <w:styleLink w:val="Style1"/>
    <w:lvl w:ilvl="0">
      <w:start w:val="1"/>
      <w:numFmt w:val="decimal"/>
      <w:suff w:val="space"/>
      <w:lvlText w:val="Chapter %1"/>
      <w:lvlJc w:val="left"/>
      <w:pPr>
        <w:ind w:left="0" w:firstLine="0"/>
      </w:pPr>
      <w:rPr>
        <w:rFonts w:ascii="Times New Roman" w:hAnsi="Times New Roman" w:hint="default"/>
        <w:b/>
        <w:i w:val="0"/>
        <w:color w:val="000000" w:themeColor="text1"/>
        <w:sz w:val="28"/>
      </w:rPr>
    </w:lvl>
    <w:lvl w:ilvl="1">
      <w:start w:val="1"/>
      <w:numFmt w:val="decimal"/>
      <w:suff w:val="space"/>
      <w:lvlText w:val="1.%2"/>
      <w:lvlJc w:val="left"/>
      <w:pPr>
        <w:ind w:left="0" w:firstLine="0"/>
      </w:pPr>
      <w:rPr>
        <w:rFonts w:ascii="Times New Roman" w:hAnsi="Times New Roman" w:hint="default"/>
        <w:b/>
        <w:i w:val="0"/>
        <w:color w:val="000000" w:themeColor="text1"/>
        <w:sz w:val="24"/>
        <w:u w:val="none"/>
      </w:rPr>
    </w:lvl>
    <w:lvl w:ilvl="2">
      <w:start w:val="1"/>
      <w:numFmt w:val="decimal"/>
      <w:lvlText w:val="%3"/>
      <w:lvlJc w:val="left"/>
      <w:pPr>
        <w:ind w:left="360" w:hanging="360"/>
      </w:pPr>
      <w:rPr>
        <w:rFonts w:ascii="Times New Roman" w:hAnsi="Times New Roman" w:hint="default"/>
        <w:b/>
        <w:color w:val="000000" w:themeColor="text1"/>
        <w:sz w:val="24"/>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42713CEE"/>
    <w:multiLevelType w:val="multilevel"/>
    <w:tmpl w:val="1A024772"/>
    <w:numStyleLink w:val="Style1"/>
  </w:abstractNum>
  <w:abstractNum w:abstractNumId="20" w15:restartNumberingAfterBreak="0">
    <w:nsid w:val="52E84944"/>
    <w:multiLevelType w:val="multilevel"/>
    <w:tmpl w:val="1A024772"/>
    <w:numStyleLink w:val="Style1"/>
  </w:abstractNum>
  <w:abstractNum w:abstractNumId="21" w15:restartNumberingAfterBreak="0">
    <w:nsid w:val="57384824"/>
    <w:multiLevelType w:val="multilevel"/>
    <w:tmpl w:val="1A024772"/>
    <w:numStyleLink w:val="Style1"/>
  </w:abstractNum>
  <w:abstractNum w:abstractNumId="22" w15:restartNumberingAfterBreak="0">
    <w:nsid w:val="59031A41"/>
    <w:multiLevelType w:val="multilevel"/>
    <w:tmpl w:val="1A024772"/>
    <w:numStyleLink w:val="Style1"/>
  </w:abstractNum>
  <w:abstractNum w:abstractNumId="23" w15:restartNumberingAfterBreak="0">
    <w:nsid w:val="5D59609B"/>
    <w:multiLevelType w:val="multilevel"/>
    <w:tmpl w:val="95B6D5B0"/>
    <w:lvl w:ilvl="0">
      <w:start w:val="1"/>
      <w:numFmt w:val="decimal"/>
      <w:pStyle w:val="Heading1"/>
      <w:suff w:val="space"/>
      <w:lvlText w:val="Chapter %1"/>
      <w:lvlJc w:val="left"/>
      <w:pPr>
        <w:ind w:left="0" w:firstLine="0"/>
      </w:pPr>
      <w:rPr>
        <w:rFonts w:ascii="Times New Roman" w:hAnsi="Times New Roman" w:hint="default"/>
        <w:b/>
        <w:i w:val="0"/>
        <w:caps w:val="0"/>
        <w:color w:val="000000" w:themeColor="text1"/>
        <w:sz w:val="28"/>
      </w:rPr>
    </w:lvl>
    <w:lvl w:ilvl="1">
      <w:start w:val="1"/>
      <w:numFmt w:val="decimal"/>
      <w:pStyle w:val="Heading2"/>
      <w:suff w:val="space"/>
      <w:lvlText w:val="%1.%2"/>
      <w:lvlJc w:val="left"/>
      <w:pPr>
        <w:ind w:left="0" w:firstLine="0"/>
      </w:pPr>
      <w:rPr>
        <w:rFonts w:ascii="Times New Roman" w:hAnsi="Times New Roman" w:hint="default"/>
        <w:b/>
        <w:i w:val="0"/>
        <w:color w:val="000000" w:themeColor="text1"/>
        <w:sz w:val="24"/>
        <w:u w:val="none"/>
      </w:rPr>
    </w:lvl>
    <w:lvl w:ilvl="2">
      <w:start w:val="1"/>
      <w:numFmt w:val="decimal"/>
      <w:pStyle w:val="Heading3"/>
      <w:suff w:val="space"/>
      <w:lvlText w:val="%1.%2.%3"/>
      <w:lvlJc w:val="left"/>
      <w:pPr>
        <w:ind w:left="0" w:firstLine="0"/>
      </w:pPr>
      <w:rPr>
        <w:rFonts w:ascii="Times New Roman" w:hAnsi="Times New Roman" w:hint="default"/>
        <w:b/>
        <w:i w:val="0"/>
        <w:color w:val="000000" w:themeColor="text1"/>
        <w:sz w:val="24"/>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4" w15:restartNumberingAfterBreak="0">
    <w:nsid w:val="60A31AAE"/>
    <w:multiLevelType w:val="multilevel"/>
    <w:tmpl w:val="1A024772"/>
    <w:lvl w:ilvl="0">
      <w:start w:val="1"/>
      <w:numFmt w:val="decimal"/>
      <w:suff w:val="space"/>
      <w:lvlText w:val="Chapter %1"/>
      <w:lvlJc w:val="left"/>
      <w:pPr>
        <w:ind w:left="0" w:firstLine="0"/>
      </w:pPr>
      <w:rPr>
        <w:rFonts w:ascii="Times New Roman" w:hAnsi="Times New Roman" w:hint="default"/>
        <w:b/>
        <w:i w:val="0"/>
        <w:color w:val="000000" w:themeColor="text1"/>
        <w:sz w:val="32"/>
      </w:rPr>
    </w:lvl>
    <w:lvl w:ilvl="1">
      <w:start w:val="1"/>
      <w:numFmt w:val="decimal"/>
      <w:suff w:val="space"/>
      <w:lvlText w:val="1.%2"/>
      <w:lvlJc w:val="left"/>
      <w:pPr>
        <w:ind w:left="0" w:firstLine="0"/>
      </w:pPr>
      <w:rPr>
        <w:rFonts w:ascii="Times New Roman" w:hAnsi="Times New Roman" w:hint="default"/>
        <w:b/>
        <w:i w:val="0"/>
        <w:color w:val="000000" w:themeColor="text1"/>
        <w:sz w:val="28"/>
        <w:u w:val="none"/>
      </w:rPr>
    </w:lvl>
    <w:lvl w:ilvl="2">
      <w:start w:val="1"/>
      <w:numFmt w:val="decimal"/>
      <w:lvlText w:val="%3"/>
      <w:lvlJc w:val="left"/>
      <w:pPr>
        <w:ind w:left="360" w:hanging="360"/>
      </w:pPr>
      <w:rPr>
        <w:rFonts w:ascii="Times New Roman" w:hAnsi="Times New Roman" w:hint="default"/>
        <w:b/>
        <w:color w:val="000000" w:themeColor="text1"/>
        <w:sz w:val="24"/>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5" w15:restartNumberingAfterBreak="0">
    <w:nsid w:val="756B6A9C"/>
    <w:multiLevelType w:val="multilevel"/>
    <w:tmpl w:val="1A024772"/>
    <w:numStyleLink w:val="Style1"/>
  </w:abstractNum>
  <w:abstractNum w:abstractNumId="26" w15:restartNumberingAfterBreak="0">
    <w:nsid w:val="7E6951FC"/>
    <w:multiLevelType w:val="multilevel"/>
    <w:tmpl w:val="1A024772"/>
    <w:numStyleLink w:val="Style1"/>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26"/>
  </w:num>
  <w:num w:numId="12">
    <w:abstractNumId w:val="18"/>
  </w:num>
  <w:num w:numId="13">
    <w:abstractNumId w:val="14"/>
  </w:num>
  <w:num w:numId="14">
    <w:abstractNumId w:val="15"/>
  </w:num>
  <w:num w:numId="15">
    <w:abstractNumId w:val="23"/>
  </w:num>
  <w:num w:numId="16">
    <w:abstractNumId w:val="22"/>
  </w:num>
  <w:num w:numId="17">
    <w:abstractNumId w:val="25"/>
  </w:num>
  <w:num w:numId="18">
    <w:abstractNumId w:val="16"/>
  </w:num>
  <w:num w:numId="19">
    <w:abstractNumId w:val="19"/>
  </w:num>
  <w:num w:numId="20">
    <w:abstractNumId w:val="21"/>
  </w:num>
  <w:num w:numId="21">
    <w:abstractNumId w:val="24"/>
  </w:num>
  <w:num w:numId="22">
    <w:abstractNumId w:val="10"/>
  </w:num>
  <w:num w:numId="23">
    <w:abstractNumId w:val="13"/>
  </w:num>
  <w:num w:numId="24">
    <w:abstractNumId w:val="17"/>
  </w:num>
  <w:num w:numId="25">
    <w:abstractNumId w:val="11"/>
  </w:num>
  <w:num w:numId="26">
    <w:abstractNumId w:val="20"/>
  </w:num>
  <w:num w:numId="2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displayBackgroundShape/>
  <w:activeWritingStyle w:appName="MSWord" w:lang="en-GB" w:vendorID="64" w:dllVersion="4096" w:nlCheck="1" w:checkStyle="0"/>
  <w:activeWritingStyle w:appName="MSWord" w:lang="es-ES" w:vendorID="64" w:dllVersion="4096" w:nlCheck="1" w:checkStyle="0"/>
  <w:activeWritingStyle w:appName="MSWord" w:lang="en-US" w:vendorID="64" w:dllVersion="4096" w:nlCheck="1" w:checkStyle="0"/>
  <w:proofState w:spelling="clean" w:grammar="clean"/>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8146B1"/>
    <w:rsid w:val="000036A0"/>
    <w:rsid w:val="00004237"/>
    <w:rsid w:val="000044AC"/>
    <w:rsid w:val="00004CE7"/>
    <w:rsid w:val="00004ECC"/>
    <w:rsid w:val="00006387"/>
    <w:rsid w:val="00006673"/>
    <w:rsid w:val="00031880"/>
    <w:rsid w:val="000331C7"/>
    <w:rsid w:val="00034966"/>
    <w:rsid w:val="000354FA"/>
    <w:rsid w:val="000361AE"/>
    <w:rsid w:val="000369B5"/>
    <w:rsid w:val="0003790E"/>
    <w:rsid w:val="00042111"/>
    <w:rsid w:val="000453EA"/>
    <w:rsid w:val="0005359B"/>
    <w:rsid w:val="00055EAD"/>
    <w:rsid w:val="00060D01"/>
    <w:rsid w:val="00062CCC"/>
    <w:rsid w:val="00064606"/>
    <w:rsid w:val="000722DA"/>
    <w:rsid w:val="000739C8"/>
    <w:rsid w:val="00074314"/>
    <w:rsid w:val="0007679B"/>
    <w:rsid w:val="000767C4"/>
    <w:rsid w:val="000806B3"/>
    <w:rsid w:val="00083998"/>
    <w:rsid w:val="00084E3F"/>
    <w:rsid w:val="00085154"/>
    <w:rsid w:val="00085DB3"/>
    <w:rsid w:val="000874DD"/>
    <w:rsid w:val="000876D2"/>
    <w:rsid w:val="00090290"/>
    <w:rsid w:val="00090ADB"/>
    <w:rsid w:val="000911AD"/>
    <w:rsid w:val="00097206"/>
    <w:rsid w:val="000A3395"/>
    <w:rsid w:val="000A730B"/>
    <w:rsid w:val="000B23F9"/>
    <w:rsid w:val="000B39AD"/>
    <w:rsid w:val="000B7C93"/>
    <w:rsid w:val="000C1823"/>
    <w:rsid w:val="000C1F58"/>
    <w:rsid w:val="000C5E3A"/>
    <w:rsid w:val="000C7C59"/>
    <w:rsid w:val="000D0E88"/>
    <w:rsid w:val="000D2055"/>
    <w:rsid w:val="000D7DAA"/>
    <w:rsid w:val="000E2988"/>
    <w:rsid w:val="000E71B4"/>
    <w:rsid w:val="000F41EE"/>
    <w:rsid w:val="000F58AE"/>
    <w:rsid w:val="000F5E2E"/>
    <w:rsid w:val="000F7DBC"/>
    <w:rsid w:val="0010418E"/>
    <w:rsid w:val="001128F8"/>
    <w:rsid w:val="00114826"/>
    <w:rsid w:val="0011627C"/>
    <w:rsid w:val="0012133B"/>
    <w:rsid w:val="00133EFE"/>
    <w:rsid w:val="00140A5F"/>
    <w:rsid w:val="0014645E"/>
    <w:rsid w:val="001514C2"/>
    <w:rsid w:val="00152026"/>
    <w:rsid w:val="0015580C"/>
    <w:rsid w:val="00155E7B"/>
    <w:rsid w:val="0015681C"/>
    <w:rsid w:val="0016023A"/>
    <w:rsid w:val="001611FB"/>
    <w:rsid w:val="0016331B"/>
    <w:rsid w:val="00166197"/>
    <w:rsid w:val="00166F4D"/>
    <w:rsid w:val="001671A9"/>
    <w:rsid w:val="0017159A"/>
    <w:rsid w:val="0017159D"/>
    <w:rsid w:val="0017332C"/>
    <w:rsid w:val="0017599C"/>
    <w:rsid w:val="0018326D"/>
    <w:rsid w:val="0019002D"/>
    <w:rsid w:val="00190859"/>
    <w:rsid w:val="00190CA3"/>
    <w:rsid w:val="001924A3"/>
    <w:rsid w:val="001930C1"/>
    <w:rsid w:val="001931D1"/>
    <w:rsid w:val="00193FB1"/>
    <w:rsid w:val="00196CCB"/>
    <w:rsid w:val="00196F79"/>
    <w:rsid w:val="001A17C6"/>
    <w:rsid w:val="001A2A59"/>
    <w:rsid w:val="001A40A7"/>
    <w:rsid w:val="001A7F34"/>
    <w:rsid w:val="001B43D4"/>
    <w:rsid w:val="001C0EBE"/>
    <w:rsid w:val="001C2604"/>
    <w:rsid w:val="001D01EE"/>
    <w:rsid w:val="001D23AD"/>
    <w:rsid w:val="001D2E74"/>
    <w:rsid w:val="001D7935"/>
    <w:rsid w:val="001E09CB"/>
    <w:rsid w:val="001E0BA9"/>
    <w:rsid w:val="001E25AA"/>
    <w:rsid w:val="001E71A1"/>
    <w:rsid w:val="001F33C6"/>
    <w:rsid w:val="001F5609"/>
    <w:rsid w:val="0020400A"/>
    <w:rsid w:val="00211113"/>
    <w:rsid w:val="0021177C"/>
    <w:rsid w:val="002136F0"/>
    <w:rsid w:val="002171E8"/>
    <w:rsid w:val="0022005D"/>
    <w:rsid w:val="0022049E"/>
    <w:rsid w:val="00221136"/>
    <w:rsid w:val="0022201D"/>
    <w:rsid w:val="002226B8"/>
    <w:rsid w:val="00225969"/>
    <w:rsid w:val="00232C81"/>
    <w:rsid w:val="00232D80"/>
    <w:rsid w:val="00233A05"/>
    <w:rsid w:val="00235E85"/>
    <w:rsid w:val="00235EC6"/>
    <w:rsid w:val="00241DA8"/>
    <w:rsid w:val="0024501B"/>
    <w:rsid w:val="00246A9B"/>
    <w:rsid w:val="00250267"/>
    <w:rsid w:val="00253BC0"/>
    <w:rsid w:val="0025447F"/>
    <w:rsid w:val="002600E1"/>
    <w:rsid w:val="00261CDE"/>
    <w:rsid w:val="002652A5"/>
    <w:rsid w:val="00272437"/>
    <w:rsid w:val="0027373D"/>
    <w:rsid w:val="002745F4"/>
    <w:rsid w:val="00276160"/>
    <w:rsid w:val="002774E6"/>
    <w:rsid w:val="002811C9"/>
    <w:rsid w:val="002812BB"/>
    <w:rsid w:val="0028258C"/>
    <w:rsid w:val="002864E1"/>
    <w:rsid w:val="00291424"/>
    <w:rsid w:val="002A0BD4"/>
    <w:rsid w:val="002A109C"/>
    <w:rsid w:val="002A4B72"/>
    <w:rsid w:val="002A5399"/>
    <w:rsid w:val="002A714B"/>
    <w:rsid w:val="002B2A08"/>
    <w:rsid w:val="002B4628"/>
    <w:rsid w:val="002B53DF"/>
    <w:rsid w:val="002C4DDE"/>
    <w:rsid w:val="002C6B53"/>
    <w:rsid w:val="002D257B"/>
    <w:rsid w:val="002D7D71"/>
    <w:rsid w:val="002E2428"/>
    <w:rsid w:val="002E6D80"/>
    <w:rsid w:val="002F36CE"/>
    <w:rsid w:val="002F55DE"/>
    <w:rsid w:val="002F65BF"/>
    <w:rsid w:val="00302607"/>
    <w:rsid w:val="00305F3E"/>
    <w:rsid w:val="0030694F"/>
    <w:rsid w:val="00306B27"/>
    <w:rsid w:val="00310659"/>
    <w:rsid w:val="00313986"/>
    <w:rsid w:val="00315FA2"/>
    <w:rsid w:val="00320347"/>
    <w:rsid w:val="00321022"/>
    <w:rsid w:val="00321B95"/>
    <w:rsid w:val="00325CB0"/>
    <w:rsid w:val="00327899"/>
    <w:rsid w:val="00327D5A"/>
    <w:rsid w:val="0033659D"/>
    <w:rsid w:val="0033714C"/>
    <w:rsid w:val="003414FA"/>
    <w:rsid w:val="003420CE"/>
    <w:rsid w:val="0034258F"/>
    <w:rsid w:val="00351093"/>
    <w:rsid w:val="00351150"/>
    <w:rsid w:val="00356BC9"/>
    <w:rsid w:val="00356BE7"/>
    <w:rsid w:val="003676FA"/>
    <w:rsid w:val="00370D95"/>
    <w:rsid w:val="003836A8"/>
    <w:rsid w:val="003A284C"/>
    <w:rsid w:val="003A2FD7"/>
    <w:rsid w:val="003A3B63"/>
    <w:rsid w:val="003A652A"/>
    <w:rsid w:val="003A760B"/>
    <w:rsid w:val="003A7F2C"/>
    <w:rsid w:val="003B46C3"/>
    <w:rsid w:val="003B7F5D"/>
    <w:rsid w:val="003C03D0"/>
    <w:rsid w:val="003C21D1"/>
    <w:rsid w:val="003D3859"/>
    <w:rsid w:val="003D41B6"/>
    <w:rsid w:val="003E0078"/>
    <w:rsid w:val="003E0BFC"/>
    <w:rsid w:val="003E402C"/>
    <w:rsid w:val="003E40A8"/>
    <w:rsid w:val="003E5DEA"/>
    <w:rsid w:val="003F2009"/>
    <w:rsid w:val="003F3513"/>
    <w:rsid w:val="003F3B79"/>
    <w:rsid w:val="003F49D9"/>
    <w:rsid w:val="003F627F"/>
    <w:rsid w:val="00402F47"/>
    <w:rsid w:val="00403602"/>
    <w:rsid w:val="00403DF6"/>
    <w:rsid w:val="0040622D"/>
    <w:rsid w:val="00410AA2"/>
    <w:rsid w:val="004117F7"/>
    <w:rsid w:val="00412211"/>
    <w:rsid w:val="004122A0"/>
    <w:rsid w:val="004136C4"/>
    <w:rsid w:val="004144FB"/>
    <w:rsid w:val="004146B5"/>
    <w:rsid w:val="00414CF0"/>
    <w:rsid w:val="00415B5E"/>
    <w:rsid w:val="004174E2"/>
    <w:rsid w:val="00420052"/>
    <w:rsid w:val="00422BE8"/>
    <w:rsid w:val="004256F9"/>
    <w:rsid w:val="00434306"/>
    <w:rsid w:val="0044565C"/>
    <w:rsid w:val="00450B7F"/>
    <w:rsid w:val="00451023"/>
    <w:rsid w:val="00453F62"/>
    <w:rsid w:val="00460B98"/>
    <w:rsid w:val="004645CF"/>
    <w:rsid w:val="00466A3D"/>
    <w:rsid w:val="00470F77"/>
    <w:rsid w:val="00474B80"/>
    <w:rsid w:val="00476222"/>
    <w:rsid w:val="00476986"/>
    <w:rsid w:val="00483C62"/>
    <w:rsid w:val="00483ED4"/>
    <w:rsid w:val="00485637"/>
    <w:rsid w:val="00486A96"/>
    <w:rsid w:val="004877DF"/>
    <w:rsid w:val="0049107A"/>
    <w:rsid w:val="0049138E"/>
    <w:rsid w:val="004914F9"/>
    <w:rsid w:val="00491536"/>
    <w:rsid w:val="00491CEB"/>
    <w:rsid w:val="00493B0E"/>
    <w:rsid w:val="00495FDB"/>
    <w:rsid w:val="00496199"/>
    <w:rsid w:val="004A679D"/>
    <w:rsid w:val="004A7128"/>
    <w:rsid w:val="004B14AE"/>
    <w:rsid w:val="004B743D"/>
    <w:rsid w:val="004B7469"/>
    <w:rsid w:val="004C62A2"/>
    <w:rsid w:val="004D2B79"/>
    <w:rsid w:val="004D63FD"/>
    <w:rsid w:val="004D70B7"/>
    <w:rsid w:val="004D76A4"/>
    <w:rsid w:val="004E11E8"/>
    <w:rsid w:val="004E1C82"/>
    <w:rsid w:val="004E1D23"/>
    <w:rsid w:val="004E1FF1"/>
    <w:rsid w:val="004E28A2"/>
    <w:rsid w:val="004E31C8"/>
    <w:rsid w:val="004E6275"/>
    <w:rsid w:val="004F01EF"/>
    <w:rsid w:val="004F12C4"/>
    <w:rsid w:val="004F2113"/>
    <w:rsid w:val="004F2886"/>
    <w:rsid w:val="004F2915"/>
    <w:rsid w:val="005002C4"/>
    <w:rsid w:val="00502347"/>
    <w:rsid w:val="00511AF7"/>
    <w:rsid w:val="0051232A"/>
    <w:rsid w:val="00512C0C"/>
    <w:rsid w:val="005153BC"/>
    <w:rsid w:val="00527D2F"/>
    <w:rsid w:val="00532DAF"/>
    <w:rsid w:val="0053617A"/>
    <w:rsid w:val="00537215"/>
    <w:rsid w:val="00545756"/>
    <w:rsid w:val="005469C6"/>
    <w:rsid w:val="00547B36"/>
    <w:rsid w:val="00550AC7"/>
    <w:rsid w:val="00550E64"/>
    <w:rsid w:val="0055133E"/>
    <w:rsid w:val="0055214F"/>
    <w:rsid w:val="00552CBB"/>
    <w:rsid w:val="00556383"/>
    <w:rsid w:val="00556845"/>
    <w:rsid w:val="00560CBA"/>
    <w:rsid w:val="00564D87"/>
    <w:rsid w:val="00567535"/>
    <w:rsid w:val="00570720"/>
    <w:rsid w:val="0057205B"/>
    <w:rsid w:val="00572413"/>
    <w:rsid w:val="00572BA2"/>
    <w:rsid w:val="00583F0D"/>
    <w:rsid w:val="0058772E"/>
    <w:rsid w:val="005906A7"/>
    <w:rsid w:val="0059410C"/>
    <w:rsid w:val="00595A09"/>
    <w:rsid w:val="005A1001"/>
    <w:rsid w:val="005A3066"/>
    <w:rsid w:val="005A4D04"/>
    <w:rsid w:val="005A5841"/>
    <w:rsid w:val="005A5D5E"/>
    <w:rsid w:val="005B0AB0"/>
    <w:rsid w:val="005B23CE"/>
    <w:rsid w:val="005B2803"/>
    <w:rsid w:val="005B3725"/>
    <w:rsid w:val="005B40F9"/>
    <w:rsid w:val="005B62F2"/>
    <w:rsid w:val="005B6BDE"/>
    <w:rsid w:val="005C1788"/>
    <w:rsid w:val="005C4E7F"/>
    <w:rsid w:val="005C5E07"/>
    <w:rsid w:val="005D097A"/>
    <w:rsid w:val="005D1C62"/>
    <w:rsid w:val="005D33CD"/>
    <w:rsid w:val="005D4654"/>
    <w:rsid w:val="005D7E36"/>
    <w:rsid w:val="005E039B"/>
    <w:rsid w:val="00604207"/>
    <w:rsid w:val="00605446"/>
    <w:rsid w:val="006058EC"/>
    <w:rsid w:val="00622858"/>
    <w:rsid w:val="0062303F"/>
    <w:rsid w:val="006267FB"/>
    <w:rsid w:val="00626A75"/>
    <w:rsid w:val="00635D09"/>
    <w:rsid w:val="00641196"/>
    <w:rsid w:val="00642F41"/>
    <w:rsid w:val="006442B4"/>
    <w:rsid w:val="0064442D"/>
    <w:rsid w:val="00646700"/>
    <w:rsid w:val="00647430"/>
    <w:rsid w:val="006510D1"/>
    <w:rsid w:val="0065364B"/>
    <w:rsid w:val="006549AD"/>
    <w:rsid w:val="0065526D"/>
    <w:rsid w:val="00656B27"/>
    <w:rsid w:val="00657171"/>
    <w:rsid w:val="006646E7"/>
    <w:rsid w:val="006659E9"/>
    <w:rsid w:val="00673969"/>
    <w:rsid w:val="006752B5"/>
    <w:rsid w:val="00681890"/>
    <w:rsid w:val="00685549"/>
    <w:rsid w:val="00685B4B"/>
    <w:rsid w:val="00691547"/>
    <w:rsid w:val="006925D8"/>
    <w:rsid w:val="00692E2D"/>
    <w:rsid w:val="00694BE0"/>
    <w:rsid w:val="00694F41"/>
    <w:rsid w:val="006A2B26"/>
    <w:rsid w:val="006A3F06"/>
    <w:rsid w:val="006A4DDD"/>
    <w:rsid w:val="006B4017"/>
    <w:rsid w:val="006C1FB6"/>
    <w:rsid w:val="006C2476"/>
    <w:rsid w:val="006C43A7"/>
    <w:rsid w:val="006C6915"/>
    <w:rsid w:val="006D2C21"/>
    <w:rsid w:val="006D2D77"/>
    <w:rsid w:val="006D3B26"/>
    <w:rsid w:val="006D5B2C"/>
    <w:rsid w:val="006D657D"/>
    <w:rsid w:val="006D7693"/>
    <w:rsid w:val="006E68C7"/>
    <w:rsid w:val="006F43CF"/>
    <w:rsid w:val="006F4E98"/>
    <w:rsid w:val="006F7D69"/>
    <w:rsid w:val="00703E90"/>
    <w:rsid w:val="00704A18"/>
    <w:rsid w:val="00707E04"/>
    <w:rsid w:val="0071279A"/>
    <w:rsid w:val="00720ACF"/>
    <w:rsid w:val="00721944"/>
    <w:rsid w:val="007225E3"/>
    <w:rsid w:val="00732AA5"/>
    <w:rsid w:val="00735998"/>
    <w:rsid w:val="00737B01"/>
    <w:rsid w:val="00742FC0"/>
    <w:rsid w:val="00742FFA"/>
    <w:rsid w:val="007456AD"/>
    <w:rsid w:val="00750190"/>
    <w:rsid w:val="00751639"/>
    <w:rsid w:val="007524FD"/>
    <w:rsid w:val="007563BA"/>
    <w:rsid w:val="00757BAB"/>
    <w:rsid w:val="0076575E"/>
    <w:rsid w:val="007668E3"/>
    <w:rsid w:val="00770ABF"/>
    <w:rsid w:val="007722A0"/>
    <w:rsid w:val="007733A9"/>
    <w:rsid w:val="00777E2E"/>
    <w:rsid w:val="00780B15"/>
    <w:rsid w:val="00780EE5"/>
    <w:rsid w:val="00786CAA"/>
    <w:rsid w:val="00790B52"/>
    <w:rsid w:val="00795545"/>
    <w:rsid w:val="007A2EF5"/>
    <w:rsid w:val="007A32A4"/>
    <w:rsid w:val="007A764A"/>
    <w:rsid w:val="007A7D3B"/>
    <w:rsid w:val="007B02ED"/>
    <w:rsid w:val="007B403D"/>
    <w:rsid w:val="007B5956"/>
    <w:rsid w:val="007B74C4"/>
    <w:rsid w:val="007B7B52"/>
    <w:rsid w:val="007C211A"/>
    <w:rsid w:val="007C27E5"/>
    <w:rsid w:val="007C3564"/>
    <w:rsid w:val="007E0D6D"/>
    <w:rsid w:val="007E203F"/>
    <w:rsid w:val="007E2949"/>
    <w:rsid w:val="007E68C9"/>
    <w:rsid w:val="007E7412"/>
    <w:rsid w:val="007E761B"/>
    <w:rsid w:val="007F71C1"/>
    <w:rsid w:val="007F73CD"/>
    <w:rsid w:val="00805BC1"/>
    <w:rsid w:val="00806D2C"/>
    <w:rsid w:val="00812781"/>
    <w:rsid w:val="00814A0D"/>
    <w:rsid w:val="00817844"/>
    <w:rsid w:val="00822BB2"/>
    <w:rsid w:val="00833727"/>
    <w:rsid w:val="00837563"/>
    <w:rsid w:val="00837E81"/>
    <w:rsid w:val="00846924"/>
    <w:rsid w:val="00850A42"/>
    <w:rsid w:val="00850C26"/>
    <w:rsid w:val="00851A47"/>
    <w:rsid w:val="008520D2"/>
    <w:rsid w:val="00854FFB"/>
    <w:rsid w:val="0086080C"/>
    <w:rsid w:val="00860BF4"/>
    <w:rsid w:val="00862902"/>
    <w:rsid w:val="008633D2"/>
    <w:rsid w:val="0086616E"/>
    <w:rsid w:val="0086743C"/>
    <w:rsid w:val="008721EE"/>
    <w:rsid w:val="008819E8"/>
    <w:rsid w:val="00881FFD"/>
    <w:rsid w:val="008848C9"/>
    <w:rsid w:val="008859D6"/>
    <w:rsid w:val="0089265F"/>
    <w:rsid w:val="00892C60"/>
    <w:rsid w:val="00897F58"/>
    <w:rsid w:val="008A1B53"/>
    <w:rsid w:val="008A3100"/>
    <w:rsid w:val="008A42E5"/>
    <w:rsid w:val="008A66F3"/>
    <w:rsid w:val="008A793C"/>
    <w:rsid w:val="008B00A1"/>
    <w:rsid w:val="008B1F4E"/>
    <w:rsid w:val="008B43A3"/>
    <w:rsid w:val="008B5423"/>
    <w:rsid w:val="008C264E"/>
    <w:rsid w:val="008C63D5"/>
    <w:rsid w:val="008D2346"/>
    <w:rsid w:val="008D5375"/>
    <w:rsid w:val="008E2B2D"/>
    <w:rsid w:val="008E40D6"/>
    <w:rsid w:val="008F4B02"/>
    <w:rsid w:val="008F6488"/>
    <w:rsid w:val="008F77ED"/>
    <w:rsid w:val="009109E4"/>
    <w:rsid w:val="00912EFD"/>
    <w:rsid w:val="00914865"/>
    <w:rsid w:val="00915ABC"/>
    <w:rsid w:val="00921B0B"/>
    <w:rsid w:val="00927DD8"/>
    <w:rsid w:val="0093192F"/>
    <w:rsid w:val="009338AE"/>
    <w:rsid w:val="00934AC6"/>
    <w:rsid w:val="00944F04"/>
    <w:rsid w:val="00947EA2"/>
    <w:rsid w:val="00950519"/>
    <w:rsid w:val="00952626"/>
    <w:rsid w:val="009534A5"/>
    <w:rsid w:val="00955496"/>
    <w:rsid w:val="00956797"/>
    <w:rsid w:val="00960CD5"/>
    <w:rsid w:val="0096233E"/>
    <w:rsid w:val="00962A4D"/>
    <w:rsid w:val="00964D36"/>
    <w:rsid w:val="0096690A"/>
    <w:rsid w:val="00970A5F"/>
    <w:rsid w:val="009717B6"/>
    <w:rsid w:val="00971993"/>
    <w:rsid w:val="009739AB"/>
    <w:rsid w:val="00973C18"/>
    <w:rsid w:val="00982BDB"/>
    <w:rsid w:val="009839AE"/>
    <w:rsid w:val="00984153"/>
    <w:rsid w:val="009852D3"/>
    <w:rsid w:val="0098662C"/>
    <w:rsid w:val="00993CA5"/>
    <w:rsid w:val="00995D2F"/>
    <w:rsid w:val="00996059"/>
    <w:rsid w:val="00996854"/>
    <w:rsid w:val="009A0190"/>
    <w:rsid w:val="009A019D"/>
    <w:rsid w:val="009A515F"/>
    <w:rsid w:val="009B3BA9"/>
    <w:rsid w:val="009B7901"/>
    <w:rsid w:val="009C2ABA"/>
    <w:rsid w:val="009C5978"/>
    <w:rsid w:val="009D294F"/>
    <w:rsid w:val="009D4285"/>
    <w:rsid w:val="009E1687"/>
    <w:rsid w:val="009E6EBE"/>
    <w:rsid w:val="009F1120"/>
    <w:rsid w:val="009F3C10"/>
    <w:rsid w:val="009F579F"/>
    <w:rsid w:val="009F6C3E"/>
    <w:rsid w:val="00A00FF5"/>
    <w:rsid w:val="00A0216E"/>
    <w:rsid w:val="00A072F4"/>
    <w:rsid w:val="00A143DB"/>
    <w:rsid w:val="00A16C7F"/>
    <w:rsid w:val="00A21D50"/>
    <w:rsid w:val="00A22103"/>
    <w:rsid w:val="00A359D7"/>
    <w:rsid w:val="00A44664"/>
    <w:rsid w:val="00A462BF"/>
    <w:rsid w:val="00A51C54"/>
    <w:rsid w:val="00A53382"/>
    <w:rsid w:val="00A551FF"/>
    <w:rsid w:val="00A56F41"/>
    <w:rsid w:val="00A572E3"/>
    <w:rsid w:val="00A62938"/>
    <w:rsid w:val="00A62D86"/>
    <w:rsid w:val="00A64444"/>
    <w:rsid w:val="00A66DBC"/>
    <w:rsid w:val="00A736B5"/>
    <w:rsid w:val="00A74070"/>
    <w:rsid w:val="00A80186"/>
    <w:rsid w:val="00A8029F"/>
    <w:rsid w:val="00A809FA"/>
    <w:rsid w:val="00A829B9"/>
    <w:rsid w:val="00A84A41"/>
    <w:rsid w:val="00A8780B"/>
    <w:rsid w:val="00A90356"/>
    <w:rsid w:val="00A930B8"/>
    <w:rsid w:val="00A94FCE"/>
    <w:rsid w:val="00A9663B"/>
    <w:rsid w:val="00AA4864"/>
    <w:rsid w:val="00AA7FB8"/>
    <w:rsid w:val="00AB34ED"/>
    <w:rsid w:val="00AC4592"/>
    <w:rsid w:val="00AC641D"/>
    <w:rsid w:val="00AD2707"/>
    <w:rsid w:val="00AD65E8"/>
    <w:rsid w:val="00AD7451"/>
    <w:rsid w:val="00AE2EB3"/>
    <w:rsid w:val="00AE7F47"/>
    <w:rsid w:val="00AF326E"/>
    <w:rsid w:val="00B00107"/>
    <w:rsid w:val="00B06F43"/>
    <w:rsid w:val="00B07131"/>
    <w:rsid w:val="00B12128"/>
    <w:rsid w:val="00B12B90"/>
    <w:rsid w:val="00B17CB1"/>
    <w:rsid w:val="00B208D8"/>
    <w:rsid w:val="00B22982"/>
    <w:rsid w:val="00B26F2F"/>
    <w:rsid w:val="00B36C12"/>
    <w:rsid w:val="00B40C71"/>
    <w:rsid w:val="00B447F1"/>
    <w:rsid w:val="00B4730F"/>
    <w:rsid w:val="00B478AF"/>
    <w:rsid w:val="00B52232"/>
    <w:rsid w:val="00B5391A"/>
    <w:rsid w:val="00B56270"/>
    <w:rsid w:val="00B568CA"/>
    <w:rsid w:val="00B65D5C"/>
    <w:rsid w:val="00B65DF0"/>
    <w:rsid w:val="00B72627"/>
    <w:rsid w:val="00B73307"/>
    <w:rsid w:val="00B73982"/>
    <w:rsid w:val="00B73ECA"/>
    <w:rsid w:val="00B76F48"/>
    <w:rsid w:val="00B831AB"/>
    <w:rsid w:val="00B83C1B"/>
    <w:rsid w:val="00B85D8C"/>
    <w:rsid w:val="00B91627"/>
    <w:rsid w:val="00B92AC3"/>
    <w:rsid w:val="00B963AF"/>
    <w:rsid w:val="00BA503C"/>
    <w:rsid w:val="00BB0331"/>
    <w:rsid w:val="00BC07D3"/>
    <w:rsid w:val="00BC7F77"/>
    <w:rsid w:val="00BD12D3"/>
    <w:rsid w:val="00BD2E36"/>
    <w:rsid w:val="00BD519D"/>
    <w:rsid w:val="00BE2D8B"/>
    <w:rsid w:val="00BE56A2"/>
    <w:rsid w:val="00BE754C"/>
    <w:rsid w:val="00BF3C74"/>
    <w:rsid w:val="00BF6789"/>
    <w:rsid w:val="00C01FD4"/>
    <w:rsid w:val="00C02700"/>
    <w:rsid w:val="00C028CA"/>
    <w:rsid w:val="00C02AAA"/>
    <w:rsid w:val="00C03A2D"/>
    <w:rsid w:val="00C05276"/>
    <w:rsid w:val="00C10AA9"/>
    <w:rsid w:val="00C10B0F"/>
    <w:rsid w:val="00C149FC"/>
    <w:rsid w:val="00C17E1E"/>
    <w:rsid w:val="00C254B2"/>
    <w:rsid w:val="00C25F7D"/>
    <w:rsid w:val="00C27591"/>
    <w:rsid w:val="00C31723"/>
    <w:rsid w:val="00C336DA"/>
    <w:rsid w:val="00C36A76"/>
    <w:rsid w:val="00C37B89"/>
    <w:rsid w:val="00C40178"/>
    <w:rsid w:val="00C40BB5"/>
    <w:rsid w:val="00C423A0"/>
    <w:rsid w:val="00C42680"/>
    <w:rsid w:val="00C51324"/>
    <w:rsid w:val="00C52D91"/>
    <w:rsid w:val="00C5488F"/>
    <w:rsid w:val="00C60761"/>
    <w:rsid w:val="00C6517A"/>
    <w:rsid w:val="00C71BA7"/>
    <w:rsid w:val="00C761DC"/>
    <w:rsid w:val="00C77BF1"/>
    <w:rsid w:val="00C859C6"/>
    <w:rsid w:val="00C9166A"/>
    <w:rsid w:val="00C925C0"/>
    <w:rsid w:val="00C92F18"/>
    <w:rsid w:val="00C97F05"/>
    <w:rsid w:val="00CA272F"/>
    <w:rsid w:val="00CA54B2"/>
    <w:rsid w:val="00CB06F8"/>
    <w:rsid w:val="00CC434F"/>
    <w:rsid w:val="00CC639B"/>
    <w:rsid w:val="00CD076F"/>
    <w:rsid w:val="00CD11A9"/>
    <w:rsid w:val="00CD45B6"/>
    <w:rsid w:val="00CD6671"/>
    <w:rsid w:val="00CE3337"/>
    <w:rsid w:val="00CE3AA2"/>
    <w:rsid w:val="00CE5322"/>
    <w:rsid w:val="00CE6776"/>
    <w:rsid w:val="00CF119D"/>
    <w:rsid w:val="00CF5076"/>
    <w:rsid w:val="00CF55BF"/>
    <w:rsid w:val="00CF693C"/>
    <w:rsid w:val="00CF6DA9"/>
    <w:rsid w:val="00D01E81"/>
    <w:rsid w:val="00D039DC"/>
    <w:rsid w:val="00D06E22"/>
    <w:rsid w:val="00D07BBD"/>
    <w:rsid w:val="00D1225B"/>
    <w:rsid w:val="00D12D73"/>
    <w:rsid w:val="00D140ED"/>
    <w:rsid w:val="00D14831"/>
    <w:rsid w:val="00D15FE8"/>
    <w:rsid w:val="00D1674E"/>
    <w:rsid w:val="00D20C47"/>
    <w:rsid w:val="00D2131B"/>
    <w:rsid w:val="00D221A5"/>
    <w:rsid w:val="00D231C8"/>
    <w:rsid w:val="00D23685"/>
    <w:rsid w:val="00D31381"/>
    <w:rsid w:val="00D3186C"/>
    <w:rsid w:val="00D3290A"/>
    <w:rsid w:val="00D33C2A"/>
    <w:rsid w:val="00D418D5"/>
    <w:rsid w:val="00D45A19"/>
    <w:rsid w:val="00D45F48"/>
    <w:rsid w:val="00D53024"/>
    <w:rsid w:val="00D54073"/>
    <w:rsid w:val="00D5516C"/>
    <w:rsid w:val="00D6296B"/>
    <w:rsid w:val="00D633B7"/>
    <w:rsid w:val="00D6475B"/>
    <w:rsid w:val="00D64AD2"/>
    <w:rsid w:val="00D7203C"/>
    <w:rsid w:val="00D727FD"/>
    <w:rsid w:val="00D73F17"/>
    <w:rsid w:val="00D8015F"/>
    <w:rsid w:val="00D8429B"/>
    <w:rsid w:val="00D84EAE"/>
    <w:rsid w:val="00D925F9"/>
    <w:rsid w:val="00D95D7A"/>
    <w:rsid w:val="00D9637D"/>
    <w:rsid w:val="00DA0E72"/>
    <w:rsid w:val="00DA1216"/>
    <w:rsid w:val="00DB2741"/>
    <w:rsid w:val="00DB4323"/>
    <w:rsid w:val="00DD1A33"/>
    <w:rsid w:val="00DD23A8"/>
    <w:rsid w:val="00DE0EB3"/>
    <w:rsid w:val="00DE173C"/>
    <w:rsid w:val="00DE33B7"/>
    <w:rsid w:val="00DE444D"/>
    <w:rsid w:val="00DE4DBA"/>
    <w:rsid w:val="00DF030A"/>
    <w:rsid w:val="00DF2167"/>
    <w:rsid w:val="00DF21DB"/>
    <w:rsid w:val="00DF7E68"/>
    <w:rsid w:val="00E0134A"/>
    <w:rsid w:val="00E03DB2"/>
    <w:rsid w:val="00E07BCA"/>
    <w:rsid w:val="00E108B3"/>
    <w:rsid w:val="00E12B42"/>
    <w:rsid w:val="00E13E95"/>
    <w:rsid w:val="00E17B7D"/>
    <w:rsid w:val="00E20A90"/>
    <w:rsid w:val="00E218B7"/>
    <w:rsid w:val="00E223B0"/>
    <w:rsid w:val="00E25EB9"/>
    <w:rsid w:val="00E27C15"/>
    <w:rsid w:val="00E3054F"/>
    <w:rsid w:val="00E3265C"/>
    <w:rsid w:val="00E32A88"/>
    <w:rsid w:val="00E34A32"/>
    <w:rsid w:val="00E350DE"/>
    <w:rsid w:val="00E409CB"/>
    <w:rsid w:val="00E47B6C"/>
    <w:rsid w:val="00E530C4"/>
    <w:rsid w:val="00E5488C"/>
    <w:rsid w:val="00E56CC1"/>
    <w:rsid w:val="00E61F55"/>
    <w:rsid w:val="00E61F67"/>
    <w:rsid w:val="00E62CD6"/>
    <w:rsid w:val="00E6677C"/>
    <w:rsid w:val="00E8171E"/>
    <w:rsid w:val="00E837BF"/>
    <w:rsid w:val="00E8661B"/>
    <w:rsid w:val="00E87098"/>
    <w:rsid w:val="00E95B5D"/>
    <w:rsid w:val="00E97228"/>
    <w:rsid w:val="00EA1719"/>
    <w:rsid w:val="00EA3772"/>
    <w:rsid w:val="00EA3B73"/>
    <w:rsid w:val="00EA439E"/>
    <w:rsid w:val="00EA4693"/>
    <w:rsid w:val="00EA7A93"/>
    <w:rsid w:val="00EA7F82"/>
    <w:rsid w:val="00EB1367"/>
    <w:rsid w:val="00EC3AC8"/>
    <w:rsid w:val="00EC5996"/>
    <w:rsid w:val="00ED054A"/>
    <w:rsid w:val="00ED0DC7"/>
    <w:rsid w:val="00ED4C82"/>
    <w:rsid w:val="00ED60D2"/>
    <w:rsid w:val="00EF11D0"/>
    <w:rsid w:val="00EF11EA"/>
    <w:rsid w:val="00F001A4"/>
    <w:rsid w:val="00F01218"/>
    <w:rsid w:val="00F016F4"/>
    <w:rsid w:val="00F047E9"/>
    <w:rsid w:val="00F11309"/>
    <w:rsid w:val="00F1635A"/>
    <w:rsid w:val="00F166D7"/>
    <w:rsid w:val="00F25505"/>
    <w:rsid w:val="00F25746"/>
    <w:rsid w:val="00F25FEE"/>
    <w:rsid w:val="00F3790C"/>
    <w:rsid w:val="00F42156"/>
    <w:rsid w:val="00F46627"/>
    <w:rsid w:val="00F578D2"/>
    <w:rsid w:val="00F60367"/>
    <w:rsid w:val="00F6049A"/>
    <w:rsid w:val="00F6465E"/>
    <w:rsid w:val="00F673A0"/>
    <w:rsid w:val="00F675B0"/>
    <w:rsid w:val="00F74E4F"/>
    <w:rsid w:val="00F82DEE"/>
    <w:rsid w:val="00F83B3C"/>
    <w:rsid w:val="00F90941"/>
    <w:rsid w:val="00F92366"/>
    <w:rsid w:val="00F96CA8"/>
    <w:rsid w:val="00FA0087"/>
    <w:rsid w:val="00FA09D7"/>
    <w:rsid w:val="00FB0100"/>
    <w:rsid w:val="00FB1022"/>
    <w:rsid w:val="00FB74EA"/>
    <w:rsid w:val="00FC10E3"/>
    <w:rsid w:val="00FC231F"/>
    <w:rsid w:val="00FC466F"/>
    <w:rsid w:val="00FC50F3"/>
    <w:rsid w:val="00FC5DF0"/>
    <w:rsid w:val="00FC7950"/>
    <w:rsid w:val="00FD5F7D"/>
    <w:rsid w:val="00FE598F"/>
    <w:rsid w:val="00FF0951"/>
    <w:rsid w:val="00FF3C20"/>
    <w:rsid w:val="00FF3F26"/>
    <w:rsid w:val="00FF4DBE"/>
    <w:rsid w:val="0324F43A"/>
    <w:rsid w:val="0375AEF4"/>
    <w:rsid w:val="0395DCCF"/>
    <w:rsid w:val="04AF278C"/>
    <w:rsid w:val="05ABD329"/>
    <w:rsid w:val="071C53E7"/>
    <w:rsid w:val="071D2F43"/>
    <w:rsid w:val="0BC2EEC6"/>
    <w:rsid w:val="0CDB844C"/>
    <w:rsid w:val="0D3FF1F4"/>
    <w:rsid w:val="0D7D2E2E"/>
    <w:rsid w:val="0DE53B1C"/>
    <w:rsid w:val="0ECCB568"/>
    <w:rsid w:val="0F56F97F"/>
    <w:rsid w:val="0FAE29A5"/>
    <w:rsid w:val="1107F9F7"/>
    <w:rsid w:val="1178A8B3"/>
    <w:rsid w:val="11AB50E0"/>
    <w:rsid w:val="11BA050B"/>
    <w:rsid w:val="11DC7FD1"/>
    <w:rsid w:val="13C7F633"/>
    <w:rsid w:val="1538AD83"/>
    <w:rsid w:val="1884EB55"/>
    <w:rsid w:val="19C50A38"/>
    <w:rsid w:val="19E7E032"/>
    <w:rsid w:val="1AD3B01F"/>
    <w:rsid w:val="1C2AECBF"/>
    <w:rsid w:val="1C4FC78A"/>
    <w:rsid w:val="1D3E47AC"/>
    <w:rsid w:val="20DDD56F"/>
    <w:rsid w:val="21D22F04"/>
    <w:rsid w:val="21FA29C0"/>
    <w:rsid w:val="22A1BE1B"/>
    <w:rsid w:val="23337CD9"/>
    <w:rsid w:val="2A21D2E8"/>
    <w:rsid w:val="2BDC67EC"/>
    <w:rsid w:val="2F25C4EA"/>
    <w:rsid w:val="30BE36CF"/>
    <w:rsid w:val="31470725"/>
    <w:rsid w:val="33117254"/>
    <w:rsid w:val="33CC17B0"/>
    <w:rsid w:val="33DD81CD"/>
    <w:rsid w:val="34BA971B"/>
    <w:rsid w:val="3561AA71"/>
    <w:rsid w:val="37E9CDC6"/>
    <w:rsid w:val="39244FCF"/>
    <w:rsid w:val="39D71E5D"/>
    <w:rsid w:val="3AD72F9B"/>
    <w:rsid w:val="3C7F88A6"/>
    <w:rsid w:val="3CD87DE9"/>
    <w:rsid w:val="3EE9E014"/>
    <w:rsid w:val="3FF5A9F4"/>
    <w:rsid w:val="4055A2AF"/>
    <w:rsid w:val="41BDCF64"/>
    <w:rsid w:val="42590AD3"/>
    <w:rsid w:val="42652CB9"/>
    <w:rsid w:val="43275EA3"/>
    <w:rsid w:val="4724355C"/>
    <w:rsid w:val="4BDE44BA"/>
    <w:rsid w:val="4C97883A"/>
    <w:rsid w:val="4CB3D984"/>
    <w:rsid w:val="50136807"/>
    <w:rsid w:val="511DD225"/>
    <w:rsid w:val="530E9745"/>
    <w:rsid w:val="55ED6578"/>
    <w:rsid w:val="57A8C83D"/>
    <w:rsid w:val="57CEC186"/>
    <w:rsid w:val="580766AF"/>
    <w:rsid w:val="59E40146"/>
    <w:rsid w:val="5DA94B3A"/>
    <w:rsid w:val="5F32FF85"/>
    <w:rsid w:val="642117D8"/>
    <w:rsid w:val="65C0A31A"/>
    <w:rsid w:val="69D11D22"/>
    <w:rsid w:val="6AC8AFCE"/>
    <w:rsid w:val="6B0AE436"/>
    <w:rsid w:val="6CBA5B58"/>
    <w:rsid w:val="6EC66600"/>
    <w:rsid w:val="6EF6F177"/>
    <w:rsid w:val="70D42B80"/>
    <w:rsid w:val="76AC67C8"/>
    <w:rsid w:val="7714BA7A"/>
    <w:rsid w:val="774B9CC5"/>
    <w:rsid w:val="78F18099"/>
    <w:rsid w:val="78F26117"/>
    <w:rsid w:val="798146B1"/>
    <w:rsid w:val="79923283"/>
    <w:rsid w:val="7AB37D88"/>
    <w:rsid w:val="7B6363A6"/>
    <w:rsid w:val="7BAEFC85"/>
    <w:rsid w:val="7C3ACC76"/>
    <w:rsid w:val="7C756580"/>
    <w:rsid w:val="7D656FEE"/>
    <w:rsid w:val="7D87C7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798146B1"/>
  <w15:chartTrackingRefBased/>
  <w15:docId w15:val="{2F4C5234-59F4-480F-B282-1650FF40D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7373D"/>
    <w:pPr>
      <w:spacing w:after="0" w:line="36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403602"/>
    <w:pPr>
      <w:keepNext/>
      <w:keepLines/>
      <w:numPr>
        <w:numId w:val="15"/>
      </w:numPr>
      <w:spacing w:before="240" w:line="480" w:lineRule="auto"/>
      <w:outlineLvl w:val="0"/>
    </w:pP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Heading2">
    <w:name w:val="heading 2"/>
    <w:basedOn w:val="Heading1"/>
    <w:next w:val="Normal"/>
    <w:link w:val="Heading2Char"/>
    <w:uiPriority w:val="9"/>
    <w:unhideWhenUsed/>
    <w:qFormat/>
    <w:rsid w:val="005E039B"/>
    <w:pPr>
      <w:numPr>
        <w:ilvl w:val="1"/>
      </w:numPr>
      <w:outlineLvl w:val="1"/>
    </w:pPr>
  </w:style>
  <w:style w:type="paragraph" w:styleId="Heading3">
    <w:name w:val="heading 3"/>
    <w:basedOn w:val="Heading2"/>
    <w:next w:val="Normal"/>
    <w:link w:val="Heading3Char"/>
    <w:uiPriority w:val="9"/>
    <w:unhideWhenUsed/>
    <w:qFormat/>
    <w:rsid w:val="005D1C62"/>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customStyle="1" w:styleId="FootnoteTextChar">
    <w:name w:val="Footnote Text Char"/>
    <w:basedOn w:val="DefaultParagraphFont"/>
    <w:link w:val="FootnoteText"/>
    <w:uiPriority w:val="99"/>
    <w:rsid w:val="00491CEB"/>
    <w:rPr>
      <w:rFonts w:ascii="Times New Roman" w:eastAsia="Times New Roman" w:hAnsi="Times New Roman" w:cs="Times New Roman"/>
      <w:color w:val="000000" w:themeColor="text1"/>
      <w:sz w:val="20"/>
      <w:szCs w:val="20"/>
      <w:lang w:val="en-GB" w:eastAsia="en-GB"/>
    </w:rPr>
  </w:style>
  <w:style w:type="paragraph" w:styleId="FootnoteText">
    <w:name w:val="footnote text"/>
    <w:link w:val="FootnoteTextChar"/>
    <w:uiPriority w:val="99"/>
    <w:unhideWhenUsed/>
    <w:qFormat/>
    <w:rsid w:val="00491CEB"/>
    <w:pPr>
      <w:spacing w:line="240" w:lineRule="auto"/>
    </w:pPr>
    <w:rPr>
      <w:rFonts w:ascii="Times New Roman" w:eastAsia="Times New Roman" w:hAnsi="Times New Roman" w:cs="Times New Roman"/>
      <w:color w:val="000000" w:themeColor="text1"/>
      <w:sz w:val="20"/>
      <w:szCs w:val="20"/>
      <w:lang w:val="en-GB" w:eastAsia="en-GB"/>
    </w:rPr>
  </w:style>
  <w:style w:type="paragraph" w:styleId="Header">
    <w:name w:val="header"/>
    <w:basedOn w:val="Normal"/>
    <w:link w:val="HeaderChar"/>
    <w:uiPriority w:val="99"/>
    <w:unhideWhenUsed/>
    <w:rsid w:val="00A56F41"/>
    <w:pPr>
      <w:tabs>
        <w:tab w:val="center" w:pos="4419"/>
        <w:tab w:val="right" w:pos="8838"/>
      </w:tabs>
    </w:pPr>
  </w:style>
  <w:style w:type="character" w:customStyle="1" w:styleId="HeaderChar">
    <w:name w:val="Header Char"/>
    <w:basedOn w:val="DefaultParagraphFont"/>
    <w:link w:val="Header"/>
    <w:uiPriority w:val="99"/>
    <w:rsid w:val="00A56F41"/>
  </w:style>
  <w:style w:type="paragraph" w:styleId="Footer">
    <w:name w:val="footer"/>
    <w:basedOn w:val="Normal"/>
    <w:link w:val="FooterChar"/>
    <w:uiPriority w:val="99"/>
    <w:unhideWhenUsed/>
    <w:rsid w:val="00A56F41"/>
    <w:pPr>
      <w:tabs>
        <w:tab w:val="center" w:pos="4419"/>
        <w:tab w:val="right" w:pos="8838"/>
      </w:tabs>
    </w:pPr>
  </w:style>
  <w:style w:type="character" w:customStyle="1" w:styleId="FooterChar">
    <w:name w:val="Footer Char"/>
    <w:basedOn w:val="DefaultParagraphFont"/>
    <w:link w:val="Footer"/>
    <w:uiPriority w:val="99"/>
    <w:rsid w:val="00A56F41"/>
  </w:style>
  <w:style w:type="character" w:customStyle="1" w:styleId="Heading1Char">
    <w:name w:val="Heading 1 Char"/>
    <w:basedOn w:val="DefaultParagraphFont"/>
    <w:link w:val="Heading1"/>
    <w:uiPriority w:val="9"/>
    <w:rsid w:val="00403602"/>
    <w:rPr>
      <w:rFonts w:ascii="Times New Roman" w:eastAsia="Times New Roman" w:hAnsi="Times New Roman" w:cs="Times New Roman"/>
      <w:b/>
      <w:color w:val="000000" w:themeColor="text1"/>
      <w:sz w:val="28"/>
      <w:szCs w:val="2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styleId="PageNumber">
    <w:name w:val="page number"/>
    <w:basedOn w:val="DefaultParagraphFont"/>
    <w:uiPriority w:val="99"/>
    <w:semiHidden/>
    <w:unhideWhenUsed/>
    <w:rsid w:val="00556845"/>
  </w:style>
  <w:style w:type="paragraph" w:styleId="Title">
    <w:name w:val="Title"/>
    <w:basedOn w:val="Normal"/>
    <w:next w:val="Normal"/>
    <w:link w:val="TitleChar"/>
    <w:uiPriority w:val="10"/>
    <w:rsid w:val="009D4285"/>
    <w:pPr>
      <w:contextualSpacing/>
      <w:jc w:val="center"/>
    </w:pPr>
    <w:rPr>
      <w:b/>
      <w:color w:val="000000" w:themeColor="text1"/>
      <w:spacing w:val="-10"/>
      <w:kern w:val="28"/>
      <w:sz w:val="36"/>
      <w:szCs w:val="56"/>
    </w:rPr>
  </w:style>
  <w:style w:type="character" w:customStyle="1" w:styleId="TitleChar">
    <w:name w:val="Title Char"/>
    <w:basedOn w:val="DefaultParagraphFont"/>
    <w:link w:val="Title"/>
    <w:uiPriority w:val="10"/>
    <w:rsid w:val="009D4285"/>
    <w:rPr>
      <w:rFonts w:ascii="Times New Roman" w:eastAsia="Times New Roman" w:hAnsi="Times New Roman" w:cs="Times New Roman"/>
      <w:b/>
      <w:color w:val="000000" w:themeColor="text1"/>
      <w:spacing w:val="-10"/>
      <w:kern w:val="28"/>
      <w:sz w:val="36"/>
      <w:szCs w:val="56"/>
      <w:lang w:val="es-ES" w:eastAsia="en-GB"/>
    </w:rPr>
  </w:style>
  <w:style w:type="character" w:styleId="LineNumber">
    <w:name w:val="line number"/>
    <w:basedOn w:val="DefaultParagraphFont"/>
    <w:uiPriority w:val="99"/>
    <w:semiHidden/>
    <w:unhideWhenUsed/>
    <w:rsid w:val="008B5423"/>
  </w:style>
  <w:style w:type="paragraph" w:styleId="Quote">
    <w:name w:val="Quote"/>
    <w:basedOn w:val="Normal"/>
    <w:next w:val="Normal"/>
    <w:link w:val="QuoteChar"/>
    <w:uiPriority w:val="29"/>
    <w:qFormat/>
    <w:rsid w:val="008819E8"/>
    <w:pPr>
      <w:ind w:left="2160"/>
      <w:jc w:val="right"/>
    </w:pPr>
    <w:rPr>
      <w:sz w:val="20"/>
      <w:szCs w:val="20"/>
    </w:rPr>
  </w:style>
  <w:style w:type="character" w:customStyle="1" w:styleId="QuoteChar">
    <w:name w:val="Quote Char"/>
    <w:basedOn w:val="DefaultParagraphFont"/>
    <w:link w:val="Quote"/>
    <w:uiPriority w:val="29"/>
    <w:rsid w:val="008819E8"/>
    <w:rPr>
      <w:rFonts w:ascii="Times New Roman" w:eastAsia="Times New Roman" w:hAnsi="Times New Roman" w:cs="Times New Roman"/>
      <w:sz w:val="20"/>
      <w:szCs w:val="20"/>
      <w:lang w:val="en-GB" w:eastAsia="en-GB"/>
    </w:rPr>
  </w:style>
  <w:style w:type="character" w:styleId="BookTitle">
    <w:name w:val="Book Title"/>
    <w:aliases w:val="Footnotes"/>
    <w:uiPriority w:val="33"/>
    <w:qFormat/>
    <w:rsid w:val="00C10AA9"/>
    <w:rPr>
      <w:rFonts w:ascii="Times New Roman" w:eastAsia="Times New Roman" w:hAnsi="Times New Roman" w:cs="Times New Roman"/>
      <w:sz w:val="20"/>
      <w:szCs w:val="20"/>
      <w:lang w:val="es-ES" w:eastAsia="en-GB"/>
    </w:rPr>
  </w:style>
  <w:style w:type="character" w:styleId="CommentReference">
    <w:name w:val="annotation reference"/>
    <w:basedOn w:val="DefaultParagraphFont"/>
    <w:uiPriority w:val="99"/>
    <w:semiHidden/>
    <w:unhideWhenUsed/>
    <w:rsid w:val="0055133E"/>
    <w:rPr>
      <w:sz w:val="16"/>
      <w:szCs w:val="16"/>
    </w:rPr>
  </w:style>
  <w:style w:type="paragraph" w:styleId="CommentText">
    <w:name w:val="annotation text"/>
    <w:basedOn w:val="Normal"/>
    <w:link w:val="CommentTextChar"/>
    <w:uiPriority w:val="99"/>
    <w:unhideWhenUsed/>
    <w:rsid w:val="0055133E"/>
    <w:rPr>
      <w:sz w:val="20"/>
      <w:szCs w:val="20"/>
    </w:rPr>
  </w:style>
  <w:style w:type="character" w:customStyle="1" w:styleId="CommentTextChar">
    <w:name w:val="Comment Text Char"/>
    <w:basedOn w:val="DefaultParagraphFont"/>
    <w:link w:val="CommentText"/>
    <w:uiPriority w:val="99"/>
    <w:rsid w:val="0055133E"/>
    <w:rPr>
      <w:rFonts w:ascii="Times New Roman" w:eastAsia="Times New Roman" w:hAnsi="Times New Roman" w:cs="Times New Roman"/>
      <w:sz w:val="20"/>
      <w:szCs w:val="20"/>
      <w:lang w:val="es-ES" w:eastAsia="en-GB"/>
    </w:rPr>
  </w:style>
  <w:style w:type="paragraph" w:styleId="CommentSubject">
    <w:name w:val="annotation subject"/>
    <w:basedOn w:val="CommentText"/>
    <w:next w:val="CommentText"/>
    <w:link w:val="CommentSubjectChar"/>
    <w:uiPriority w:val="99"/>
    <w:semiHidden/>
    <w:unhideWhenUsed/>
    <w:rsid w:val="0055133E"/>
    <w:rPr>
      <w:b/>
      <w:bCs/>
    </w:rPr>
  </w:style>
  <w:style w:type="character" w:customStyle="1" w:styleId="CommentSubjectChar">
    <w:name w:val="Comment Subject Char"/>
    <w:basedOn w:val="CommentTextChar"/>
    <w:link w:val="CommentSubject"/>
    <w:uiPriority w:val="99"/>
    <w:semiHidden/>
    <w:rsid w:val="0055133E"/>
    <w:rPr>
      <w:rFonts w:ascii="Times New Roman" w:eastAsia="Times New Roman" w:hAnsi="Times New Roman" w:cs="Times New Roman"/>
      <w:b/>
      <w:bCs/>
      <w:sz w:val="20"/>
      <w:szCs w:val="20"/>
      <w:lang w:val="es-ES" w:eastAsia="en-GB"/>
    </w:rPr>
  </w:style>
  <w:style w:type="paragraph" w:styleId="BalloonText">
    <w:name w:val="Balloon Text"/>
    <w:basedOn w:val="Normal"/>
    <w:link w:val="BalloonTextChar"/>
    <w:uiPriority w:val="99"/>
    <w:semiHidden/>
    <w:unhideWhenUsed/>
    <w:rsid w:val="0055133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133E"/>
    <w:rPr>
      <w:rFonts w:ascii="Segoe UI" w:eastAsia="Times New Roman" w:hAnsi="Segoe UI" w:cs="Segoe UI"/>
      <w:sz w:val="18"/>
      <w:szCs w:val="18"/>
      <w:lang w:val="es-ES" w:eastAsia="en-GB"/>
    </w:rPr>
  </w:style>
  <w:style w:type="character" w:customStyle="1" w:styleId="Heading2Char">
    <w:name w:val="Heading 2 Char"/>
    <w:basedOn w:val="DefaultParagraphFont"/>
    <w:link w:val="Heading2"/>
    <w:uiPriority w:val="9"/>
    <w:rsid w:val="005E039B"/>
    <w:rPr>
      <w:rFonts w:ascii="Times New Roman" w:eastAsia="Times New Roman" w:hAnsi="Times New Roman" w:cs="Times New Roman"/>
      <w:b/>
      <w:color w:val="000000" w:themeColor="text1"/>
      <w:sz w:val="28"/>
      <w:szCs w:val="2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customStyle="1" w:styleId="Heading3Char">
    <w:name w:val="Heading 3 Char"/>
    <w:basedOn w:val="DefaultParagraphFont"/>
    <w:link w:val="Heading3"/>
    <w:uiPriority w:val="9"/>
    <w:rsid w:val="005D1C62"/>
    <w:rPr>
      <w:rFonts w:ascii="Times New Roman" w:eastAsia="Times New Roman" w:hAnsi="Times New Roman" w:cs="Times New Roman"/>
      <w:b/>
      <w:color w:val="000000" w:themeColor="text1"/>
      <w:sz w:val="28"/>
      <w:szCs w:val="2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NoSpacing">
    <w:name w:val="No Spacing"/>
    <w:uiPriority w:val="1"/>
    <w:qFormat/>
    <w:rsid w:val="005E039B"/>
    <w:pPr>
      <w:spacing w:after="0" w:line="240" w:lineRule="auto"/>
    </w:pPr>
    <w:rPr>
      <w:rFonts w:ascii="Times New Roman" w:eastAsia="Times New Roman" w:hAnsi="Times New Roman" w:cs="Times New Roman"/>
      <w:sz w:val="24"/>
      <w:szCs w:val="24"/>
      <w:lang w:val="es-ES" w:eastAsia="en-GB"/>
    </w:rPr>
  </w:style>
  <w:style w:type="numbering" w:customStyle="1" w:styleId="Style1">
    <w:name w:val="Style1"/>
    <w:uiPriority w:val="99"/>
    <w:rsid w:val="00850C26"/>
    <w:pPr>
      <w:numPr>
        <w:numId w:val="12"/>
      </w:numPr>
    </w:pPr>
  </w:style>
  <w:style w:type="paragraph" w:styleId="Revision">
    <w:name w:val="Revision"/>
    <w:hidden/>
    <w:uiPriority w:val="99"/>
    <w:semiHidden/>
    <w:rsid w:val="00EA439E"/>
    <w:pPr>
      <w:spacing w:after="0" w:line="240" w:lineRule="auto"/>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0036A0"/>
    <w:pPr>
      <w:numPr>
        <w:numId w:val="0"/>
      </w:numPr>
      <w:spacing w:before="480" w:line="276" w:lineRule="auto"/>
      <w:outlineLvl w:val="9"/>
    </w:pPr>
    <w:rPr>
      <w:rFonts w:asciiTheme="majorHAnsi" w:eastAsiaTheme="majorEastAsia" w:hAnsiTheme="majorHAnsi" w:cstheme="majorBidi"/>
      <w:bCs/>
      <w:color w:val="2F5496" w:themeColor="accent1" w:themeShade="BF"/>
      <w:lang w:val="en-US" w:eastAsia="en-US"/>
      <w14:shadow w14:blurRad="0" w14:dist="0" w14:dir="0" w14:sx="0" w14:sy="0" w14:kx="0" w14:ky="0" w14:algn="none">
        <w14:srgbClr w14:val="000000"/>
      </w14:shadow>
      <w14:textOutline w14:w="0" w14:cap="rnd" w14:cmpd="sng" w14:algn="ctr">
        <w14:noFill/>
        <w14:prstDash w14:val="solid"/>
        <w14:bevel/>
      </w14:textOutline>
    </w:rPr>
  </w:style>
  <w:style w:type="paragraph" w:styleId="TOC1">
    <w:name w:val="toc 1"/>
    <w:basedOn w:val="Normal"/>
    <w:next w:val="Normal"/>
    <w:autoRedefine/>
    <w:uiPriority w:val="39"/>
    <w:unhideWhenUsed/>
    <w:rsid w:val="00A62938"/>
    <w:pPr>
      <w:tabs>
        <w:tab w:val="right" w:leader="dot" w:pos="9350"/>
      </w:tabs>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036A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036A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036A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036A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036A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036A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036A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036A0"/>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483C62"/>
    <w:rPr>
      <w:color w:val="954F72" w:themeColor="followedHyperlink"/>
      <w:u w:val="single"/>
    </w:rPr>
  </w:style>
  <w:style w:type="character" w:customStyle="1" w:styleId="st">
    <w:name w:val="st"/>
    <w:basedOn w:val="DefaultParagraphFont"/>
    <w:rsid w:val="00483C62"/>
  </w:style>
  <w:style w:type="character" w:styleId="Emphasis">
    <w:name w:val="Emphasis"/>
    <w:basedOn w:val="DefaultParagraphFont"/>
    <w:uiPriority w:val="20"/>
    <w:qFormat/>
    <w:rsid w:val="00483C6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62791">
      <w:bodyDiv w:val="1"/>
      <w:marLeft w:val="0"/>
      <w:marRight w:val="0"/>
      <w:marTop w:val="0"/>
      <w:marBottom w:val="0"/>
      <w:divBdr>
        <w:top w:val="none" w:sz="0" w:space="0" w:color="auto"/>
        <w:left w:val="none" w:sz="0" w:space="0" w:color="auto"/>
        <w:bottom w:val="none" w:sz="0" w:space="0" w:color="auto"/>
        <w:right w:val="none" w:sz="0" w:space="0" w:color="auto"/>
      </w:divBdr>
    </w:div>
    <w:div w:id="158735614">
      <w:bodyDiv w:val="1"/>
      <w:marLeft w:val="0"/>
      <w:marRight w:val="0"/>
      <w:marTop w:val="0"/>
      <w:marBottom w:val="0"/>
      <w:divBdr>
        <w:top w:val="none" w:sz="0" w:space="0" w:color="auto"/>
        <w:left w:val="none" w:sz="0" w:space="0" w:color="auto"/>
        <w:bottom w:val="none" w:sz="0" w:space="0" w:color="auto"/>
        <w:right w:val="none" w:sz="0" w:space="0" w:color="auto"/>
      </w:divBdr>
      <w:divsChild>
        <w:div w:id="1593782175">
          <w:marLeft w:val="480"/>
          <w:marRight w:val="0"/>
          <w:marTop w:val="0"/>
          <w:marBottom w:val="0"/>
          <w:divBdr>
            <w:top w:val="none" w:sz="0" w:space="0" w:color="auto"/>
            <w:left w:val="none" w:sz="0" w:space="0" w:color="auto"/>
            <w:bottom w:val="none" w:sz="0" w:space="0" w:color="auto"/>
            <w:right w:val="none" w:sz="0" w:space="0" w:color="auto"/>
          </w:divBdr>
          <w:divsChild>
            <w:div w:id="173061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88635">
      <w:bodyDiv w:val="1"/>
      <w:marLeft w:val="0"/>
      <w:marRight w:val="0"/>
      <w:marTop w:val="0"/>
      <w:marBottom w:val="0"/>
      <w:divBdr>
        <w:top w:val="none" w:sz="0" w:space="0" w:color="auto"/>
        <w:left w:val="none" w:sz="0" w:space="0" w:color="auto"/>
        <w:bottom w:val="none" w:sz="0" w:space="0" w:color="auto"/>
        <w:right w:val="none" w:sz="0" w:space="0" w:color="auto"/>
      </w:divBdr>
    </w:div>
    <w:div w:id="228005828">
      <w:bodyDiv w:val="1"/>
      <w:marLeft w:val="0"/>
      <w:marRight w:val="0"/>
      <w:marTop w:val="0"/>
      <w:marBottom w:val="0"/>
      <w:divBdr>
        <w:top w:val="none" w:sz="0" w:space="0" w:color="auto"/>
        <w:left w:val="none" w:sz="0" w:space="0" w:color="auto"/>
        <w:bottom w:val="none" w:sz="0" w:space="0" w:color="auto"/>
        <w:right w:val="none" w:sz="0" w:space="0" w:color="auto"/>
      </w:divBdr>
    </w:div>
    <w:div w:id="304049573">
      <w:bodyDiv w:val="1"/>
      <w:marLeft w:val="0"/>
      <w:marRight w:val="0"/>
      <w:marTop w:val="0"/>
      <w:marBottom w:val="0"/>
      <w:divBdr>
        <w:top w:val="none" w:sz="0" w:space="0" w:color="auto"/>
        <w:left w:val="none" w:sz="0" w:space="0" w:color="auto"/>
        <w:bottom w:val="none" w:sz="0" w:space="0" w:color="auto"/>
        <w:right w:val="none" w:sz="0" w:space="0" w:color="auto"/>
      </w:divBdr>
    </w:div>
    <w:div w:id="431365491">
      <w:bodyDiv w:val="1"/>
      <w:marLeft w:val="0"/>
      <w:marRight w:val="0"/>
      <w:marTop w:val="0"/>
      <w:marBottom w:val="0"/>
      <w:divBdr>
        <w:top w:val="none" w:sz="0" w:space="0" w:color="auto"/>
        <w:left w:val="none" w:sz="0" w:space="0" w:color="auto"/>
        <w:bottom w:val="none" w:sz="0" w:space="0" w:color="auto"/>
        <w:right w:val="none" w:sz="0" w:space="0" w:color="auto"/>
      </w:divBdr>
    </w:div>
    <w:div w:id="495461430">
      <w:bodyDiv w:val="1"/>
      <w:marLeft w:val="0"/>
      <w:marRight w:val="0"/>
      <w:marTop w:val="0"/>
      <w:marBottom w:val="0"/>
      <w:divBdr>
        <w:top w:val="none" w:sz="0" w:space="0" w:color="auto"/>
        <w:left w:val="none" w:sz="0" w:space="0" w:color="auto"/>
        <w:bottom w:val="none" w:sz="0" w:space="0" w:color="auto"/>
        <w:right w:val="none" w:sz="0" w:space="0" w:color="auto"/>
      </w:divBdr>
    </w:div>
    <w:div w:id="575284956">
      <w:bodyDiv w:val="1"/>
      <w:marLeft w:val="0"/>
      <w:marRight w:val="0"/>
      <w:marTop w:val="0"/>
      <w:marBottom w:val="0"/>
      <w:divBdr>
        <w:top w:val="none" w:sz="0" w:space="0" w:color="auto"/>
        <w:left w:val="none" w:sz="0" w:space="0" w:color="auto"/>
        <w:bottom w:val="none" w:sz="0" w:space="0" w:color="auto"/>
        <w:right w:val="none" w:sz="0" w:space="0" w:color="auto"/>
      </w:divBdr>
    </w:div>
    <w:div w:id="738475786">
      <w:bodyDiv w:val="1"/>
      <w:marLeft w:val="0"/>
      <w:marRight w:val="0"/>
      <w:marTop w:val="0"/>
      <w:marBottom w:val="0"/>
      <w:divBdr>
        <w:top w:val="none" w:sz="0" w:space="0" w:color="auto"/>
        <w:left w:val="none" w:sz="0" w:space="0" w:color="auto"/>
        <w:bottom w:val="none" w:sz="0" w:space="0" w:color="auto"/>
        <w:right w:val="none" w:sz="0" w:space="0" w:color="auto"/>
      </w:divBdr>
      <w:divsChild>
        <w:div w:id="541213228">
          <w:marLeft w:val="480"/>
          <w:marRight w:val="0"/>
          <w:marTop w:val="0"/>
          <w:marBottom w:val="0"/>
          <w:divBdr>
            <w:top w:val="none" w:sz="0" w:space="0" w:color="auto"/>
            <w:left w:val="none" w:sz="0" w:space="0" w:color="auto"/>
            <w:bottom w:val="none" w:sz="0" w:space="0" w:color="auto"/>
            <w:right w:val="none" w:sz="0" w:space="0" w:color="auto"/>
          </w:divBdr>
          <w:divsChild>
            <w:div w:id="196740969">
              <w:marLeft w:val="0"/>
              <w:marRight w:val="0"/>
              <w:marTop w:val="0"/>
              <w:marBottom w:val="240"/>
              <w:divBdr>
                <w:top w:val="none" w:sz="0" w:space="0" w:color="auto"/>
                <w:left w:val="none" w:sz="0" w:space="0" w:color="auto"/>
                <w:bottom w:val="none" w:sz="0" w:space="0" w:color="auto"/>
                <w:right w:val="none" w:sz="0" w:space="0" w:color="auto"/>
              </w:divBdr>
            </w:div>
            <w:div w:id="1406688937">
              <w:marLeft w:val="0"/>
              <w:marRight w:val="0"/>
              <w:marTop w:val="0"/>
              <w:marBottom w:val="240"/>
              <w:divBdr>
                <w:top w:val="none" w:sz="0" w:space="0" w:color="auto"/>
                <w:left w:val="none" w:sz="0" w:space="0" w:color="auto"/>
                <w:bottom w:val="none" w:sz="0" w:space="0" w:color="auto"/>
                <w:right w:val="none" w:sz="0" w:space="0" w:color="auto"/>
              </w:divBdr>
            </w:div>
            <w:div w:id="583610182">
              <w:marLeft w:val="0"/>
              <w:marRight w:val="0"/>
              <w:marTop w:val="0"/>
              <w:marBottom w:val="240"/>
              <w:divBdr>
                <w:top w:val="none" w:sz="0" w:space="0" w:color="auto"/>
                <w:left w:val="none" w:sz="0" w:space="0" w:color="auto"/>
                <w:bottom w:val="none" w:sz="0" w:space="0" w:color="auto"/>
                <w:right w:val="none" w:sz="0" w:space="0" w:color="auto"/>
              </w:divBdr>
            </w:div>
            <w:div w:id="896862538">
              <w:marLeft w:val="0"/>
              <w:marRight w:val="0"/>
              <w:marTop w:val="0"/>
              <w:marBottom w:val="240"/>
              <w:divBdr>
                <w:top w:val="none" w:sz="0" w:space="0" w:color="auto"/>
                <w:left w:val="none" w:sz="0" w:space="0" w:color="auto"/>
                <w:bottom w:val="none" w:sz="0" w:space="0" w:color="auto"/>
                <w:right w:val="none" w:sz="0" w:space="0" w:color="auto"/>
              </w:divBdr>
            </w:div>
            <w:div w:id="1685209163">
              <w:marLeft w:val="0"/>
              <w:marRight w:val="0"/>
              <w:marTop w:val="0"/>
              <w:marBottom w:val="240"/>
              <w:divBdr>
                <w:top w:val="none" w:sz="0" w:space="0" w:color="auto"/>
                <w:left w:val="none" w:sz="0" w:space="0" w:color="auto"/>
                <w:bottom w:val="none" w:sz="0" w:space="0" w:color="auto"/>
                <w:right w:val="none" w:sz="0" w:space="0" w:color="auto"/>
              </w:divBdr>
            </w:div>
            <w:div w:id="122575987">
              <w:marLeft w:val="0"/>
              <w:marRight w:val="0"/>
              <w:marTop w:val="0"/>
              <w:marBottom w:val="240"/>
              <w:divBdr>
                <w:top w:val="none" w:sz="0" w:space="0" w:color="auto"/>
                <w:left w:val="none" w:sz="0" w:space="0" w:color="auto"/>
                <w:bottom w:val="none" w:sz="0" w:space="0" w:color="auto"/>
                <w:right w:val="none" w:sz="0" w:space="0" w:color="auto"/>
              </w:divBdr>
            </w:div>
            <w:div w:id="1552115081">
              <w:marLeft w:val="0"/>
              <w:marRight w:val="0"/>
              <w:marTop w:val="0"/>
              <w:marBottom w:val="240"/>
              <w:divBdr>
                <w:top w:val="none" w:sz="0" w:space="0" w:color="auto"/>
                <w:left w:val="none" w:sz="0" w:space="0" w:color="auto"/>
                <w:bottom w:val="none" w:sz="0" w:space="0" w:color="auto"/>
                <w:right w:val="none" w:sz="0" w:space="0" w:color="auto"/>
              </w:divBdr>
            </w:div>
            <w:div w:id="1698383495">
              <w:marLeft w:val="0"/>
              <w:marRight w:val="0"/>
              <w:marTop w:val="0"/>
              <w:marBottom w:val="240"/>
              <w:divBdr>
                <w:top w:val="none" w:sz="0" w:space="0" w:color="auto"/>
                <w:left w:val="none" w:sz="0" w:space="0" w:color="auto"/>
                <w:bottom w:val="none" w:sz="0" w:space="0" w:color="auto"/>
                <w:right w:val="none" w:sz="0" w:space="0" w:color="auto"/>
              </w:divBdr>
            </w:div>
            <w:div w:id="1158573325">
              <w:marLeft w:val="0"/>
              <w:marRight w:val="0"/>
              <w:marTop w:val="0"/>
              <w:marBottom w:val="240"/>
              <w:divBdr>
                <w:top w:val="none" w:sz="0" w:space="0" w:color="auto"/>
                <w:left w:val="none" w:sz="0" w:space="0" w:color="auto"/>
                <w:bottom w:val="none" w:sz="0" w:space="0" w:color="auto"/>
                <w:right w:val="none" w:sz="0" w:space="0" w:color="auto"/>
              </w:divBdr>
            </w:div>
            <w:div w:id="1115252679">
              <w:marLeft w:val="0"/>
              <w:marRight w:val="0"/>
              <w:marTop w:val="0"/>
              <w:marBottom w:val="240"/>
              <w:divBdr>
                <w:top w:val="none" w:sz="0" w:space="0" w:color="auto"/>
                <w:left w:val="none" w:sz="0" w:space="0" w:color="auto"/>
                <w:bottom w:val="none" w:sz="0" w:space="0" w:color="auto"/>
                <w:right w:val="none" w:sz="0" w:space="0" w:color="auto"/>
              </w:divBdr>
            </w:div>
            <w:div w:id="1891529376">
              <w:marLeft w:val="0"/>
              <w:marRight w:val="0"/>
              <w:marTop w:val="0"/>
              <w:marBottom w:val="240"/>
              <w:divBdr>
                <w:top w:val="none" w:sz="0" w:space="0" w:color="auto"/>
                <w:left w:val="none" w:sz="0" w:space="0" w:color="auto"/>
                <w:bottom w:val="none" w:sz="0" w:space="0" w:color="auto"/>
                <w:right w:val="none" w:sz="0" w:space="0" w:color="auto"/>
              </w:divBdr>
            </w:div>
            <w:div w:id="196434666">
              <w:marLeft w:val="0"/>
              <w:marRight w:val="0"/>
              <w:marTop w:val="0"/>
              <w:marBottom w:val="240"/>
              <w:divBdr>
                <w:top w:val="none" w:sz="0" w:space="0" w:color="auto"/>
                <w:left w:val="none" w:sz="0" w:space="0" w:color="auto"/>
                <w:bottom w:val="none" w:sz="0" w:space="0" w:color="auto"/>
                <w:right w:val="none" w:sz="0" w:space="0" w:color="auto"/>
              </w:divBdr>
            </w:div>
            <w:div w:id="1662004148">
              <w:marLeft w:val="0"/>
              <w:marRight w:val="0"/>
              <w:marTop w:val="0"/>
              <w:marBottom w:val="240"/>
              <w:divBdr>
                <w:top w:val="none" w:sz="0" w:space="0" w:color="auto"/>
                <w:left w:val="none" w:sz="0" w:space="0" w:color="auto"/>
                <w:bottom w:val="none" w:sz="0" w:space="0" w:color="auto"/>
                <w:right w:val="none" w:sz="0" w:space="0" w:color="auto"/>
              </w:divBdr>
            </w:div>
            <w:div w:id="480469628">
              <w:marLeft w:val="0"/>
              <w:marRight w:val="0"/>
              <w:marTop w:val="0"/>
              <w:marBottom w:val="240"/>
              <w:divBdr>
                <w:top w:val="none" w:sz="0" w:space="0" w:color="auto"/>
                <w:left w:val="none" w:sz="0" w:space="0" w:color="auto"/>
                <w:bottom w:val="none" w:sz="0" w:space="0" w:color="auto"/>
                <w:right w:val="none" w:sz="0" w:space="0" w:color="auto"/>
              </w:divBdr>
            </w:div>
            <w:div w:id="1738047356">
              <w:marLeft w:val="0"/>
              <w:marRight w:val="0"/>
              <w:marTop w:val="0"/>
              <w:marBottom w:val="240"/>
              <w:divBdr>
                <w:top w:val="none" w:sz="0" w:space="0" w:color="auto"/>
                <w:left w:val="none" w:sz="0" w:space="0" w:color="auto"/>
                <w:bottom w:val="none" w:sz="0" w:space="0" w:color="auto"/>
                <w:right w:val="none" w:sz="0" w:space="0" w:color="auto"/>
              </w:divBdr>
            </w:div>
            <w:div w:id="2029939002">
              <w:marLeft w:val="0"/>
              <w:marRight w:val="0"/>
              <w:marTop w:val="0"/>
              <w:marBottom w:val="240"/>
              <w:divBdr>
                <w:top w:val="none" w:sz="0" w:space="0" w:color="auto"/>
                <w:left w:val="none" w:sz="0" w:space="0" w:color="auto"/>
                <w:bottom w:val="none" w:sz="0" w:space="0" w:color="auto"/>
                <w:right w:val="none" w:sz="0" w:space="0" w:color="auto"/>
              </w:divBdr>
            </w:div>
            <w:div w:id="9138912">
              <w:marLeft w:val="0"/>
              <w:marRight w:val="0"/>
              <w:marTop w:val="0"/>
              <w:marBottom w:val="240"/>
              <w:divBdr>
                <w:top w:val="none" w:sz="0" w:space="0" w:color="auto"/>
                <w:left w:val="none" w:sz="0" w:space="0" w:color="auto"/>
                <w:bottom w:val="none" w:sz="0" w:space="0" w:color="auto"/>
                <w:right w:val="none" w:sz="0" w:space="0" w:color="auto"/>
              </w:divBdr>
            </w:div>
            <w:div w:id="526597891">
              <w:marLeft w:val="0"/>
              <w:marRight w:val="0"/>
              <w:marTop w:val="0"/>
              <w:marBottom w:val="240"/>
              <w:divBdr>
                <w:top w:val="none" w:sz="0" w:space="0" w:color="auto"/>
                <w:left w:val="none" w:sz="0" w:space="0" w:color="auto"/>
                <w:bottom w:val="none" w:sz="0" w:space="0" w:color="auto"/>
                <w:right w:val="none" w:sz="0" w:space="0" w:color="auto"/>
              </w:divBdr>
            </w:div>
            <w:div w:id="59787898">
              <w:marLeft w:val="0"/>
              <w:marRight w:val="0"/>
              <w:marTop w:val="0"/>
              <w:marBottom w:val="240"/>
              <w:divBdr>
                <w:top w:val="none" w:sz="0" w:space="0" w:color="auto"/>
                <w:left w:val="none" w:sz="0" w:space="0" w:color="auto"/>
                <w:bottom w:val="none" w:sz="0" w:space="0" w:color="auto"/>
                <w:right w:val="none" w:sz="0" w:space="0" w:color="auto"/>
              </w:divBdr>
            </w:div>
            <w:div w:id="1330407684">
              <w:marLeft w:val="0"/>
              <w:marRight w:val="0"/>
              <w:marTop w:val="0"/>
              <w:marBottom w:val="240"/>
              <w:divBdr>
                <w:top w:val="none" w:sz="0" w:space="0" w:color="auto"/>
                <w:left w:val="none" w:sz="0" w:space="0" w:color="auto"/>
                <w:bottom w:val="none" w:sz="0" w:space="0" w:color="auto"/>
                <w:right w:val="none" w:sz="0" w:space="0" w:color="auto"/>
              </w:divBdr>
            </w:div>
            <w:div w:id="1979844848">
              <w:marLeft w:val="0"/>
              <w:marRight w:val="0"/>
              <w:marTop w:val="0"/>
              <w:marBottom w:val="240"/>
              <w:divBdr>
                <w:top w:val="none" w:sz="0" w:space="0" w:color="auto"/>
                <w:left w:val="none" w:sz="0" w:space="0" w:color="auto"/>
                <w:bottom w:val="none" w:sz="0" w:space="0" w:color="auto"/>
                <w:right w:val="none" w:sz="0" w:space="0" w:color="auto"/>
              </w:divBdr>
            </w:div>
            <w:div w:id="1489904870">
              <w:marLeft w:val="0"/>
              <w:marRight w:val="0"/>
              <w:marTop w:val="0"/>
              <w:marBottom w:val="240"/>
              <w:divBdr>
                <w:top w:val="none" w:sz="0" w:space="0" w:color="auto"/>
                <w:left w:val="none" w:sz="0" w:space="0" w:color="auto"/>
                <w:bottom w:val="none" w:sz="0" w:space="0" w:color="auto"/>
                <w:right w:val="none" w:sz="0" w:space="0" w:color="auto"/>
              </w:divBdr>
            </w:div>
            <w:div w:id="558707565">
              <w:marLeft w:val="0"/>
              <w:marRight w:val="0"/>
              <w:marTop w:val="0"/>
              <w:marBottom w:val="240"/>
              <w:divBdr>
                <w:top w:val="none" w:sz="0" w:space="0" w:color="auto"/>
                <w:left w:val="none" w:sz="0" w:space="0" w:color="auto"/>
                <w:bottom w:val="none" w:sz="0" w:space="0" w:color="auto"/>
                <w:right w:val="none" w:sz="0" w:space="0" w:color="auto"/>
              </w:divBdr>
            </w:div>
            <w:div w:id="8945042">
              <w:marLeft w:val="0"/>
              <w:marRight w:val="0"/>
              <w:marTop w:val="0"/>
              <w:marBottom w:val="240"/>
              <w:divBdr>
                <w:top w:val="none" w:sz="0" w:space="0" w:color="auto"/>
                <w:left w:val="none" w:sz="0" w:space="0" w:color="auto"/>
                <w:bottom w:val="none" w:sz="0" w:space="0" w:color="auto"/>
                <w:right w:val="none" w:sz="0" w:space="0" w:color="auto"/>
              </w:divBdr>
            </w:div>
            <w:div w:id="127289330">
              <w:marLeft w:val="0"/>
              <w:marRight w:val="0"/>
              <w:marTop w:val="0"/>
              <w:marBottom w:val="240"/>
              <w:divBdr>
                <w:top w:val="none" w:sz="0" w:space="0" w:color="auto"/>
                <w:left w:val="none" w:sz="0" w:space="0" w:color="auto"/>
                <w:bottom w:val="none" w:sz="0" w:space="0" w:color="auto"/>
                <w:right w:val="none" w:sz="0" w:space="0" w:color="auto"/>
              </w:divBdr>
            </w:div>
            <w:div w:id="460073145">
              <w:marLeft w:val="0"/>
              <w:marRight w:val="0"/>
              <w:marTop w:val="0"/>
              <w:marBottom w:val="240"/>
              <w:divBdr>
                <w:top w:val="none" w:sz="0" w:space="0" w:color="auto"/>
                <w:left w:val="none" w:sz="0" w:space="0" w:color="auto"/>
                <w:bottom w:val="none" w:sz="0" w:space="0" w:color="auto"/>
                <w:right w:val="none" w:sz="0" w:space="0" w:color="auto"/>
              </w:divBdr>
            </w:div>
            <w:div w:id="1337922923">
              <w:marLeft w:val="0"/>
              <w:marRight w:val="0"/>
              <w:marTop w:val="0"/>
              <w:marBottom w:val="240"/>
              <w:divBdr>
                <w:top w:val="none" w:sz="0" w:space="0" w:color="auto"/>
                <w:left w:val="none" w:sz="0" w:space="0" w:color="auto"/>
                <w:bottom w:val="none" w:sz="0" w:space="0" w:color="auto"/>
                <w:right w:val="none" w:sz="0" w:space="0" w:color="auto"/>
              </w:divBdr>
            </w:div>
            <w:div w:id="1028916836">
              <w:marLeft w:val="0"/>
              <w:marRight w:val="0"/>
              <w:marTop w:val="0"/>
              <w:marBottom w:val="240"/>
              <w:divBdr>
                <w:top w:val="none" w:sz="0" w:space="0" w:color="auto"/>
                <w:left w:val="none" w:sz="0" w:space="0" w:color="auto"/>
                <w:bottom w:val="none" w:sz="0" w:space="0" w:color="auto"/>
                <w:right w:val="none" w:sz="0" w:space="0" w:color="auto"/>
              </w:divBdr>
            </w:div>
            <w:div w:id="746347938">
              <w:marLeft w:val="0"/>
              <w:marRight w:val="0"/>
              <w:marTop w:val="0"/>
              <w:marBottom w:val="240"/>
              <w:divBdr>
                <w:top w:val="none" w:sz="0" w:space="0" w:color="auto"/>
                <w:left w:val="none" w:sz="0" w:space="0" w:color="auto"/>
                <w:bottom w:val="none" w:sz="0" w:space="0" w:color="auto"/>
                <w:right w:val="none" w:sz="0" w:space="0" w:color="auto"/>
              </w:divBdr>
            </w:div>
            <w:div w:id="898249213">
              <w:marLeft w:val="0"/>
              <w:marRight w:val="0"/>
              <w:marTop w:val="0"/>
              <w:marBottom w:val="240"/>
              <w:divBdr>
                <w:top w:val="none" w:sz="0" w:space="0" w:color="auto"/>
                <w:left w:val="none" w:sz="0" w:space="0" w:color="auto"/>
                <w:bottom w:val="none" w:sz="0" w:space="0" w:color="auto"/>
                <w:right w:val="none" w:sz="0" w:space="0" w:color="auto"/>
              </w:divBdr>
            </w:div>
            <w:div w:id="125393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237550">
      <w:bodyDiv w:val="1"/>
      <w:marLeft w:val="0"/>
      <w:marRight w:val="0"/>
      <w:marTop w:val="0"/>
      <w:marBottom w:val="0"/>
      <w:divBdr>
        <w:top w:val="none" w:sz="0" w:space="0" w:color="auto"/>
        <w:left w:val="none" w:sz="0" w:space="0" w:color="auto"/>
        <w:bottom w:val="none" w:sz="0" w:space="0" w:color="auto"/>
        <w:right w:val="none" w:sz="0" w:space="0" w:color="auto"/>
      </w:divBdr>
    </w:div>
    <w:div w:id="870384661">
      <w:bodyDiv w:val="1"/>
      <w:marLeft w:val="0"/>
      <w:marRight w:val="0"/>
      <w:marTop w:val="0"/>
      <w:marBottom w:val="0"/>
      <w:divBdr>
        <w:top w:val="none" w:sz="0" w:space="0" w:color="auto"/>
        <w:left w:val="none" w:sz="0" w:space="0" w:color="auto"/>
        <w:bottom w:val="none" w:sz="0" w:space="0" w:color="auto"/>
        <w:right w:val="none" w:sz="0" w:space="0" w:color="auto"/>
      </w:divBdr>
      <w:divsChild>
        <w:div w:id="668676201">
          <w:marLeft w:val="480"/>
          <w:marRight w:val="0"/>
          <w:marTop w:val="0"/>
          <w:marBottom w:val="0"/>
          <w:divBdr>
            <w:top w:val="none" w:sz="0" w:space="0" w:color="auto"/>
            <w:left w:val="none" w:sz="0" w:space="0" w:color="auto"/>
            <w:bottom w:val="none" w:sz="0" w:space="0" w:color="auto"/>
            <w:right w:val="none" w:sz="0" w:space="0" w:color="auto"/>
          </w:divBdr>
          <w:divsChild>
            <w:div w:id="233590018">
              <w:marLeft w:val="0"/>
              <w:marRight w:val="0"/>
              <w:marTop w:val="0"/>
              <w:marBottom w:val="240"/>
              <w:divBdr>
                <w:top w:val="none" w:sz="0" w:space="0" w:color="auto"/>
                <w:left w:val="none" w:sz="0" w:space="0" w:color="auto"/>
                <w:bottom w:val="none" w:sz="0" w:space="0" w:color="auto"/>
                <w:right w:val="none" w:sz="0" w:space="0" w:color="auto"/>
              </w:divBdr>
            </w:div>
            <w:div w:id="1782214343">
              <w:marLeft w:val="0"/>
              <w:marRight w:val="0"/>
              <w:marTop w:val="0"/>
              <w:marBottom w:val="240"/>
              <w:divBdr>
                <w:top w:val="none" w:sz="0" w:space="0" w:color="auto"/>
                <w:left w:val="none" w:sz="0" w:space="0" w:color="auto"/>
                <w:bottom w:val="none" w:sz="0" w:space="0" w:color="auto"/>
                <w:right w:val="none" w:sz="0" w:space="0" w:color="auto"/>
              </w:divBdr>
            </w:div>
            <w:div w:id="1802386222">
              <w:marLeft w:val="0"/>
              <w:marRight w:val="0"/>
              <w:marTop w:val="0"/>
              <w:marBottom w:val="240"/>
              <w:divBdr>
                <w:top w:val="none" w:sz="0" w:space="0" w:color="auto"/>
                <w:left w:val="none" w:sz="0" w:space="0" w:color="auto"/>
                <w:bottom w:val="none" w:sz="0" w:space="0" w:color="auto"/>
                <w:right w:val="none" w:sz="0" w:space="0" w:color="auto"/>
              </w:divBdr>
            </w:div>
            <w:div w:id="1659308672">
              <w:marLeft w:val="0"/>
              <w:marRight w:val="0"/>
              <w:marTop w:val="0"/>
              <w:marBottom w:val="240"/>
              <w:divBdr>
                <w:top w:val="none" w:sz="0" w:space="0" w:color="auto"/>
                <w:left w:val="none" w:sz="0" w:space="0" w:color="auto"/>
                <w:bottom w:val="none" w:sz="0" w:space="0" w:color="auto"/>
                <w:right w:val="none" w:sz="0" w:space="0" w:color="auto"/>
              </w:divBdr>
            </w:div>
            <w:div w:id="1312902554">
              <w:marLeft w:val="0"/>
              <w:marRight w:val="0"/>
              <w:marTop w:val="0"/>
              <w:marBottom w:val="240"/>
              <w:divBdr>
                <w:top w:val="none" w:sz="0" w:space="0" w:color="auto"/>
                <w:left w:val="none" w:sz="0" w:space="0" w:color="auto"/>
                <w:bottom w:val="none" w:sz="0" w:space="0" w:color="auto"/>
                <w:right w:val="none" w:sz="0" w:space="0" w:color="auto"/>
              </w:divBdr>
            </w:div>
            <w:div w:id="629677080">
              <w:marLeft w:val="0"/>
              <w:marRight w:val="0"/>
              <w:marTop w:val="0"/>
              <w:marBottom w:val="240"/>
              <w:divBdr>
                <w:top w:val="none" w:sz="0" w:space="0" w:color="auto"/>
                <w:left w:val="none" w:sz="0" w:space="0" w:color="auto"/>
                <w:bottom w:val="none" w:sz="0" w:space="0" w:color="auto"/>
                <w:right w:val="none" w:sz="0" w:space="0" w:color="auto"/>
              </w:divBdr>
            </w:div>
            <w:div w:id="1682463447">
              <w:marLeft w:val="0"/>
              <w:marRight w:val="0"/>
              <w:marTop w:val="0"/>
              <w:marBottom w:val="240"/>
              <w:divBdr>
                <w:top w:val="none" w:sz="0" w:space="0" w:color="auto"/>
                <w:left w:val="none" w:sz="0" w:space="0" w:color="auto"/>
                <w:bottom w:val="none" w:sz="0" w:space="0" w:color="auto"/>
                <w:right w:val="none" w:sz="0" w:space="0" w:color="auto"/>
              </w:divBdr>
            </w:div>
            <w:div w:id="2121341869">
              <w:marLeft w:val="0"/>
              <w:marRight w:val="0"/>
              <w:marTop w:val="0"/>
              <w:marBottom w:val="240"/>
              <w:divBdr>
                <w:top w:val="none" w:sz="0" w:space="0" w:color="auto"/>
                <w:left w:val="none" w:sz="0" w:space="0" w:color="auto"/>
                <w:bottom w:val="none" w:sz="0" w:space="0" w:color="auto"/>
                <w:right w:val="none" w:sz="0" w:space="0" w:color="auto"/>
              </w:divBdr>
            </w:div>
            <w:div w:id="1585721813">
              <w:marLeft w:val="0"/>
              <w:marRight w:val="0"/>
              <w:marTop w:val="0"/>
              <w:marBottom w:val="240"/>
              <w:divBdr>
                <w:top w:val="none" w:sz="0" w:space="0" w:color="auto"/>
                <w:left w:val="none" w:sz="0" w:space="0" w:color="auto"/>
                <w:bottom w:val="none" w:sz="0" w:space="0" w:color="auto"/>
                <w:right w:val="none" w:sz="0" w:space="0" w:color="auto"/>
              </w:divBdr>
            </w:div>
            <w:div w:id="1132676982">
              <w:marLeft w:val="0"/>
              <w:marRight w:val="0"/>
              <w:marTop w:val="0"/>
              <w:marBottom w:val="240"/>
              <w:divBdr>
                <w:top w:val="none" w:sz="0" w:space="0" w:color="auto"/>
                <w:left w:val="none" w:sz="0" w:space="0" w:color="auto"/>
                <w:bottom w:val="none" w:sz="0" w:space="0" w:color="auto"/>
                <w:right w:val="none" w:sz="0" w:space="0" w:color="auto"/>
              </w:divBdr>
            </w:div>
            <w:div w:id="326711078">
              <w:marLeft w:val="0"/>
              <w:marRight w:val="0"/>
              <w:marTop w:val="0"/>
              <w:marBottom w:val="240"/>
              <w:divBdr>
                <w:top w:val="none" w:sz="0" w:space="0" w:color="auto"/>
                <w:left w:val="none" w:sz="0" w:space="0" w:color="auto"/>
                <w:bottom w:val="none" w:sz="0" w:space="0" w:color="auto"/>
                <w:right w:val="none" w:sz="0" w:space="0" w:color="auto"/>
              </w:divBdr>
            </w:div>
            <w:div w:id="1443573233">
              <w:marLeft w:val="0"/>
              <w:marRight w:val="0"/>
              <w:marTop w:val="0"/>
              <w:marBottom w:val="240"/>
              <w:divBdr>
                <w:top w:val="none" w:sz="0" w:space="0" w:color="auto"/>
                <w:left w:val="none" w:sz="0" w:space="0" w:color="auto"/>
                <w:bottom w:val="none" w:sz="0" w:space="0" w:color="auto"/>
                <w:right w:val="none" w:sz="0" w:space="0" w:color="auto"/>
              </w:divBdr>
            </w:div>
            <w:div w:id="2081096227">
              <w:marLeft w:val="0"/>
              <w:marRight w:val="0"/>
              <w:marTop w:val="0"/>
              <w:marBottom w:val="240"/>
              <w:divBdr>
                <w:top w:val="none" w:sz="0" w:space="0" w:color="auto"/>
                <w:left w:val="none" w:sz="0" w:space="0" w:color="auto"/>
                <w:bottom w:val="none" w:sz="0" w:space="0" w:color="auto"/>
                <w:right w:val="none" w:sz="0" w:space="0" w:color="auto"/>
              </w:divBdr>
            </w:div>
            <w:div w:id="4986403">
              <w:marLeft w:val="0"/>
              <w:marRight w:val="0"/>
              <w:marTop w:val="0"/>
              <w:marBottom w:val="240"/>
              <w:divBdr>
                <w:top w:val="none" w:sz="0" w:space="0" w:color="auto"/>
                <w:left w:val="none" w:sz="0" w:space="0" w:color="auto"/>
                <w:bottom w:val="none" w:sz="0" w:space="0" w:color="auto"/>
                <w:right w:val="none" w:sz="0" w:space="0" w:color="auto"/>
              </w:divBdr>
            </w:div>
            <w:div w:id="1419210604">
              <w:marLeft w:val="0"/>
              <w:marRight w:val="0"/>
              <w:marTop w:val="0"/>
              <w:marBottom w:val="240"/>
              <w:divBdr>
                <w:top w:val="none" w:sz="0" w:space="0" w:color="auto"/>
                <w:left w:val="none" w:sz="0" w:space="0" w:color="auto"/>
                <w:bottom w:val="none" w:sz="0" w:space="0" w:color="auto"/>
                <w:right w:val="none" w:sz="0" w:space="0" w:color="auto"/>
              </w:divBdr>
            </w:div>
            <w:div w:id="408232277">
              <w:marLeft w:val="0"/>
              <w:marRight w:val="0"/>
              <w:marTop w:val="0"/>
              <w:marBottom w:val="240"/>
              <w:divBdr>
                <w:top w:val="none" w:sz="0" w:space="0" w:color="auto"/>
                <w:left w:val="none" w:sz="0" w:space="0" w:color="auto"/>
                <w:bottom w:val="none" w:sz="0" w:space="0" w:color="auto"/>
                <w:right w:val="none" w:sz="0" w:space="0" w:color="auto"/>
              </w:divBdr>
            </w:div>
            <w:div w:id="1516383959">
              <w:marLeft w:val="0"/>
              <w:marRight w:val="0"/>
              <w:marTop w:val="0"/>
              <w:marBottom w:val="240"/>
              <w:divBdr>
                <w:top w:val="none" w:sz="0" w:space="0" w:color="auto"/>
                <w:left w:val="none" w:sz="0" w:space="0" w:color="auto"/>
                <w:bottom w:val="none" w:sz="0" w:space="0" w:color="auto"/>
                <w:right w:val="none" w:sz="0" w:space="0" w:color="auto"/>
              </w:divBdr>
            </w:div>
            <w:div w:id="2134013113">
              <w:marLeft w:val="0"/>
              <w:marRight w:val="0"/>
              <w:marTop w:val="0"/>
              <w:marBottom w:val="240"/>
              <w:divBdr>
                <w:top w:val="none" w:sz="0" w:space="0" w:color="auto"/>
                <w:left w:val="none" w:sz="0" w:space="0" w:color="auto"/>
                <w:bottom w:val="none" w:sz="0" w:space="0" w:color="auto"/>
                <w:right w:val="none" w:sz="0" w:space="0" w:color="auto"/>
              </w:divBdr>
            </w:div>
            <w:div w:id="2007006216">
              <w:marLeft w:val="0"/>
              <w:marRight w:val="0"/>
              <w:marTop w:val="0"/>
              <w:marBottom w:val="240"/>
              <w:divBdr>
                <w:top w:val="none" w:sz="0" w:space="0" w:color="auto"/>
                <w:left w:val="none" w:sz="0" w:space="0" w:color="auto"/>
                <w:bottom w:val="none" w:sz="0" w:space="0" w:color="auto"/>
                <w:right w:val="none" w:sz="0" w:space="0" w:color="auto"/>
              </w:divBdr>
            </w:div>
            <w:div w:id="1831754712">
              <w:marLeft w:val="0"/>
              <w:marRight w:val="0"/>
              <w:marTop w:val="0"/>
              <w:marBottom w:val="240"/>
              <w:divBdr>
                <w:top w:val="none" w:sz="0" w:space="0" w:color="auto"/>
                <w:left w:val="none" w:sz="0" w:space="0" w:color="auto"/>
                <w:bottom w:val="none" w:sz="0" w:space="0" w:color="auto"/>
                <w:right w:val="none" w:sz="0" w:space="0" w:color="auto"/>
              </w:divBdr>
            </w:div>
            <w:div w:id="285890922">
              <w:marLeft w:val="0"/>
              <w:marRight w:val="0"/>
              <w:marTop w:val="0"/>
              <w:marBottom w:val="240"/>
              <w:divBdr>
                <w:top w:val="none" w:sz="0" w:space="0" w:color="auto"/>
                <w:left w:val="none" w:sz="0" w:space="0" w:color="auto"/>
                <w:bottom w:val="none" w:sz="0" w:space="0" w:color="auto"/>
                <w:right w:val="none" w:sz="0" w:space="0" w:color="auto"/>
              </w:divBdr>
            </w:div>
            <w:div w:id="1815828065">
              <w:marLeft w:val="0"/>
              <w:marRight w:val="0"/>
              <w:marTop w:val="0"/>
              <w:marBottom w:val="240"/>
              <w:divBdr>
                <w:top w:val="none" w:sz="0" w:space="0" w:color="auto"/>
                <w:left w:val="none" w:sz="0" w:space="0" w:color="auto"/>
                <w:bottom w:val="none" w:sz="0" w:space="0" w:color="auto"/>
                <w:right w:val="none" w:sz="0" w:space="0" w:color="auto"/>
              </w:divBdr>
            </w:div>
            <w:div w:id="2020083775">
              <w:marLeft w:val="0"/>
              <w:marRight w:val="0"/>
              <w:marTop w:val="0"/>
              <w:marBottom w:val="240"/>
              <w:divBdr>
                <w:top w:val="none" w:sz="0" w:space="0" w:color="auto"/>
                <w:left w:val="none" w:sz="0" w:space="0" w:color="auto"/>
                <w:bottom w:val="none" w:sz="0" w:space="0" w:color="auto"/>
                <w:right w:val="none" w:sz="0" w:space="0" w:color="auto"/>
              </w:divBdr>
            </w:div>
            <w:div w:id="1735470684">
              <w:marLeft w:val="0"/>
              <w:marRight w:val="0"/>
              <w:marTop w:val="0"/>
              <w:marBottom w:val="240"/>
              <w:divBdr>
                <w:top w:val="none" w:sz="0" w:space="0" w:color="auto"/>
                <w:left w:val="none" w:sz="0" w:space="0" w:color="auto"/>
                <w:bottom w:val="none" w:sz="0" w:space="0" w:color="auto"/>
                <w:right w:val="none" w:sz="0" w:space="0" w:color="auto"/>
              </w:divBdr>
            </w:div>
            <w:div w:id="119689313">
              <w:marLeft w:val="0"/>
              <w:marRight w:val="0"/>
              <w:marTop w:val="0"/>
              <w:marBottom w:val="240"/>
              <w:divBdr>
                <w:top w:val="none" w:sz="0" w:space="0" w:color="auto"/>
                <w:left w:val="none" w:sz="0" w:space="0" w:color="auto"/>
                <w:bottom w:val="none" w:sz="0" w:space="0" w:color="auto"/>
                <w:right w:val="none" w:sz="0" w:space="0" w:color="auto"/>
              </w:divBdr>
            </w:div>
            <w:div w:id="849490812">
              <w:marLeft w:val="0"/>
              <w:marRight w:val="0"/>
              <w:marTop w:val="0"/>
              <w:marBottom w:val="240"/>
              <w:divBdr>
                <w:top w:val="none" w:sz="0" w:space="0" w:color="auto"/>
                <w:left w:val="none" w:sz="0" w:space="0" w:color="auto"/>
                <w:bottom w:val="none" w:sz="0" w:space="0" w:color="auto"/>
                <w:right w:val="none" w:sz="0" w:space="0" w:color="auto"/>
              </w:divBdr>
            </w:div>
            <w:div w:id="1023479629">
              <w:marLeft w:val="0"/>
              <w:marRight w:val="0"/>
              <w:marTop w:val="0"/>
              <w:marBottom w:val="240"/>
              <w:divBdr>
                <w:top w:val="none" w:sz="0" w:space="0" w:color="auto"/>
                <w:left w:val="none" w:sz="0" w:space="0" w:color="auto"/>
                <w:bottom w:val="none" w:sz="0" w:space="0" w:color="auto"/>
                <w:right w:val="none" w:sz="0" w:space="0" w:color="auto"/>
              </w:divBdr>
            </w:div>
            <w:div w:id="80225695">
              <w:marLeft w:val="0"/>
              <w:marRight w:val="0"/>
              <w:marTop w:val="0"/>
              <w:marBottom w:val="240"/>
              <w:divBdr>
                <w:top w:val="none" w:sz="0" w:space="0" w:color="auto"/>
                <w:left w:val="none" w:sz="0" w:space="0" w:color="auto"/>
                <w:bottom w:val="none" w:sz="0" w:space="0" w:color="auto"/>
                <w:right w:val="none" w:sz="0" w:space="0" w:color="auto"/>
              </w:divBdr>
            </w:div>
            <w:div w:id="1298492474">
              <w:marLeft w:val="0"/>
              <w:marRight w:val="0"/>
              <w:marTop w:val="0"/>
              <w:marBottom w:val="240"/>
              <w:divBdr>
                <w:top w:val="none" w:sz="0" w:space="0" w:color="auto"/>
                <w:left w:val="none" w:sz="0" w:space="0" w:color="auto"/>
                <w:bottom w:val="none" w:sz="0" w:space="0" w:color="auto"/>
                <w:right w:val="none" w:sz="0" w:space="0" w:color="auto"/>
              </w:divBdr>
            </w:div>
            <w:div w:id="151992115">
              <w:marLeft w:val="0"/>
              <w:marRight w:val="0"/>
              <w:marTop w:val="0"/>
              <w:marBottom w:val="240"/>
              <w:divBdr>
                <w:top w:val="none" w:sz="0" w:space="0" w:color="auto"/>
                <w:left w:val="none" w:sz="0" w:space="0" w:color="auto"/>
                <w:bottom w:val="none" w:sz="0" w:space="0" w:color="auto"/>
                <w:right w:val="none" w:sz="0" w:space="0" w:color="auto"/>
              </w:divBdr>
            </w:div>
            <w:div w:id="859204790">
              <w:marLeft w:val="0"/>
              <w:marRight w:val="0"/>
              <w:marTop w:val="0"/>
              <w:marBottom w:val="240"/>
              <w:divBdr>
                <w:top w:val="none" w:sz="0" w:space="0" w:color="auto"/>
                <w:left w:val="none" w:sz="0" w:space="0" w:color="auto"/>
                <w:bottom w:val="none" w:sz="0" w:space="0" w:color="auto"/>
                <w:right w:val="none" w:sz="0" w:space="0" w:color="auto"/>
              </w:divBdr>
            </w:div>
            <w:div w:id="597830591">
              <w:marLeft w:val="0"/>
              <w:marRight w:val="0"/>
              <w:marTop w:val="0"/>
              <w:marBottom w:val="240"/>
              <w:divBdr>
                <w:top w:val="none" w:sz="0" w:space="0" w:color="auto"/>
                <w:left w:val="none" w:sz="0" w:space="0" w:color="auto"/>
                <w:bottom w:val="none" w:sz="0" w:space="0" w:color="auto"/>
                <w:right w:val="none" w:sz="0" w:space="0" w:color="auto"/>
              </w:divBdr>
            </w:div>
            <w:div w:id="1254516031">
              <w:marLeft w:val="0"/>
              <w:marRight w:val="0"/>
              <w:marTop w:val="0"/>
              <w:marBottom w:val="240"/>
              <w:divBdr>
                <w:top w:val="none" w:sz="0" w:space="0" w:color="auto"/>
                <w:left w:val="none" w:sz="0" w:space="0" w:color="auto"/>
                <w:bottom w:val="none" w:sz="0" w:space="0" w:color="auto"/>
                <w:right w:val="none" w:sz="0" w:space="0" w:color="auto"/>
              </w:divBdr>
            </w:div>
            <w:div w:id="1288009204">
              <w:marLeft w:val="0"/>
              <w:marRight w:val="0"/>
              <w:marTop w:val="0"/>
              <w:marBottom w:val="240"/>
              <w:divBdr>
                <w:top w:val="none" w:sz="0" w:space="0" w:color="auto"/>
                <w:left w:val="none" w:sz="0" w:space="0" w:color="auto"/>
                <w:bottom w:val="none" w:sz="0" w:space="0" w:color="auto"/>
                <w:right w:val="none" w:sz="0" w:space="0" w:color="auto"/>
              </w:divBdr>
            </w:div>
            <w:div w:id="1038891983">
              <w:marLeft w:val="0"/>
              <w:marRight w:val="0"/>
              <w:marTop w:val="0"/>
              <w:marBottom w:val="240"/>
              <w:divBdr>
                <w:top w:val="none" w:sz="0" w:space="0" w:color="auto"/>
                <w:left w:val="none" w:sz="0" w:space="0" w:color="auto"/>
                <w:bottom w:val="none" w:sz="0" w:space="0" w:color="auto"/>
                <w:right w:val="none" w:sz="0" w:space="0" w:color="auto"/>
              </w:divBdr>
            </w:div>
            <w:div w:id="64298800">
              <w:marLeft w:val="0"/>
              <w:marRight w:val="0"/>
              <w:marTop w:val="0"/>
              <w:marBottom w:val="240"/>
              <w:divBdr>
                <w:top w:val="none" w:sz="0" w:space="0" w:color="auto"/>
                <w:left w:val="none" w:sz="0" w:space="0" w:color="auto"/>
                <w:bottom w:val="none" w:sz="0" w:space="0" w:color="auto"/>
                <w:right w:val="none" w:sz="0" w:space="0" w:color="auto"/>
              </w:divBdr>
            </w:div>
            <w:div w:id="94521917">
              <w:marLeft w:val="0"/>
              <w:marRight w:val="0"/>
              <w:marTop w:val="0"/>
              <w:marBottom w:val="240"/>
              <w:divBdr>
                <w:top w:val="none" w:sz="0" w:space="0" w:color="auto"/>
                <w:left w:val="none" w:sz="0" w:space="0" w:color="auto"/>
                <w:bottom w:val="none" w:sz="0" w:space="0" w:color="auto"/>
                <w:right w:val="none" w:sz="0" w:space="0" w:color="auto"/>
              </w:divBdr>
            </w:div>
            <w:div w:id="637102109">
              <w:marLeft w:val="0"/>
              <w:marRight w:val="0"/>
              <w:marTop w:val="0"/>
              <w:marBottom w:val="240"/>
              <w:divBdr>
                <w:top w:val="none" w:sz="0" w:space="0" w:color="auto"/>
                <w:left w:val="none" w:sz="0" w:space="0" w:color="auto"/>
                <w:bottom w:val="none" w:sz="0" w:space="0" w:color="auto"/>
                <w:right w:val="none" w:sz="0" w:space="0" w:color="auto"/>
              </w:divBdr>
            </w:div>
            <w:div w:id="1467775024">
              <w:marLeft w:val="0"/>
              <w:marRight w:val="0"/>
              <w:marTop w:val="0"/>
              <w:marBottom w:val="240"/>
              <w:divBdr>
                <w:top w:val="none" w:sz="0" w:space="0" w:color="auto"/>
                <w:left w:val="none" w:sz="0" w:space="0" w:color="auto"/>
                <w:bottom w:val="none" w:sz="0" w:space="0" w:color="auto"/>
                <w:right w:val="none" w:sz="0" w:space="0" w:color="auto"/>
              </w:divBdr>
            </w:div>
            <w:div w:id="118034038">
              <w:marLeft w:val="0"/>
              <w:marRight w:val="0"/>
              <w:marTop w:val="0"/>
              <w:marBottom w:val="240"/>
              <w:divBdr>
                <w:top w:val="none" w:sz="0" w:space="0" w:color="auto"/>
                <w:left w:val="none" w:sz="0" w:space="0" w:color="auto"/>
                <w:bottom w:val="none" w:sz="0" w:space="0" w:color="auto"/>
                <w:right w:val="none" w:sz="0" w:space="0" w:color="auto"/>
              </w:divBdr>
            </w:div>
            <w:div w:id="1193955019">
              <w:marLeft w:val="0"/>
              <w:marRight w:val="0"/>
              <w:marTop w:val="0"/>
              <w:marBottom w:val="240"/>
              <w:divBdr>
                <w:top w:val="none" w:sz="0" w:space="0" w:color="auto"/>
                <w:left w:val="none" w:sz="0" w:space="0" w:color="auto"/>
                <w:bottom w:val="none" w:sz="0" w:space="0" w:color="auto"/>
                <w:right w:val="none" w:sz="0" w:space="0" w:color="auto"/>
              </w:divBdr>
            </w:div>
            <w:div w:id="1906646998">
              <w:marLeft w:val="0"/>
              <w:marRight w:val="0"/>
              <w:marTop w:val="0"/>
              <w:marBottom w:val="240"/>
              <w:divBdr>
                <w:top w:val="none" w:sz="0" w:space="0" w:color="auto"/>
                <w:left w:val="none" w:sz="0" w:space="0" w:color="auto"/>
                <w:bottom w:val="none" w:sz="0" w:space="0" w:color="auto"/>
                <w:right w:val="none" w:sz="0" w:space="0" w:color="auto"/>
              </w:divBdr>
            </w:div>
            <w:div w:id="1597859005">
              <w:marLeft w:val="0"/>
              <w:marRight w:val="0"/>
              <w:marTop w:val="0"/>
              <w:marBottom w:val="240"/>
              <w:divBdr>
                <w:top w:val="none" w:sz="0" w:space="0" w:color="auto"/>
                <w:left w:val="none" w:sz="0" w:space="0" w:color="auto"/>
                <w:bottom w:val="none" w:sz="0" w:space="0" w:color="auto"/>
                <w:right w:val="none" w:sz="0" w:space="0" w:color="auto"/>
              </w:divBdr>
            </w:div>
            <w:div w:id="991517410">
              <w:marLeft w:val="0"/>
              <w:marRight w:val="0"/>
              <w:marTop w:val="0"/>
              <w:marBottom w:val="240"/>
              <w:divBdr>
                <w:top w:val="none" w:sz="0" w:space="0" w:color="auto"/>
                <w:left w:val="none" w:sz="0" w:space="0" w:color="auto"/>
                <w:bottom w:val="none" w:sz="0" w:space="0" w:color="auto"/>
                <w:right w:val="none" w:sz="0" w:space="0" w:color="auto"/>
              </w:divBdr>
            </w:div>
            <w:div w:id="1157916693">
              <w:marLeft w:val="0"/>
              <w:marRight w:val="0"/>
              <w:marTop w:val="0"/>
              <w:marBottom w:val="240"/>
              <w:divBdr>
                <w:top w:val="none" w:sz="0" w:space="0" w:color="auto"/>
                <w:left w:val="none" w:sz="0" w:space="0" w:color="auto"/>
                <w:bottom w:val="none" w:sz="0" w:space="0" w:color="auto"/>
                <w:right w:val="none" w:sz="0" w:space="0" w:color="auto"/>
              </w:divBdr>
            </w:div>
            <w:div w:id="623197134">
              <w:marLeft w:val="0"/>
              <w:marRight w:val="0"/>
              <w:marTop w:val="0"/>
              <w:marBottom w:val="240"/>
              <w:divBdr>
                <w:top w:val="none" w:sz="0" w:space="0" w:color="auto"/>
                <w:left w:val="none" w:sz="0" w:space="0" w:color="auto"/>
                <w:bottom w:val="none" w:sz="0" w:space="0" w:color="auto"/>
                <w:right w:val="none" w:sz="0" w:space="0" w:color="auto"/>
              </w:divBdr>
            </w:div>
            <w:div w:id="1696147980">
              <w:marLeft w:val="0"/>
              <w:marRight w:val="0"/>
              <w:marTop w:val="0"/>
              <w:marBottom w:val="240"/>
              <w:divBdr>
                <w:top w:val="none" w:sz="0" w:space="0" w:color="auto"/>
                <w:left w:val="none" w:sz="0" w:space="0" w:color="auto"/>
                <w:bottom w:val="none" w:sz="0" w:space="0" w:color="auto"/>
                <w:right w:val="none" w:sz="0" w:space="0" w:color="auto"/>
              </w:divBdr>
            </w:div>
            <w:div w:id="332728213">
              <w:marLeft w:val="0"/>
              <w:marRight w:val="0"/>
              <w:marTop w:val="0"/>
              <w:marBottom w:val="240"/>
              <w:divBdr>
                <w:top w:val="none" w:sz="0" w:space="0" w:color="auto"/>
                <w:left w:val="none" w:sz="0" w:space="0" w:color="auto"/>
                <w:bottom w:val="none" w:sz="0" w:space="0" w:color="auto"/>
                <w:right w:val="none" w:sz="0" w:space="0" w:color="auto"/>
              </w:divBdr>
            </w:div>
            <w:div w:id="1782335385">
              <w:marLeft w:val="0"/>
              <w:marRight w:val="0"/>
              <w:marTop w:val="0"/>
              <w:marBottom w:val="240"/>
              <w:divBdr>
                <w:top w:val="none" w:sz="0" w:space="0" w:color="auto"/>
                <w:left w:val="none" w:sz="0" w:space="0" w:color="auto"/>
                <w:bottom w:val="none" w:sz="0" w:space="0" w:color="auto"/>
                <w:right w:val="none" w:sz="0" w:space="0" w:color="auto"/>
              </w:divBdr>
            </w:div>
            <w:div w:id="1153646020">
              <w:marLeft w:val="0"/>
              <w:marRight w:val="0"/>
              <w:marTop w:val="0"/>
              <w:marBottom w:val="240"/>
              <w:divBdr>
                <w:top w:val="none" w:sz="0" w:space="0" w:color="auto"/>
                <w:left w:val="none" w:sz="0" w:space="0" w:color="auto"/>
                <w:bottom w:val="none" w:sz="0" w:space="0" w:color="auto"/>
                <w:right w:val="none" w:sz="0" w:space="0" w:color="auto"/>
              </w:divBdr>
            </w:div>
            <w:div w:id="786509973">
              <w:marLeft w:val="0"/>
              <w:marRight w:val="0"/>
              <w:marTop w:val="0"/>
              <w:marBottom w:val="240"/>
              <w:divBdr>
                <w:top w:val="none" w:sz="0" w:space="0" w:color="auto"/>
                <w:left w:val="none" w:sz="0" w:space="0" w:color="auto"/>
                <w:bottom w:val="none" w:sz="0" w:space="0" w:color="auto"/>
                <w:right w:val="none" w:sz="0" w:space="0" w:color="auto"/>
              </w:divBdr>
            </w:div>
            <w:div w:id="1764448992">
              <w:marLeft w:val="0"/>
              <w:marRight w:val="0"/>
              <w:marTop w:val="0"/>
              <w:marBottom w:val="240"/>
              <w:divBdr>
                <w:top w:val="none" w:sz="0" w:space="0" w:color="auto"/>
                <w:left w:val="none" w:sz="0" w:space="0" w:color="auto"/>
                <w:bottom w:val="none" w:sz="0" w:space="0" w:color="auto"/>
                <w:right w:val="none" w:sz="0" w:space="0" w:color="auto"/>
              </w:divBdr>
            </w:div>
            <w:div w:id="1673677041">
              <w:marLeft w:val="0"/>
              <w:marRight w:val="0"/>
              <w:marTop w:val="0"/>
              <w:marBottom w:val="240"/>
              <w:divBdr>
                <w:top w:val="none" w:sz="0" w:space="0" w:color="auto"/>
                <w:left w:val="none" w:sz="0" w:space="0" w:color="auto"/>
                <w:bottom w:val="none" w:sz="0" w:space="0" w:color="auto"/>
                <w:right w:val="none" w:sz="0" w:space="0" w:color="auto"/>
              </w:divBdr>
            </w:div>
            <w:div w:id="1936591514">
              <w:marLeft w:val="0"/>
              <w:marRight w:val="0"/>
              <w:marTop w:val="0"/>
              <w:marBottom w:val="240"/>
              <w:divBdr>
                <w:top w:val="none" w:sz="0" w:space="0" w:color="auto"/>
                <w:left w:val="none" w:sz="0" w:space="0" w:color="auto"/>
                <w:bottom w:val="none" w:sz="0" w:space="0" w:color="auto"/>
                <w:right w:val="none" w:sz="0" w:space="0" w:color="auto"/>
              </w:divBdr>
            </w:div>
            <w:div w:id="1075278905">
              <w:marLeft w:val="0"/>
              <w:marRight w:val="0"/>
              <w:marTop w:val="0"/>
              <w:marBottom w:val="240"/>
              <w:divBdr>
                <w:top w:val="none" w:sz="0" w:space="0" w:color="auto"/>
                <w:left w:val="none" w:sz="0" w:space="0" w:color="auto"/>
                <w:bottom w:val="none" w:sz="0" w:space="0" w:color="auto"/>
                <w:right w:val="none" w:sz="0" w:space="0" w:color="auto"/>
              </w:divBdr>
            </w:div>
            <w:div w:id="1220823855">
              <w:marLeft w:val="0"/>
              <w:marRight w:val="0"/>
              <w:marTop w:val="0"/>
              <w:marBottom w:val="240"/>
              <w:divBdr>
                <w:top w:val="none" w:sz="0" w:space="0" w:color="auto"/>
                <w:left w:val="none" w:sz="0" w:space="0" w:color="auto"/>
                <w:bottom w:val="none" w:sz="0" w:space="0" w:color="auto"/>
                <w:right w:val="none" w:sz="0" w:space="0" w:color="auto"/>
              </w:divBdr>
            </w:div>
            <w:div w:id="1647971592">
              <w:marLeft w:val="0"/>
              <w:marRight w:val="0"/>
              <w:marTop w:val="0"/>
              <w:marBottom w:val="240"/>
              <w:divBdr>
                <w:top w:val="none" w:sz="0" w:space="0" w:color="auto"/>
                <w:left w:val="none" w:sz="0" w:space="0" w:color="auto"/>
                <w:bottom w:val="none" w:sz="0" w:space="0" w:color="auto"/>
                <w:right w:val="none" w:sz="0" w:space="0" w:color="auto"/>
              </w:divBdr>
            </w:div>
            <w:div w:id="1894652547">
              <w:marLeft w:val="0"/>
              <w:marRight w:val="0"/>
              <w:marTop w:val="0"/>
              <w:marBottom w:val="240"/>
              <w:divBdr>
                <w:top w:val="none" w:sz="0" w:space="0" w:color="auto"/>
                <w:left w:val="none" w:sz="0" w:space="0" w:color="auto"/>
                <w:bottom w:val="none" w:sz="0" w:space="0" w:color="auto"/>
                <w:right w:val="none" w:sz="0" w:space="0" w:color="auto"/>
              </w:divBdr>
            </w:div>
            <w:div w:id="435486875">
              <w:marLeft w:val="0"/>
              <w:marRight w:val="0"/>
              <w:marTop w:val="0"/>
              <w:marBottom w:val="240"/>
              <w:divBdr>
                <w:top w:val="none" w:sz="0" w:space="0" w:color="auto"/>
                <w:left w:val="none" w:sz="0" w:space="0" w:color="auto"/>
                <w:bottom w:val="none" w:sz="0" w:space="0" w:color="auto"/>
                <w:right w:val="none" w:sz="0" w:space="0" w:color="auto"/>
              </w:divBdr>
            </w:div>
            <w:div w:id="1341005503">
              <w:marLeft w:val="0"/>
              <w:marRight w:val="0"/>
              <w:marTop w:val="0"/>
              <w:marBottom w:val="240"/>
              <w:divBdr>
                <w:top w:val="none" w:sz="0" w:space="0" w:color="auto"/>
                <w:left w:val="none" w:sz="0" w:space="0" w:color="auto"/>
                <w:bottom w:val="none" w:sz="0" w:space="0" w:color="auto"/>
                <w:right w:val="none" w:sz="0" w:space="0" w:color="auto"/>
              </w:divBdr>
            </w:div>
            <w:div w:id="560991897">
              <w:marLeft w:val="0"/>
              <w:marRight w:val="0"/>
              <w:marTop w:val="0"/>
              <w:marBottom w:val="240"/>
              <w:divBdr>
                <w:top w:val="none" w:sz="0" w:space="0" w:color="auto"/>
                <w:left w:val="none" w:sz="0" w:space="0" w:color="auto"/>
                <w:bottom w:val="none" w:sz="0" w:space="0" w:color="auto"/>
                <w:right w:val="none" w:sz="0" w:space="0" w:color="auto"/>
              </w:divBdr>
            </w:div>
            <w:div w:id="76247305">
              <w:marLeft w:val="0"/>
              <w:marRight w:val="0"/>
              <w:marTop w:val="0"/>
              <w:marBottom w:val="240"/>
              <w:divBdr>
                <w:top w:val="none" w:sz="0" w:space="0" w:color="auto"/>
                <w:left w:val="none" w:sz="0" w:space="0" w:color="auto"/>
                <w:bottom w:val="none" w:sz="0" w:space="0" w:color="auto"/>
                <w:right w:val="none" w:sz="0" w:space="0" w:color="auto"/>
              </w:divBdr>
            </w:div>
            <w:div w:id="217595144">
              <w:marLeft w:val="0"/>
              <w:marRight w:val="0"/>
              <w:marTop w:val="0"/>
              <w:marBottom w:val="240"/>
              <w:divBdr>
                <w:top w:val="none" w:sz="0" w:space="0" w:color="auto"/>
                <w:left w:val="none" w:sz="0" w:space="0" w:color="auto"/>
                <w:bottom w:val="none" w:sz="0" w:space="0" w:color="auto"/>
                <w:right w:val="none" w:sz="0" w:space="0" w:color="auto"/>
              </w:divBdr>
            </w:div>
            <w:div w:id="1716274560">
              <w:marLeft w:val="0"/>
              <w:marRight w:val="0"/>
              <w:marTop w:val="0"/>
              <w:marBottom w:val="240"/>
              <w:divBdr>
                <w:top w:val="none" w:sz="0" w:space="0" w:color="auto"/>
                <w:left w:val="none" w:sz="0" w:space="0" w:color="auto"/>
                <w:bottom w:val="none" w:sz="0" w:space="0" w:color="auto"/>
                <w:right w:val="none" w:sz="0" w:space="0" w:color="auto"/>
              </w:divBdr>
            </w:div>
            <w:div w:id="1551725826">
              <w:marLeft w:val="0"/>
              <w:marRight w:val="0"/>
              <w:marTop w:val="0"/>
              <w:marBottom w:val="240"/>
              <w:divBdr>
                <w:top w:val="none" w:sz="0" w:space="0" w:color="auto"/>
                <w:left w:val="none" w:sz="0" w:space="0" w:color="auto"/>
                <w:bottom w:val="none" w:sz="0" w:space="0" w:color="auto"/>
                <w:right w:val="none" w:sz="0" w:space="0" w:color="auto"/>
              </w:divBdr>
            </w:div>
            <w:div w:id="9380468">
              <w:marLeft w:val="0"/>
              <w:marRight w:val="0"/>
              <w:marTop w:val="0"/>
              <w:marBottom w:val="240"/>
              <w:divBdr>
                <w:top w:val="none" w:sz="0" w:space="0" w:color="auto"/>
                <w:left w:val="none" w:sz="0" w:space="0" w:color="auto"/>
                <w:bottom w:val="none" w:sz="0" w:space="0" w:color="auto"/>
                <w:right w:val="none" w:sz="0" w:space="0" w:color="auto"/>
              </w:divBdr>
            </w:div>
            <w:div w:id="1291478760">
              <w:marLeft w:val="0"/>
              <w:marRight w:val="0"/>
              <w:marTop w:val="0"/>
              <w:marBottom w:val="240"/>
              <w:divBdr>
                <w:top w:val="none" w:sz="0" w:space="0" w:color="auto"/>
                <w:left w:val="none" w:sz="0" w:space="0" w:color="auto"/>
                <w:bottom w:val="none" w:sz="0" w:space="0" w:color="auto"/>
                <w:right w:val="none" w:sz="0" w:space="0" w:color="auto"/>
              </w:divBdr>
            </w:div>
            <w:div w:id="1959407092">
              <w:marLeft w:val="0"/>
              <w:marRight w:val="0"/>
              <w:marTop w:val="0"/>
              <w:marBottom w:val="240"/>
              <w:divBdr>
                <w:top w:val="none" w:sz="0" w:space="0" w:color="auto"/>
                <w:left w:val="none" w:sz="0" w:space="0" w:color="auto"/>
                <w:bottom w:val="none" w:sz="0" w:space="0" w:color="auto"/>
                <w:right w:val="none" w:sz="0" w:space="0" w:color="auto"/>
              </w:divBdr>
            </w:div>
            <w:div w:id="2029718309">
              <w:marLeft w:val="0"/>
              <w:marRight w:val="0"/>
              <w:marTop w:val="0"/>
              <w:marBottom w:val="240"/>
              <w:divBdr>
                <w:top w:val="none" w:sz="0" w:space="0" w:color="auto"/>
                <w:left w:val="none" w:sz="0" w:space="0" w:color="auto"/>
                <w:bottom w:val="none" w:sz="0" w:space="0" w:color="auto"/>
                <w:right w:val="none" w:sz="0" w:space="0" w:color="auto"/>
              </w:divBdr>
            </w:div>
            <w:div w:id="626667383">
              <w:marLeft w:val="0"/>
              <w:marRight w:val="0"/>
              <w:marTop w:val="0"/>
              <w:marBottom w:val="240"/>
              <w:divBdr>
                <w:top w:val="none" w:sz="0" w:space="0" w:color="auto"/>
                <w:left w:val="none" w:sz="0" w:space="0" w:color="auto"/>
                <w:bottom w:val="none" w:sz="0" w:space="0" w:color="auto"/>
                <w:right w:val="none" w:sz="0" w:space="0" w:color="auto"/>
              </w:divBdr>
            </w:div>
            <w:div w:id="59401817">
              <w:marLeft w:val="0"/>
              <w:marRight w:val="0"/>
              <w:marTop w:val="0"/>
              <w:marBottom w:val="240"/>
              <w:divBdr>
                <w:top w:val="none" w:sz="0" w:space="0" w:color="auto"/>
                <w:left w:val="none" w:sz="0" w:space="0" w:color="auto"/>
                <w:bottom w:val="none" w:sz="0" w:space="0" w:color="auto"/>
                <w:right w:val="none" w:sz="0" w:space="0" w:color="auto"/>
              </w:divBdr>
            </w:div>
            <w:div w:id="98985587">
              <w:marLeft w:val="0"/>
              <w:marRight w:val="0"/>
              <w:marTop w:val="0"/>
              <w:marBottom w:val="240"/>
              <w:divBdr>
                <w:top w:val="none" w:sz="0" w:space="0" w:color="auto"/>
                <w:left w:val="none" w:sz="0" w:space="0" w:color="auto"/>
                <w:bottom w:val="none" w:sz="0" w:space="0" w:color="auto"/>
                <w:right w:val="none" w:sz="0" w:space="0" w:color="auto"/>
              </w:divBdr>
            </w:div>
            <w:div w:id="1707484387">
              <w:marLeft w:val="0"/>
              <w:marRight w:val="0"/>
              <w:marTop w:val="0"/>
              <w:marBottom w:val="240"/>
              <w:divBdr>
                <w:top w:val="none" w:sz="0" w:space="0" w:color="auto"/>
                <w:left w:val="none" w:sz="0" w:space="0" w:color="auto"/>
                <w:bottom w:val="none" w:sz="0" w:space="0" w:color="auto"/>
                <w:right w:val="none" w:sz="0" w:space="0" w:color="auto"/>
              </w:divBdr>
            </w:div>
            <w:div w:id="961811454">
              <w:marLeft w:val="0"/>
              <w:marRight w:val="0"/>
              <w:marTop w:val="0"/>
              <w:marBottom w:val="240"/>
              <w:divBdr>
                <w:top w:val="none" w:sz="0" w:space="0" w:color="auto"/>
                <w:left w:val="none" w:sz="0" w:space="0" w:color="auto"/>
                <w:bottom w:val="none" w:sz="0" w:space="0" w:color="auto"/>
                <w:right w:val="none" w:sz="0" w:space="0" w:color="auto"/>
              </w:divBdr>
            </w:div>
            <w:div w:id="1996689603">
              <w:marLeft w:val="0"/>
              <w:marRight w:val="0"/>
              <w:marTop w:val="0"/>
              <w:marBottom w:val="240"/>
              <w:divBdr>
                <w:top w:val="none" w:sz="0" w:space="0" w:color="auto"/>
                <w:left w:val="none" w:sz="0" w:space="0" w:color="auto"/>
                <w:bottom w:val="none" w:sz="0" w:space="0" w:color="auto"/>
                <w:right w:val="none" w:sz="0" w:space="0" w:color="auto"/>
              </w:divBdr>
            </w:div>
            <w:div w:id="151600149">
              <w:marLeft w:val="0"/>
              <w:marRight w:val="0"/>
              <w:marTop w:val="0"/>
              <w:marBottom w:val="240"/>
              <w:divBdr>
                <w:top w:val="none" w:sz="0" w:space="0" w:color="auto"/>
                <w:left w:val="none" w:sz="0" w:space="0" w:color="auto"/>
                <w:bottom w:val="none" w:sz="0" w:space="0" w:color="auto"/>
                <w:right w:val="none" w:sz="0" w:space="0" w:color="auto"/>
              </w:divBdr>
            </w:div>
            <w:div w:id="345526421">
              <w:marLeft w:val="0"/>
              <w:marRight w:val="0"/>
              <w:marTop w:val="0"/>
              <w:marBottom w:val="240"/>
              <w:divBdr>
                <w:top w:val="none" w:sz="0" w:space="0" w:color="auto"/>
                <w:left w:val="none" w:sz="0" w:space="0" w:color="auto"/>
                <w:bottom w:val="none" w:sz="0" w:space="0" w:color="auto"/>
                <w:right w:val="none" w:sz="0" w:space="0" w:color="auto"/>
              </w:divBdr>
            </w:div>
            <w:div w:id="45878950">
              <w:marLeft w:val="0"/>
              <w:marRight w:val="0"/>
              <w:marTop w:val="0"/>
              <w:marBottom w:val="240"/>
              <w:divBdr>
                <w:top w:val="none" w:sz="0" w:space="0" w:color="auto"/>
                <w:left w:val="none" w:sz="0" w:space="0" w:color="auto"/>
                <w:bottom w:val="none" w:sz="0" w:space="0" w:color="auto"/>
                <w:right w:val="none" w:sz="0" w:space="0" w:color="auto"/>
              </w:divBdr>
            </w:div>
            <w:div w:id="2025935412">
              <w:marLeft w:val="0"/>
              <w:marRight w:val="0"/>
              <w:marTop w:val="0"/>
              <w:marBottom w:val="240"/>
              <w:divBdr>
                <w:top w:val="none" w:sz="0" w:space="0" w:color="auto"/>
                <w:left w:val="none" w:sz="0" w:space="0" w:color="auto"/>
                <w:bottom w:val="none" w:sz="0" w:space="0" w:color="auto"/>
                <w:right w:val="none" w:sz="0" w:space="0" w:color="auto"/>
              </w:divBdr>
            </w:div>
            <w:div w:id="1109931928">
              <w:marLeft w:val="0"/>
              <w:marRight w:val="0"/>
              <w:marTop w:val="0"/>
              <w:marBottom w:val="240"/>
              <w:divBdr>
                <w:top w:val="none" w:sz="0" w:space="0" w:color="auto"/>
                <w:left w:val="none" w:sz="0" w:space="0" w:color="auto"/>
                <w:bottom w:val="none" w:sz="0" w:space="0" w:color="auto"/>
                <w:right w:val="none" w:sz="0" w:space="0" w:color="auto"/>
              </w:divBdr>
            </w:div>
            <w:div w:id="1678311729">
              <w:marLeft w:val="0"/>
              <w:marRight w:val="0"/>
              <w:marTop w:val="0"/>
              <w:marBottom w:val="240"/>
              <w:divBdr>
                <w:top w:val="none" w:sz="0" w:space="0" w:color="auto"/>
                <w:left w:val="none" w:sz="0" w:space="0" w:color="auto"/>
                <w:bottom w:val="none" w:sz="0" w:space="0" w:color="auto"/>
                <w:right w:val="none" w:sz="0" w:space="0" w:color="auto"/>
              </w:divBdr>
            </w:div>
            <w:div w:id="1262641575">
              <w:marLeft w:val="0"/>
              <w:marRight w:val="0"/>
              <w:marTop w:val="0"/>
              <w:marBottom w:val="240"/>
              <w:divBdr>
                <w:top w:val="none" w:sz="0" w:space="0" w:color="auto"/>
                <w:left w:val="none" w:sz="0" w:space="0" w:color="auto"/>
                <w:bottom w:val="none" w:sz="0" w:space="0" w:color="auto"/>
                <w:right w:val="none" w:sz="0" w:space="0" w:color="auto"/>
              </w:divBdr>
            </w:div>
            <w:div w:id="1447852397">
              <w:marLeft w:val="0"/>
              <w:marRight w:val="0"/>
              <w:marTop w:val="0"/>
              <w:marBottom w:val="240"/>
              <w:divBdr>
                <w:top w:val="none" w:sz="0" w:space="0" w:color="auto"/>
                <w:left w:val="none" w:sz="0" w:space="0" w:color="auto"/>
                <w:bottom w:val="none" w:sz="0" w:space="0" w:color="auto"/>
                <w:right w:val="none" w:sz="0" w:space="0" w:color="auto"/>
              </w:divBdr>
            </w:div>
            <w:div w:id="40444884">
              <w:marLeft w:val="0"/>
              <w:marRight w:val="0"/>
              <w:marTop w:val="0"/>
              <w:marBottom w:val="240"/>
              <w:divBdr>
                <w:top w:val="none" w:sz="0" w:space="0" w:color="auto"/>
                <w:left w:val="none" w:sz="0" w:space="0" w:color="auto"/>
                <w:bottom w:val="none" w:sz="0" w:space="0" w:color="auto"/>
                <w:right w:val="none" w:sz="0" w:space="0" w:color="auto"/>
              </w:divBdr>
            </w:div>
            <w:div w:id="159201104">
              <w:marLeft w:val="0"/>
              <w:marRight w:val="0"/>
              <w:marTop w:val="0"/>
              <w:marBottom w:val="240"/>
              <w:divBdr>
                <w:top w:val="none" w:sz="0" w:space="0" w:color="auto"/>
                <w:left w:val="none" w:sz="0" w:space="0" w:color="auto"/>
                <w:bottom w:val="none" w:sz="0" w:space="0" w:color="auto"/>
                <w:right w:val="none" w:sz="0" w:space="0" w:color="auto"/>
              </w:divBdr>
            </w:div>
            <w:div w:id="407119524">
              <w:marLeft w:val="0"/>
              <w:marRight w:val="0"/>
              <w:marTop w:val="0"/>
              <w:marBottom w:val="240"/>
              <w:divBdr>
                <w:top w:val="none" w:sz="0" w:space="0" w:color="auto"/>
                <w:left w:val="none" w:sz="0" w:space="0" w:color="auto"/>
                <w:bottom w:val="none" w:sz="0" w:space="0" w:color="auto"/>
                <w:right w:val="none" w:sz="0" w:space="0" w:color="auto"/>
              </w:divBdr>
            </w:div>
            <w:div w:id="1740442393">
              <w:marLeft w:val="0"/>
              <w:marRight w:val="0"/>
              <w:marTop w:val="0"/>
              <w:marBottom w:val="240"/>
              <w:divBdr>
                <w:top w:val="none" w:sz="0" w:space="0" w:color="auto"/>
                <w:left w:val="none" w:sz="0" w:space="0" w:color="auto"/>
                <w:bottom w:val="none" w:sz="0" w:space="0" w:color="auto"/>
                <w:right w:val="none" w:sz="0" w:space="0" w:color="auto"/>
              </w:divBdr>
            </w:div>
            <w:div w:id="1314482266">
              <w:marLeft w:val="0"/>
              <w:marRight w:val="0"/>
              <w:marTop w:val="0"/>
              <w:marBottom w:val="240"/>
              <w:divBdr>
                <w:top w:val="none" w:sz="0" w:space="0" w:color="auto"/>
                <w:left w:val="none" w:sz="0" w:space="0" w:color="auto"/>
                <w:bottom w:val="none" w:sz="0" w:space="0" w:color="auto"/>
                <w:right w:val="none" w:sz="0" w:space="0" w:color="auto"/>
              </w:divBdr>
            </w:div>
            <w:div w:id="1672368582">
              <w:marLeft w:val="0"/>
              <w:marRight w:val="0"/>
              <w:marTop w:val="0"/>
              <w:marBottom w:val="240"/>
              <w:divBdr>
                <w:top w:val="none" w:sz="0" w:space="0" w:color="auto"/>
                <w:left w:val="none" w:sz="0" w:space="0" w:color="auto"/>
                <w:bottom w:val="none" w:sz="0" w:space="0" w:color="auto"/>
                <w:right w:val="none" w:sz="0" w:space="0" w:color="auto"/>
              </w:divBdr>
            </w:div>
            <w:div w:id="732392620">
              <w:marLeft w:val="0"/>
              <w:marRight w:val="0"/>
              <w:marTop w:val="0"/>
              <w:marBottom w:val="240"/>
              <w:divBdr>
                <w:top w:val="none" w:sz="0" w:space="0" w:color="auto"/>
                <w:left w:val="none" w:sz="0" w:space="0" w:color="auto"/>
                <w:bottom w:val="none" w:sz="0" w:space="0" w:color="auto"/>
                <w:right w:val="none" w:sz="0" w:space="0" w:color="auto"/>
              </w:divBdr>
            </w:div>
            <w:div w:id="789856867">
              <w:marLeft w:val="0"/>
              <w:marRight w:val="0"/>
              <w:marTop w:val="0"/>
              <w:marBottom w:val="240"/>
              <w:divBdr>
                <w:top w:val="none" w:sz="0" w:space="0" w:color="auto"/>
                <w:left w:val="none" w:sz="0" w:space="0" w:color="auto"/>
                <w:bottom w:val="none" w:sz="0" w:space="0" w:color="auto"/>
                <w:right w:val="none" w:sz="0" w:space="0" w:color="auto"/>
              </w:divBdr>
            </w:div>
            <w:div w:id="1776242027">
              <w:marLeft w:val="0"/>
              <w:marRight w:val="0"/>
              <w:marTop w:val="0"/>
              <w:marBottom w:val="240"/>
              <w:divBdr>
                <w:top w:val="none" w:sz="0" w:space="0" w:color="auto"/>
                <w:left w:val="none" w:sz="0" w:space="0" w:color="auto"/>
                <w:bottom w:val="none" w:sz="0" w:space="0" w:color="auto"/>
                <w:right w:val="none" w:sz="0" w:space="0" w:color="auto"/>
              </w:divBdr>
            </w:div>
            <w:div w:id="265626262">
              <w:marLeft w:val="0"/>
              <w:marRight w:val="0"/>
              <w:marTop w:val="0"/>
              <w:marBottom w:val="240"/>
              <w:divBdr>
                <w:top w:val="none" w:sz="0" w:space="0" w:color="auto"/>
                <w:left w:val="none" w:sz="0" w:space="0" w:color="auto"/>
                <w:bottom w:val="none" w:sz="0" w:space="0" w:color="auto"/>
                <w:right w:val="none" w:sz="0" w:space="0" w:color="auto"/>
              </w:divBdr>
            </w:div>
            <w:div w:id="1997830467">
              <w:marLeft w:val="0"/>
              <w:marRight w:val="0"/>
              <w:marTop w:val="0"/>
              <w:marBottom w:val="240"/>
              <w:divBdr>
                <w:top w:val="none" w:sz="0" w:space="0" w:color="auto"/>
                <w:left w:val="none" w:sz="0" w:space="0" w:color="auto"/>
                <w:bottom w:val="none" w:sz="0" w:space="0" w:color="auto"/>
                <w:right w:val="none" w:sz="0" w:space="0" w:color="auto"/>
              </w:divBdr>
            </w:div>
            <w:div w:id="1038432264">
              <w:marLeft w:val="0"/>
              <w:marRight w:val="0"/>
              <w:marTop w:val="0"/>
              <w:marBottom w:val="240"/>
              <w:divBdr>
                <w:top w:val="none" w:sz="0" w:space="0" w:color="auto"/>
                <w:left w:val="none" w:sz="0" w:space="0" w:color="auto"/>
                <w:bottom w:val="none" w:sz="0" w:space="0" w:color="auto"/>
                <w:right w:val="none" w:sz="0" w:space="0" w:color="auto"/>
              </w:divBdr>
            </w:div>
            <w:div w:id="299961183">
              <w:marLeft w:val="0"/>
              <w:marRight w:val="0"/>
              <w:marTop w:val="0"/>
              <w:marBottom w:val="240"/>
              <w:divBdr>
                <w:top w:val="none" w:sz="0" w:space="0" w:color="auto"/>
                <w:left w:val="none" w:sz="0" w:space="0" w:color="auto"/>
                <w:bottom w:val="none" w:sz="0" w:space="0" w:color="auto"/>
                <w:right w:val="none" w:sz="0" w:space="0" w:color="auto"/>
              </w:divBdr>
            </w:div>
            <w:div w:id="1344556177">
              <w:marLeft w:val="0"/>
              <w:marRight w:val="0"/>
              <w:marTop w:val="0"/>
              <w:marBottom w:val="240"/>
              <w:divBdr>
                <w:top w:val="none" w:sz="0" w:space="0" w:color="auto"/>
                <w:left w:val="none" w:sz="0" w:space="0" w:color="auto"/>
                <w:bottom w:val="none" w:sz="0" w:space="0" w:color="auto"/>
                <w:right w:val="none" w:sz="0" w:space="0" w:color="auto"/>
              </w:divBdr>
            </w:div>
            <w:div w:id="2104257620">
              <w:marLeft w:val="0"/>
              <w:marRight w:val="0"/>
              <w:marTop w:val="0"/>
              <w:marBottom w:val="240"/>
              <w:divBdr>
                <w:top w:val="none" w:sz="0" w:space="0" w:color="auto"/>
                <w:left w:val="none" w:sz="0" w:space="0" w:color="auto"/>
                <w:bottom w:val="none" w:sz="0" w:space="0" w:color="auto"/>
                <w:right w:val="none" w:sz="0" w:space="0" w:color="auto"/>
              </w:divBdr>
            </w:div>
            <w:div w:id="186482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286369">
      <w:bodyDiv w:val="1"/>
      <w:marLeft w:val="0"/>
      <w:marRight w:val="0"/>
      <w:marTop w:val="0"/>
      <w:marBottom w:val="0"/>
      <w:divBdr>
        <w:top w:val="none" w:sz="0" w:space="0" w:color="auto"/>
        <w:left w:val="none" w:sz="0" w:space="0" w:color="auto"/>
        <w:bottom w:val="none" w:sz="0" w:space="0" w:color="auto"/>
        <w:right w:val="none" w:sz="0" w:space="0" w:color="auto"/>
      </w:divBdr>
    </w:div>
    <w:div w:id="987248691">
      <w:bodyDiv w:val="1"/>
      <w:marLeft w:val="0"/>
      <w:marRight w:val="0"/>
      <w:marTop w:val="0"/>
      <w:marBottom w:val="0"/>
      <w:divBdr>
        <w:top w:val="none" w:sz="0" w:space="0" w:color="auto"/>
        <w:left w:val="none" w:sz="0" w:space="0" w:color="auto"/>
        <w:bottom w:val="none" w:sz="0" w:space="0" w:color="auto"/>
        <w:right w:val="none" w:sz="0" w:space="0" w:color="auto"/>
      </w:divBdr>
    </w:div>
    <w:div w:id="993796633">
      <w:bodyDiv w:val="1"/>
      <w:marLeft w:val="0"/>
      <w:marRight w:val="0"/>
      <w:marTop w:val="0"/>
      <w:marBottom w:val="0"/>
      <w:divBdr>
        <w:top w:val="none" w:sz="0" w:space="0" w:color="auto"/>
        <w:left w:val="none" w:sz="0" w:space="0" w:color="auto"/>
        <w:bottom w:val="none" w:sz="0" w:space="0" w:color="auto"/>
        <w:right w:val="none" w:sz="0" w:space="0" w:color="auto"/>
      </w:divBdr>
    </w:div>
    <w:div w:id="1116872867">
      <w:bodyDiv w:val="1"/>
      <w:marLeft w:val="0"/>
      <w:marRight w:val="0"/>
      <w:marTop w:val="0"/>
      <w:marBottom w:val="0"/>
      <w:divBdr>
        <w:top w:val="none" w:sz="0" w:space="0" w:color="auto"/>
        <w:left w:val="none" w:sz="0" w:space="0" w:color="auto"/>
        <w:bottom w:val="none" w:sz="0" w:space="0" w:color="auto"/>
        <w:right w:val="none" w:sz="0" w:space="0" w:color="auto"/>
      </w:divBdr>
    </w:div>
    <w:div w:id="1180657204">
      <w:bodyDiv w:val="1"/>
      <w:marLeft w:val="0"/>
      <w:marRight w:val="0"/>
      <w:marTop w:val="0"/>
      <w:marBottom w:val="0"/>
      <w:divBdr>
        <w:top w:val="none" w:sz="0" w:space="0" w:color="auto"/>
        <w:left w:val="none" w:sz="0" w:space="0" w:color="auto"/>
        <w:bottom w:val="none" w:sz="0" w:space="0" w:color="auto"/>
        <w:right w:val="none" w:sz="0" w:space="0" w:color="auto"/>
      </w:divBdr>
    </w:div>
    <w:div w:id="1297642703">
      <w:bodyDiv w:val="1"/>
      <w:marLeft w:val="0"/>
      <w:marRight w:val="0"/>
      <w:marTop w:val="0"/>
      <w:marBottom w:val="0"/>
      <w:divBdr>
        <w:top w:val="none" w:sz="0" w:space="0" w:color="auto"/>
        <w:left w:val="none" w:sz="0" w:space="0" w:color="auto"/>
        <w:bottom w:val="none" w:sz="0" w:space="0" w:color="auto"/>
        <w:right w:val="none" w:sz="0" w:space="0" w:color="auto"/>
      </w:divBdr>
    </w:div>
    <w:div w:id="1359427926">
      <w:bodyDiv w:val="1"/>
      <w:marLeft w:val="0"/>
      <w:marRight w:val="0"/>
      <w:marTop w:val="0"/>
      <w:marBottom w:val="0"/>
      <w:divBdr>
        <w:top w:val="none" w:sz="0" w:space="0" w:color="auto"/>
        <w:left w:val="none" w:sz="0" w:space="0" w:color="auto"/>
        <w:bottom w:val="none" w:sz="0" w:space="0" w:color="auto"/>
        <w:right w:val="none" w:sz="0" w:space="0" w:color="auto"/>
      </w:divBdr>
    </w:div>
    <w:div w:id="1412118623">
      <w:bodyDiv w:val="1"/>
      <w:marLeft w:val="0"/>
      <w:marRight w:val="0"/>
      <w:marTop w:val="0"/>
      <w:marBottom w:val="0"/>
      <w:divBdr>
        <w:top w:val="none" w:sz="0" w:space="0" w:color="auto"/>
        <w:left w:val="none" w:sz="0" w:space="0" w:color="auto"/>
        <w:bottom w:val="none" w:sz="0" w:space="0" w:color="auto"/>
        <w:right w:val="none" w:sz="0" w:space="0" w:color="auto"/>
      </w:divBdr>
    </w:div>
    <w:div w:id="1469206526">
      <w:bodyDiv w:val="1"/>
      <w:marLeft w:val="0"/>
      <w:marRight w:val="0"/>
      <w:marTop w:val="0"/>
      <w:marBottom w:val="0"/>
      <w:divBdr>
        <w:top w:val="none" w:sz="0" w:space="0" w:color="auto"/>
        <w:left w:val="none" w:sz="0" w:space="0" w:color="auto"/>
        <w:bottom w:val="none" w:sz="0" w:space="0" w:color="auto"/>
        <w:right w:val="none" w:sz="0" w:space="0" w:color="auto"/>
      </w:divBdr>
      <w:divsChild>
        <w:div w:id="1569150220">
          <w:marLeft w:val="0"/>
          <w:marRight w:val="0"/>
          <w:marTop w:val="0"/>
          <w:marBottom w:val="0"/>
          <w:divBdr>
            <w:top w:val="none" w:sz="0" w:space="0" w:color="auto"/>
            <w:left w:val="none" w:sz="0" w:space="0" w:color="auto"/>
            <w:bottom w:val="none" w:sz="0" w:space="0" w:color="auto"/>
            <w:right w:val="none" w:sz="0" w:space="0" w:color="auto"/>
          </w:divBdr>
        </w:div>
      </w:divsChild>
    </w:div>
    <w:div w:id="1479375993">
      <w:bodyDiv w:val="1"/>
      <w:marLeft w:val="0"/>
      <w:marRight w:val="0"/>
      <w:marTop w:val="0"/>
      <w:marBottom w:val="0"/>
      <w:divBdr>
        <w:top w:val="none" w:sz="0" w:space="0" w:color="auto"/>
        <w:left w:val="none" w:sz="0" w:space="0" w:color="auto"/>
        <w:bottom w:val="none" w:sz="0" w:space="0" w:color="auto"/>
        <w:right w:val="none" w:sz="0" w:space="0" w:color="auto"/>
      </w:divBdr>
    </w:div>
    <w:div w:id="1607616700">
      <w:bodyDiv w:val="1"/>
      <w:marLeft w:val="0"/>
      <w:marRight w:val="0"/>
      <w:marTop w:val="0"/>
      <w:marBottom w:val="0"/>
      <w:divBdr>
        <w:top w:val="none" w:sz="0" w:space="0" w:color="auto"/>
        <w:left w:val="none" w:sz="0" w:space="0" w:color="auto"/>
        <w:bottom w:val="none" w:sz="0" w:space="0" w:color="auto"/>
        <w:right w:val="none" w:sz="0" w:space="0" w:color="auto"/>
      </w:divBdr>
    </w:div>
    <w:div w:id="1675843064">
      <w:bodyDiv w:val="1"/>
      <w:marLeft w:val="0"/>
      <w:marRight w:val="0"/>
      <w:marTop w:val="0"/>
      <w:marBottom w:val="0"/>
      <w:divBdr>
        <w:top w:val="none" w:sz="0" w:space="0" w:color="auto"/>
        <w:left w:val="none" w:sz="0" w:space="0" w:color="auto"/>
        <w:bottom w:val="none" w:sz="0" w:space="0" w:color="auto"/>
        <w:right w:val="none" w:sz="0" w:space="0" w:color="auto"/>
      </w:divBdr>
    </w:div>
    <w:div w:id="1693846329">
      <w:bodyDiv w:val="1"/>
      <w:marLeft w:val="0"/>
      <w:marRight w:val="0"/>
      <w:marTop w:val="0"/>
      <w:marBottom w:val="0"/>
      <w:divBdr>
        <w:top w:val="none" w:sz="0" w:space="0" w:color="auto"/>
        <w:left w:val="none" w:sz="0" w:space="0" w:color="auto"/>
        <w:bottom w:val="none" w:sz="0" w:space="0" w:color="auto"/>
        <w:right w:val="none" w:sz="0" w:space="0" w:color="auto"/>
      </w:divBdr>
    </w:div>
    <w:div w:id="1707563294">
      <w:bodyDiv w:val="1"/>
      <w:marLeft w:val="0"/>
      <w:marRight w:val="0"/>
      <w:marTop w:val="0"/>
      <w:marBottom w:val="0"/>
      <w:divBdr>
        <w:top w:val="none" w:sz="0" w:space="0" w:color="auto"/>
        <w:left w:val="none" w:sz="0" w:space="0" w:color="auto"/>
        <w:bottom w:val="none" w:sz="0" w:space="0" w:color="auto"/>
        <w:right w:val="none" w:sz="0" w:space="0" w:color="auto"/>
      </w:divBdr>
    </w:div>
    <w:div w:id="1778132343">
      <w:bodyDiv w:val="1"/>
      <w:marLeft w:val="0"/>
      <w:marRight w:val="0"/>
      <w:marTop w:val="0"/>
      <w:marBottom w:val="0"/>
      <w:divBdr>
        <w:top w:val="none" w:sz="0" w:space="0" w:color="auto"/>
        <w:left w:val="none" w:sz="0" w:space="0" w:color="auto"/>
        <w:bottom w:val="none" w:sz="0" w:space="0" w:color="auto"/>
        <w:right w:val="none" w:sz="0" w:space="0" w:color="auto"/>
      </w:divBdr>
    </w:div>
    <w:div w:id="1956522520">
      <w:bodyDiv w:val="1"/>
      <w:marLeft w:val="0"/>
      <w:marRight w:val="0"/>
      <w:marTop w:val="0"/>
      <w:marBottom w:val="0"/>
      <w:divBdr>
        <w:top w:val="none" w:sz="0" w:space="0" w:color="auto"/>
        <w:left w:val="none" w:sz="0" w:space="0" w:color="auto"/>
        <w:bottom w:val="none" w:sz="0" w:space="0" w:color="auto"/>
        <w:right w:val="none" w:sz="0" w:space="0" w:color="auto"/>
      </w:divBdr>
    </w:div>
    <w:div w:id="2031949774">
      <w:bodyDiv w:val="1"/>
      <w:marLeft w:val="0"/>
      <w:marRight w:val="0"/>
      <w:marTop w:val="0"/>
      <w:marBottom w:val="0"/>
      <w:divBdr>
        <w:top w:val="none" w:sz="0" w:space="0" w:color="auto"/>
        <w:left w:val="none" w:sz="0" w:space="0" w:color="auto"/>
        <w:bottom w:val="none" w:sz="0" w:space="0" w:color="auto"/>
        <w:right w:val="none" w:sz="0" w:space="0" w:color="auto"/>
      </w:divBdr>
    </w:div>
    <w:div w:id="2134471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21989404047051" TargetMode="External"/><Relationship Id="rId18" Type="http://schemas.openxmlformats.org/officeDocument/2006/relationships/hyperlink" Target="http://onlinelibrary.wiley.com/book/10.1002/9781118325988" TargetMode="External"/><Relationship Id="rId26" Type="http://schemas.openxmlformats.org/officeDocument/2006/relationships/hyperlink" Target="https://doi.org/10.1080/09505430802519256" TargetMode="External"/><Relationship Id="rId39" Type="http://schemas.openxmlformats.org/officeDocument/2006/relationships/hyperlink" Target="https://doi.org/10.1007/978-1-349-22421-0_5" TargetMode="External"/><Relationship Id="rId21" Type="http://schemas.openxmlformats.org/officeDocument/2006/relationships/hyperlink" Target="https://doi.org/10.2307/2130287" TargetMode="External"/><Relationship Id="rId34" Type="http://schemas.openxmlformats.org/officeDocument/2006/relationships/hyperlink" Target="http://dx.doi.org/10.3167/jys.2015.160203" TargetMode="External"/><Relationship Id="rId42" Type="http://schemas.openxmlformats.org/officeDocument/2006/relationships/hyperlink" Target="https://doi.org/10.1353/con.2004.0014"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lib.unb.ca/index.php/SCL/article/view/10216" TargetMode="External"/><Relationship Id="rId29" Type="http://schemas.openxmlformats.org/officeDocument/2006/relationships/hyperlink" Target="https://doi.org/10.2307/464226" TargetMode="External"/><Relationship Id="rId11" Type="http://schemas.openxmlformats.org/officeDocument/2006/relationships/footer" Target="footer3.xml"/><Relationship Id="rId24" Type="http://schemas.openxmlformats.org/officeDocument/2006/relationships/hyperlink" Target="http://www.theguardian.com/books/2009/aug/29/margaret-atwood-year-of-flood" TargetMode="External"/><Relationship Id="rId32" Type="http://schemas.openxmlformats.org/officeDocument/2006/relationships/hyperlink" Target="https://books.google.es/books?id=slB8WHY9B6QC" TargetMode="External"/><Relationship Id="rId37" Type="http://schemas.openxmlformats.org/officeDocument/2006/relationships/hyperlink" Target="https://doi.org/10.5325/utopianstudies.23.1.0142" TargetMode="External"/><Relationship Id="rId40" Type="http://schemas.openxmlformats.org/officeDocument/2006/relationships/hyperlink" Target="https://muse.jhu.edu/book/68891/" TargetMode="External"/><Relationship Id="rId45" Type="http://schemas.openxmlformats.org/officeDocument/2006/relationships/hyperlink" Target="https://public.ebookcentral.proquest.com/choice/publicfullrecord.aspx?p=1249433" TargetMode="External"/><Relationship Id="rId5" Type="http://schemas.openxmlformats.org/officeDocument/2006/relationships/webSettings" Target="webSettings.xml"/><Relationship Id="rId15" Type="http://schemas.openxmlformats.org/officeDocument/2006/relationships/hyperlink" Target="https://doi.org/10.1215/00265667-2782351" TargetMode="External"/><Relationship Id="rId23" Type="http://schemas.openxmlformats.org/officeDocument/2006/relationships/hyperlink" Target="https://www.academia.edu/238034/Genomic_Bodies_Un_Natural_Selection_Extinction_and_the_Posthuman_in_Atwood_s_Oryx_and_Crake" TargetMode="External"/><Relationship Id="rId28" Type="http://schemas.openxmlformats.org/officeDocument/2006/relationships/hyperlink" Target="https://doi.org/10.6240/concentric.lit.200601_32(1).0005" TargetMode="External"/><Relationship Id="rId36" Type="http://schemas.openxmlformats.org/officeDocument/2006/relationships/hyperlink" Target="https://doi.org/10.5325/utopianstudies.23.1.0142" TargetMode="External"/><Relationship Id="rId49" Type="http://schemas.microsoft.com/office/2018/08/relationships/commentsExtensible" Target="commentsExtensible.xml"/><Relationship Id="rId10" Type="http://schemas.openxmlformats.org/officeDocument/2006/relationships/footer" Target="footer2.xml"/><Relationship Id="rId19" Type="http://schemas.openxmlformats.org/officeDocument/2006/relationships/hyperlink" Target="https://doi.org/10.1093/cww/vpx008" TargetMode="External"/><Relationship Id="rId31" Type="http://schemas.openxmlformats.org/officeDocument/2006/relationships/hyperlink" Target="https://doi.org/10.2307/j.ctv19x55t" TargetMode="External"/><Relationship Id="rId44" Type="http://schemas.openxmlformats.org/officeDocument/2006/relationships/hyperlink" Target="https://www.cbd.int/convention/articles/?a=cbd-0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86/596640" TargetMode="External"/><Relationship Id="rId22" Type="http://schemas.openxmlformats.org/officeDocument/2006/relationships/hyperlink" Target="http://dx.doi.org/10.5949/liverpool/9780853235941.001.0001" TargetMode="External"/><Relationship Id="rId27" Type="http://schemas.openxmlformats.org/officeDocument/2006/relationships/hyperlink" Target="https://www.thenation.com/article/archive/superstorm-sandy-peoples-shock/" TargetMode="External"/><Relationship Id="rId30" Type="http://schemas.openxmlformats.org/officeDocument/2006/relationships/hyperlink" Target="https://doi.org/10.17851/2317-2096.25.3.133-146" TargetMode="External"/><Relationship Id="rId35" Type="http://schemas.openxmlformats.org/officeDocument/2006/relationships/hyperlink" Target="https://doi.org/10.3828/extr.2018.16" TargetMode="External"/><Relationship Id="rId43" Type="http://schemas.openxmlformats.org/officeDocument/2006/relationships/hyperlink" Target="https://doi.org/www.jstor.org/stable/j.ctt13x1r99"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theguardian.com/books/2003/jun/16/georgeorwell.artsfeatures" TargetMode="External"/><Relationship Id="rId17" Type="http://schemas.openxmlformats.org/officeDocument/2006/relationships/hyperlink" Target="https://doi.org/10.1007/3-540-26590-2_3" TargetMode="External"/><Relationship Id="rId25" Type="http://schemas.openxmlformats.org/officeDocument/2006/relationships/hyperlink" Target="https://www.jstor.org/stable/10.3366/j.ctt1g052d0.17" TargetMode="External"/><Relationship Id="rId33" Type="http://schemas.openxmlformats.org/officeDocument/2006/relationships/hyperlink" Target="https://doi.org/10.1163/156853009X445406" TargetMode="External"/><Relationship Id="rId38" Type="http://schemas.openxmlformats.org/officeDocument/2006/relationships/hyperlink" Target="https://doi.org/10.1515/9781400827503" TargetMode="External"/><Relationship Id="rId46" Type="http://schemas.openxmlformats.org/officeDocument/2006/relationships/hyperlink" Target="http://dx.doi.org/10.1353/sdn.2017.0018" TargetMode="External"/><Relationship Id="rId20" Type="http://schemas.openxmlformats.org/officeDocument/2006/relationships/hyperlink" Target="http://search.proquest.com/docview/1845240753?OpenUrlRefId=info:xri/sid:primo&amp;accountid=130472" TargetMode="External"/><Relationship Id="rId41" Type="http://schemas.openxmlformats.org/officeDocument/2006/relationships/hyperlink" Target="https://doi.org/10.1353/cul.2003.0029"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otnotes.xml.rels><?xml version="1.0" encoding="UTF-8" standalone="yes"?>
<Relationships xmlns="http://schemas.openxmlformats.org/package/2006/relationships"><Relationship Id="rId8" Type="http://schemas.openxmlformats.org/officeDocument/2006/relationships/hyperlink" Target="http://www.theguardian.com/books/2009/aug/29/margaret-atwood-year-of-flood" TargetMode="External"/><Relationship Id="rId13" Type="http://schemas.openxmlformats.org/officeDocument/2006/relationships/hyperlink" Target="https://www.academia.edu/238034/Genomic_Bodies_Un_Natural_Selection_Extinction_and_the_Posthuman_in_Atwood_s_Oryx_and_Crake" TargetMode="External"/><Relationship Id="rId18" Type="http://schemas.openxmlformats.org/officeDocument/2006/relationships/hyperlink" Target="https://journals.lib.unb.ca/index.php/SCL/article/view/10216" TargetMode="External"/><Relationship Id="rId3" Type="http://schemas.openxmlformats.org/officeDocument/2006/relationships/hyperlink" Target="https://doi.org/10.2307/2130287" TargetMode="External"/><Relationship Id="rId7" Type="http://schemas.openxmlformats.org/officeDocument/2006/relationships/hyperlink" Target="https://doi.org/10.1215/00265667-2782351" TargetMode="External"/><Relationship Id="rId12" Type="http://schemas.openxmlformats.org/officeDocument/2006/relationships/hyperlink" Target="https://doi.org/10.1177/0021989410395430" TargetMode="External"/><Relationship Id="rId17" Type="http://schemas.openxmlformats.org/officeDocument/2006/relationships/hyperlink" Target="https://doi.org/10.2307/464226" TargetMode="External"/><Relationship Id="rId2" Type="http://schemas.openxmlformats.org/officeDocument/2006/relationships/hyperlink" Target="https://doi.org/10.1086/596640" TargetMode="External"/><Relationship Id="rId16" Type="http://schemas.openxmlformats.org/officeDocument/2006/relationships/hyperlink" Target="https://doi.org/10.1093/cww/vpx008" TargetMode="External"/><Relationship Id="rId20" Type="http://schemas.openxmlformats.org/officeDocument/2006/relationships/hyperlink" Target="https://public.ebookcentral.proquest.com/choice/publicfullrecord.aspx?p=1249433" TargetMode="External"/><Relationship Id="rId1" Type="http://schemas.openxmlformats.org/officeDocument/2006/relationships/hyperlink" Target="https://doi.org/10.1007/3-540-26590-2_3" TargetMode="External"/><Relationship Id="rId6" Type="http://schemas.openxmlformats.org/officeDocument/2006/relationships/hyperlink" Target="https://www.theguardian.com/books/2003/jun/16/georgeorwell.artsfeatures" TargetMode="External"/><Relationship Id="rId11" Type="http://schemas.openxmlformats.org/officeDocument/2006/relationships/hyperlink" Target="https://doi.org/10.1080/09505430802519256" TargetMode="External"/><Relationship Id="rId5" Type="http://schemas.openxmlformats.org/officeDocument/2006/relationships/hyperlink" Target="http://dx.doi.org/10.5949/liverpool/9780853235941.001.0001" TargetMode="External"/><Relationship Id="rId15" Type="http://schemas.openxmlformats.org/officeDocument/2006/relationships/hyperlink" Target="https://doi.org/10.1163/156853009X445406" TargetMode="External"/><Relationship Id="rId10" Type="http://schemas.openxmlformats.org/officeDocument/2006/relationships/hyperlink" Target="https://www.cbd.int/convention/articles/?a=cbd-02" TargetMode="External"/><Relationship Id="rId19" Type="http://schemas.openxmlformats.org/officeDocument/2006/relationships/hyperlink" Target="https://doi.org/10.5325/utopianstudies.23.1.0142" TargetMode="External"/><Relationship Id="rId4" Type="http://schemas.openxmlformats.org/officeDocument/2006/relationships/hyperlink" Target="http://dx.doi.org/10.3167/jys.2015.160203" TargetMode="External"/><Relationship Id="rId9" Type="http://schemas.openxmlformats.org/officeDocument/2006/relationships/hyperlink" Target="http://dx.doi.org/10.1353/sdn.2017.0018" TargetMode="External"/><Relationship Id="rId14" Type="http://schemas.openxmlformats.org/officeDocument/2006/relationships/hyperlink" Target="https://doi.org/10.6240/concentric.lit.200601_32(1).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AD74E-01FF-5045-8BEE-47A857388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68</Pages>
  <Words>18014</Words>
  <Characters>103913</Characters>
  <Application>Microsoft Office Word</Application>
  <DocSecurity>0</DocSecurity>
  <Lines>1505</Lines>
  <Paragraphs>406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121521</CharactersWithSpaces>
  <SharedDoc>false</SharedDoc>
  <HLinks>
    <vt:vector size="102" baseType="variant">
      <vt:variant>
        <vt:i4>131193</vt:i4>
      </vt:variant>
      <vt:variant>
        <vt:i4>15</vt:i4>
      </vt:variant>
      <vt:variant>
        <vt:i4>0</vt:i4>
      </vt:variant>
      <vt:variant>
        <vt:i4>5</vt:i4>
      </vt:variant>
      <vt:variant>
        <vt:lpwstr>https://en.wikipedia.org/wiki/Menippean_satire</vt:lpwstr>
      </vt:variant>
      <vt:variant>
        <vt:lpwstr/>
      </vt:variant>
      <vt:variant>
        <vt:i4>1835009</vt:i4>
      </vt:variant>
      <vt:variant>
        <vt:i4>12</vt:i4>
      </vt:variant>
      <vt:variant>
        <vt:i4>0</vt:i4>
      </vt:variant>
      <vt:variant>
        <vt:i4>5</vt:i4>
      </vt:variant>
      <vt:variant>
        <vt:lpwstr>https://en.wikipedia.org/wiki/Menippean_satire</vt:lpwstr>
      </vt:variant>
      <vt:variant>
        <vt:lpwstr>cite_note-FryeProseFiction-1</vt:lpwstr>
      </vt:variant>
      <vt:variant>
        <vt:i4>2556012</vt:i4>
      </vt:variant>
      <vt:variant>
        <vt:i4>9</vt:i4>
      </vt:variant>
      <vt:variant>
        <vt:i4>0</vt:i4>
      </vt:variant>
      <vt:variant>
        <vt:i4>5</vt:i4>
      </vt:variant>
      <vt:variant>
        <vt:lpwstr>https://en.wikipedia.org/wiki/Novel</vt:lpwstr>
      </vt:variant>
      <vt:variant>
        <vt:lpwstr/>
      </vt:variant>
      <vt:variant>
        <vt:i4>2883691</vt:i4>
      </vt:variant>
      <vt:variant>
        <vt:i4>6</vt:i4>
      </vt:variant>
      <vt:variant>
        <vt:i4>0</vt:i4>
      </vt:variant>
      <vt:variant>
        <vt:i4>5</vt:i4>
      </vt:variant>
      <vt:variant>
        <vt:lpwstr>https://en.wikipedia.org/wiki/Prose</vt:lpwstr>
      </vt:variant>
      <vt:variant>
        <vt:lpwstr/>
      </vt:variant>
      <vt:variant>
        <vt:i4>4194305</vt:i4>
      </vt:variant>
      <vt:variant>
        <vt:i4>3</vt:i4>
      </vt:variant>
      <vt:variant>
        <vt:i4>0</vt:i4>
      </vt:variant>
      <vt:variant>
        <vt:i4>5</vt:i4>
      </vt:variant>
      <vt:variant>
        <vt:lpwstr>https://en.wikipedia.org/wiki/Satire</vt:lpwstr>
      </vt:variant>
      <vt:variant>
        <vt:lpwstr/>
      </vt:variant>
      <vt:variant>
        <vt:i4>3866729</vt:i4>
      </vt:variant>
      <vt:variant>
        <vt:i4>0</vt:i4>
      </vt:variant>
      <vt:variant>
        <vt:i4>0</vt:i4>
      </vt:variant>
      <vt:variant>
        <vt:i4>5</vt:i4>
      </vt:variant>
      <vt:variant>
        <vt:lpwstr>https://en.wikipedia.org/wiki/Houyhnhnm</vt:lpwstr>
      </vt:variant>
      <vt:variant>
        <vt:lpwstr/>
      </vt:variant>
      <vt:variant>
        <vt:i4>7274544</vt:i4>
      </vt:variant>
      <vt:variant>
        <vt:i4>30</vt:i4>
      </vt:variant>
      <vt:variant>
        <vt:i4>0</vt:i4>
      </vt:variant>
      <vt:variant>
        <vt:i4>5</vt:i4>
      </vt:variant>
      <vt:variant>
        <vt:lpwstr>http://dx.doi.org/10.5949/liverpool/9780853235941.001.0001</vt:lpwstr>
      </vt:variant>
      <vt:variant>
        <vt:lpwstr/>
      </vt:variant>
      <vt:variant>
        <vt:i4>262237</vt:i4>
      </vt:variant>
      <vt:variant>
        <vt:i4>27</vt:i4>
      </vt:variant>
      <vt:variant>
        <vt:i4>0</vt:i4>
      </vt:variant>
      <vt:variant>
        <vt:i4>5</vt:i4>
      </vt:variant>
      <vt:variant>
        <vt:lpwstr>http://dx.doi.org/10.3167/jys.2015.160203</vt:lpwstr>
      </vt:variant>
      <vt:variant>
        <vt:lpwstr/>
      </vt:variant>
      <vt:variant>
        <vt:i4>2687085</vt:i4>
      </vt:variant>
      <vt:variant>
        <vt:i4>24</vt:i4>
      </vt:variant>
      <vt:variant>
        <vt:i4>0</vt:i4>
      </vt:variant>
      <vt:variant>
        <vt:i4>5</vt:i4>
      </vt:variant>
      <vt:variant>
        <vt:lpwstr>https://doi.org/10.2307/2130287</vt:lpwstr>
      </vt:variant>
      <vt:variant>
        <vt:lpwstr/>
      </vt:variant>
      <vt:variant>
        <vt:i4>1769560</vt:i4>
      </vt:variant>
      <vt:variant>
        <vt:i4>21</vt:i4>
      </vt:variant>
      <vt:variant>
        <vt:i4>0</vt:i4>
      </vt:variant>
      <vt:variant>
        <vt:i4>5</vt:i4>
      </vt:variant>
      <vt:variant>
        <vt:lpwstr>https://doi.org/10.1515/9781400827503</vt:lpwstr>
      </vt:variant>
      <vt:variant>
        <vt:lpwstr/>
      </vt:variant>
      <vt:variant>
        <vt:i4>131142</vt:i4>
      </vt:variant>
      <vt:variant>
        <vt:i4>18</vt:i4>
      </vt:variant>
      <vt:variant>
        <vt:i4>0</vt:i4>
      </vt:variant>
      <vt:variant>
        <vt:i4>5</vt:i4>
      </vt:variant>
      <vt:variant>
        <vt:lpwstr>https://muse.jhu.edu/book/68891/</vt:lpwstr>
      </vt:variant>
      <vt:variant>
        <vt:lpwstr/>
      </vt:variant>
      <vt:variant>
        <vt:i4>7536750</vt:i4>
      </vt:variant>
      <vt:variant>
        <vt:i4>15</vt:i4>
      </vt:variant>
      <vt:variant>
        <vt:i4>0</vt:i4>
      </vt:variant>
      <vt:variant>
        <vt:i4>5</vt:i4>
      </vt:variant>
      <vt:variant>
        <vt:lpwstr>http://www.theguardian.com/books/2009/aug/29/margaret-atwood-year-of-flood</vt:lpwstr>
      </vt:variant>
      <vt:variant>
        <vt:lpwstr/>
      </vt:variant>
      <vt:variant>
        <vt:i4>2359403</vt:i4>
      </vt:variant>
      <vt:variant>
        <vt:i4>12</vt:i4>
      </vt:variant>
      <vt:variant>
        <vt:i4>0</vt:i4>
      </vt:variant>
      <vt:variant>
        <vt:i4>5</vt:i4>
      </vt:variant>
      <vt:variant>
        <vt:lpwstr>https://doi.org/10.1086/596640</vt:lpwstr>
      </vt:variant>
      <vt:variant>
        <vt:lpwstr/>
      </vt:variant>
      <vt:variant>
        <vt:i4>2359403</vt:i4>
      </vt:variant>
      <vt:variant>
        <vt:i4>9</vt:i4>
      </vt:variant>
      <vt:variant>
        <vt:i4>0</vt:i4>
      </vt:variant>
      <vt:variant>
        <vt:i4>5</vt:i4>
      </vt:variant>
      <vt:variant>
        <vt:lpwstr>https://doi.org/10.1086/596640</vt:lpwstr>
      </vt:variant>
      <vt:variant>
        <vt:lpwstr/>
      </vt:variant>
      <vt:variant>
        <vt:i4>2359403</vt:i4>
      </vt:variant>
      <vt:variant>
        <vt:i4>6</vt:i4>
      </vt:variant>
      <vt:variant>
        <vt:i4>0</vt:i4>
      </vt:variant>
      <vt:variant>
        <vt:i4>5</vt:i4>
      </vt:variant>
      <vt:variant>
        <vt:lpwstr>https://doi.org/10.1086/596640</vt:lpwstr>
      </vt:variant>
      <vt:variant>
        <vt:lpwstr/>
      </vt:variant>
      <vt:variant>
        <vt:i4>917521</vt:i4>
      </vt:variant>
      <vt:variant>
        <vt:i4>3</vt:i4>
      </vt:variant>
      <vt:variant>
        <vt:i4>0</vt:i4>
      </vt:variant>
      <vt:variant>
        <vt:i4>5</vt:i4>
      </vt:variant>
      <vt:variant>
        <vt:lpwstr>https://doi.org/www.jstor.org/stable/j.ctt13x1r99</vt:lpwstr>
      </vt:variant>
      <vt:variant>
        <vt:lpwstr/>
      </vt:variant>
      <vt:variant>
        <vt:i4>917521</vt:i4>
      </vt:variant>
      <vt:variant>
        <vt:i4>0</vt:i4>
      </vt:variant>
      <vt:variant>
        <vt:i4>0</vt:i4>
      </vt:variant>
      <vt:variant>
        <vt:i4>5</vt:i4>
      </vt:variant>
      <vt:variant>
        <vt:lpwstr>https://doi.org/www.jstor.org/stable/j.ctt13x1r99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Nevin (1809166)</dc:creator>
  <cp:keywords/>
  <dc:description/>
  <cp:lastModifiedBy>David Nevin (1809166)</cp:lastModifiedBy>
  <cp:revision>268</cp:revision>
  <cp:lastPrinted>2020-09-28T19:30:00Z</cp:lastPrinted>
  <dcterms:created xsi:type="dcterms:W3CDTF">2020-09-29T23:48:00Z</dcterms:created>
  <dcterms:modified xsi:type="dcterms:W3CDTF">2020-09-30T11:55:00Z</dcterms:modified>
</cp:coreProperties>
</file>