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384476079"/>
        <w:docPartObj>
          <w:docPartGallery w:val="Cover Pages"/>
          <w:docPartUnique/>
        </w:docPartObj>
      </w:sdtPr>
      <w:sdtEndPr>
        <w:rPr>
          <w:rFonts w:ascii="Aptos" w:eastAsiaTheme="minorHAnsi" w:hAnsi="Aptos"/>
          <w:b/>
          <w:bCs/>
          <w:color w:val="000000"/>
          <w:kern w:val="2"/>
          <w:sz w:val="28"/>
          <w:szCs w:val="28"/>
          <w:lang w:eastAsia="en-US"/>
          <w14:ligatures w14:val="standardContextual"/>
        </w:rPr>
      </w:sdtEndPr>
      <w:sdtContent>
        <w:p w14:paraId="607F7C01" w14:textId="5948BE6A" w:rsidR="00313357" w:rsidRDefault="00313357">
          <w:pPr>
            <w:pStyle w:val="NoSpacing"/>
            <w:spacing w:before="1540" w:after="240"/>
            <w:jc w:val="center"/>
            <w:rPr>
              <w:color w:val="156082" w:themeColor="accent1"/>
            </w:rPr>
          </w:pPr>
          <w:r>
            <w:rPr>
              <w:noProof/>
              <w:color w:val="156082" w:themeColor="accent1"/>
            </w:rPr>
            <w:drawing>
              <wp:inline distT="0" distB="0" distL="0" distR="0" wp14:anchorId="7FBB4C85" wp14:editId="4F738F9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FC31139F464743E98AEC868483BE89D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5C51F63" w14:textId="1AE268AC" w:rsidR="00313357" w:rsidRDefault="0031335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ECCY7006</w:t>
              </w:r>
            </w:p>
          </w:sdtContent>
        </w:sdt>
        <w:sdt>
          <w:sdtPr>
            <w:rPr>
              <w:color w:val="156082" w:themeColor="accent1"/>
              <w:sz w:val="28"/>
              <w:szCs w:val="28"/>
            </w:rPr>
            <w:alias w:val="Subtitle"/>
            <w:tag w:val=""/>
            <w:id w:val="328029620"/>
            <w:placeholder>
              <w:docPart w:val="A4E65A2FCA7443F8A222361EC273B277"/>
            </w:placeholder>
            <w:dataBinding w:prefixMappings="xmlns:ns0='http://purl.org/dc/elements/1.1/' xmlns:ns1='http://schemas.openxmlformats.org/package/2006/metadata/core-properties' " w:xpath="/ns1:coreProperties[1]/ns0:subject[1]" w:storeItemID="{6C3C8BC8-F283-45AE-878A-BAB7291924A1}"/>
            <w:text/>
          </w:sdtPr>
          <w:sdtContent>
            <w:p w14:paraId="4651D774" w14:textId="455E2E1B" w:rsidR="00313357" w:rsidRDefault="00313357">
              <w:pPr>
                <w:pStyle w:val="NoSpacing"/>
                <w:jc w:val="center"/>
                <w:rPr>
                  <w:color w:val="156082" w:themeColor="accent1"/>
                  <w:sz w:val="28"/>
                  <w:szCs w:val="28"/>
                </w:rPr>
              </w:pPr>
              <w:r>
                <w:rPr>
                  <w:color w:val="156082" w:themeColor="accent1"/>
                  <w:sz w:val="28"/>
                  <w:szCs w:val="28"/>
                </w:rPr>
                <w:t>Written Assignment: A Systematic Literature Review</w:t>
              </w:r>
            </w:p>
          </w:sdtContent>
        </w:sdt>
        <w:p w14:paraId="4CC369B6" w14:textId="77777777" w:rsidR="00313357" w:rsidRDefault="0031335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F595945" wp14:editId="7B405EC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1333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6B8F6C" w14:textId="0616EA71" w:rsidR="00313357" w:rsidRDefault="00313357">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F595945"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76B8F6C" w14:textId="0616EA71" w:rsidR="00313357" w:rsidRDefault="00313357">
                          <w:pPr>
                            <w:pStyle w:val="NoSpacing"/>
                            <w:jc w:val="center"/>
                            <w:rPr>
                              <w:color w:val="156082" w:themeColor="accent1"/>
                            </w:rPr>
                          </w:pPr>
                        </w:p>
                      </w:txbxContent>
                    </v:textbox>
                    <w10:wrap anchorx="margin" anchory="page"/>
                  </v:shape>
                </w:pict>
              </mc:Fallback>
            </mc:AlternateContent>
          </w:r>
          <w:r>
            <w:rPr>
              <w:noProof/>
              <w:color w:val="156082" w:themeColor="accent1"/>
            </w:rPr>
            <w:drawing>
              <wp:inline distT="0" distB="0" distL="0" distR="0" wp14:anchorId="5DD18FE0" wp14:editId="4B896D9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F8A9499" w14:textId="25A4CA37" w:rsidR="00313357" w:rsidRDefault="00313357">
          <w:pPr>
            <w:rPr>
              <w:rFonts w:ascii="Aptos" w:hAnsi="Aptos"/>
              <w:b/>
              <w:bCs/>
              <w:color w:val="000000"/>
              <w:sz w:val="28"/>
              <w:szCs w:val="28"/>
            </w:rPr>
          </w:pPr>
          <w:r>
            <w:rPr>
              <w:rFonts w:ascii="Aptos" w:hAnsi="Aptos"/>
              <w:b/>
              <w:bCs/>
              <w:noProof/>
              <w:color w:val="000000"/>
              <w:sz w:val="28"/>
              <w:szCs w:val="28"/>
            </w:rPr>
            <mc:AlternateContent>
              <mc:Choice Requires="wps">
                <w:drawing>
                  <wp:anchor distT="0" distB="0" distL="114300" distR="114300" simplePos="0" relativeHeight="251660288" behindDoc="0" locked="0" layoutInCell="1" allowOverlap="1" wp14:anchorId="3DEE5ED9" wp14:editId="691044CB">
                    <wp:simplePos x="0" y="0"/>
                    <wp:positionH relativeFrom="margin">
                      <wp:align>center</wp:align>
                    </wp:positionH>
                    <wp:positionV relativeFrom="paragraph">
                      <wp:posOffset>457835</wp:posOffset>
                    </wp:positionV>
                    <wp:extent cx="5379720" cy="3185160"/>
                    <wp:effectExtent l="0" t="0" r="11430" b="15240"/>
                    <wp:wrapNone/>
                    <wp:docPr id="549957788" name="Text Box 1"/>
                    <wp:cNvGraphicFramePr/>
                    <a:graphic xmlns:a="http://schemas.openxmlformats.org/drawingml/2006/main">
                      <a:graphicData uri="http://schemas.microsoft.com/office/word/2010/wordprocessingShape">
                        <wps:wsp>
                          <wps:cNvSpPr txBox="1"/>
                          <wps:spPr>
                            <a:xfrm>
                              <a:off x="0" y="0"/>
                              <a:ext cx="5379720" cy="3185160"/>
                            </a:xfrm>
                            <a:prstGeom prst="rect">
                              <a:avLst/>
                            </a:prstGeom>
                            <a:solidFill>
                              <a:schemeClr val="lt1"/>
                            </a:solidFill>
                            <a:ln w="6350">
                              <a:solidFill>
                                <a:prstClr val="black"/>
                              </a:solidFill>
                            </a:ln>
                          </wps:spPr>
                          <wps:txbx>
                            <w:txbxContent>
                              <w:p w14:paraId="15FBCC9D" w14:textId="77777777" w:rsidR="00313357" w:rsidRDefault="00313357" w:rsidP="00313357">
                                <w:pPr>
                                  <w:jc w:val="center"/>
                                </w:pPr>
                                <w:r>
                                  <w:t>Basic Acknowledgement format of AI tool use</w:t>
                                </w:r>
                              </w:p>
                              <w:p w14:paraId="77E57202" w14:textId="77777777" w:rsidR="00313357" w:rsidRDefault="00313357" w:rsidP="00313357">
                                <w:pPr>
                                  <w:jc w:val="center"/>
                                </w:pPr>
                                <w:r>
                                  <w:t>I acknowledge the use of Google Scholar to research literature.</w:t>
                                </w:r>
                              </w:p>
                              <w:p w14:paraId="3853A1CD" w14:textId="24CD349E" w:rsidR="00313357" w:rsidRDefault="00313357" w:rsidP="00313357">
                                <w:pPr>
                                  <w:jc w:val="center"/>
                                </w:pPr>
                                <w:r>
                                  <w:rPr>
                                    <w:rFonts w:ascii="Arial" w:hAnsi="Arial" w:cs="Arial"/>
                                  </w:rPr>
                                  <w:t> </w:t>
                                </w:r>
                                <w:r>
                                  <w:t xml:space="preserve">I have used </w:t>
                                </w:r>
                                <w:r>
                                  <w:t>Microsoft W</w:t>
                                </w:r>
                                <w:r>
                                  <w:t xml:space="preserve">ord to write my </w:t>
                                </w:r>
                                <w:r>
                                  <w:t>assignment, and I have used copilot to review my grammar</w:t>
                                </w:r>
                                <w:r>
                                  <w:t>.</w:t>
                                </w:r>
                              </w:p>
                              <w:p w14:paraId="77C6E3C7" w14:textId="7B72FEAD" w:rsidR="00313357" w:rsidRDefault="00313357" w:rsidP="00313357">
                                <w:pPr>
                                  <w:jc w:val="center"/>
                                </w:pPr>
                                <w:r>
                                  <w:t>I confirm that I have not presented any AI generated text as my own work. I confirm I have copies of my drafts, notes, and other resources I used before, and after the use of AI tools which I may be asked to provide in evidence.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EE5ED9" id="Text Box 1" o:spid="_x0000_s1027" type="#_x0000_t202" style="position:absolute;margin-left:0;margin-top:36.05pt;width:423.6pt;height:250.8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" fillcolor="white [3201]" strokeweight=".5pt">
                    <v:textbox>
                      <w:txbxContent>
                        <w:p w14:paraId="15FBCC9D" w14:textId="77777777" w:rsidR="00313357" w:rsidRDefault="00313357" w:rsidP="00313357">
                          <w:pPr>
                            <w:jc w:val="center"/>
                          </w:pPr>
                          <w:r>
                            <w:t>Basic Acknowledgement format of AI tool use</w:t>
                          </w:r>
                        </w:p>
                        <w:p w14:paraId="77E57202" w14:textId="77777777" w:rsidR="00313357" w:rsidRDefault="00313357" w:rsidP="00313357">
                          <w:pPr>
                            <w:jc w:val="center"/>
                          </w:pPr>
                          <w:r>
                            <w:t>I acknowledge the use of Google Scholar to research literature.</w:t>
                          </w:r>
                        </w:p>
                        <w:p w14:paraId="3853A1CD" w14:textId="24CD349E" w:rsidR="00313357" w:rsidRDefault="00313357" w:rsidP="00313357">
                          <w:pPr>
                            <w:jc w:val="center"/>
                          </w:pPr>
                          <w:r>
                            <w:rPr>
                              <w:rFonts w:ascii="Arial" w:hAnsi="Arial" w:cs="Arial"/>
                            </w:rPr>
                            <w:t> </w:t>
                          </w:r>
                          <w:r>
                            <w:t xml:space="preserve">I have used </w:t>
                          </w:r>
                          <w:r>
                            <w:t>Microsoft W</w:t>
                          </w:r>
                          <w:r>
                            <w:t xml:space="preserve">ord to write my </w:t>
                          </w:r>
                          <w:r>
                            <w:t>assignment, and I have used copilot to review my grammar</w:t>
                          </w:r>
                          <w:r>
                            <w:t>.</w:t>
                          </w:r>
                        </w:p>
                        <w:p w14:paraId="77C6E3C7" w14:textId="7B72FEAD" w:rsidR="00313357" w:rsidRDefault="00313357" w:rsidP="00313357">
                          <w:pPr>
                            <w:jc w:val="center"/>
                          </w:pPr>
                          <w:r>
                            <w:t>I confirm that I have not presented any AI generated text as my own work. I confirm I have copies of my drafts, notes, and other resources I used before, and after the use of AI tools which I may be asked to provide in evidence.</w:t>
                          </w:r>
                        </w:p>
                      </w:txbxContent>
                    </v:textbox>
                    <w10:wrap anchorx="margin"/>
                  </v:shape>
                </w:pict>
              </mc:Fallback>
            </mc:AlternateContent>
          </w:r>
          <w:r>
            <w:rPr>
              <w:rFonts w:ascii="Aptos" w:hAnsi="Aptos"/>
              <w:b/>
              <w:bCs/>
              <w:color w:val="000000"/>
              <w:sz w:val="28"/>
              <w:szCs w:val="28"/>
            </w:rPr>
            <w:br w:type="page"/>
          </w:r>
        </w:p>
      </w:sdtContent>
    </w:sdt>
    <w:p w14:paraId="5DE15996" w14:textId="77777777" w:rsidR="000B2B0B" w:rsidRDefault="000B2B0B" w:rsidP="00AC59C6"/>
    <w:p w14:paraId="372D5060" w14:textId="0F1E04AE" w:rsidR="00F97165" w:rsidRPr="00AE5B1B" w:rsidRDefault="00F97165" w:rsidP="00F97165">
      <w:pPr>
        <w:jc w:val="center"/>
        <w:rPr>
          <w:b/>
          <w:bCs/>
          <w:sz w:val="32"/>
          <w:szCs w:val="32"/>
        </w:rPr>
      </w:pPr>
      <w:r w:rsidRPr="00AE5B1B">
        <w:rPr>
          <w:b/>
          <w:bCs/>
          <w:sz w:val="32"/>
          <w:szCs w:val="32"/>
        </w:rPr>
        <w:t>Experiences of family therapy for eating disorders: A systematic literature review.</w:t>
      </w:r>
    </w:p>
    <w:p w14:paraId="77118036" w14:textId="77777777" w:rsidR="00F97165" w:rsidRDefault="00F97165" w:rsidP="00AC59C6"/>
    <w:p w14:paraId="36ACC499" w14:textId="5ED8659E" w:rsidR="00430610" w:rsidRPr="00A73B5E" w:rsidRDefault="00430610">
      <w:pPr>
        <w:rPr>
          <w:b/>
          <w:bCs/>
          <w:sz w:val="28"/>
          <w:szCs w:val="28"/>
          <w:lang w:val="en-US"/>
        </w:rPr>
      </w:pPr>
      <w:r w:rsidRPr="00A73B5E">
        <w:rPr>
          <w:b/>
          <w:bCs/>
          <w:sz w:val="28"/>
          <w:szCs w:val="28"/>
          <w:lang w:val="en-US"/>
        </w:rPr>
        <w:t xml:space="preserve">Abstract </w:t>
      </w:r>
    </w:p>
    <w:p w14:paraId="1BF2E39C" w14:textId="32D30D76" w:rsidR="00D46C2D" w:rsidRDefault="00D46C2D" w:rsidP="00A73B5E">
      <w:pPr>
        <w:ind w:firstLine="720"/>
        <w:rPr>
          <w:lang w:eastAsia="en-GB"/>
        </w:rPr>
      </w:pPr>
      <w:r>
        <w:rPr>
          <w:lang w:val="en-US"/>
        </w:rPr>
        <w:t xml:space="preserve">This systematic literature review examines how family therapy and family-based interventions for eating disorders are experienced by young people and their families. A structured search of peer-reviewed qualitative literature (January 2016–April 2026) was undertaken to identify studies that foreground lived experience rather than clinical efficacy. The review interprets these accounts </w:t>
      </w:r>
      <w:proofErr w:type="gramStart"/>
      <w:r>
        <w:rPr>
          <w:lang w:val="en-US"/>
        </w:rPr>
        <w:t>in light of</w:t>
      </w:r>
      <w:proofErr w:type="gramEnd"/>
      <w:r>
        <w:rPr>
          <w:lang w:val="en-US"/>
        </w:rPr>
        <w:t xml:space="preserve"> the clinical complexity of eating disorders (e.g., anorexia nervosa and bulimia nervosa) and does not assume that diagnostic categories or “family-based” approaches represent uniform experiences. Across interventions including Family Therapy for Anorexia Nervosa (FT-AN), Multifamily Therapy (MFT), Family-Based Treatment (FBT), and Adolescent Focused Therapy (AFT), qualitative findings indicate that some families experience greater connection, practical support, and improved communication, particularly where approaches are explicitly non-blaming and where peer contact reduces isolation. However, the same models may also be experienced as disempowering or developmentally constraining for some young people, especially where responsibility shifts intensify parental control, adolescent voice is deprioritised, or transitions (e.g., discharge) are poorly supported. Importantly, the available qualitative evidence is also likely </w:t>
      </w:r>
      <w:r w:rsidR="00291A45">
        <w:rPr>
          <w:lang w:val="en-US"/>
        </w:rPr>
        <w:t>to be shaped</w:t>
      </w:r>
      <w:r>
        <w:rPr>
          <w:lang w:val="en-US"/>
        </w:rPr>
        <w:t xml:space="preserve"> by engagement and survivorship effects (e.g., families who disengage early or experience the intervention as unacceptable may be less likely to be represented in interview-based studies). Overall, this synthesis suggests the value of family therapy is context-dependent: acceptability and perceived impact vary with setting, delivery, and how services balance safeguarding with adolescent autonomy.</w:t>
      </w:r>
    </w:p>
    <w:p w14:paraId="6BF7CD73" w14:textId="06E5D02F" w:rsidR="000B2B0B" w:rsidRPr="00A73B5E" w:rsidRDefault="000B2B0B" w:rsidP="00AC59C6">
      <w:pPr>
        <w:rPr>
          <w:b/>
          <w:bCs/>
          <w:sz w:val="28"/>
          <w:szCs w:val="28"/>
        </w:rPr>
      </w:pPr>
      <w:r w:rsidRPr="00A73B5E">
        <w:rPr>
          <w:b/>
          <w:bCs/>
          <w:sz w:val="28"/>
          <w:szCs w:val="28"/>
        </w:rPr>
        <w:t>Introduction</w:t>
      </w:r>
    </w:p>
    <w:p w14:paraId="692C0138" w14:textId="7812B2DD" w:rsidR="00044CA9" w:rsidRDefault="00044CA9" w:rsidP="00A73B5E">
      <w:pPr>
        <w:ind w:firstLine="720"/>
        <w:rPr>
          <w:lang w:eastAsia="en-GB"/>
        </w:rPr>
      </w:pPr>
      <w:r>
        <w:t xml:space="preserve">Eating disorders (EDs) are serious mental health conditions characterised by </w:t>
      </w:r>
      <w:r w:rsidR="00291A45">
        <w:t>constant</w:t>
      </w:r>
      <w:r>
        <w:t xml:space="preserve"> disturbances in eating behaviour and related cognitions (e.g., weight/shape </w:t>
      </w:r>
      <w:r>
        <w:lastRenderedPageBreak/>
        <w:t>concerns) that can compromise physical health and psychosocial functioning (DSM-5, 2013; Richards et al., 2018</w:t>
      </w:r>
      <w:r w:rsidR="00613E3D">
        <w:t>; Chen et al., 2016</w:t>
      </w:r>
      <w:r>
        <w:t xml:space="preserve">). However, broad diagnostic labels can obscure marked </w:t>
      </w:r>
      <w:r w:rsidR="00291A45">
        <w:t>differences</w:t>
      </w:r>
      <w:r>
        <w:t xml:space="preserve"> in severity, comorbidity, and family context, complicating any straightforward account of “what works” for whom. Within ED presentations, anorexia nervosa (AN) is often associated with particularly high medical risk and mortality relative to other psychiatric disorders, while bulimia nervosa (BN) involves recurrent binge eating alongside compensatory behaviours such as self-induced vomiting or excessive exercise (DSM-5, 2013; Kakhi &amp; McCann, 2016). Adolescence is frequently treated as a priority intervention window, yet ED onset during this period can disrupt physical growth, peer relationships, and emerging identity—raising the question of whether treatments that prioritise symptom containment sufficiently attend to developmental needs (</w:t>
      </w:r>
      <w:r w:rsidR="00613E3D">
        <w:t xml:space="preserve">Chen et </w:t>
      </w:r>
      <w:proofErr w:type="gramStart"/>
      <w:r w:rsidR="00613E3D">
        <w:t>al,.</w:t>
      </w:r>
      <w:proofErr w:type="gramEnd"/>
      <w:r w:rsidR="00613E3D">
        <w:t xml:space="preserve"> 2016; Stewart &amp; Baumann, 2024; </w:t>
      </w:r>
      <w:r>
        <w:t>Medway et al., 2019).</w:t>
      </w:r>
    </w:p>
    <w:p w14:paraId="3E4DBA27" w14:textId="32857235" w:rsidR="002A6CF7" w:rsidRDefault="00291A45" w:rsidP="00A73B5E">
      <w:pPr>
        <w:ind w:firstLine="720"/>
        <w:rPr>
          <w:lang w:eastAsia="en-GB"/>
        </w:rPr>
      </w:pPr>
      <w:r>
        <w:t xml:space="preserve">The cause of </w:t>
      </w:r>
      <w:r w:rsidR="002A6CF7">
        <w:t>ED is multifactorial and contested, involving interacting biological, psychological, and sociocultural influences (Filipponi et al., 2022). This heterogeneity limits one-size-fits-all explanations and helps justify family-based approaches as pragmatic interventions for adolescents whose eating, risk, and recovery are embedded in daily family systems, rather than as claims that families “cause” EDs.</w:t>
      </w:r>
    </w:p>
    <w:p w14:paraId="5280C37A" w14:textId="77777777" w:rsidR="002A6CF7" w:rsidRDefault="002A6CF7" w:rsidP="00A73B5E">
      <w:pPr>
        <w:ind w:firstLine="720"/>
        <w:rPr>
          <w:lang w:eastAsia="en-GB"/>
        </w:rPr>
      </w:pPr>
      <w:r>
        <w:t>Earlier systemic accounts sometimes emphasised family dysfunction in AN (Minuchin et al., 2013), but such framings risk being experienced as blaming. Contemporary guidance instead promotes non-blaming, collaborative models that mobilise parents as a recovery resource (Russell et al., 1987; Treasure, Claudino &amp; Zucker, 2010). Nonetheless, EDs often strain relationships and communication, shaping how families engage with services (</w:t>
      </w:r>
      <w:proofErr w:type="spellStart"/>
      <w:r>
        <w:t>Loftfjell</w:t>
      </w:r>
      <w:proofErr w:type="spellEnd"/>
      <w:r>
        <w:t xml:space="preserve"> et al., 2020; Eisler, 2005).</w:t>
      </w:r>
    </w:p>
    <w:p w14:paraId="41A79D94" w14:textId="4A786937" w:rsidR="002A6CF7" w:rsidRDefault="002A6CF7" w:rsidP="00A73B5E">
      <w:pPr>
        <w:ind w:firstLine="720"/>
        <w:rPr>
          <w:lang w:eastAsia="en-GB"/>
        </w:rPr>
      </w:pPr>
      <w:r>
        <w:t xml:space="preserve">Several family-based models are used with adolescents, commonly adopting a non-blaming stance and techniques such as externalising the illness (Conti et al., 2017). UK guidance recommends FT-AN for adolescent AN (NICE, 2020), while FBT is widely used and often structured around an initial period of parent-led nutritional restoration followed by gradual return of responsibility to the young person (Lock &amp; Le Grange, 2013; Couturier, Kimber &amp; Szatmari, 2013). MFT adds a group format that may reduce isolation via peer-family contact but can also create comparison pressures </w:t>
      </w:r>
      <w:r>
        <w:lastRenderedPageBreak/>
        <w:t xml:space="preserve">(Asen &amp; Scholz, 2010; </w:t>
      </w:r>
      <w:proofErr w:type="spellStart"/>
      <w:r>
        <w:t>Brinchmann</w:t>
      </w:r>
      <w:proofErr w:type="spellEnd"/>
      <w:r>
        <w:t xml:space="preserve"> &amp; </w:t>
      </w:r>
      <w:proofErr w:type="spellStart"/>
      <w:r>
        <w:t>Krvavac</w:t>
      </w:r>
      <w:proofErr w:type="spellEnd"/>
      <w:r>
        <w:t xml:space="preserve">, 2021). AFT foregrounds adolescent developmental tasks and highlights </w:t>
      </w:r>
      <w:proofErr w:type="gramStart"/>
      <w:r>
        <w:t>an</w:t>
      </w:r>
      <w:proofErr w:type="gramEnd"/>
      <w:r>
        <w:t xml:space="preserve"> </w:t>
      </w:r>
      <w:r w:rsidR="00291A45">
        <w:t>lasting</w:t>
      </w:r>
      <w:r>
        <w:t xml:space="preserve"> tension across approaches: how to balance safeguarding and symptom containment with autonomy and identity development (</w:t>
      </w:r>
      <w:r w:rsidR="00613E3D">
        <w:t xml:space="preserve">Stewart &amp; Braumann, </w:t>
      </w:r>
      <w:proofErr w:type="gramStart"/>
      <w:r w:rsidR="00613E3D">
        <w:t>2024;</w:t>
      </w:r>
      <w:r>
        <w:t>Medway</w:t>
      </w:r>
      <w:proofErr w:type="gramEnd"/>
      <w:r>
        <w:t xml:space="preserve"> et al., 2019). These tensions may be </w:t>
      </w:r>
      <w:r w:rsidR="00291A45">
        <w:t>increased</w:t>
      </w:r>
      <w:r>
        <w:t xml:space="preserve"> in inpatient settings and during discharge, where roles and responsibility can shift abruptly (Halvorsen et al., 201</w:t>
      </w:r>
      <w:r w:rsidR="005F6189">
        <w:t>8</w:t>
      </w:r>
      <w:r>
        <w:t xml:space="preserve">; Hoste, 2015; </w:t>
      </w:r>
      <w:proofErr w:type="spellStart"/>
      <w:r>
        <w:t>Isserlin</w:t>
      </w:r>
      <w:proofErr w:type="spellEnd"/>
      <w:r>
        <w:t xml:space="preserve"> et al., 2020; Nilsen et al., 2021).</w:t>
      </w:r>
    </w:p>
    <w:p w14:paraId="22D9D54D" w14:textId="3DBFEC98" w:rsidR="008A4184" w:rsidRDefault="008A4184" w:rsidP="00A73B5E">
      <w:pPr>
        <w:ind w:firstLine="720"/>
        <w:rPr>
          <w:lang w:eastAsia="en-GB"/>
        </w:rPr>
      </w:pPr>
      <w:r>
        <w:t xml:space="preserve">Focusing on experience is particularly important in ED interventions because many core techniques involve deliberate shifts in power and responsibility (e.g., parental management of eating, externalising the illness, staff-led containment in inpatient settings). These shifts may be clinically necessary in </w:t>
      </w:r>
      <w:r w:rsidR="00291A45">
        <w:t>intense</w:t>
      </w:r>
      <w:r>
        <w:t xml:space="preserve"> phases, yet they can also be experienced as coercive or identity-threatening if not accompanied by clear rationales, collaborative goal setting, and explicit plans for returning agency to the young person (Conti et al., 2017; Medway et al., 2019; Nilsen et al., 2021). Qualitative evidence therefore complements outcome research by clarifying acceptability and engagement—who feels helped, who feels marginalised, and which components (peer contact, parental empowerment, structured re-feeding) are perceived as supportive versus harmful. Such insight is essential for refining interventions so that safeguarding does not </w:t>
      </w:r>
      <w:proofErr w:type="spellStart"/>
      <w:r w:rsidR="00291A45">
        <w:t>unintentially</w:t>
      </w:r>
      <w:proofErr w:type="spellEnd"/>
      <w:r>
        <w:t xml:space="preserve"> undermine developmentally meaningful recovery.</w:t>
      </w:r>
    </w:p>
    <w:p w14:paraId="21412DD3" w14:textId="5A5E5A87" w:rsidR="002A6CF7" w:rsidRDefault="002A6CF7" w:rsidP="00A73B5E">
      <w:pPr>
        <w:ind w:firstLine="720"/>
        <w:rPr>
          <w:lang w:eastAsia="en-GB"/>
        </w:rPr>
      </w:pPr>
      <w:r>
        <w:t xml:space="preserve">Despite the prominence of family-based approaches in services, research that </w:t>
      </w:r>
      <w:r w:rsidR="00291A45">
        <w:t>highlights</w:t>
      </w:r>
      <w:r>
        <w:t xml:space="preserve"> young people’s and families’ experiences remains comparatively limited. Qualitative accounts can </w:t>
      </w:r>
      <w:r w:rsidR="00291A45">
        <w:t>clarify</w:t>
      </w:r>
      <w:r>
        <w:t xml:space="preserve"> acceptability, mechanisms (e.g., how parental “empowerment” is felt by adolescents), barriers to engagement (e.g., feeling blamed or unheard), and unintended effects (e.g., identity disruption), informing service development (Cottee-Lane, </w:t>
      </w:r>
      <w:proofErr w:type="spellStart"/>
      <w:r>
        <w:t>Pistrang</w:t>
      </w:r>
      <w:proofErr w:type="spellEnd"/>
      <w:r>
        <w:t xml:space="preserve"> &amp; Bryant-Waugh, 2004; Tierney, 2008; Medway &amp; Rhodes, 2016). There is also increasing recognition that recovery should be evaluated beyond weight restoration to include broader wellbeing and developmentally meaningful functioning (Dawson, Rhodes &amp; </w:t>
      </w:r>
      <w:proofErr w:type="spellStart"/>
      <w:r>
        <w:t>Touyz</w:t>
      </w:r>
      <w:proofErr w:type="spellEnd"/>
      <w:r>
        <w:t>, 2014).</w:t>
      </w:r>
    </w:p>
    <w:p w14:paraId="32DB255A" w14:textId="4E8C5644" w:rsidR="003B2E2F" w:rsidRDefault="00FD346D" w:rsidP="00CF7402">
      <w:pPr>
        <w:ind w:firstLine="720"/>
      </w:pPr>
      <w:r>
        <w:t>Within this study, I aim to extend prior research on the experiences of family therapy for eating disorders by answering the following research question:</w:t>
      </w:r>
    </w:p>
    <w:p w14:paraId="385BFEC8" w14:textId="2DFCE264" w:rsidR="00FD346D" w:rsidRPr="00FD346D" w:rsidRDefault="00FD346D" w:rsidP="003B2E2F">
      <w:pPr>
        <w:rPr>
          <w:b/>
          <w:bCs/>
          <w:i/>
          <w:iCs/>
        </w:rPr>
      </w:pPr>
      <w:r w:rsidRPr="00FD346D">
        <w:rPr>
          <w:b/>
          <w:bCs/>
          <w:i/>
          <w:iCs/>
        </w:rPr>
        <w:lastRenderedPageBreak/>
        <w:t>What are the experiences and perceived impacts of family therapy interventions for eating disorders among young people and their families?</w:t>
      </w:r>
    </w:p>
    <w:p w14:paraId="7E4B8AE7" w14:textId="741D4A3D" w:rsidR="0014589E" w:rsidRPr="00A73B5E" w:rsidRDefault="0014589E" w:rsidP="006A5EF0">
      <w:pPr>
        <w:rPr>
          <w:rFonts w:ascii="Aptos" w:hAnsi="Aptos"/>
          <w:b/>
          <w:bCs/>
          <w:color w:val="000000"/>
          <w:sz w:val="28"/>
          <w:szCs w:val="28"/>
        </w:rPr>
      </w:pPr>
      <w:r w:rsidRPr="00A73B5E">
        <w:rPr>
          <w:rFonts w:ascii="Aptos" w:hAnsi="Aptos"/>
          <w:b/>
          <w:bCs/>
          <w:color w:val="000000"/>
          <w:sz w:val="28"/>
          <w:szCs w:val="28"/>
        </w:rPr>
        <w:t>Method</w:t>
      </w:r>
    </w:p>
    <w:p w14:paraId="1F1B3CA6" w14:textId="77777777" w:rsidR="0014589E" w:rsidRPr="004C5A45" w:rsidRDefault="0014589E" w:rsidP="0014589E">
      <w:pPr>
        <w:spacing w:line="276" w:lineRule="auto"/>
        <w:rPr>
          <w:rFonts w:eastAsia="DengXian" w:cs="Times New Roman"/>
          <w:b/>
          <w:bCs/>
          <w:i/>
          <w:iCs/>
          <w:lang w:eastAsia="zh-CN"/>
        </w:rPr>
      </w:pPr>
      <w:r w:rsidRPr="004C5A45">
        <w:rPr>
          <w:rFonts w:eastAsia="DengXian" w:cs="Times New Roman"/>
          <w:b/>
          <w:bCs/>
          <w:i/>
          <w:iCs/>
          <w:lang w:eastAsia="zh-CN"/>
        </w:rPr>
        <w:t>The Search Process</w:t>
      </w:r>
    </w:p>
    <w:p w14:paraId="72F262B3" w14:textId="77777777" w:rsidR="0014589E" w:rsidRPr="0014589E" w:rsidRDefault="0014589E" w:rsidP="00CF7402">
      <w:pPr>
        <w:spacing w:line="276" w:lineRule="auto"/>
        <w:ind w:firstLine="720"/>
        <w:rPr>
          <w:rFonts w:eastAsia="DengXian" w:cs="Times New Roman"/>
          <w:lang w:eastAsia="zh-CN"/>
        </w:rPr>
      </w:pPr>
      <w:r w:rsidRPr="0014589E">
        <w:rPr>
          <w:rFonts w:eastAsia="DengXian" w:cs="Times New Roman"/>
          <w:lang w:eastAsia="zh-CN"/>
        </w:rPr>
        <w:t xml:space="preserve">In order to conduct a thorough examination of the literature, eight electronic databases were selected for use. A database search of published literature dating from January 2016 to April 2026 was conducted. Seven electronic databases were selected for this purpose: ScienceDirect, JSTOR, ProQuest, PsycINFO, </w:t>
      </w:r>
      <w:proofErr w:type="spellStart"/>
      <w:r w:rsidRPr="0014589E">
        <w:rPr>
          <w:rFonts w:eastAsia="DengXian" w:cs="Times New Roman"/>
          <w:lang w:eastAsia="zh-CN"/>
        </w:rPr>
        <w:t>PsycARTICLES</w:t>
      </w:r>
      <w:proofErr w:type="spellEnd"/>
      <w:r w:rsidRPr="0014589E">
        <w:rPr>
          <w:rFonts w:eastAsia="DengXian" w:cs="Times New Roman"/>
          <w:lang w:eastAsia="zh-CN"/>
        </w:rPr>
        <w:t>, EBSCOhost, and Google Scholar.</w:t>
      </w:r>
    </w:p>
    <w:p w14:paraId="57C16849" w14:textId="77777777" w:rsidR="0014589E" w:rsidRPr="0014589E" w:rsidRDefault="0014589E" w:rsidP="00CF7402">
      <w:pPr>
        <w:spacing w:line="276" w:lineRule="auto"/>
        <w:ind w:firstLine="720"/>
        <w:rPr>
          <w:rFonts w:eastAsia="DengXian" w:cs="Times New Roman"/>
          <w:lang w:eastAsia="zh-CN"/>
        </w:rPr>
      </w:pPr>
      <w:r w:rsidRPr="0014589E">
        <w:rPr>
          <w:rFonts w:eastAsia="DengXian" w:cs="Times New Roman"/>
          <w:lang w:eastAsia="zh-CN"/>
        </w:rPr>
        <w:t xml:space="preserve">Search terms were developed using Boolean operators and truncations to maximise retrieval. Core search strings included combinations of: “eating disorder” OR “anorexia nervosa” OR “bulimia </w:t>
      </w:r>
      <w:proofErr w:type="gramStart"/>
      <w:r w:rsidRPr="0014589E">
        <w:rPr>
          <w:rFonts w:eastAsia="DengXian" w:cs="Times New Roman"/>
          <w:lang w:eastAsia="zh-CN"/>
        </w:rPr>
        <w:t>nervosa”*</w:t>
      </w:r>
      <w:proofErr w:type="gramEnd"/>
      <w:r w:rsidRPr="0014589E">
        <w:rPr>
          <w:rFonts w:eastAsia="DengXian" w:cs="Times New Roman"/>
          <w:lang w:eastAsia="zh-CN"/>
        </w:rPr>
        <w:t xml:space="preserve"> “family therapy” OR “family-based treatment” OR “Maudsley” OR “multifamily therapy” “experience” OR “perception*” OR “lived experience” OR “</w:t>
      </w:r>
      <w:proofErr w:type="gramStart"/>
      <w:r w:rsidRPr="0014589E">
        <w:rPr>
          <w:rFonts w:eastAsia="DengXian" w:cs="Times New Roman"/>
          <w:lang w:eastAsia="zh-CN"/>
        </w:rPr>
        <w:t>qualitative”*</w:t>
      </w:r>
      <w:proofErr w:type="gramEnd"/>
      <w:r w:rsidRPr="0014589E">
        <w:rPr>
          <w:rFonts w:eastAsia="DengXian" w:cs="Times New Roman"/>
          <w:lang w:eastAsia="zh-CN"/>
        </w:rPr>
        <w:t xml:space="preserve"> “adolescent” OR “young people” OR “child</w:t>
      </w:r>
      <w:proofErr w:type="gramStart"/>
      <w:r w:rsidRPr="0014589E">
        <w:rPr>
          <w:rFonts w:eastAsia="DengXian" w:cs="Times New Roman"/>
          <w:lang w:eastAsia="zh-CN"/>
        </w:rPr>
        <w:t>*”*</w:t>
      </w:r>
      <w:proofErr w:type="gramEnd"/>
    </w:p>
    <w:p w14:paraId="31CA8AB8" w14:textId="77777777" w:rsidR="0014589E" w:rsidRPr="0014589E" w:rsidRDefault="0014589E" w:rsidP="00CF7402">
      <w:pPr>
        <w:spacing w:line="276" w:lineRule="auto"/>
        <w:ind w:firstLine="720"/>
        <w:rPr>
          <w:rFonts w:eastAsia="DengXian" w:cs="Times New Roman"/>
          <w:lang w:eastAsia="zh-CN"/>
        </w:rPr>
      </w:pPr>
      <w:r w:rsidRPr="0014589E">
        <w:rPr>
          <w:rFonts w:eastAsia="DengXian" w:cs="Times New Roman"/>
          <w:lang w:eastAsia="zh-CN"/>
        </w:rPr>
        <w:t>Reference lists of included papers were also hand-searched to identify any additional relevant studies. Grey literature was excluded because the review focused on peer-reviewed empirical evidence.</w:t>
      </w:r>
    </w:p>
    <w:p w14:paraId="42387249" w14:textId="77777777" w:rsidR="0014589E" w:rsidRPr="004C5A45" w:rsidRDefault="0014589E" w:rsidP="0014589E">
      <w:pPr>
        <w:spacing w:line="276" w:lineRule="auto"/>
        <w:rPr>
          <w:rFonts w:eastAsia="DengXian" w:cs="Times New Roman"/>
          <w:b/>
          <w:bCs/>
          <w:lang w:eastAsia="zh-CN"/>
        </w:rPr>
      </w:pPr>
    </w:p>
    <w:p w14:paraId="0A853244" w14:textId="77777777" w:rsidR="0014589E" w:rsidRPr="004C5A45" w:rsidRDefault="0014589E" w:rsidP="0014589E">
      <w:pPr>
        <w:spacing w:line="276" w:lineRule="auto"/>
        <w:rPr>
          <w:rFonts w:eastAsia="DengXian" w:cs="Times New Roman"/>
          <w:b/>
          <w:bCs/>
          <w:i/>
          <w:iCs/>
          <w:lang w:eastAsia="zh-CN"/>
        </w:rPr>
      </w:pPr>
      <w:r w:rsidRPr="004C5A45">
        <w:rPr>
          <w:rFonts w:eastAsia="DengXian" w:cs="Times New Roman"/>
          <w:b/>
          <w:bCs/>
          <w:i/>
          <w:iCs/>
          <w:lang w:eastAsia="zh-CN"/>
        </w:rPr>
        <w:t>Inclusion and Exclusion Criteria</w:t>
      </w:r>
    </w:p>
    <w:p w14:paraId="32E602B7" w14:textId="77777777" w:rsidR="0014589E" w:rsidRPr="0014589E" w:rsidRDefault="0014589E" w:rsidP="0014589E">
      <w:pPr>
        <w:spacing w:line="276" w:lineRule="auto"/>
        <w:rPr>
          <w:rFonts w:eastAsia="DengXian" w:cs="Times New Roman"/>
          <w:lang w:eastAsia="zh-CN"/>
        </w:rPr>
      </w:pPr>
      <w:r w:rsidRPr="0014589E">
        <w:rPr>
          <w:rFonts w:eastAsia="DengXian" w:cs="Times New Roman"/>
          <w:lang w:eastAsia="zh-CN"/>
        </w:rPr>
        <w:t>Studies were selected according to predefined inclusion and exclusion criteria.</w:t>
      </w:r>
    </w:p>
    <w:p w14:paraId="3D03002C" w14:textId="77777777" w:rsidR="0014589E" w:rsidRPr="0014589E" w:rsidRDefault="0014589E" w:rsidP="0014589E">
      <w:pPr>
        <w:spacing w:line="276" w:lineRule="auto"/>
        <w:rPr>
          <w:rFonts w:eastAsia="DengXian" w:cs="Times New Roman"/>
          <w:lang w:eastAsia="zh-CN"/>
        </w:rPr>
      </w:pPr>
      <w:r w:rsidRPr="0014589E">
        <w:rPr>
          <w:rFonts w:eastAsia="DengXian" w:cs="Times New Roman"/>
          <w:lang w:eastAsia="zh-CN"/>
        </w:rPr>
        <w:t>Inclusion criteria:</w:t>
      </w:r>
    </w:p>
    <w:p w14:paraId="372A5BB8" w14:textId="77777777" w:rsidR="0014589E" w:rsidRPr="0014589E" w:rsidRDefault="0014589E" w:rsidP="0014589E">
      <w:pPr>
        <w:numPr>
          <w:ilvl w:val="0"/>
          <w:numId w:val="1"/>
        </w:numPr>
        <w:spacing w:line="276" w:lineRule="auto"/>
        <w:contextualSpacing/>
        <w:rPr>
          <w:rFonts w:eastAsia="DengXian" w:cs="Times New Roman"/>
          <w:lang w:eastAsia="zh-CN"/>
        </w:rPr>
      </w:pPr>
      <w:r w:rsidRPr="0014589E">
        <w:rPr>
          <w:rFonts w:eastAsia="DengXian" w:cs="Times New Roman"/>
          <w:lang w:eastAsia="zh-CN"/>
        </w:rPr>
        <w:t>Published between January 2016 – April 2026</w:t>
      </w:r>
    </w:p>
    <w:p w14:paraId="6F0D8379" w14:textId="77777777" w:rsidR="0014589E" w:rsidRPr="0014589E" w:rsidRDefault="0014589E" w:rsidP="0014589E">
      <w:pPr>
        <w:numPr>
          <w:ilvl w:val="0"/>
          <w:numId w:val="1"/>
        </w:numPr>
        <w:spacing w:line="276" w:lineRule="auto"/>
        <w:contextualSpacing/>
        <w:rPr>
          <w:rFonts w:eastAsia="DengXian" w:cs="Times New Roman"/>
          <w:lang w:eastAsia="zh-CN"/>
        </w:rPr>
      </w:pPr>
      <w:r w:rsidRPr="0014589E">
        <w:rPr>
          <w:rFonts w:eastAsia="DengXian" w:cs="Times New Roman"/>
          <w:lang w:eastAsia="zh-CN"/>
        </w:rPr>
        <w:t>Peer-reviewed journal articles</w:t>
      </w:r>
    </w:p>
    <w:p w14:paraId="7479ACCB" w14:textId="77777777" w:rsidR="0014589E" w:rsidRPr="0014589E" w:rsidRDefault="0014589E" w:rsidP="0014589E">
      <w:pPr>
        <w:numPr>
          <w:ilvl w:val="0"/>
          <w:numId w:val="1"/>
        </w:numPr>
        <w:spacing w:line="276" w:lineRule="auto"/>
        <w:contextualSpacing/>
        <w:rPr>
          <w:rFonts w:eastAsia="DengXian" w:cs="Times New Roman"/>
          <w:lang w:eastAsia="zh-CN"/>
        </w:rPr>
      </w:pPr>
      <w:r w:rsidRPr="0014589E">
        <w:rPr>
          <w:rFonts w:eastAsia="DengXian" w:cs="Times New Roman"/>
          <w:lang w:eastAsia="zh-CN"/>
        </w:rPr>
        <w:t>Qualitative empirical design (e.g., interviews, focus groups, thematic analysis, IPA)</w:t>
      </w:r>
    </w:p>
    <w:p w14:paraId="7AE6E10D" w14:textId="77777777" w:rsidR="0014589E" w:rsidRPr="0014589E" w:rsidRDefault="0014589E" w:rsidP="0014589E">
      <w:pPr>
        <w:numPr>
          <w:ilvl w:val="0"/>
          <w:numId w:val="1"/>
        </w:numPr>
        <w:spacing w:line="276" w:lineRule="auto"/>
        <w:contextualSpacing/>
        <w:rPr>
          <w:rFonts w:eastAsia="DengXian" w:cs="Times New Roman"/>
          <w:lang w:eastAsia="zh-CN"/>
        </w:rPr>
      </w:pPr>
      <w:r w:rsidRPr="0014589E">
        <w:rPr>
          <w:rFonts w:eastAsia="DengXian" w:cs="Times New Roman"/>
          <w:lang w:eastAsia="zh-CN"/>
        </w:rPr>
        <w:t>Focus on family therapy / family-based interventions (including FBT, Maudsley, multifamily therapy)</w:t>
      </w:r>
    </w:p>
    <w:p w14:paraId="0654B2ED" w14:textId="77777777" w:rsidR="0014589E" w:rsidRPr="0014589E" w:rsidRDefault="0014589E" w:rsidP="0014589E">
      <w:pPr>
        <w:numPr>
          <w:ilvl w:val="0"/>
          <w:numId w:val="1"/>
        </w:numPr>
        <w:spacing w:line="276" w:lineRule="auto"/>
        <w:contextualSpacing/>
        <w:rPr>
          <w:rFonts w:eastAsia="DengXian" w:cs="Times New Roman"/>
          <w:lang w:eastAsia="zh-CN"/>
        </w:rPr>
      </w:pPr>
      <w:r w:rsidRPr="0014589E">
        <w:rPr>
          <w:rFonts w:eastAsia="DengXian" w:cs="Times New Roman"/>
          <w:lang w:eastAsia="zh-CN"/>
        </w:rPr>
        <w:t>Participants included young people with eating disorders and/or their families</w:t>
      </w:r>
    </w:p>
    <w:p w14:paraId="7A60E3AB" w14:textId="77777777" w:rsidR="0014589E" w:rsidRPr="0014589E" w:rsidRDefault="0014589E" w:rsidP="0014589E">
      <w:pPr>
        <w:numPr>
          <w:ilvl w:val="0"/>
          <w:numId w:val="1"/>
        </w:numPr>
        <w:spacing w:line="276" w:lineRule="auto"/>
        <w:contextualSpacing/>
        <w:rPr>
          <w:rFonts w:eastAsia="DengXian" w:cs="Times New Roman"/>
          <w:lang w:eastAsia="zh-CN"/>
        </w:rPr>
      </w:pPr>
      <w:r w:rsidRPr="0014589E">
        <w:rPr>
          <w:rFonts w:eastAsia="DengXian" w:cs="Times New Roman"/>
          <w:lang w:eastAsia="zh-CN"/>
        </w:rPr>
        <w:t>English language publications</w:t>
      </w:r>
    </w:p>
    <w:p w14:paraId="720B1273" w14:textId="77777777" w:rsidR="0014589E" w:rsidRPr="0014589E" w:rsidRDefault="0014589E" w:rsidP="0014589E">
      <w:pPr>
        <w:spacing w:line="276" w:lineRule="auto"/>
        <w:rPr>
          <w:rFonts w:eastAsia="DengXian" w:cs="Times New Roman"/>
          <w:lang w:eastAsia="zh-CN"/>
        </w:rPr>
      </w:pPr>
      <w:r w:rsidRPr="0014589E">
        <w:rPr>
          <w:rFonts w:eastAsia="DengXian" w:cs="Times New Roman"/>
          <w:lang w:eastAsia="zh-CN"/>
        </w:rPr>
        <w:t>Exclusion criteria:</w:t>
      </w:r>
    </w:p>
    <w:p w14:paraId="2DCFC562" w14:textId="77777777" w:rsidR="0014589E" w:rsidRPr="0014589E" w:rsidRDefault="0014589E" w:rsidP="0014589E">
      <w:pPr>
        <w:numPr>
          <w:ilvl w:val="0"/>
          <w:numId w:val="2"/>
        </w:numPr>
        <w:spacing w:line="276" w:lineRule="auto"/>
        <w:contextualSpacing/>
        <w:rPr>
          <w:rFonts w:eastAsia="DengXian" w:cs="Times New Roman"/>
          <w:lang w:eastAsia="zh-CN"/>
        </w:rPr>
      </w:pPr>
      <w:r w:rsidRPr="0014589E">
        <w:rPr>
          <w:rFonts w:eastAsia="DengXian" w:cs="Times New Roman"/>
          <w:lang w:eastAsia="zh-CN"/>
        </w:rPr>
        <w:t>Quantitative-only studies</w:t>
      </w:r>
    </w:p>
    <w:p w14:paraId="16D400F8" w14:textId="77777777" w:rsidR="0014589E" w:rsidRPr="0014589E" w:rsidRDefault="0014589E" w:rsidP="0014589E">
      <w:pPr>
        <w:numPr>
          <w:ilvl w:val="0"/>
          <w:numId w:val="2"/>
        </w:numPr>
        <w:spacing w:line="276" w:lineRule="auto"/>
        <w:contextualSpacing/>
        <w:rPr>
          <w:rFonts w:eastAsia="DengXian" w:cs="Times New Roman"/>
          <w:lang w:eastAsia="zh-CN"/>
        </w:rPr>
      </w:pPr>
      <w:r w:rsidRPr="0014589E">
        <w:rPr>
          <w:rFonts w:eastAsia="DengXian" w:cs="Times New Roman"/>
          <w:lang w:eastAsia="zh-CN"/>
        </w:rPr>
        <w:t>Reviews, meta-analyses, editorials, or commentaries</w:t>
      </w:r>
    </w:p>
    <w:p w14:paraId="5E35DEB1" w14:textId="77777777" w:rsidR="0014589E" w:rsidRPr="0014589E" w:rsidRDefault="0014589E" w:rsidP="0014589E">
      <w:pPr>
        <w:numPr>
          <w:ilvl w:val="0"/>
          <w:numId w:val="2"/>
        </w:numPr>
        <w:spacing w:line="276" w:lineRule="auto"/>
        <w:contextualSpacing/>
        <w:rPr>
          <w:rFonts w:eastAsia="DengXian" w:cs="Times New Roman"/>
          <w:lang w:eastAsia="zh-CN"/>
        </w:rPr>
      </w:pPr>
      <w:r w:rsidRPr="0014589E">
        <w:rPr>
          <w:rFonts w:eastAsia="DengXian" w:cs="Times New Roman"/>
          <w:lang w:eastAsia="zh-CN"/>
        </w:rPr>
        <w:t>Adult-only samples (unless family therapy is delivered within youth services)</w:t>
      </w:r>
    </w:p>
    <w:p w14:paraId="53AD19C5" w14:textId="77777777" w:rsidR="0014589E" w:rsidRPr="0014589E" w:rsidRDefault="0014589E" w:rsidP="0014589E">
      <w:pPr>
        <w:numPr>
          <w:ilvl w:val="0"/>
          <w:numId w:val="2"/>
        </w:numPr>
        <w:spacing w:line="276" w:lineRule="auto"/>
        <w:contextualSpacing/>
        <w:rPr>
          <w:rFonts w:eastAsia="DengXian" w:cs="Times New Roman"/>
          <w:lang w:eastAsia="zh-CN"/>
        </w:rPr>
      </w:pPr>
      <w:r w:rsidRPr="0014589E">
        <w:rPr>
          <w:rFonts w:eastAsia="DengXian" w:cs="Times New Roman"/>
          <w:lang w:eastAsia="zh-CN"/>
        </w:rPr>
        <w:t>Studies not focused on treatment/intervention experience</w:t>
      </w:r>
    </w:p>
    <w:p w14:paraId="32C282DE" w14:textId="77777777" w:rsidR="0014589E" w:rsidRPr="0014589E" w:rsidRDefault="0014589E" w:rsidP="0014589E">
      <w:pPr>
        <w:numPr>
          <w:ilvl w:val="0"/>
          <w:numId w:val="2"/>
        </w:numPr>
        <w:spacing w:line="276" w:lineRule="auto"/>
        <w:contextualSpacing/>
        <w:rPr>
          <w:rFonts w:eastAsia="DengXian" w:cs="Times New Roman"/>
          <w:lang w:eastAsia="zh-CN"/>
        </w:rPr>
      </w:pPr>
      <w:r w:rsidRPr="0014589E">
        <w:rPr>
          <w:rFonts w:eastAsia="DengXian" w:cs="Times New Roman"/>
          <w:lang w:eastAsia="zh-CN"/>
        </w:rPr>
        <w:t>Non-peer-reviewed literature</w:t>
      </w:r>
    </w:p>
    <w:p w14:paraId="6B23527E" w14:textId="77777777" w:rsidR="0014589E" w:rsidRPr="0014589E" w:rsidRDefault="0014589E" w:rsidP="0014589E">
      <w:pPr>
        <w:spacing w:line="276" w:lineRule="auto"/>
        <w:rPr>
          <w:rFonts w:eastAsia="DengXian" w:cs="Times New Roman"/>
          <w:lang w:eastAsia="zh-CN"/>
        </w:rPr>
      </w:pPr>
      <w:r w:rsidRPr="0014589E">
        <w:rPr>
          <w:rFonts w:eastAsia="DengXian" w:cs="Times New Roman"/>
          <w:lang w:eastAsia="zh-CN"/>
        </w:rPr>
        <w:lastRenderedPageBreak/>
        <w:t>Following screening, six papers met the inclusion criteria.</w:t>
      </w:r>
    </w:p>
    <w:p w14:paraId="45208F6E" w14:textId="77777777" w:rsidR="0014589E" w:rsidRPr="0014589E" w:rsidRDefault="0014589E" w:rsidP="0014589E">
      <w:pPr>
        <w:spacing w:line="276" w:lineRule="auto"/>
        <w:rPr>
          <w:rFonts w:eastAsia="DengXian" w:cs="Times New Roman"/>
          <w:lang w:eastAsia="zh-CN"/>
        </w:rPr>
      </w:pPr>
    </w:p>
    <w:p w14:paraId="0D2B38EB" w14:textId="77777777" w:rsidR="0014589E" w:rsidRPr="004C5A45" w:rsidRDefault="0014589E" w:rsidP="0014589E">
      <w:pPr>
        <w:spacing w:line="276" w:lineRule="auto"/>
        <w:rPr>
          <w:rFonts w:eastAsia="DengXian" w:cs="Times New Roman"/>
          <w:b/>
          <w:bCs/>
          <w:i/>
          <w:iCs/>
          <w:lang w:eastAsia="zh-CN"/>
        </w:rPr>
      </w:pPr>
      <w:r w:rsidRPr="004C5A45">
        <w:rPr>
          <w:rFonts w:eastAsia="DengXian" w:cs="Times New Roman"/>
          <w:b/>
          <w:bCs/>
          <w:i/>
          <w:iCs/>
          <w:lang w:eastAsia="zh-CN"/>
        </w:rPr>
        <w:t>Quality Assessment, Screening and Coding</w:t>
      </w:r>
    </w:p>
    <w:p w14:paraId="4E334D90" w14:textId="77777777" w:rsidR="0014589E" w:rsidRPr="0014589E" w:rsidRDefault="0014589E" w:rsidP="0014589E">
      <w:pPr>
        <w:spacing w:line="276" w:lineRule="auto"/>
        <w:rPr>
          <w:rFonts w:eastAsia="DengXian" w:cs="Times New Roman"/>
          <w:lang w:eastAsia="zh-CN"/>
        </w:rPr>
      </w:pPr>
      <w:r w:rsidRPr="0014589E">
        <w:rPr>
          <w:rFonts w:eastAsia="DengXian" w:cs="Times New Roman"/>
          <w:lang w:eastAsia="zh-CN"/>
        </w:rPr>
        <w:t>Screening followed a staged approach aligned with the guidance of systematic reviews.</w:t>
      </w:r>
    </w:p>
    <w:p w14:paraId="21335E03" w14:textId="77777777" w:rsidR="0014589E" w:rsidRPr="0014589E" w:rsidRDefault="0014589E" w:rsidP="0014589E">
      <w:pPr>
        <w:numPr>
          <w:ilvl w:val="0"/>
          <w:numId w:val="3"/>
        </w:numPr>
        <w:spacing w:line="276" w:lineRule="auto"/>
        <w:contextualSpacing/>
        <w:rPr>
          <w:rFonts w:eastAsia="DengXian" w:cs="Times New Roman"/>
          <w:lang w:eastAsia="zh-CN"/>
        </w:rPr>
      </w:pPr>
      <w:r w:rsidRPr="0014589E">
        <w:rPr>
          <w:rFonts w:eastAsia="DengXian" w:cs="Times New Roman"/>
          <w:lang w:eastAsia="zh-CN"/>
        </w:rPr>
        <w:t>Title screening - removal of clearly irrelevant studies</w:t>
      </w:r>
    </w:p>
    <w:p w14:paraId="4AAA649E" w14:textId="77777777" w:rsidR="0014589E" w:rsidRPr="0014589E" w:rsidRDefault="0014589E" w:rsidP="0014589E">
      <w:pPr>
        <w:numPr>
          <w:ilvl w:val="0"/>
          <w:numId w:val="3"/>
        </w:numPr>
        <w:spacing w:line="276" w:lineRule="auto"/>
        <w:contextualSpacing/>
        <w:rPr>
          <w:rFonts w:eastAsia="DengXian" w:cs="Times New Roman"/>
          <w:lang w:eastAsia="zh-CN"/>
        </w:rPr>
      </w:pPr>
      <w:r w:rsidRPr="0014589E">
        <w:rPr>
          <w:rFonts w:eastAsia="DengXian" w:cs="Times New Roman"/>
          <w:lang w:eastAsia="zh-CN"/>
        </w:rPr>
        <w:t>Abstract screening - assessment against inclusion criteria</w:t>
      </w:r>
    </w:p>
    <w:p w14:paraId="05E2DED6" w14:textId="77777777" w:rsidR="0014589E" w:rsidRPr="0014589E" w:rsidRDefault="0014589E" w:rsidP="0014589E">
      <w:pPr>
        <w:numPr>
          <w:ilvl w:val="0"/>
          <w:numId w:val="3"/>
        </w:numPr>
        <w:spacing w:line="276" w:lineRule="auto"/>
        <w:contextualSpacing/>
        <w:rPr>
          <w:rFonts w:eastAsia="DengXian" w:cs="Times New Roman"/>
          <w:lang w:eastAsia="zh-CN"/>
        </w:rPr>
      </w:pPr>
      <w:r w:rsidRPr="0014589E">
        <w:rPr>
          <w:rFonts w:eastAsia="DengXian" w:cs="Times New Roman"/>
          <w:lang w:eastAsia="zh-CN"/>
        </w:rPr>
        <w:t>Full-text review - eligibility confirmation</w:t>
      </w:r>
    </w:p>
    <w:p w14:paraId="6B8B7E9F" w14:textId="77777777" w:rsidR="0014589E" w:rsidRPr="0014589E" w:rsidRDefault="0014589E" w:rsidP="0014589E">
      <w:pPr>
        <w:numPr>
          <w:ilvl w:val="0"/>
          <w:numId w:val="3"/>
        </w:numPr>
        <w:spacing w:line="276" w:lineRule="auto"/>
        <w:contextualSpacing/>
        <w:rPr>
          <w:rFonts w:eastAsia="DengXian" w:cs="Times New Roman"/>
          <w:lang w:eastAsia="zh-CN"/>
        </w:rPr>
      </w:pPr>
      <w:r w:rsidRPr="0014589E">
        <w:rPr>
          <w:rFonts w:eastAsia="DengXian" w:cs="Times New Roman"/>
          <w:lang w:eastAsia="zh-CN"/>
        </w:rPr>
        <w:t>Quality appraisal - CASP checklist applied</w:t>
      </w:r>
    </w:p>
    <w:p w14:paraId="61859385" w14:textId="77777777" w:rsidR="0014589E" w:rsidRPr="0014589E" w:rsidRDefault="0014589E" w:rsidP="0014589E">
      <w:pPr>
        <w:numPr>
          <w:ilvl w:val="0"/>
          <w:numId w:val="3"/>
        </w:numPr>
        <w:spacing w:line="276" w:lineRule="auto"/>
        <w:contextualSpacing/>
        <w:rPr>
          <w:rFonts w:eastAsia="DengXian" w:cs="Times New Roman"/>
          <w:lang w:eastAsia="zh-CN"/>
        </w:rPr>
      </w:pPr>
      <w:r w:rsidRPr="0014589E">
        <w:rPr>
          <w:rFonts w:eastAsia="DengXian" w:cs="Times New Roman"/>
          <w:lang w:eastAsia="zh-CN"/>
        </w:rPr>
        <w:t>Data extraction and coding - thematic synthesis preparation</w:t>
      </w:r>
    </w:p>
    <w:p w14:paraId="5C793599" w14:textId="77777777" w:rsidR="0014589E" w:rsidRPr="0014589E" w:rsidRDefault="0014589E" w:rsidP="0014589E">
      <w:pPr>
        <w:spacing w:line="276" w:lineRule="auto"/>
        <w:ind w:left="720"/>
        <w:contextualSpacing/>
        <w:rPr>
          <w:rFonts w:eastAsia="DengXian" w:cs="Times New Roman"/>
          <w:lang w:eastAsia="zh-CN"/>
        </w:rPr>
      </w:pPr>
    </w:p>
    <w:p w14:paraId="310A1815" w14:textId="77777777" w:rsidR="0014589E" w:rsidRPr="0014589E" w:rsidRDefault="0014589E" w:rsidP="0014589E">
      <w:pPr>
        <w:spacing w:line="276" w:lineRule="auto"/>
        <w:rPr>
          <w:rFonts w:eastAsia="DengXian" w:cs="Times New Roman"/>
          <w:lang w:eastAsia="zh-CN"/>
        </w:rPr>
      </w:pPr>
      <w:r w:rsidRPr="0014589E">
        <w:rPr>
          <w:rFonts w:eastAsia="DengXian" w:cs="Times New Roman"/>
          <w:lang w:eastAsia="zh-CN"/>
        </w:rPr>
        <w:t>The six studies included in the final synthesis are summarised below in Table 1.</w:t>
      </w:r>
    </w:p>
    <w:p w14:paraId="6B4AADE0" w14:textId="77777777" w:rsidR="0014589E" w:rsidRPr="0014589E" w:rsidRDefault="0014589E" w:rsidP="0014589E">
      <w:pPr>
        <w:spacing w:line="276" w:lineRule="auto"/>
        <w:rPr>
          <w:rFonts w:eastAsia="DengXian" w:cs="Times New Roman"/>
          <w:lang w:eastAsia="zh-CN"/>
        </w:rPr>
      </w:pPr>
    </w:p>
    <w:p w14:paraId="2AFD58D2" w14:textId="77777777" w:rsidR="0014589E" w:rsidRPr="0014589E" w:rsidRDefault="0014589E" w:rsidP="0014589E">
      <w:pPr>
        <w:spacing w:line="276" w:lineRule="auto"/>
        <w:rPr>
          <w:rFonts w:eastAsia="DengXian" w:cs="Times New Roman"/>
          <w:lang w:eastAsia="zh-CN"/>
        </w:rPr>
      </w:pPr>
      <w:r w:rsidRPr="0014589E">
        <w:rPr>
          <w:rFonts w:eastAsia="DengXian" w:cs="Times New Roman"/>
          <w:lang w:eastAsia="zh-CN"/>
        </w:rPr>
        <w:t>Table 1: Summary characteristics of studies reporting Experiences of Family Therapy for Eating Disorders</w:t>
      </w:r>
    </w:p>
    <w:tbl>
      <w:tblPr>
        <w:tblW w:w="0" w:type="auto"/>
        <w:tblCellSpacing w:w="15" w:type="dxa"/>
        <w:tblLook w:val="04A0" w:firstRow="1" w:lastRow="0" w:firstColumn="1" w:lastColumn="0" w:noHBand="0" w:noVBand="1"/>
      </w:tblPr>
      <w:tblGrid>
        <w:gridCol w:w="1845"/>
        <w:gridCol w:w="908"/>
        <w:gridCol w:w="1740"/>
        <w:gridCol w:w="1770"/>
        <w:gridCol w:w="2763"/>
      </w:tblGrid>
      <w:tr w:rsidR="0014589E" w:rsidRPr="0014589E" w14:paraId="20EBBBCC" w14:textId="77777777">
        <w:trPr>
          <w:tblHeader/>
          <w:tblCellSpacing w:w="15" w:type="dxa"/>
        </w:trPr>
        <w:tc>
          <w:tcPr>
            <w:tcW w:w="0" w:type="auto"/>
            <w:tcMar>
              <w:top w:w="15" w:type="dxa"/>
              <w:left w:w="15" w:type="dxa"/>
              <w:bottom w:w="15" w:type="dxa"/>
              <w:right w:w="15" w:type="dxa"/>
            </w:tcMar>
            <w:vAlign w:val="center"/>
            <w:hideMark/>
          </w:tcPr>
          <w:p w14:paraId="5445403D" w14:textId="77777777" w:rsidR="0014589E" w:rsidRPr="0014589E" w:rsidRDefault="0014589E" w:rsidP="0014589E">
            <w:pPr>
              <w:spacing w:after="0" w:line="240" w:lineRule="auto"/>
              <w:jc w:val="center"/>
              <w:rPr>
                <w:rFonts w:eastAsia="Times New Roman" w:cs="Times New Roman"/>
                <w:b/>
                <w:bCs/>
                <w:kern w:val="0"/>
                <w:sz w:val="22"/>
                <w:szCs w:val="22"/>
                <w:lang w:eastAsia="zh-CN"/>
                <w14:ligatures w14:val="none"/>
              </w:rPr>
            </w:pPr>
            <w:r w:rsidRPr="0014589E">
              <w:rPr>
                <w:rFonts w:eastAsia="Times New Roman" w:cs="Times New Roman"/>
                <w:b/>
                <w:bCs/>
                <w:kern w:val="0"/>
                <w:sz w:val="22"/>
                <w:szCs w:val="22"/>
                <w:lang w:eastAsia="zh-CN"/>
                <w14:ligatures w14:val="none"/>
              </w:rPr>
              <w:t>Study</w:t>
            </w:r>
          </w:p>
        </w:tc>
        <w:tc>
          <w:tcPr>
            <w:tcW w:w="0" w:type="auto"/>
            <w:tcMar>
              <w:top w:w="15" w:type="dxa"/>
              <w:left w:w="15" w:type="dxa"/>
              <w:bottom w:w="15" w:type="dxa"/>
              <w:right w:w="15" w:type="dxa"/>
            </w:tcMar>
            <w:vAlign w:val="center"/>
            <w:hideMark/>
          </w:tcPr>
          <w:p w14:paraId="7FBE36BA" w14:textId="77777777" w:rsidR="0014589E" w:rsidRPr="0014589E" w:rsidRDefault="0014589E" w:rsidP="0014589E">
            <w:pPr>
              <w:spacing w:after="0" w:line="240" w:lineRule="auto"/>
              <w:jc w:val="center"/>
              <w:rPr>
                <w:rFonts w:eastAsia="Times New Roman" w:cs="Times New Roman"/>
                <w:b/>
                <w:bCs/>
                <w:kern w:val="0"/>
                <w:sz w:val="22"/>
                <w:szCs w:val="22"/>
                <w:lang w:eastAsia="zh-CN"/>
                <w14:ligatures w14:val="none"/>
              </w:rPr>
            </w:pPr>
            <w:r w:rsidRPr="0014589E">
              <w:rPr>
                <w:rFonts w:eastAsia="Times New Roman" w:cs="Times New Roman"/>
                <w:b/>
                <w:bCs/>
                <w:kern w:val="0"/>
                <w:sz w:val="22"/>
                <w:szCs w:val="22"/>
                <w:lang w:eastAsia="zh-CN"/>
                <w14:ligatures w14:val="none"/>
              </w:rPr>
              <w:t>Country</w:t>
            </w:r>
          </w:p>
        </w:tc>
        <w:tc>
          <w:tcPr>
            <w:tcW w:w="0" w:type="auto"/>
            <w:tcMar>
              <w:top w:w="15" w:type="dxa"/>
              <w:left w:w="15" w:type="dxa"/>
              <w:bottom w:w="15" w:type="dxa"/>
              <w:right w:w="15" w:type="dxa"/>
            </w:tcMar>
            <w:vAlign w:val="center"/>
            <w:hideMark/>
          </w:tcPr>
          <w:p w14:paraId="3F468438" w14:textId="77777777" w:rsidR="0014589E" w:rsidRPr="0014589E" w:rsidRDefault="0014589E" w:rsidP="0014589E">
            <w:pPr>
              <w:spacing w:after="0" w:line="240" w:lineRule="auto"/>
              <w:jc w:val="center"/>
              <w:rPr>
                <w:rFonts w:eastAsia="Times New Roman" w:cs="Times New Roman"/>
                <w:b/>
                <w:bCs/>
                <w:kern w:val="0"/>
                <w:sz w:val="22"/>
                <w:szCs w:val="22"/>
                <w:lang w:eastAsia="zh-CN"/>
                <w14:ligatures w14:val="none"/>
              </w:rPr>
            </w:pPr>
            <w:r w:rsidRPr="0014589E">
              <w:rPr>
                <w:rFonts w:eastAsia="Times New Roman" w:cs="Times New Roman"/>
                <w:b/>
                <w:bCs/>
                <w:kern w:val="0"/>
                <w:sz w:val="22"/>
                <w:szCs w:val="22"/>
                <w:lang w:eastAsia="zh-CN"/>
                <w14:ligatures w14:val="none"/>
              </w:rPr>
              <w:t>Study Design</w:t>
            </w:r>
          </w:p>
        </w:tc>
        <w:tc>
          <w:tcPr>
            <w:tcW w:w="0" w:type="auto"/>
            <w:tcMar>
              <w:top w:w="15" w:type="dxa"/>
              <w:left w:w="15" w:type="dxa"/>
              <w:bottom w:w="15" w:type="dxa"/>
              <w:right w:w="15" w:type="dxa"/>
            </w:tcMar>
            <w:vAlign w:val="center"/>
            <w:hideMark/>
          </w:tcPr>
          <w:p w14:paraId="0F4B1B8F" w14:textId="77777777" w:rsidR="0014589E" w:rsidRPr="0014589E" w:rsidRDefault="0014589E" w:rsidP="0014589E">
            <w:pPr>
              <w:spacing w:after="0" w:line="240" w:lineRule="auto"/>
              <w:jc w:val="center"/>
              <w:rPr>
                <w:rFonts w:eastAsia="Times New Roman" w:cs="Times New Roman"/>
                <w:b/>
                <w:bCs/>
                <w:kern w:val="0"/>
                <w:sz w:val="22"/>
                <w:szCs w:val="22"/>
                <w:lang w:eastAsia="zh-CN"/>
                <w14:ligatures w14:val="none"/>
              </w:rPr>
            </w:pPr>
            <w:r w:rsidRPr="0014589E">
              <w:rPr>
                <w:rFonts w:eastAsia="Times New Roman" w:cs="Times New Roman"/>
                <w:b/>
                <w:bCs/>
                <w:kern w:val="0"/>
                <w:sz w:val="22"/>
                <w:szCs w:val="22"/>
                <w:lang w:eastAsia="zh-CN"/>
                <w14:ligatures w14:val="none"/>
              </w:rPr>
              <w:t>Data Collection Method</w:t>
            </w:r>
          </w:p>
        </w:tc>
        <w:tc>
          <w:tcPr>
            <w:tcW w:w="0" w:type="auto"/>
            <w:tcMar>
              <w:top w:w="15" w:type="dxa"/>
              <w:left w:w="15" w:type="dxa"/>
              <w:bottom w:w="15" w:type="dxa"/>
              <w:right w:w="15" w:type="dxa"/>
            </w:tcMar>
            <w:vAlign w:val="center"/>
            <w:hideMark/>
          </w:tcPr>
          <w:p w14:paraId="4F6CEDCD" w14:textId="77777777" w:rsidR="0014589E" w:rsidRPr="0014589E" w:rsidRDefault="0014589E" w:rsidP="0014589E">
            <w:pPr>
              <w:spacing w:after="0" w:line="240" w:lineRule="auto"/>
              <w:jc w:val="center"/>
              <w:rPr>
                <w:rFonts w:eastAsia="Times New Roman" w:cs="Times New Roman"/>
                <w:b/>
                <w:bCs/>
                <w:kern w:val="0"/>
                <w:sz w:val="22"/>
                <w:szCs w:val="22"/>
                <w:lang w:eastAsia="zh-CN"/>
                <w14:ligatures w14:val="none"/>
              </w:rPr>
            </w:pPr>
            <w:r w:rsidRPr="0014589E">
              <w:rPr>
                <w:rFonts w:eastAsia="Times New Roman" w:cs="Times New Roman"/>
                <w:b/>
                <w:bCs/>
                <w:kern w:val="0"/>
                <w:sz w:val="22"/>
                <w:szCs w:val="22"/>
                <w:lang w:eastAsia="zh-CN"/>
                <w14:ligatures w14:val="none"/>
              </w:rPr>
              <w:t>Sample</w:t>
            </w:r>
          </w:p>
        </w:tc>
      </w:tr>
      <w:tr w:rsidR="0014589E" w:rsidRPr="0014589E" w14:paraId="646CE509" w14:textId="77777777">
        <w:trPr>
          <w:tblCellSpacing w:w="15" w:type="dxa"/>
        </w:trPr>
        <w:tc>
          <w:tcPr>
            <w:tcW w:w="0" w:type="auto"/>
            <w:tcMar>
              <w:top w:w="15" w:type="dxa"/>
              <w:left w:w="15" w:type="dxa"/>
              <w:bottom w:w="15" w:type="dxa"/>
              <w:right w:w="15" w:type="dxa"/>
            </w:tcMar>
            <w:vAlign w:val="center"/>
            <w:hideMark/>
          </w:tcPr>
          <w:p w14:paraId="0E905149"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proofErr w:type="spellStart"/>
            <w:r w:rsidRPr="0014589E">
              <w:rPr>
                <w:rFonts w:eastAsia="Times New Roman" w:cs="Times New Roman"/>
                <w:kern w:val="0"/>
                <w:sz w:val="22"/>
                <w:szCs w:val="22"/>
                <w:lang w:eastAsia="zh-CN"/>
                <w14:ligatures w14:val="none"/>
              </w:rPr>
              <w:t>Brinchmann</w:t>
            </w:r>
            <w:proofErr w:type="spellEnd"/>
            <w:r w:rsidRPr="0014589E">
              <w:rPr>
                <w:rFonts w:eastAsia="Times New Roman" w:cs="Times New Roman"/>
                <w:kern w:val="0"/>
                <w:sz w:val="22"/>
                <w:szCs w:val="22"/>
                <w:lang w:eastAsia="zh-CN"/>
                <w14:ligatures w14:val="none"/>
              </w:rPr>
              <w:t xml:space="preserve"> &amp; </w:t>
            </w:r>
            <w:proofErr w:type="spellStart"/>
            <w:r w:rsidRPr="0014589E">
              <w:rPr>
                <w:rFonts w:eastAsia="Times New Roman" w:cs="Times New Roman"/>
                <w:kern w:val="0"/>
                <w:sz w:val="22"/>
                <w:szCs w:val="22"/>
                <w:lang w:eastAsia="zh-CN"/>
                <w14:ligatures w14:val="none"/>
              </w:rPr>
              <w:t>Krvavac</w:t>
            </w:r>
            <w:proofErr w:type="spellEnd"/>
            <w:r w:rsidRPr="0014589E">
              <w:rPr>
                <w:rFonts w:eastAsia="Times New Roman" w:cs="Times New Roman"/>
                <w:kern w:val="0"/>
                <w:sz w:val="22"/>
                <w:szCs w:val="22"/>
                <w:lang w:eastAsia="zh-CN"/>
                <w14:ligatures w14:val="none"/>
              </w:rPr>
              <w:t xml:space="preserve"> (2021)</w:t>
            </w:r>
          </w:p>
        </w:tc>
        <w:tc>
          <w:tcPr>
            <w:tcW w:w="0" w:type="auto"/>
            <w:tcMar>
              <w:top w:w="15" w:type="dxa"/>
              <w:left w:w="15" w:type="dxa"/>
              <w:bottom w:w="15" w:type="dxa"/>
              <w:right w:w="15" w:type="dxa"/>
            </w:tcMar>
            <w:vAlign w:val="center"/>
            <w:hideMark/>
          </w:tcPr>
          <w:p w14:paraId="518B1EA2"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Norway</w:t>
            </w:r>
          </w:p>
        </w:tc>
        <w:tc>
          <w:tcPr>
            <w:tcW w:w="0" w:type="auto"/>
            <w:tcMar>
              <w:top w:w="15" w:type="dxa"/>
              <w:left w:w="15" w:type="dxa"/>
              <w:bottom w:w="15" w:type="dxa"/>
              <w:right w:w="15" w:type="dxa"/>
            </w:tcMar>
            <w:vAlign w:val="center"/>
            <w:hideMark/>
          </w:tcPr>
          <w:p w14:paraId="612300C5"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Qualitative</w:t>
            </w:r>
          </w:p>
        </w:tc>
        <w:tc>
          <w:tcPr>
            <w:tcW w:w="0" w:type="auto"/>
            <w:tcMar>
              <w:top w:w="15" w:type="dxa"/>
              <w:left w:w="15" w:type="dxa"/>
              <w:bottom w:w="15" w:type="dxa"/>
              <w:right w:w="15" w:type="dxa"/>
            </w:tcMar>
            <w:vAlign w:val="center"/>
            <w:hideMark/>
          </w:tcPr>
          <w:p w14:paraId="16E17031"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Semi-structured interviews</w:t>
            </w:r>
          </w:p>
        </w:tc>
        <w:tc>
          <w:tcPr>
            <w:tcW w:w="0" w:type="auto"/>
            <w:tcMar>
              <w:top w:w="15" w:type="dxa"/>
              <w:left w:w="15" w:type="dxa"/>
              <w:bottom w:w="15" w:type="dxa"/>
              <w:right w:w="15" w:type="dxa"/>
            </w:tcMar>
            <w:vAlign w:val="center"/>
            <w:hideMark/>
          </w:tcPr>
          <w:p w14:paraId="6199CD7B"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Young adult women + families in multifamily therapy</w:t>
            </w:r>
          </w:p>
        </w:tc>
      </w:tr>
      <w:tr w:rsidR="0014589E" w:rsidRPr="0014589E" w14:paraId="0EB8978C" w14:textId="77777777">
        <w:trPr>
          <w:tblCellSpacing w:w="15" w:type="dxa"/>
        </w:trPr>
        <w:tc>
          <w:tcPr>
            <w:tcW w:w="0" w:type="auto"/>
            <w:tcMar>
              <w:top w:w="15" w:type="dxa"/>
              <w:left w:w="15" w:type="dxa"/>
              <w:bottom w:w="15" w:type="dxa"/>
              <w:right w:w="15" w:type="dxa"/>
            </w:tcMar>
            <w:vAlign w:val="center"/>
            <w:hideMark/>
          </w:tcPr>
          <w:p w14:paraId="409B860D"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Conti et al. (2017)</w:t>
            </w:r>
          </w:p>
        </w:tc>
        <w:tc>
          <w:tcPr>
            <w:tcW w:w="0" w:type="auto"/>
            <w:tcMar>
              <w:top w:w="15" w:type="dxa"/>
              <w:left w:w="15" w:type="dxa"/>
              <w:bottom w:w="15" w:type="dxa"/>
              <w:right w:w="15" w:type="dxa"/>
            </w:tcMar>
            <w:vAlign w:val="center"/>
            <w:hideMark/>
          </w:tcPr>
          <w:p w14:paraId="29727D43"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Australia</w:t>
            </w:r>
          </w:p>
        </w:tc>
        <w:tc>
          <w:tcPr>
            <w:tcW w:w="0" w:type="auto"/>
            <w:tcMar>
              <w:top w:w="15" w:type="dxa"/>
              <w:left w:w="15" w:type="dxa"/>
              <w:bottom w:w="15" w:type="dxa"/>
              <w:right w:w="15" w:type="dxa"/>
            </w:tcMar>
            <w:vAlign w:val="center"/>
            <w:hideMark/>
          </w:tcPr>
          <w:p w14:paraId="283C3355"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Qualitative</w:t>
            </w:r>
          </w:p>
        </w:tc>
        <w:tc>
          <w:tcPr>
            <w:tcW w:w="0" w:type="auto"/>
            <w:tcMar>
              <w:top w:w="15" w:type="dxa"/>
              <w:left w:w="15" w:type="dxa"/>
              <w:bottom w:w="15" w:type="dxa"/>
              <w:right w:w="15" w:type="dxa"/>
            </w:tcMar>
            <w:vAlign w:val="center"/>
            <w:hideMark/>
          </w:tcPr>
          <w:p w14:paraId="2889FC01"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In-depth interviews</w:t>
            </w:r>
          </w:p>
        </w:tc>
        <w:tc>
          <w:tcPr>
            <w:tcW w:w="0" w:type="auto"/>
            <w:tcMar>
              <w:top w:w="15" w:type="dxa"/>
              <w:left w:w="15" w:type="dxa"/>
              <w:bottom w:w="15" w:type="dxa"/>
              <w:right w:w="15" w:type="dxa"/>
            </w:tcMar>
            <w:vAlign w:val="center"/>
            <w:hideMark/>
          </w:tcPr>
          <w:p w14:paraId="509567B6"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Adolescents with AN receiving Maudsley/FBT</w:t>
            </w:r>
          </w:p>
        </w:tc>
      </w:tr>
      <w:tr w:rsidR="0014589E" w:rsidRPr="0014589E" w14:paraId="3FA9A3FE" w14:textId="77777777">
        <w:trPr>
          <w:tblCellSpacing w:w="15" w:type="dxa"/>
        </w:trPr>
        <w:tc>
          <w:tcPr>
            <w:tcW w:w="0" w:type="auto"/>
            <w:tcMar>
              <w:top w:w="15" w:type="dxa"/>
              <w:left w:w="15" w:type="dxa"/>
              <w:bottom w:w="15" w:type="dxa"/>
              <w:right w:w="15" w:type="dxa"/>
            </w:tcMar>
            <w:vAlign w:val="center"/>
            <w:hideMark/>
          </w:tcPr>
          <w:p w14:paraId="5A9A94F3"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Coopey &amp; Johnson (2022)</w:t>
            </w:r>
          </w:p>
        </w:tc>
        <w:tc>
          <w:tcPr>
            <w:tcW w:w="0" w:type="auto"/>
            <w:tcMar>
              <w:top w:w="15" w:type="dxa"/>
              <w:left w:w="15" w:type="dxa"/>
              <w:bottom w:w="15" w:type="dxa"/>
              <w:right w:w="15" w:type="dxa"/>
            </w:tcMar>
            <w:vAlign w:val="center"/>
            <w:hideMark/>
          </w:tcPr>
          <w:p w14:paraId="775105DE"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UK</w:t>
            </w:r>
          </w:p>
        </w:tc>
        <w:tc>
          <w:tcPr>
            <w:tcW w:w="0" w:type="auto"/>
            <w:tcMar>
              <w:top w:w="15" w:type="dxa"/>
              <w:left w:w="15" w:type="dxa"/>
              <w:bottom w:w="15" w:type="dxa"/>
              <w:right w:w="15" w:type="dxa"/>
            </w:tcMar>
            <w:vAlign w:val="center"/>
            <w:hideMark/>
          </w:tcPr>
          <w:p w14:paraId="7A5AFC72"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Qualitative</w:t>
            </w:r>
          </w:p>
        </w:tc>
        <w:tc>
          <w:tcPr>
            <w:tcW w:w="0" w:type="auto"/>
            <w:tcMar>
              <w:top w:w="15" w:type="dxa"/>
              <w:left w:w="15" w:type="dxa"/>
              <w:bottom w:w="15" w:type="dxa"/>
              <w:right w:w="15" w:type="dxa"/>
            </w:tcMar>
            <w:vAlign w:val="center"/>
            <w:hideMark/>
          </w:tcPr>
          <w:p w14:paraId="0F93A9B6"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Interviews</w:t>
            </w:r>
          </w:p>
        </w:tc>
        <w:tc>
          <w:tcPr>
            <w:tcW w:w="0" w:type="auto"/>
            <w:tcMar>
              <w:top w:w="15" w:type="dxa"/>
              <w:left w:w="15" w:type="dxa"/>
              <w:bottom w:w="15" w:type="dxa"/>
              <w:right w:w="15" w:type="dxa"/>
            </w:tcMar>
            <w:vAlign w:val="center"/>
            <w:hideMark/>
          </w:tcPr>
          <w:p w14:paraId="2EE26E2E"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Young people in inpatient FT &amp; MFT</w:t>
            </w:r>
          </w:p>
        </w:tc>
      </w:tr>
      <w:tr w:rsidR="0014589E" w:rsidRPr="0014589E" w14:paraId="2E6F57E2" w14:textId="77777777">
        <w:trPr>
          <w:tblCellSpacing w:w="15" w:type="dxa"/>
        </w:trPr>
        <w:tc>
          <w:tcPr>
            <w:tcW w:w="0" w:type="auto"/>
            <w:tcMar>
              <w:top w:w="15" w:type="dxa"/>
              <w:left w:w="15" w:type="dxa"/>
              <w:bottom w:w="15" w:type="dxa"/>
              <w:right w:w="15" w:type="dxa"/>
            </w:tcMar>
            <w:vAlign w:val="center"/>
            <w:hideMark/>
          </w:tcPr>
          <w:p w14:paraId="6A051379"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Gao et al. (2025)</w:t>
            </w:r>
          </w:p>
        </w:tc>
        <w:tc>
          <w:tcPr>
            <w:tcW w:w="0" w:type="auto"/>
            <w:tcMar>
              <w:top w:w="15" w:type="dxa"/>
              <w:left w:w="15" w:type="dxa"/>
              <w:bottom w:w="15" w:type="dxa"/>
              <w:right w:w="15" w:type="dxa"/>
            </w:tcMar>
            <w:vAlign w:val="center"/>
            <w:hideMark/>
          </w:tcPr>
          <w:p w14:paraId="5FC8FEBE"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USA</w:t>
            </w:r>
          </w:p>
        </w:tc>
        <w:tc>
          <w:tcPr>
            <w:tcW w:w="0" w:type="auto"/>
            <w:tcMar>
              <w:top w:w="15" w:type="dxa"/>
              <w:left w:w="15" w:type="dxa"/>
              <w:bottom w:w="15" w:type="dxa"/>
              <w:right w:w="15" w:type="dxa"/>
            </w:tcMar>
            <w:vAlign w:val="center"/>
            <w:hideMark/>
          </w:tcPr>
          <w:p w14:paraId="3CE1AD8B"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Qualitative pilot study</w:t>
            </w:r>
          </w:p>
        </w:tc>
        <w:tc>
          <w:tcPr>
            <w:tcW w:w="0" w:type="auto"/>
            <w:tcMar>
              <w:top w:w="15" w:type="dxa"/>
              <w:left w:w="15" w:type="dxa"/>
              <w:bottom w:w="15" w:type="dxa"/>
              <w:right w:w="15" w:type="dxa"/>
            </w:tcMar>
            <w:vAlign w:val="center"/>
            <w:hideMark/>
          </w:tcPr>
          <w:p w14:paraId="38CB8444"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Semi-structured interviews</w:t>
            </w:r>
          </w:p>
        </w:tc>
        <w:tc>
          <w:tcPr>
            <w:tcW w:w="0" w:type="auto"/>
            <w:tcMar>
              <w:top w:w="15" w:type="dxa"/>
              <w:left w:w="15" w:type="dxa"/>
              <w:bottom w:w="15" w:type="dxa"/>
              <w:right w:w="15" w:type="dxa"/>
            </w:tcMar>
            <w:vAlign w:val="center"/>
            <w:hideMark/>
          </w:tcPr>
          <w:p w14:paraId="729DE537"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Adolescents receiving FBT</w:t>
            </w:r>
          </w:p>
        </w:tc>
      </w:tr>
      <w:tr w:rsidR="0014589E" w:rsidRPr="0014589E" w14:paraId="34E2C0DA" w14:textId="77777777">
        <w:trPr>
          <w:tblCellSpacing w:w="15" w:type="dxa"/>
        </w:trPr>
        <w:tc>
          <w:tcPr>
            <w:tcW w:w="0" w:type="auto"/>
            <w:tcMar>
              <w:top w:w="15" w:type="dxa"/>
              <w:left w:w="15" w:type="dxa"/>
              <w:bottom w:w="15" w:type="dxa"/>
              <w:right w:w="15" w:type="dxa"/>
            </w:tcMar>
            <w:vAlign w:val="center"/>
            <w:hideMark/>
          </w:tcPr>
          <w:p w14:paraId="008B37F8"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Medway et al. (2019)</w:t>
            </w:r>
          </w:p>
        </w:tc>
        <w:tc>
          <w:tcPr>
            <w:tcW w:w="0" w:type="auto"/>
            <w:tcMar>
              <w:top w:w="15" w:type="dxa"/>
              <w:left w:w="15" w:type="dxa"/>
              <w:bottom w:w="15" w:type="dxa"/>
              <w:right w:w="15" w:type="dxa"/>
            </w:tcMar>
            <w:vAlign w:val="center"/>
            <w:hideMark/>
          </w:tcPr>
          <w:p w14:paraId="77EEE7C7"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Australia</w:t>
            </w:r>
          </w:p>
        </w:tc>
        <w:tc>
          <w:tcPr>
            <w:tcW w:w="0" w:type="auto"/>
            <w:tcMar>
              <w:top w:w="15" w:type="dxa"/>
              <w:left w:w="15" w:type="dxa"/>
              <w:bottom w:w="15" w:type="dxa"/>
              <w:right w:w="15" w:type="dxa"/>
            </w:tcMar>
            <w:vAlign w:val="center"/>
            <w:hideMark/>
          </w:tcPr>
          <w:p w14:paraId="233EB076"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Qualitative narrative study</w:t>
            </w:r>
          </w:p>
        </w:tc>
        <w:tc>
          <w:tcPr>
            <w:tcW w:w="0" w:type="auto"/>
            <w:tcMar>
              <w:top w:w="15" w:type="dxa"/>
              <w:left w:w="15" w:type="dxa"/>
              <w:bottom w:w="15" w:type="dxa"/>
              <w:right w:w="15" w:type="dxa"/>
            </w:tcMar>
            <w:vAlign w:val="center"/>
            <w:hideMark/>
          </w:tcPr>
          <w:p w14:paraId="370464ED"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Interviews</w:t>
            </w:r>
          </w:p>
        </w:tc>
        <w:tc>
          <w:tcPr>
            <w:tcW w:w="0" w:type="auto"/>
            <w:tcMar>
              <w:top w:w="15" w:type="dxa"/>
              <w:left w:w="15" w:type="dxa"/>
              <w:bottom w:w="15" w:type="dxa"/>
              <w:right w:w="15" w:type="dxa"/>
            </w:tcMar>
            <w:vAlign w:val="center"/>
            <w:hideMark/>
          </w:tcPr>
          <w:p w14:paraId="3EA0AB91"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Adolescents + parents in FBT</w:t>
            </w:r>
          </w:p>
        </w:tc>
      </w:tr>
      <w:tr w:rsidR="0014589E" w:rsidRPr="0014589E" w14:paraId="01690599" w14:textId="77777777">
        <w:trPr>
          <w:tblCellSpacing w:w="15" w:type="dxa"/>
        </w:trPr>
        <w:tc>
          <w:tcPr>
            <w:tcW w:w="0" w:type="auto"/>
            <w:tcMar>
              <w:top w:w="15" w:type="dxa"/>
              <w:left w:w="15" w:type="dxa"/>
              <w:bottom w:w="15" w:type="dxa"/>
              <w:right w:w="15" w:type="dxa"/>
            </w:tcMar>
            <w:vAlign w:val="center"/>
            <w:hideMark/>
          </w:tcPr>
          <w:p w14:paraId="7A0D499A"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Nilsen et al. (2021)</w:t>
            </w:r>
          </w:p>
        </w:tc>
        <w:tc>
          <w:tcPr>
            <w:tcW w:w="0" w:type="auto"/>
            <w:tcMar>
              <w:top w:w="15" w:type="dxa"/>
              <w:left w:w="15" w:type="dxa"/>
              <w:bottom w:w="15" w:type="dxa"/>
              <w:right w:w="15" w:type="dxa"/>
            </w:tcMar>
            <w:vAlign w:val="center"/>
            <w:hideMark/>
          </w:tcPr>
          <w:p w14:paraId="6ACD940D"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Norway</w:t>
            </w:r>
          </w:p>
        </w:tc>
        <w:tc>
          <w:tcPr>
            <w:tcW w:w="0" w:type="auto"/>
            <w:tcMar>
              <w:top w:w="15" w:type="dxa"/>
              <w:left w:w="15" w:type="dxa"/>
              <w:bottom w:w="15" w:type="dxa"/>
              <w:right w:w="15" w:type="dxa"/>
            </w:tcMar>
            <w:vAlign w:val="center"/>
            <w:hideMark/>
          </w:tcPr>
          <w:p w14:paraId="6BB5A158"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Qualitative thematic analysis</w:t>
            </w:r>
          </w:p>
        </w:tc>
        <w:tc>
          <w:tcPr>
            <w:tcW w:w="0" w:type="auto"/>
            <w:tcMar>
              <w:top w:w="15" w:type="dxa"/>
              <w:left w:w="15" w:type="dxa"/>
              <w:bottom w:w="15" w:type="dxa"/>
              <w:right w:w="15" w:type="dxa"/>
            </w:tcMar>
            <w:vAlign w:val="center"/>
            <w:hideMark/>
          </w:tcPr>
          <w:p w14:paraId="31FB9917"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Family interviews / reflections</w:t>
            </w:r>
          </w:p>
        </w:tc>
        <w:tc>
          <w:tcPr>
            <w:tcW w:w="0" w:type="auto"/>
            <w:tcMar>
              <w:top w:w="15" w:type="dxa"/>
              <w:left w:w="15" w:type="dxa"/>
              <w:bottom w:w="15" w:type="dxa"/>
              <w:right w:w="15" w:type="dxa"/>
            </w:tcMar>
            <w:vAlign w:val="center"/>
            <w:hideMark/>
          </w:tcPr>
          <w:p w14:paraId="1C2CE565"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Families in inpatient FBT programme</w:t>
            </w:r>
          </w:p>
        </w:tc>
      </w:tr>
    </w:tbl>
    <w:p w14:paraId="35087103"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p>
    <w:p w14:paraId="1FE43CEF"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p>
    <w:p w14:paraId="12026EB0" w14:textId="77777777" w:rsidR="0014589E" w:rsidRPr="0014589E" w:rsidRDefault="0014589E" w:rsidP="0014589E">
      <w:pPr>
        <w:spacing w:after="0"/>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 xml:space="preserve">Two appraisal instruments were utilised: PRISMA-P (Moher et al., 2015) to guide transparent reporting of the search and selection process (Figure 1) and CASP Qualitative Checklist (2018) to assess methodological rigour, credibility, and relevance (Table 2).  </w:t>
      </w:r>
    </w:p>
    <w:p w14:paraId="025D0735" w14:textId="77777777" w:rsidR="0014589E" w:rsidRPr="0014589E" w:rsidRDefault="0014589E" w:rsidP="0014589E">
      <w:pPr>
        <w:spacing w:before="100" w:beforeAutospacing="1" w:after="100" w:afterAutospacing="1" w:line="240" w:lineRule="auto"/>
        <w:outlineLvl w:val="1"/>
        <w:rPr>
          <w:rFonts w:eastAsia="Times New Roman" w:cs="Times New Roman"/>
          <w:b/>
          <w:bCs/>
          <w:kern w:val="0"/>
          <w:sz w:val="18"/>
          <w:szCs w:val="18"/>
          <w:lang w:eastAsia="zh-CN"/>
          <w14:ligatures w14:val="none"/>
        </w:rPr>
      </w:pPr>
      <w:r w:rsidRPr="0014589E">
        <w:rPr>
          <w:rFonts w:eastAsia="Times New Roman" w:cs="Times New Roman"/>
          <w:kern w:val="0"/>
          <w:sz w:val="22"/>
          <w:szCs w:val="22"/>
          <w:lang w:eastAsia="zh-CN"/>
          <w14:ligatures w14:val="none"/>
        </w:rPr>
        <w:t xml:space="preserve">Table 2: CASP Qualitative Appraisal </w:t>
      </w:r>
    </w:p>
    <w:tbl>
      <w:tblPr>
        <w:tblW w:w="0" w:type="auto"/>
        <w:tblCellSpacing w:w="15" w:type="dxa"/>
        <w:tblLook w:val="04A0" w:firstRow="1" w:lastRow="0" w:firstColumn="1" w:lastColumn="0" w:noHBand="0" w:noVBand="1"/>
      </w:tblPr>
      <w:tblGrid>
        <w:gridCol w:w="982"/>
        <w:gridCol w:w="485"/>
        <w:gridCol w:w="1074"/>
        <w:gridCol w:w="798"/>
        <w:gridCol w:w="1035"/>
        <w:gridCol w:w="874"/>
        <w:gridCol w:w="874"/>
        <w:gridCol w:w="604"/>
        <w:gridCol w:w="718"/>
        <w:gridCol w:w="718"/>
        <w:gridCol w:w="864"/>
      </w:tblGrid>
      <w:tr w:rsidR="0014589E" w:rsidRPr="0014589E" w14:paraId="4292A26B" w14:textId="77777777">
        <w:trPr>
          <w:tblHeader/>
          <w:tblCellSpacing w:w="15" w:type="dxa"/>
        </w:trPr>
        <w:tc>
          <w:tcPr>
            <w:tcW w:w="0" w:type="auto"/>
            <w:tcMar>
              <w:top w:w="15" w:type="dxa"/>
              <w:left w:w="15" w:type="dxa"/>
              <w:bottom w:w="15" w:type="dxa"/>
              <w:right w:w="15" w:type="dxa"/>
            </w:tcMar>
            <w:vAlign w:val="center"/>
            <w:hideMark/>
          </w:tcPr>
          <w:p w14:paraId="45EA2CFF"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lastRenderedPageBreak/>
              <w:t>Study</w:t>
            </w:r>
          </w:p>
        </w:tc>
        <w:tc>
          <w:tcPr>
            <w:tcW w:w="0" w:type="auto"/>
            <w:tcMar>
              <w:top w:w="15" w:type="dxa"/>
              <w:left w:w="15" w:type="dxa"/>
              <w:bottom w:w="15" w:type="dxa"/>
              <w:right w:w="15" w:type="dxa"/>
            </w:tcMar>
            <w:vAlign w:val="center"/>
            <w:hideMark/>
          </w:tcPr>
          <w:p w14:paraId="43CCFF54"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t>Clear Aims</w:t>
            </w:r>
          </w:p>
        </w:tc>
        <w:tc>
          <w:tcPr>
            <w:tcW w:w="0" w:type="auto"/>
            <w:tcMar>
              <w:top w:w="15" w:type="dxa"/>
              <w:left w:w="15" w:type="dxa"/>
              <w:bottom w:w="15" w:type="dxa"/>
              <w:right w:w="15" w:type="dxa"/>
            </w:tcMar>
            <w:vAlign w:val="center"/>
            <w:hideMark/>
          </w:tcPr>
          <w:p w14:paraId="2A6C13A8"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t>Appropriate Methodology</w:t>
            </w:r>
          </w:p>
        </w:tc>
        <w:tc>
          <w:tcPr>
            <w:tcW w:w="0" w:type="auto"/>
            <w:tcMar>
              <w:top w:w="15" w:type="dxa"/>
              <w:left w:w="15" w:type="dxa"/>
              <w:bottom w:w="15" w:type="dxa"/>
              <w:right w:w="15" w:type="dxa"/>
            </w:tcMar>
            <w:vAlign w:val="center"/>
            <w:hideMark/>
          </w:tcPr>
          <w:p w14:paraId="0F3ADB37"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t>Research Design</w:t>
            </w:r>
          </w:p>
        </w:tc>
        <w:tc>
          <w:tcPr>
            <w:tcW w:w="0" w:type="auto"/>
            <w:tcMar>
              <w:top w:w="15" w:type="dxa"/>
              <w:left w:w="15" w:type="dxa"/>
              <w:bottom w:w="15" w:type="dxa"/>
              <w:right w:w="15" w:type="dxa"/>
            </w:tcMar>
            <w:vAlign w:val="center"/>
            <w:hideMark/>
          </w:tcPr>
          <w:p w14:paraId="5FF895E2"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t>Recruitment Strategy</w:t>
            </w:r>
          </w:p>
        </w:tc>
        <w:tc>
          <w:tcPr>
            <w:tcW w:w="0" w:type="auto"/>
            <w:tcMar>
              <w:top w:w="15" w:type="dxa"/>
              <w:left w:w="15" w:type="dxa"/>
              <w:bottom w:w="15" w:type="dxa"/>
              <w:right w:w="15" w:type="dxa"/>
            </w:tcMar>
            <w:vAlign w:val="center"/>
            <w:hideMark/>
          </w:tcPr>
          <w:p w14:paraId="5E9AF530"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t>Data Collection</w:t>
            </w:r>
          </w:p>
        </w:tc>
        <w:tc>
          <w:tcPr>
            <w:tcW w:w="0" w:type="auto"/>
            <w:tcMar>
              <w:top w:w="15" w:type="dxa"/>
              <w:left w:w="15" w:type="dxa"/>
              <w:bottom w:w="15" w:type="dxa"/>
              <w:right w:w="15" w:type="dxa"/>
            </w:tcMar>
            <w:vAlign w:val="center"/>
            <w:hideMark/>
          </w:tcPr>
          <w:p w14:paraId="79BD1677"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t>Reflexivity</w:t>
            </w:r>
          </w:p>
        </w:tc>
        <w:tc>
          <w:tcPr>
            <w:tcW w:w="0" w:type="auto"/>
            <w:tcMar>
              <w:top w:w="15" w:type="dxa"/>
              <w:left w:w="15" w:type="dxa"/>
              <w:bottom w:w="15" w:type="dxa"/>
              <w:right w:w="15" w:type="dxa"/>
            </w:tcMar>
            <w:vAlign w:val="center"/>
            <w:hideMark/>
          </w:tcPr>
          <w:p w14:paraId="6613BFE0"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t>Ethical Issues</w:t>
            </w:r>
          </w:p>
        </w:tc>
        <w:tc>
          <w:tcPr>
            <w:tcW w:w="0" w:type="auto"/>
            <w:tcMar>
              <w:top w:w="15" w:type="dxa"/>
              <w:left w:w="15" w:type="dxa"/>
              <w:bottom w:w="15" w:type="dxa"/>
              <w:right w:w="15" w:type="dxa"/>
            </w:tcMar>
            <w:vAlign w:val="center"/>
            <w:hideMark/>
          </w:tcPr>
          <w:p w14:paraId="1EB4DCE7"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t>Data Analysis</w:t>
            </w:r>
          </w:p>
        </w:tc>
        <w:tc>
          <w:tcPr>
            <w:tcW w:w="0" w:type="auto"/>
            <w:tcMar>
              <w:top w:w="15" w:type="dxa"/>
              <w:left w:w="15" w:type="dxa"/>
              <w:bottom w:w="15" w:type="dxa"/>
              <w:right w:w="15" w:type="dxa"/>
            </w:tcMar>
            <w:vAlign w:val="center"/>
            <w:hideMark/>
          </w:tcPr>
          <w:p w14:paraId="1B8B4C4F"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t>Findings Clear</w:t>
            </w:r>
          </w:p>
        </w:tc>
        <w:tc>
          <w:tcPr>
            <w:tcW w:w="0" w:type="auto"/>
            <w:tcMar>
              <w:top w:w="15" w:type="dxa"/>
              <w:left w:w="15" w:type="dxa"/>
              <w:bottom w:w="15" w:type="dxa"/>
              <w:right w:w="15" w:type="dxa"/>
            </w:tcMar>
            <w:vAlign w:val="center"/>
            <w:hideMark/>
          </w:tcPr>
          <w:p w14:paraId="49FB23A1"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t>Value</w:t>
            </w:r>
          </w:p>
        </w:tc>
      </w:tr>
      <w:tr w:rsidR="0014589E" w:rsidRPr="0014589E" w14:paraId="481F332B" w14:textId="77777777">
        <w:trPr>
          <w:tblCellSpacing w:w="15" w:type="dxa"/>
        </w:trPr>
        <w:tc>
          <w:tcPr>
            <w:tcW w:w="0" w:type="auto"/>
            <w:tcMar>
              <w:top w:w="15" w:type="dxa"/>
              <w:left w:w="15" w:type="dxa"/>
              <w:bottom w:w="15" w:type="dxa"/>
              <w:right w:w="15" w:type="dxa"/>
            </w:tcMar>
            <w:vAlign w:val="center"/>
            <w:hideMark/>
          </w:tcPr>
          <w:p w14:paraId="0E6DAEED"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proofErr w:type="spellStart"/>
            <w:r w:rsidRPr="0014589E">
              <w:rPr>
                <w:rFonts w:eastAsia="Times New Roman" w:cs="Times New Roman"/>
                <w:kern w:val="0"/>
                <w:sz w:val="18"/>
                <w:szCs w:val="18"/>
                <w:lang w:eastAsia="zh-CN"/>
                <w14:ligatures w14:val="none"/>
              </w:rPr>
              <w:t>Brinchmann</w:t>
            </w:r>
            <w:proofErr w:type="spellEnd"/>
            <w:r w:rsidRPr="0014589E">
              <w:rPr>
                <w:rFonts w:eastAsia="Times New Roman" w:cs="Times New Roman"/>
                <w:kern w:val="0"/>
                <w:sz w:val="18"/>
                <w:szCs w:val="18"/>
                <w:lang w:eastAsia="zh-CN"/>
                <w14:ligatures w14:val="none"/>
              </w:rPr>
              <w:t xml:space="preserve"> &amp; </w:t>
            </w:r>
            <w:proofErr w:type="spellStart"/>
            <w:r w:rsidRPr="0014589E">
              <w:rPr>
                <w:rFonts w:eastAsia="Times New Roman" w:cs="Times New Roman"/>
                <w:kern w:val="0"/>
                <w:sz w:val="18"/>
                <w:szCs w:val="18"/>
                <w:lang w:eastAsia="zh-CN"/>
                <w14:ligatures w14:val="none"/>
              </w:rPr>
              <w:t>Krvavac</w:t>
            </w:r>
            <w:proofErr w:type="spellEnd"/>
            <w:r w:rsidRPr="0014589E">
              <w:rPr>
                <w:rFonts w:eastAsia="Times New Roman" w:cs="Times New Roman"/>
                <w:kern w:val="0"/>
                <w:sz w:val="18"/>
                <w:szCs w:val="18"/>
                <w:lang w:eastAsia="zh-CN"/>
                <w14:ligatures w14:val="none"/>
              </w:rPr>
              <w:t xml:space="preserve"> (2021)</w:t>
            </w:r>
          </w:p>
        </w:tc>
        <w:tc>
          <w:tcPr>
            <w:tcW w:w="0" w:type="auto"/>
            <w:tcMar>
              <w:top w:w="15" w:type="dxa"/>
              <w:left w:w="15" w:type="dxa"/>
              <w:bottom w:w="15" w:type="dxa"/>
              <w:right w:w="15" w:type="dxa"/>
            </w:tcMar>
            <w:vAlign w:val="center"/>
            <w:hideMark/>
          </w:tcPr>
          <w:p w14:paraId="20DC7B96"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457DF9E4"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CE875D9"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4CFDCD63"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3FBD3AB6"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59823999"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Partial</w:t>
            </w:r>
          </w:p>
        </w:tc>
        <w:tc>
          <w:tcPr>
            <w:tcW w:w="0" w:type="auto"/>
            <w:tcMar>
              <w:top w:w="15" w:type="dxa"/>
              <w:left w:w="15" w:type="dxa"/>
              <w:bottom w:w="15" w:type="dxa"/>
              <w:right w:w="15" w:type="dxa"/>
            </w:tcMar>
            <w:vAlign w:val="center"/>
            <w:hideMark/>
          </w:tcPr>
          <w:p w14:paraId="73E8887B"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3AC8D816"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46169224"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6AF15A39"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High</w:t>
            </w:r>
          </w:p>
        </w:tc>
      </w:tr>
      <w:tr w:rsidR="0014589E" w:rsidRPr="0014589E" w14:paraId="0D6A37DB" w14:textId="77777777">
        <w:trPr>
          <w:tblCellSpacing w:w="15" w:type="dxa"/>
        </w:trPr>
        <w:tc>
          <w:tcPr>
            <w:tcW w:w="0" w:type="auto"/>
            <w:tcMar>
              <w:top w:w="15" w:type="dxa"/>
              <w:left w:w="15" w:type="dxa"/>
              <w:bottom w:w="15" w:type="dxa"/>
              <w:right w:w="15" w:type="dxa"/>
            </w:tcMar>
            <w:vAlign w:val="center"/>
            <w:hideMark/>
          </w:tcPr>
          <w:p w14:paraId="6FFAD933"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Conti et al. (2017)</w:t>
            </w:r>
          </w:p>
        </w:tc>
        <w:tc>
          <w:tcPr>
            <w:tcW w:w="0" w:type="auto"/>
            <w:tcMar>
              <w:top w:w="15" w:type="dxa"/>
              <w:left w:w="15" w:type="dxa"/>
              <w:bottom w:w="15" w:type="dxa"/>
              <w:right w:w="15" w:type="dxa"/>
            </w:tcMar>
            <w:vAlign w:val="center"/>
            <w:hideMark/>
          </w:tcPr>
          <w:p w14:paraId="056B7EE7"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7F023B0"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2295BA28"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6513523E"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3146F9D4"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AEB03AC"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74F8A629"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20B7A72"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D650B29"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7869C9A8"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High</w:t>
            </w:r>
          </w:p>
        </w:tc>
      </w:tr>
      <w:tr w:rsidR="0014589E" w:rsidRPr="0014589E" w14:paraId="525330CD" w14:textId="77777777">
        <w:trPr>
          <w:tblCellSpacing w:w="15" w:type="dxa"/>
        </w:trPr>
        <w:tc>
          <w:tcPr>
            <w:tcW w:w="0" w:type="auto"/>
            <w:tcMar>
              <w:top w:w="15" w:type="dxa"/>
              <w:left w:w="15" w:type="dxa"/>
              <w:bottom w:w="15" w:type="dxa"/>
              <w:right w:w="15" w:type="dxa"/>
            </w:tcMar>
            <w:vAlign w:val="center"/>
            <w:hideMark/>
          </w:tcPr>
          <w:p w14:paraId="3EED8FEB"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Coopey &amp; Johnson (2022)</w:t>
            </w:r>
          </w:p>
        </w:tc>
        <w:tc>
          <w:tcPr>
            <w:tcW w:w="0" w:type="auto"/>
            <w:tcMar>
              <w:top w:w="15" w:type="dxa"/>
              <w:left w:w="15" w:type="dxa"/>
              <w:bottom w:w="15" w:type="dxa"/>
              <w:right w:w="15" w:type="dxa"/>
            </w:tcMar>
            <w:vAlign w:val="center"/>
            <w:hideMark/>
          </w:tcPr>
          <w:p w14:paraId="3AB70F86"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1BDB69C3"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4B752EC3"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698FCF45"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4D0F8180"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66E7F9DE"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Partial</w:t>
            </w:r>
          </w:p>
        </w:tc>
        <w:tc>
          <w:tcPr>
            <w:tcW w:w="0" w:type="auto"/>
            <w:tcMar>
              <w:top w:w="15" w:type="dxa"/>
              <w:left w:w="15" w:type="dxa"/>
              <w:bottom w:w="15" w:type="dxa"/>
              <w:right w:w="15" w:type="dxa"/>
            </w:tcMar>
            <w:vAlign w:val="center"/>
            <w:hideMark/>
          </w:tcPr>
          <w:p w14:paraId="6C69A8D7"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2C7F2F3A"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264385EF"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775EEB4"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High</w:t>
            </w:r>
          </w:p>
        </w:tc>
      </w:tr>
      <w:tr w:rsidR="0014589E" w:rsidRPr="0014589E" w14:paraId="7ADD17CB" w14:textId="77777777">
        <w:trPr>
          <w:tblCellSpacing w:w="15" w:type="dxa"/>
        </w:trPr>
        <w:tc>
          <w:tcPr>
            <w:tcW w:w="0" w:type="auto"/>
            <w:tcMar>
              <w:top w:w="15" w:type="dxa"/>
              <w:left w:w="15" w:type="dxa"/>
              <w:bottom w:w="15" w:type="dxa"/>
              <w:right w:w="15" w:type="dxa"/>
            </w:tcMar>
            <w:vAlign w:val="center"/>
            <w:hideMark/>
          </w:tcPr>
          <w:p w14:paraId="5C841844"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Gao et al. (2025)</w:t>
            </w:r>
          </w:p>
        </w:tc>
        <w:tc>
          <w:tcPr>
            <w:tcW w:w="0" w:type="auto"/>
            <w:tcMar>
              <w:top w:w="15" w:type="dxa"/>
              <w:left w:w="15" w:type="dxa"/>
              <w:bottom w:w="15" w:type="dxa"/>
              <w:right w:w="15" w:type="dxa"/>
            </w:tcMar>
            <w:vAlign w:val="center"/>
            <w:hideMark/>
          </w:tcPr>
          <w:p w14:paraId="52A3C2D7"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6F769FA6"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34D79293"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4D1EE133"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34B24C87"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372E9935"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Limited</w:t>
            </w:r>
          </w:p>
        </w:tc>
        <w:tc>
          <w:tcPr>
            <w:tcW w:w="0" w:type="auto"/>
            <w:tcMar>
              <w:top w:w="15" w:type="dxa"/>
              <w:left w:w="15" w:type="dxa"/>
              <w:bottom w:w="15" w:type="dxa"/>
              <w:right w:w="15" w:type="dxa"/>
            </w:tcMar>
            <w:vAlign w:val="center"/>
            <w:hideMark/>
          </w:tcPr>
          <w:p w14:paraId="11B848A5"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65C792DE"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345A3FF1"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553CC9B"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Moderate–High</w:t>
            </w:r>
          </w:p>
        </w:tc>
      </w:tr>
      <w:tr w:rsidR="0014589E" w:rsidRPr="0014589E" w14:paraId="74464080" w14:textId="77777777">
        <w:trPr>
          <w:tblCellSpacing w:w="15" w:type="dxa"/>
        </w:trPr>
        <w:tc>
          <w:tcPr>
            <w:tcW w:w="0" w:type="auto"/>
            <w:tcMar>
              <w:top w:w="15" w:type="dxa"/>
              <w:left w:w="15" w:type="dxa"/>
              <w:bottom w:w="15" w:type="dxa"/>
              <w:right w:w="15" w:type="dxa"/>
            </w:tcMar>
            <w:vAlign w:val="center"/>
            <w:hideMark/>
          </w:tcPr>
          <w:p w14:paraId="0EE6BD83"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Medway et al. (2019)</w:t>
            </w:r>
          </w:p>
        </w:tc>
        <w:tc>
          <w:tcPr>
            <w:tcW w:w="0" w:type="auto"/>
            <w:tcMar>
              <w:top w:w="15" w:type="dxa"/>
              <w:left w:w="15" w:type="dxa"/>
              <w:bottom w:w="15" w:type="dxa"/>
              <w:right w:w="15" w:type="dxa"/>
            </w:tcMar>
            <w:vAlign w:val="center"/>
            <w:hideMark/>
          </w:tcPr>
          <w:p w14:paraId="4500FA52"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518FEA50"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191CE6B1"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4CACFCC"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73928120"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5670956B"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3821202F"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69DC7DA5"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4ACD0339"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36018B35"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High</w:t>
            </w:r>
          </w:p>
        </w:tc>
      </w:tr>
      <w:tr w:rsidR="0014589E" w:rsidRPr="0014589E" w14:paraId="01B46277" w14:textId="77777777">
        <w:trPr>
          <w:tblCellSpacing w:w="15" w:type="dxa"/>
        </w:trPr>
        <w:tc>
          <w:tcPr>
            <w:tcW w:w="0" w:type="auto"/>
            <w:tcMar>
              <w:top w:w="15" w:type="dxa"/>
              <w:left w:w="15" w:type="dxa"/>
              <w:bottom w:w="15" w:type="dxa"/>
              <w:right w:w="15" w:type="dxa"/>
            </w:tcMar>
            <w:vAlign w:val="center"/>
            <w:hideMark/>
          </w:tcPr>
          <w:p w14:paraId="46255CF2"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Nilsen et al. (2021)</w:t>
            </w:r>
          </w:p>
        </w:tc>
        <w:tc>
          <w:tcPr>
            <w:tcW w:w="0" w:type="auto"/>
            <w:tcMar>
              <w:top w:w="15" w:type="dxa"/>
              <w:left w:w="15" w:type="dxa"/>
              <w:bottom w:w="15" w:type="dxa"/>
              <w:right w:w="15" w:type="dxa"/>
            </w:tcMar>
            <w:vAlign w:val="center"/>
            <w:hideMark/>
          </w:tcPr>
          <w:p w14:paraId="226B7FDD"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111513DC"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70A798D7"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689F599A"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443D5F8F"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187B909"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Partial</w:t>
            </w:r>
          </w:p>
        </w:tc>
        <w:tc>
          <w:tcPr>
            <w:tcW w:w="0" w:type="auto"/>
            <w:tcMar>
              <w:top w:w="15" w:type="dxa"/>
              <w:left w:w="15" w:type="dxa"/>
              <w:bottom w:w="15" w:type="dxa"/>
              <w:right w:w="15" w:type="dxa"/>
            </w:tcMar>
            <w:vAlign w:val="center"/>
            <w:hideMark/>
          </w:tcPr>
          <w:p w14:paraId="4ED237B4"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71AFDF63"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319CCF5"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FD88D60"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High</w:t>
            </w:r>
          </w:p>
        </w:tc>
      </w:tr>
    </w:tbl>
    <w:p w14:paraId="00321765" w14:textId="77777777" w:rsidR="0014589E" w:rsidRPr="0014589E" w:rsidRDefault="0014589E" w:rsidP="0014589E">
      <w:pPr>
        <w:spacing w:before="100" w:beforeAutospacing="1" w:after="100" w:afterAutospacing="1" w:line="240" w:lineRule="auto"/>
        <w:rPr>
          <w:rFonts w:eastAsia="Times New Roman" w:cs="Times New Roman"/>
          <w:kern w:val="0"/>
          <w:sz w:val="18"/>
          <w:szCs w:val="18"/>
          <w:lang w:eastAsia="zh-CN"/>
          <w14:ligatures w14:val="none"/>
        </w:rPr>
      </w:pPr>
      <w:r w:rsidRPr="0014589E">
        <w:rPr>
          <w:rFonts w:eastAsia="Times New Roman" w:cs="Times New Roman"/>
          <w:b/>
          <w:bCs/>
          <w:kern w:val="0"/>
          <w:sz w:val="18"/>
          <w:szCs w:val="18"/>
          <w:lang w:eastAsia="zh-CN"/>
          <w14:ligatures w14:val="none"/>
        </w:rPr>
        <w:t>Key:</w:t>
      </w:r>
      <w:r w:rsidRPr="0014589E">
        <w:rPr>
          <w:rFonts w:eastAsia="Times New Roman" w:cs="Times New Roman"/>
          <w:kern w:val="0"/>
          <w:sz w:val="18"/>
          <w:szCs w:val="18"/>
          <w:lang w:eastAsia="zh-CN"/>
          <w14:ligatures w14:val="none"/>
        </w:rPr>
        <w:t xml:space="preserve"> </w:t>
      </w:r>
      <w:r w:rsidRPr="0014589E">
        <w:rPr>
          <w:rFonts w:ascii="Segoe UI Symbol" w:eastAsia="Times New Roman" w:hAnsi="Segoe UI Symbol" w:cs="Segoe UI Symbol"/>
          <w:kern w:val="0"/>
          <w:sz w:val="18"/>
          <w:szCs w:val="18"/>
          <w:lang w:eastAsia="zh-CN"/>
          <w14:ligatures w14:val="none"/>
        </w:rPr>
        <w:t>✔</w:t>
      </w:r>
      <w:r w:rsidRPr="0014589E">
        <w:rPr>
          <w:rFonts w:eastAsia="Times New Roman" w:cs="Times New Roman"/>
          <w:kern w:val="0"/>
          <w:sz w:val="18"/>
          <w:szCs w:val="18"/>
          <w:lang w:eastAsia="zh-CN"/>
          <w14:ligatures w14:val="none"/>
        </w:rPr>
        <w:t xml:space="preserve"> = Criterion met</w:t>
      </w:r>
    </w:p>
    <w:p w14:paraId="1CB83EF5" w14:textId="77777777" w:rsidR="0014589E" w:rsidRPr="0014589E" w:rsidRDefault="0014589E" w:rsidP="0014589E">
      <w:pPr>
        <w:spacing w:before="100" w:beforeAutospacing="1" w:after="100" w:afterAutospacing="1"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Overall, all six studies were deemed methodologically robust, with minor limitations relating primarily to reflexivity reporting and sample size in pilot work.</w:t>
      </w:r>
    </w:p>
    <w:p w14:paraId="63540F7E" w14:textId="77777777" w:rsidR="0014589E" w:rsidRPr="0014589E" w:rsidRDefault="0014589E" w:rsidP="0014589E">
      <w:pPr>
        <w:spacing w:after="0"/>
        <w:rPr>
          <w:rFonts w:eastAsia="Times New Roman" w:cs="Times New Roman"/>
          <w:kern w:val="0"/>
          <w:sz w:val="22"/>
          <w:szCs w:val="22"/>
          <w:lang w:eastAsia="zh-CN"/>
          <w14:ligatures w14:val="none"/>
        </w:rPr>
      </w:pPr>
    </w:p>
    <w:p w14:paraId="2AE34432" w14:textId="77777777" w:rsidR="0014589E" w:rsidRPr="0014589E" w:rsidRDefault="0014589E" w:rsidP="0014589E">
      <w:pPr>
        <w:spacing w:after="0"/>
        <w:rPr>
          <w:rFonts w:eastAsia="Times New Roman" w:cs="Times New Roman"/>
          <w:kern w:val="0"/>
          <w:lang w:eastAsia="zh-CN"/>
          <w14:ligatures w14:val="none"/>
        </w:rPr>
      </w:pPr>
      <w:r w:rsidRPr="0014589E">
        <w:rPr>
          <w:rFonts w:eastAsia="Times New Roman" w:cs="Times New Roman"/>
          <w:b/>
          <w:bCs/>
          <w:kern w:val="0"/>
          <w:lang w:eastAsia="zh-CN"/>
          <w14:ligatures w14:val="none"/>
        </w:rPr>
        <w:t>Figure 1:</w:t>
      </w:r>
      <w:r w:rsidRPr="0014589E">
        <w:rPr>
          <w:rFonts w:eastAsia="Times New Roman" w:cs="Times New Roman"/>
          <w:kern w:val="0"/>
          <w:lang w:eastAsia="zh-CN"/>
          <w14:ligatures w14:val="none"/>
        </w:rPr>
        <w:t xml:space="preserve"> </w:t>
      </w:r>
      <w:r w:rsidRPr="0014589E">
        <w:rPr>
          <w:rFonts w:eastAsia="Times New Roman" w:cs="Times New Roman"/>
          <w:kern w:val="0"/>
          <w:lang w:val="fr-FR" w:eastAsia="zh-CN"/>
          <w14:ligatures w14:val="none"/>
        </w:rPr>
        <w:t xml:space="preserve">PRISMA-P Flow chart      </w:t>
      </w:r>
    </w:p>
    <w:p w14:paraId="6BBBE975" w14:textId="77777777" w:rsidR="0014589E" w:rsidRPr="0014589E" w:rsidRDefault="0014589E" w:rsidP="0014589E">
      <w:pPr>
        <w:spacing w:before="100" w:beforeAutospacing="1" w:after="100" w:afterAutospacing="1" w:line="240" w:lineRule="auto"/>
        <w:outlineLvl w:val="1"/>
        <w:rPr>
          <w:rFonts w:eastAsia="Times New Roman" w:cs="Times New Roman"/>
          <w:b/>
          <w:bCs/>
          <w:kern w:val="0"/>
          <w:sz w:val="18"/>
          <w:szCs w:val="18"/>
          <w:lang w:eastAsia="zh-CN"/>
          <w14:ligatures w14:val="none"/>
        </w:rPr>
      </w:pPr>
      <w:r w:rsidRPr="0014589E">
        <w:rPr>
          <w:rFonts w:eastAsia="Times New Roman" w:cs="Times New Roman"/>
          <w:b/>
          <w:noProof/>
          <w:kern w:val="0"/>
          <w:sz w:val="18"/>
          <w:szCs w:val="18"/>
          <w:lang w:eastAsia="zh-CN"/>
        </w:rPr>
        <w:drawing>
          <wp:inline distT="0" distB="0" distL="0" distR="0" wp14:anchorId="22F82FA8" wp14:editId="08FDE428">
            <wp:extent cx="2133600" cy="375666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33600" cy="3756660"/>
                    </a:xfrm>
                    <a:prstGeom prst="rect">
                      <a:avLst/>
                    </a:prstGeom>
                    <a:noFill/>
                    <a:ln>
                      <a:noFill/>
                    </a:ln>
                  </pic:spPr>
                </pic:pic>
              </a:graphicData>
            </a:graphic>
          </wp:inline>
        </w:drawing>
      </w:r>
    </w:p>
    <w:p w14:paraId="28B2F16F" w14:textId="77777777" w:rsidR="00A73B5E" w:rsidRDefault="00A73B5E" w:rsidP="006A5EF0">
      <w:pPr>
        <w:rPr>
          <w:rFonts w:ascii="Aptos" w:hAnsi="Aptos"/>
          <w:b/>
          <w:bCs/>
          <w:color w:val="000000"/>
          <w:sz w:val="28"/>
          <w:szCs w:val="28"/>
        </w:rPr>
      </w:pPr>
    </w:p>
    <w:p w14:paraId="1BB6BAAF" w14:textId="44631895" w:rsidR="0014589E" w:rsidRPr="00A73B5E" w:rsidRDefault="00FD346D" w:rsidP="006A5EF0">
      <w:pPr>
        <w:rPr>
          <w:rFonts w:ascii="Aptos" w:hAnsi="Aptos"/>
          <w:b/>
          <w:bCs/>
          <w:color w:val="000000"/>
          <w:sz w:val="28"/>
          <w:szCs w:val="28"/>
        </w:rPr>
      </w:pPr>
      <w:r w:rsidRPr="00A73B5E">
        <w:rPr>
          <w:rFonts w:ascii="Aptos" w:hAnsi="Aptos"/>
          <w:b/>
          <w:bCs/>
          <w:color w:val="000000"/>
          <w:sz w:val="28"/>
          <w:szCs w:val="28"/>
        </w:rPr>
        <w:lastRenderedPageBreak/>
        <w:t>Results</w:t>
      </w:r>
    </w:p>
    <w:p w14:paraId="163217F1" w14:textId="14D3D3A6" w:rsidR="0014589E" w:rsidRDefault="004C5A45" w:rsidP="00A73B5E">
      <w:pPr>
        <w:ind w:firstLine="720"/>
      </w:pPr>
      <w:r w:rsidRPr="004C5A45">
        <w:rPr>
          <w:rFonts w:ascii="Aptos" w:hAnsi="Aptos"/>
          <w:color w:val="000000"/>
        </w:rPr>
        <w:t>Key themes and quotes on family interventions for eating disorders in youth and families.</w:t>
      </w:r>
    </w:p>
    <w:p w14:paraId="15B92153" w14:textId="5DC0115C" w:rsidR="006A5EF0" w:rsidRDefault="006A5EF0" w:rsidP="006A5EF0">
      <w:pPr>
        <w:rPr>
          <w:rFonts w:ascii="Aptos" w:hAnsi="Aptos"/>
          <w:color w:val="000000"/>
        </w:rPr>
      </w:pPr>
      <w:r>
        <w:rPr>
          <w:rFonts w:ascii="Aptos" w:hAnsi="Aptos"/>
          <w:color w:val="000000"/>
        </w:rPr>
        <w:t xml:space="preserve">Table </w:t>
      </w:r>
      <w:r w:rsidR="0014589E">
        <w:rPr>
          <w:rFonts w:ascii="Aptos" w:hAnsi="Aptos"/>
          <w:color w:val="000000"/>
        </w:rPr>
        <w:t>3</w:t>
      </w:r>
      <w:r>
        <w:rPr>
          <w:rFonts w:ascii="Aptos" w:hAnsi="Aptos"/>
          <w:color w:val="000000"/>
        </w:rPr>
        <w:t>.</w:t>
      </w:r>
    </w:p>
    <w:tbl>
      <w:tblPr>
        <w:tblStyle w:val="TableGrid"/>
        <w:tblW w:w="0" w:type="auto"/>
        <w:tblLook w:val="04A0" w:firstRow="1" w:lastRow="0" w:firstColumn="1" w:lastColumn="0" w:noHBand="0" w:noVBand="1"/>
      </w:tblPr>
      <w:tblGrid>
        <w:gridCol w:w="2277"/>
        <w:gridCol w:w="1767"/>
        <w:gridCol w:w="2568"/>
        <w:gridCol w:w="2404"/>
      </w:tblGrid>
      <w:tr w:rsidR="00205ACF" w14:paraId="0B707DC2" w14:textId="77777777" w:rsidTr="00205ACF">
        <w:tc>
          <w:tcPr>
            <w:tcW w:w="2322" w:type="dxa"/>
          </w:tcPr>
          <w:p w14:paraId="4217BC9D" w14:textId="136E475D" w:rsidR="00205ACF" w:rsidRDefault="00205ACF" w:rsidP="006A5EF0">
            <w:r>
              <w:t xml:space="preserve">Theme </w:t>
            </w:r>
          </w:p>
        </w:tc>
        <w:tc>
          <w:tcPr>
            <w:tcW w:w="1642" w:type="dxa"/>
          </w:tcPr>
          <w:p w14:paraId="23AB9A5E" w14:textId="2511493F" w:rsidR="00205ACF" w:rsidRDefault="00205ACF" w:rsidP="006A5EF0">
            <w:r>
              <w:t xml:space="preserve">Subtheme </w:t>
            </w:r>
          </w:p>
        </w:tc>
        <w:tc>
          <w:tcPr>
            <w:tcW w:w="2612" w:type="dxa"/>
          </w:tcPr>
          <w:p w14:paraId="3671E310" w14:textId="2B013771" w:rsidR="00205ACF" w:rsidRDefault="00205ACF" w:rsidP="006A5EF0">
            <w:r>
              <w:t>Description</w:t>
            </w:r>
          </w:p>
        </w:tc>
        <w:tc>
          <w:tcPr>
            <w:tcW w:w="2440" w:type="dxa"/>
          </w:tcPr>
          <w:p w14:paraId="094DDEFE" w14:textId="35090782" w:rsidR="00205ACF" w:rsidRDefault="00205ACF" w:rsidP="006A5EF0">
            <w:r>
              <w:t xml:space="preserve">Quotation </w:t>
            </w:r>
          </w:p>
        </w:tc>
      </w:tr>
      <w:tr w:rsidR="00205ACF" w14:paraId="3367840C" w14:textId="77777777" w:rsidTr="00205ACF">
        <w:tc>
          <w:tcPr>
            <w:tcW w:w="2322" w:type="dxa"/>
          </w:tcPr>
          <w:p w14:paraId="759539E4" w14:textId="24A8C9AF" w:rsidR="00205ACF" w:rsidRDefault="00205ACF" w:rsidP="006A5EF0">
            <w:r>
              <w:t>Positive experiences of family-based interventions</w:t>
            </w:r>
          </w:p>
        </w:tc>
        <w:tc>
          <w:tcPr>
            <w:tcW w:w="1642" w:type="dxa"/>
          </w:tcPr>
          <w:p w14:paraId="78DAC56E" w14:textId="0A7C3541" w:rsidR="00205ACF" w:rsidRDefault="00205ACF" w:rsidP="006A5EF0">
            <w:r>
              <w:t>Working with other families</w:t>
            </w:r>
          </w:p>
        </w:tc>
        <w:tc>
          <w:tcPr>
            <w:tcW w:w="2612" w:type="dxa"/>
          </w:tcPr>
          <w:p w14:paraId="08FFFBBA" w14:textId="3A2FBF0A" w:rsidR="002A6CF7" w:rsidRDefault="00291A45">
            <w:pPr>
              <w:rPr>
                <w:lang w:eastAsia="en-GB"/>
              </w:rPr>
            </w:pPr>
            <w:r>
              <w:rPr>
                <w:color w:val="000000"/>
              </w:rPr>
              <w:t>P</w:t>
            </w:r>
            <w:r w:rsidR="002A6CF7">
              <w:rPr>
                <w:color w:val="000000"/>
              </w:rPr>
              <w:t>articipants across various studies highlighted the positive impact that collaboration with other families had on their experience of</w:t>
            </w:r>
            <w:r>
              <w:rPr>
                <w:color w:val="000000"/>
              </w:rPr>
              <w:t xml:space="preserve"> the</w:t>
            </w:r>
            <w:r w:rsidR="002A6CF7">
              <w:rPr>
                <w:color w:val="000000"/>
              </w:rPr>
              <w:t xml:space="preserve"> treatment.</w:t>
            </w:r>
          </w:p>
          <w:p w14:paraId="645992D9" w14:textId="3850A613" w:rsidR="00205ACF" w:rsidRPr="00205ACF" w:rsidRDefault="00205ACF" w:rsidP="00205ACF"/>
        </w:tc>
        <w:tc>
          <w:tcPr>
            <w:tcW w:w="2440" w:type="dxa"/>
          </w:tcPr>
          <w:p w14:paraId="512A1FBD" w14:textId="4A20B8AD" w:rsidR="00205ACF" w:rsidRPr="000B2B0B" w:rsidRDefault="00205ACF" w:rsidP="006A5EF0">
            <w:pPr>
              <w:rPr>
                <w:i/>
                <w:iCs/>
              </w:rPr>
            </w:pPr>
            <w:r w:rsidRPr="000B2B0B">
              <w:rPr>
                <w:i/>
                <w:iCs/>
              </w:rPr>
              <w:t>“Many participants reported that peers played an instrumental role in recovery and that their ideal treatment would include connection with a recovered peer.”</w:t>
            </w:r>
          </w:p>
          <w:p w14:paraId="4311F355" w14:textId="77777777" w:rsidR="002A6CF7" w:rsidRDefault="002A6CF7">
            <w:pPr>
              <w:rPr>
                <w:lang w:eastAsia="en-GB"/>
              </w:rPr>
            </w:pPr>
            <w:r>
              <w:t>(Gao et al., 2025, p. 898)</w:t>
            </w:r>
          </w:p>
          <w:p w14:paraId="7BD4F27C" w14:textId="4CADD003" w:rsidR="00205ACF" w:rsidRDefault="00205ACF" w:rsidP="006A5EF0"/>
        </w:tc>
      </w:tr>
      <w:tr w:rsidR="00205ACF" w14:paraId="25471EFC" w14:textId="77777777" w:rsidTr="00205ACF">
        <w:tc>
          <w:tcPr>
            <w:tcW w:w="2322" w:type="dxa"/>
          </w:tcPr>
          <w:p w14:paraId="20E0F6DB" w14:textId="77777777" w:rsidR="00205ACF" w:rsidRDefault="00205ACF" w:rsidP="006A5EF0"/>
        </w:tc>
        <w:tc>
          <w:tcPr>
            <w:tcW w:w="1642" w:type="dxa"/>
          </w:tcPr>
          <w:p w14:paraId="716AFDC8" w14:textId="1FAEE702" w:rsidR="00205ACF" w:rsidRDefault="00205ACF" w:rsidP="006A5EF0">
            <w:r>
              <w:t>Building relationships</w:t>
            </w:r>
          </w:p>
        </w:tc>
        <w:tc>
          <w:tcPr>
            <w:tcW w:w="2612" w:type="dxa"/>
          </w:tcPr>
          <w:p w14:paraId="1034BA57" w14:textId="0CCBC033" w:rsidR="00205ACF" w:rsidRPr="00205ACF" w:rsidRDefault="00205ACF" w:rsidP="00205ACF">
            <w:r w:rsidRPr="00205ACF">
              <w:rPr>
                <w:rFonts w:ascii="Aptos" w:hAnsi="Aptos"/>
                <w:color w:val="000000"/>
              </w:rPr>
              <w:t>By participating in the interventions and treatment, the families improved their communication and strengthened their relationships.</w:t>
            </w:r>
          </w:p>
        </w:tc>
        <w:tc>
          <w:tcPr>
            <w:tcW w:w="2440" w:type="dxa"/>
          </w:tcPr>
          <w:p w14:paraId="046E8A68" w14:textId="5B636C0B" w:rsidR="00205ACF" w:rsidRDefault="00205ACF" w:rsidP="006A5EF0">
            <w:pPr>
              <w:rPr>
                <w:i/>
                <w:iCs/>
              </w:rPr>
            </w:pPr>
            <w:r w:rsidRPr="003E6DCC">
              <w:rPr>
                <w:i/>
                <w:iCs/>
              </w:rPr>
              <w:t>“They gained new relational tools and learned to work together in new ways.”</w:t>
            </w:r>
          </w:p>
          <w:p w14:paraId="5FE2CC3A" w14:textId="77777777" w:rsidR="002A6CF7" w:rsidRDefault="002A6CF7">
            <w:pPr>
              <w:rPr>
                <w:lang w:eastAsia="en-GB"/>
              </w:rPr>
            </w:pPr>
            <w:r>
              <w:t>(</w:t>
            </w:r>
            <w:proofErr w:type="spellStart"/>
            <w:r>
              <w:t>Brinchmann</w:t>
            </w:r>
            <w:proofErr w:type="spellEnd"/>
            <w:r>
              <w:t xml:space="preserve"> &amp; </w:t>
            </w:r>
            <w:proofErr w:type="spellStart"/>
            <w:r>
              <w:t>Krvavac</w:t>
            </w:r>
            <w:proofErr w:type="spellEnd"/>
            <w:r>
              <w:t>, 2021, p. 7)</w:t>
            </w:r>
          </w:p>
          <w:p w14:paraId="3096D3C6" w14:textId="7136D6FE" w:rsidR="00205ACF" w:rsidRPr="003E6DCC" w:rsidRDefault="00205ACF" w:rsidP="006A5EF0"/>
        </w:tc>
      </w:tr>
      <w:tr w:rsidR="00205ACF" w14:paraId="65500118" w14:textId="77777777" w:rsidTr="00205ACF">
        <w:tc>
          <w:tcPr>
            <w:tcW w:w="2322" w:type="dxa"/>
          </w:tcPr>
          <w:p w14:paraId="4DAC04A1" w14:textId="77777777" w:rsidR="00205ACF" w:rsidRDefault="00205ACF" w:rsidP="006A5EF0"/>
        </w:tc>
        <w:tc>
          <w:tcPr>
            <w:tcW w:w="1642" w:type="dxa"/>
          </w:tcPr>
          <w:p w14:paraId="5B3A74FF" w14:textId="238EFF89" w:rsidR="00205ACF" w:rsidRDefault="00205ACF" w:rsidP="006A5EF0">
            <w:r>
              <w:t>Opening up and sharing about the difficulties of ED</w:t>
            </w:r>
          </w:p>
        </w:tc>
        <w:tc>
          <w:tcPr>
            <w:tcW w:w="2612" w:type="dxa"/>
          </w:tcPr>
          <w:p w14:paraId="3312C016" w14:textId="6F866829" w:rsidR="00205ACF" w:rsidRDefault="00205ACF" w:rsidP="00205ACF">
            <w:r w:rsidRPr="00205ACF">
              <w:rPr>
                <w:rFonts w:ascii="Aptos" w:hAnsi="Aptos"/>
                <w:color w:val="000000"/>
              </w:rPr>
              <w:t>Although many families initially struggled to open up and share, it became easier as others began to understand their challenges, which made sharing feel more comfortable over time.</w:t>
            </w:r>
          </w:p>
        </w:tc>
        <w:tc>
          <w:tcPr>
            <w:tcW w:w="2440" w:type="dxa"/>
          </w:tcPr>
          <w:p w14:paraId="4C1C3560" w14:textId="51DD5500" w:rsidR="00205ACF" w:rsidRDefault="00205ACF" w:rsidP="006A5EF0">
            <w:r>
              <w:t>“</w:t>
            </w:r>
            <w:r>
              <w:rPr>
                <w:i/>
                <w:iCs/>
              </w:rPr>
              <w:t xml:space="preserve">I think everybody felt that it was really useful to recognize that others had, in fact, experienced the same, or at least something in the same way.” </w:t>
            </w:r>
          </w:p>
          <w:p w14:paraId="6CA732AD" w14:textId="5BD8B7A8" w:rsidR="00205ACF" w:rsidRPr="007D2851" w:rsidRDefault="00205ACF" w:rsidP="006A5EF0">
            <w:r>
              <w:t>(Nilsen et al., 2021, p. 6)</w:t>
            </w:r>
          </w:p>
        </w:tc>
      </w:tr>
      <w:tr w:rsidR="00205ACF" w14:paraId="42243160" w14:textId="77777777" w:rsidTr="00205ACF">
        <w:tc>
          <w:tcPr>
            <w:tcW w:w="2322" w:type="dxa"/>
          </w:tcPr>
          <w:p w14:paraId="7CA9E0BE" w14:textId="77777777" w:rsidR="00205ACF" w:rsidRDefault="00205ACF" w:rsidP="006A5EF0"/>
        </w:tc>
        <w:tc>
          <w:tcPr>
            <w:tcW w:w="1642" w:type="dxa"/>
          </w:tcPr>
          <w:p w14:paraId="1C1FD3AF" w14:textId="77777777" w:rsidR="00205ACF" w:rsidRDefault="00205ACF" w:rsidP="006A5EF0"/>
        </w:tc>
        <w:tc>
          <w:tcPr>
            <w:tcW w:w="2612" w:type="dxa"/>
          </w:tcPr>
          <w:p w14:paraId="0423EF08" w14:textId="77777777" w:rsidR="00205ACF" w:rsidRDefault="00205ACF" w:rsidP="006A5EF0"/>
        </w:tc>
        <w:tc>
          <w:tcPr>
            <w:tcW w:w="2440" w:type="dxa"/>
          </w:tcPr>
          <w:p w14:paraId="0C08A164" w14:textId="715FD2B9" w:rsidR="00205ACF" w:rsidRDefault="00205ACF" w:rsidP="006A5EF0"/>
        </w:tc>
      </w:tr>
      <w:tr w:rsidR="00205ACF" w14:paraId="6F8819C4" w14:textId="77777777" w:rsidTr="00205ACF">
        <w:tc>
          <w:tcPr>
            <w:tcW w:w="2322" w:type="dxa"/>
          </w:tcPr>
          <w:p w14:paraId="254183B9" w14:textId="4EC31DA1" w:rsidR="00205ACF" w:rsidRDefault="00205ACF" w:rsidP="006A5EF0">
            <w:r>
              <w:t>Negative experiences of family-based interventions</w:t>
            </w:r>
          </w:p>
        </w:tc>
        <w:tc>
          <w:tcPr>
            <w:tcW w:w="1642" w:type="dxa"/>
          </w:tcPr>
          <w:p w14:paraId="37FF7F44" w14:textId="77777777" w:rsidR="002A6CF7" w:rsidRDefault="002A6CF7">
            <w:pPr>
              <w:rPr>
                <w:lang w:eastAsia="en-GB"/>
              </w:rPr>
            </w:pPr>
            <w:r>
              <w:t>Transitioning back home</w:t>
            </w:r>
          </w:p>
          <w:p w14:paraId="5D670EFF" w14:textId="6BA1C495" w:rsidR="00205ACF" w:rsidRDefault="00205ACF" w:rsidP="006A5EF0"/>
        </w:tc>
        <w:tc>
          <w:tcPr>
            <w:tcW w:w="2612" w:type="dxa"/>
          </w:tcPr>
          <w:p w14:paraId="1A291CEE" w14:textId="2FC1C9F5" w:rsidR="00205ACF" w:rsidRDefault="00205ACF" w:rsidP="00205ACF">
            <w:r w:rsidRPr="00205ACF">
              <w:rPr>
                <w:rFonts w:ascii="Aptos" w:hAnsi="Aptos"/>
                <w:color w:val="000000"/>
              </w:rPr>
              <w:t>Numerous families experienced challenges with the abrupt nature of the discharge process.</w:t>
            </w:r>
          </w:p>
        </w:tc>
        <w:tc>
          <w:tcPr>
            <w:tcW w:w="2440" w:type="dxa"/>
          </w:tcPr>
          <w:p w14:paraId="3BFB32E5" w14:textId="7195C811" w:rsidR="00205ACF" w:rsidRDefault="00205ACF" w:rsidP="006A5EF0">
            <w:pPr>
              <w:rPr>
                <w:i/>
                <w:iCs/>
              </w:rPr>
            </w:pPr>
            <w:r>
              <w:t>“</w:t>
            </w:r>
            <w:r w:rsidRPr="003E6DCC">
              <w:rPr>
                <w:i/>
                <w:iCs/>
              </w:rPr>
              <w:t>T</w:t>
            </w:r>
            <w:r>
              <w:rPr>
                <w:i/>
                <w:iCs/>
              </w:rPr>
              <w:t>he majority of the participants remembered the immediate phase following discharge as very difficult.”</w:t>
            </w:r>
          </w:p>
          <w:p w14:paraId="0BCC4448" w14:textId="77777777" w:rsidR="002A6CF7" w:rsidRDefault="002A6CF7">
            <w:pPr>
              <w:rPr>
                <w:lang w:eastAsia="en-GB"/>
              </w:rPr>
            </w:pPr>
            <w:r>
              <w:lastRenderedPageBreak/>
              <w:t>(Nilsen et al., 2021, p. 10)</w:t>
            </w:r>
          </w:p>
          <w:p w14:paraId="55B72EB8" w14:textId="09333030" w:rsidR="00205ACF" w:rsidRPr="00B5788A" w:rsidRDefault="00205ACF" w:rsidP="006A5EF0"/>
        </w:tc>
      </w:tr>
      <w:tr w:rsidR="00205ACF" w14:paraId="22C0E872" w14:textId="77777777" w:rsidTr="00205ACF">
        <w:tc>
          <w:tcPr>
            <w:tcW w:w="2322" w:type="dxa"/>
          </w:tcPr>
          <w:p w14:paraId="3391EA70" w14:textId="77777777" w:rsidR="00205ACF" w:rsidRDefault="00205ACF" w:rsidP="006A5EF0"/>
        </w:tc>
        <w:tc>
          <w:tcPr>
            <w:tcW w:w="1642" w:type="dxa"/>
          </w:tcPr>
          <w:p w14:paraId="7FDB8773" w14:textId="3B8C4678" w:rsidR="00205ACF" w:rsidRDefault="00205ACF" w:rsidP="006A5EF0">
            <w:r>
              <w:t>Identity struggles</w:t>
            </w:r>
          </w:p>
        </w:tc>
        <w:tc>
          <w:tcPr>
            <w:tcW w:w="2612" w:type="dxa"/>
          </w:tcPr>
          <w:p w14:paraId="712791FF" w14:textId="5EC41505" w:rsidR="00205ACF" w:rsidRPr="00205ACF" w:rsidRDefault="00205ACF" w:rsidP="00205ACF">
            <w:r w:rsidRPr="00205ACF">
              <w:rPr>
                <w:rFonts w:ascii="Aptos" w:hAnsi="Aptos"/>
                <w:color w:val="000000"/>
              </w:rPr>
              <w:t>In phase 1, patients often experienced a sense of lost identity as they became reliant on staff and parents who managed their care.</w:t>
            </w:r>
          </w:p>
        </w:tc>
        <w:tc>
          <w:tcPr>
            <w:tcW w:w="2440" w:type="dxa"/>
          </w:tcPr>
          <w:p w14:paraId="27CDBE0E" w14:textId="3647878A" w:rsidR="00205ACF" w:rsidRDefault="00205ACF" w:rsidP="006A5EF0">
            <w:pPr>
              <w:rPr>
                <w:i/>
                <w:iCs/>
              </w:rPr>
            </w:pPr>
            <w:r w:rsidRPr="00B5788A">
              <w:rPr>
                <w:i/>
                <w:iCs/>
              </w:rPr>
              <w:t xml:space="preserve">“Emily described how difficult forming her own identity was exacerbated in phase one” </w:t>
            </w:r>
          </w:p>
          <w:p w14:paraId="7FBD9499" w14:textId="77777777" w:rsidR="002A6CF7" w:rsidRDefault="002A6CF7">
            <w:pPr>
              <w:rPr>
                <w:lang w:eastAsia="en-GB"/>
              </w:rPr>
            </w:pPr>
            <w:r>
              <w:t>(Medway et al., 2019, p. 136)</w:t>
            </w:r>
          </w:p>
          <w:p w14:paraId="21C41C2D" w14:textId="77777777" w:rsidR="00205ACF" w:rsidRPr="00277D77" w:rsidRDefault="00205ACF" w:rsidP="006A5EF0">
            <w:pPr>
              <w:rPr>
                <w:i/>
                <w:iCs/>
              </w:rPr>
            </w:pPr>
            <w:r w:rsidRPr="00277D77">
              <w:rPr>
                <w:i/>
                <w:iCs/>
              </w:rPr>
              <w:t>“First, Hayley was disempowered, lost her voice, and her sense of identity was eroded.”</w:t>
            </w:r>
          </w:p>
          <w:p w14:paraId="04920FDF" w14:textId="77777777" w:rsidR="002A6CF7" w:rsidRDefault="002A6CF7">
            <w:pPr>
              <w:rPr>
                <w:lang w:eastAsia="en-GB"/>
              </w:rPr>
            </w:pPr>
            <w:r>
              <w:t>(Conti et al., 2017, p. 420)</w:t>
            </w:r>
          </w:p>
          <w:p w14:paraId="23E852E5" w14:textId="4E2F385C" w:rsidR="00205ACF" w:rsidRPr="00277D77" w:rsidRDefault="00205ACF" w:rsidP="006A5EF0"/>
        </w:tc>
      </w:tr>
      <w:tr w:rsidR="00205ACF" w14:paraId="3B9682CB" w14:textId="77777777" w:rsidTr="00205ACF">
        <w:tc>
          <w:tcPr>
            <w:tcW w:w="2322" w:type="dxa"/>
          </w:tcPr>
          <w:p w14:paraId="12F721E4" w14:textId="77777777" w:rsidR="00205ACF" w:rsidRDefault="00205ACF" w:rsidP="006A5EF0"/>
        </w:tc>
        <w:tc>
          <w:tcPr>
            <w:tcW w:w="1642" w:type="dxa"/>
          </w:tcPr>
          <w:p w14:paraId="2DDBE51F" w14:textId="77777777" w:rsidR="00205ACF" w:rsidRDefault="00205ACF" w:rsidP="006A5EF0"/>
        </w:tc>
        <w:tc>
          <w:tcPr>
            <w:tcW w:w="2612" w:type="dxa"/>
          </w:tcPr>
          <w:p w14:paraId="509C66E0" w14:textId="77777777" w:rsidR="00205ACF" w:rsidRDefault="00205ACF" w:rsidP="006A5EF0"/>
        </w:tc>
        <w:tc>
          <w:tcPr>
            <w:tcW w:w="2440" w:type="dxa"/>
          </w:tcPr>
          <w:p w14:paraId="67F1A010" w14:textId="1618CDD0" w:rsidR="00205ACF" w:rsidRDefault="00205ACF" w:rsidP="006A5EF0"/>
        </w:tc>
      </w:tr>
      <w:tr w:rsidR="00205ACF" w14:paraId="634F55B2" w14:textId="77777777" w:rsidTr="00205ACF">
        <w:tc>
          <w:tcPr>
            <w:tcW w:w="2322" w:type="dxa"/>
          </w:tcPr>
          <w:p w14:paraId="535154A3" w14:textId="5303086C" w:rsidR="00205ACF" w:rsidRDefault="00205ACF" w:rsidP="006A5EF0">
            <w:r>
              <w:t>Impact of family-based interventions</w:t>
            </w:r>
          </w:p>
        </w:tc>
        <w:tc>
          <w:tcPr>
            <w:tcW w:w="1642" w:type="dxa"/>
          </w:tcPr>
          <w:p w14:paraId="7228C25C" w14:textId="0B47341F" w:rsidR="00205ACF" w:rsidRDefault="00205ACF" w:rsidP="006A5EF0">
            <w:r>
              <w:t>Parental understanding of ED.</w:t>
            </w:r>
          </w:p>
        </w:tc>
        <w:tc>
          <w:tcPr>
            <w:tcW w:w="2612" w:type="dxa"/>
          </w:tcPr>
          <w:p w14:paraId="3980F514" w14:textId="7DAEC077" w:rsidR="00205ACF" w:rsidRPr="0073717E" w:rsidRDefault="0073717E" w:rsidP="0073717E">
            <w:r w:rsidRPr="0073717E">
              <w:rPr>
                <w:rFonts w:ascii="Aptos" w:hAnsi="Aptos"/>
                <w:color w:val="000000"/>
              </w:rPr>
              <w:t xml:space="preserve">Patients reported that the primary effect of the treatment was to enhance parental understanding of </w:t>
            </w:r>
            <w:r>
              <w:rPr>
                <w:rFonts w:ascii="Aptos" w:hAnsi="Aptos"/>
                <w:color w:val="000000"/>
              </w:rPr>
              <w:t>ED</w:t>
            </w:r>
            <w:r w:rsidRPr="0073717E">
              <w:rPr>
                <w:rFonts w:ascii="Aptos" w:hAnsi="Aptos"/>
                <w:color w:val="000000"/>
              </w:rPr>
              <w:t xml:space="preserve"> and associated behaviours, as well as to provide guidance on how best to support their children. </w:t>
            </w:r>
          </w:p>
        </w:tc>
        <w:tc>
          <w:tcPr>
            <w:tcW w:w="2440" w:type="dxa"/>
          </w:tcPr>
          <w:p w14:paraId="69F9C6D9" w14:textId="1B236FB3" w:rsidR="00205ACF" w:rsidRDefault="00205ACF" w:rsidP="006A5EF0">
            <w:r w:rsidRPr="007D2851">
              <w:rPr>
                <w:i/>
                <w:iCs/>
              </w:rPr>
              <w:t>“Er, they know how to manage my meltdowns… and they now know how to properly support me at mealtimes.”</w:t>
            </w:r>
            <w:r>
              <w:t xml:space="preserve"> </w:t>
            </w:r>
          </w:p>
          <w:p w14:paraId="20B538C3" w14:textId="085CC4E2" w:rsidR="00205ACF" w:rsidRDefault="00205ACF" w:rsidP="006A5EF0">
            <w:r>
              <w:t>(Coopey &amp; Johnson, 2022, p. 4)</w:t>
            </w:r>
          </w:p>
        </w:tc>
      </w:tr>
      <w:tr w:rsidR="00205ACF" w14:paraId="64EDB94D" w14:textId="77777777" w:rsidTr="00205ACF">
        <w:tc>
          <w:tcPr>
            <w:tcW w:w="2322" w:type="dxa"/>
          </w:tcPr>
          <w:p w14:paraId="75978B17" w14:textId="77777777" w:rsidR="00205ACF" w:rsidRDefault="00205ACF" w:rsidP="006A5EF0"/>
        </w:tc>
        <w:tc>
          <w:tcPr>
            <w:tcW w:w="1642" w:type="dxa"/>
          </w:tcPr>
          <w:p w14:paraId="51BFF41B" w14:textId="750F6AEF" w:rsidR="00205ACF" w:rsidRDefault="00205ACF" w:rsidP="006A5EF0">
            <w:r>
              <w:t>Young people’s difficulties with independence.</w:t>
            </w:r>
          </w:p>
        </w:tc>
        <w:tc>
          <w:tcPr>
            <w:tcW w:w="2612" w:type="dxa"/>
          </w:tcPr>
          <w:p w14:paraId="6E0AC7EC" w14:textId="0F4481A1" w:rsidR="00205ACF" w:rsidRPr="0073717E" w:rsidRDefault="0073717E" w:rsidP="0073717E">
            <w:r w:rsidRPr="0073717E">
              <w:rPr>
                <w:rFonts w:ascii="Aptos" w:hAnsi="Aptos"/>
                <w:color w:val="000000"/>
              </w:rPr>
              <w:t>Several participants reported challenges with maintaining independence throughout the various stages of treatment, particularly following phase 1, which focused on learning to rely on parental support for eating and weight gain.</w:t>
            </w:r>
          </w:p>
        </w:tc>
        <w:tc>
          <w:tcPr>
            <w:tcW w:w="2440" w:type="dxa"/>
          </w:tcPr>
          <w:p w14:paraId="27D54F5D" w14:textId="2346CBF2" w:rsidR="00205ACF" w:rsidRPr="000B2B0B" w:rsidRDefault="00205ACF" w:rsidP="006A5EF0">
            <w:pPr>
              <w:rPr>
                <w:i/>
                <w:iCs/>
              </w:rPr>
            </w:pPr>
            <w:r w:rsidRPr="000B2B0B">
              <w:rPr>
                <w:i/>
                <w:iCs/>
              </w:rPr>
              <w:t xml:space="preserve">“Four participants described significant difficulties with appropriate independence prior to phase 2 and 3.” </w:t>
            </w:r>
          </w:p>
          <w:p w14:paraId="0136E18F" w14:textId="77777777" w:rsidR="002A6CF7" w:rsidRDefault="002A6CF7">
            <w:pPr>
              <w:rPr>
                <w:lang w:eastAsia="en-GB"/>
              </w:rPr>
            </w:pPr>
            <w:r>
              <w:t>(Medway et al., 2019, p. 137)</w:t>
            </w:r>
          </w:p>
          <w:p w14:paraId="4C04884C" w14:textId="0199B810" w:rsidR="00205ACF" w:rsidRDefault="00205ACF" w:rsidP="006A5EF0"/>
        </w:tc>
      </w:tr>
    </w:tbl>
    <w:p w14:paraId="4EE0B854" w14:textId="77777777" w:rsidR="006A5EF0" w:rsidRDefault="006A5EF0" w:rsidP="006A5EF0"/>
    <w:p w14:paraId="32307DDD" w14:textId="77777777" w:rsidR="00A73B5E" w:rsidRDefault="00A73B5E" w:rsidP="006A5EF0">
      <w:pPr>
        <w:rPr>
          <w:b/>
          <w:bCs/>
          <w:sz w:val="28"/>
          <w:szCs w:val="28"/>
        </w:rPr>
      </w:pPr>
    </w:p>
    <w:p w14:paraId="460F4D5D" w14:textId="77777777" w:rsidR="00A73B5E" w:rsidRDefault="00A73B5E" w:rsidP="006A5EF0">
      <w:pPr>
        <w:rPr>
          <w:b/>
          <w:bCs/>
          <w:sz w:val="28"/>
          <w:szCs w:val="28"/>
        </w:rPr>
      </w:pPr>
    </w:p>
    <w:p w14:paraId="0DF25E3D" w14:textId="0959689F" w:rsidR="000B2B0B" w:rsidRPr="00A73B5E" w:rsidRDefault="000B2B0B" w:rsidP="006A5EF0">
      <w:pPr>
        <w:rPr>
          <w:b/>
          <w:bCs/>
          <w:sz w:val="28"/>
          <w:szCs w:val="28"/>
        </w:rPr>
      </w:pPr>
      <w:r w:rsidRPr="00A73B5E">
        <w:rPr>
          <w:b/>
          <w:bCs/>
          <w:sz w:val="28"/>
          <w:szCs w:val="28"/>
        </w:rPr>
        <w:lastRenderedPageBreak/>
        <w:t>Positive experiences of family-based interventions</w:t>
      </w:r>
    </w:p>
    <w:p w14:paraId="3C326102" w14:textId="77777777" w:rsidR="008A4184" w:rsidRDefault="008A4184" w:rsidP="00A73B5E">
      <w:pPr>
        <w:ind w:firstLine="720"/>
        <w:rPr>
          <w:lang w:eastAsia="en-GB"/>
        </w:rPr>
      </w:pPr>
      <w:r>
        <w:rPr>
          <w:color w:val="000000"/>
        </w:rPr>
        <w:t>A majority of participants reported positive experiences while taking part in family-based interventions. Across the included studies, three recurring subthemes were identified: working with other families, building relationships, and opening up about the difficulties of living with an eating disorder.</w:t>
      </w:r>
    </w:p>
    <w:p w14:paraId="7E0CEBE9" w14:textId="77777777" w:rsidR="008A4184" w:rsidRDefault="008A4184">
      <w:pPr>
        <w:rPr>
          <w:lang w:eastAsia="en-GB"/>
        </w:rPr>
      </w:pPr>
      <w:r>
        <w:rPr>
          <w:b/>
          <w:bCs/>
          <w:i/>
          <w:iCs/>
        </w:rPr>
        <w:t>Working with other families</w:t>
      </w:r>
    </w:p>
    <w:p w14:paraId="7150E707" w14:textId="3CEE9579" w:rsidR="00BE3A20" w:rsidRDefault="00BE3A20" w:rsidP="00A73B5E">
      <w:pPr>
        <w:ind w:firstLine="720"/>
        <w:rPr>
          <w:lang w:eastAsia="en-GB"/>
        </w:rPr>
      </w:pPr>
      <w:r>
        <w:rPr>
          <w:color w:val="000000"/>
        </w:rPr>
        <w:t>Participants described peer-family contact as providing recognition and reassurance that their struggles were shared, which reduced isolation and made it easier to speak about di</w:t>
      </w:r>
      <w:r w:rsidR="00291A45">
        <w:rPr>
          <w:color w:val="000000"/>
        </w:rPr>
        <w:t>fficult</w:t>
      </w:r>
      <w:r>
        <w:rPr>
          <w:color w:val="000000"/>
        </w:rPr>
        <w:t xml:space="preserve"> experiences (reported in Nilsen et al., 2021; </w:t>
      </w:r>
      <w:proofErr w:type="spellStart"/>
      <w:r>
        <w:rPr>
          <w:color w:val="000000"/>
        </w:rPr>
        <w:t>Brinchmann</w:t>
      </w:r>
      <w:proofErr w:type="spellEnd"/>
      <w:r>
        <w:rPr>
          <w:color w:val="000000"/>
        </w:rPr>
        <w:t xml:space="preserve"> &amp; </w:t>
      </w:r>
      <w:proofErr w:type="spellStart"/>
      <w:r>
        <w:rPr>
          <w:color w:val="000000"/>
        </w:rPr>
        <w:t>Krvavac</w:t>
      </w:r>
      <w:proofErr w:type="spellEnd"/>
      <w:r>
        <w:rPr>
          <w:color w:val="000000"/>
        </w:rPr>
        <w:t xml:space="preserve">, 2021). For example, one participant reflected: </w:t>
      </w:r>
      <w:r>
        <w:rPr>
          <w:i/>
          <w:iCs/>
        </w:rPr>
        <w:t>“I think everybody felt that it was really useful to recognize that others had, in fact, experienced the same, or at least something in the same way.”</w:t>
      </w:r>
      <w:r>
        <w:rPr>
          <w:color w:val="000000"/>
        </w:rPr>
        <w:t xml:space="preserve"> (Nilsen et al., 2021, p. 6).</w:t>
      </w:r>
    </w:p>
    <w:p w14:paraId="1CAAC0CF" w14:textId="579038F8" w:rsidR="00BE3A20" w:rsidRDefault="00BE3A20" w:rsidP="00A73B5E">
      <w:pPr>
        <w:ind w:firstLine="720"/>
        <w:rPr>
          <w:lang w:eastAsia="en-GB"/>
        </w:rPr>
      </w:pPr>
      <w:r>
        <w:rPr>
          <w:color w:val="000000"/>
        </w:rPr>
        <w:t xml:space="preserve">In Nilsen et al. (2021), families described admission alongside other families as supportive and meaningful, and participants emphasised how recognising similar experiences in others helped them speak more openly. </w:t>
      </w:r>
      <w:proofErr w:type="spellStart"/>
      <w:r>
        <w:rPr>
          <w:color w:val="000000"/>
        </w:rPr>
        <w:t>Brinchmann</w:t>
      </w:r>
      <w:proofErr w:type="spellEnd"/>
      <w:r>
        <w:rPr>
          <w:color w:val="000000"/>
        </w:rPr>
        <w:t xml:space="preserve"> &amp; </w:t>
      </w:r>
      <w:proofErr w:type="spellStart"/>
      <w:r>
        <w:rPr>
          <w:color w:val="000000"/>
        </w:rPr>
        <w:t>Krvavac</w:t>
      </w:r>
      <w:proofErr w:type="spellEnd"/>
      <w:r>
        <w:rPr>
          <w:color w:val="000000"/>
        </w:rPr>
        <w:t xml:space="preserve"> (2021) likewise reported that MFT was experienced as a space where families could meet others who understood their difficulties, which participants framed as central to their overall treatment experience.</w:t>
      </w:r>
    </w:p>
    <w:p w14:paraId="40C04FC5" w14:textId="77777777" w:rsidR="008A4184" w:rsidRDefault="008A4184">
      <w:pPr>
        <w:rPr>
          <w:lang w:eastAsia="en-GB"/>
        </w:rPr>
      </w:pPr>
      <w:r>
        <w:rPr>
          <w:b/>
          <w:bCs/>
          <w:i/>
          <w:iCs/>
        </w:rPr>
        <w:t>Building relationships</w:t>
      </w:r>
    </w:p>
    <w:p w14:paraId="5BE5C87A" w14:textId="31FA72B3" w:rsidR="00BE3A20" w:rsidRDefault="00BE3A20" w:rsidP="00A73B5E">
      <w:pPr>
        <w:ind w:firstLine="720"/>
        <w:rPr>
          <w:lang w:eastAsia="en-GB"/>
        </w:rPr>
      </w:pPr>
      <w:r>
        <w:rPr>
          <w:color w:val="000000"/>
        </w:rPr>
        <w:t xml:space="preserve">Families also reported relational gains, including improved communication and new ways of working together during conflict and mealtimes (reported in </w:t>
      </w:r>
      <w:proofErr w:type="spellStart"/>
      <w:r>
        <w:rPr>
          <w:color w:val="000000"/>
        </w:rPr>
        <w:t>Brinchmann</w:t>
      </w:r>
      <w:proofErr w:type="spellEnd"/>
      <w:r>
        <w:rPr>
          <w:color w:val="000000"/>
        </w:rPr>
        <w:t xml:space="preserve"> &amp; </w:t>
      </w:r>
      <w:proofErr w:type="spellStart"/>
      <w:r>
        <w:rPr>
          <w:color w:val="000000"/>
        </w:rPr>
        <w:t>Krvavac</w:t>
      </w:r>
      <w:proofErr w:type="spellEnd"/>
      <w:r>
        <w:rPr>
          <w:color w:val="000000"/>
        </w:rPr>
        <w:t xml:space="preserve">, 2021; Coopey &amp; Johnson, 2022). </w:t>
      </w:r>
      <w:proofErr w:type="spellStart"/>
      <w:r>
        <w:rPr>
          <w:color w:val="000000"/>
        </w:rPr>
        <w:t>Brinchmann</w:t>
      </w:r>
      <w:proofErr w:type="spellEnd"/>
      <w:r>
        <w:rPr>
          <w:color w:val="000000"/>
        </w:rPr>
        <w:t xml:space="preserve"> &amp; </w:t>
      </w:r>
      <w:proofErr w:type="spellStart"/>
      <w:r>
        <w:rPr>
          <w:color w:val="000000"/>
        </w:rPr>
        <w:t>Krvavac</w:t>
      </w:r>
      <w:proofErr w:type="spellEnd"/>
      <w:r>
        <w:rPr>
          <w:color w:val="000000"/>
        </w:rPr>
        <w:t xml:space="preserve"> (2021) summarised this shift as participants gaining </w:t>
      </w:r>
      <w:r>
        <w:rPr>
          <w:i/>
          <w:iCs/>
        </w:rPr>
        <w:t>“new relational tools and learning to work together in new ways”</w:t>
      </w:r>
      <w:r>
        <w:rPr>
          <w:color w:val="000000"/>
        </w:rPr>
        <w:t xml:space="preserve"> (</w:t>
      </w:r>
      <w:proofErr w:type="spellStart"/>
      <w:r>
        <w:rPr>
          <w:color w:val="000000"/>
        </w:rPr>
        <w:t>Brinchmann</w:t>
      </w:r>
      <w:proofErr w:type="spellEnd"/>
      <w:r>
        <w:rPr>
          <w:color w:val="000000"/>
        </w:rPr>
        <w:t xml:space="preserve"> &amp; </w:t>
      </w:r>
      <w:proofErr w:type="spellStart"/>
      <w:r>
        <w:rPr>
          <w:color w:val="000000"/>
        </w:rPr>
        <w:t>Krvavac</w:t>
      </w:r>
      <w:proofErr w:type="spellEnd"/>
      <w:r>
        <w:rPr>
          <w:color w:val="000000"/>
        </w:rPr>
        <w:t>, 2021, p. 7), suggesting that participation could support relationship repair alongside symptom-focused work.</w:t>
      </w:r>
    </w:p>
    <w:p w14:paraId="5620F494" w14:textId="6CB14F47" w:rsidR="00BE3A20" w:rsidRDefault="00BE3A20" w:rsidP="00A73B5E">
      <w:pPr>
        <w:ind w:firstLine="720"/>
        <w:rPr>
          <w:lang w:eastAsia="en-GB"/>
        </w:rPr>
      </w:pPr>
      <w:r>
        <w:rPr>
          <w:color w:val="000000"/>
        </w:rPr>
        <w:t>In Coopey &amp; Johnson (2022), young people also described developing closer relationships with peers in the inpatient setting over time, suggesting that relationship-building occurred both within families and between patients during treatment.</w:t>
      </w:r>
    </w:p>
    <w:p w14:paraId="79B8CC76" w14:textId="77777777" w:rsidR="008A4184" w:rsidRDefault="008A4184">
      <w:pPr>
        <w:rPr>
          <w:lang w:eastAsia="en-GB"/>
        </w:rPr>
      </w:pPr>
      <w:r>
        <w:rPr>
          <w:b/>
          <w:bCs/>
          <w:i/>
          <w:iCs/>
        </w:rPr>
        <w:t>Opening up and sharing about the difficulties of ED</w:t>
      </w:r>
    </w:p>
    <w:p w14:paraId="33126B8C" w14:textId="77777777" w:rsidR="00BE3A20" w:rsidRDefault="00BE3A20" w:rsidP="00A73B5E">
      <w:pPr>
        <w:ind w:firstLine="720"/>
        <w:rPr>
          <w:lang w:eastAsia="en-GB"/>
        </w:rPr>
      </w:pPr>
      <w:r>
        <w:rPr>
          <w:color w:val="000000"/>
        </w:rPr>
        <w:lastRenderedPageBreak/>
        <w:t xml:space="preserve">Although families sometimes found openness difficult initially, several accounts suggested that shared spaces and structured discussion helped normalise talking about ED-related emotions and experiences (reported in Coopey &amp; Johnson, 2022; </w:t>
      </w:r>
      <w:proofErr w:type="spellStart"/>
      <w:r>
        <w:rPr>
          <w:color w:val="000000"/>
        </w:rPr>
        <w:t>Brinchmann</w:t>
      </w:r>
      <w:proofErr w:type="spellEnd"/>
      <w:r>
        <w:rPr>
          <w:color w:val="000000"/>
        </w:rPr>
        <w:t xml:space="preserve"> &amp; </w:t>
      </w:r>
      <w:proofErr w:type="spellStart"/>
      <w:r>
        <w:rPr>
          <w:color w:val="000000"/>
        </w:rPr>
        <w:t>Krvavac</w:t>
      </w:r>
      <w:proofErr w:type="spellEnd"/>
      <w:r>
        <w:rPr>
          <w:color w:val="000000"/>
        </w:rPr>
        <w:t xml:space="preserve">, 2021). In inpatient and group contexts, young people described finding a voice through practice, with Coopey &amp; Johnson (2022) noting that </w:t>
      </w:r>
      <w:r>
        <w:rPr>
          <w:i/>
          <w:iCs/>
        </w:rPr>
        <w:t>“practicing using their voices enabled them to find their voice”</w:t>
      </w:r>
      <w:r>
        <w:rPr>
          <w:color w:val="000000"/>
        </w:rPr>
        <w:t xml:space="preserve"> (Coopey &amp; Johnson, 2022, p. 7).</w:t>
      </w:r>
    </w:p>
    <w:p w14:paraId="53DF38C7" w14:textId="77777777" w:rsidR="00BE3A20" w:rsidRDefault="00BE3A20" w:rsidP="00A73B5E">
      <w:pPr>
        <w:ind w:firstLine="720"/>
        <w:rPr>
          <w:lang w:eastAsia="en-GB"/>
        </w:rPr>
      </w:pPr>
      <w:r>
        <w:rPr>
          <w:color w:val="000000"/>
        </w:rPr>
        <w:t xml:space="preserve">Accounts of openness were also reported in </w:t>
      </w:r>
      <w:proofErr w:type="spellStart"/>
      <w:r>
        <w:rPr>
          <w:color w:val="000000"/>
        </w:rPr>
        <w:t>Brinchmann</w:t>
      </w:r>
      <w:proofErr w:type="spellEnd"/>
      <w:r>
        <w:rPr>
          <w:color w:val="000000"/>
        </w:rPr>
        <w:t xml:space="preserve"> &amp; </w:t>
      </w:r>
      <w:proofErr w:type="spellStart"/>
      <w:r>
        <w:rPr>
          <w:color w:val="000000"/>
        </w:rPr>
        <w:t>Krvavac</w:t>
      </w:r>
      <w:proofErr w:type="spellEnd"/>
      <w:r>
        <w:rPr>
          <w:color w:val="000000"/>
        </w:rPr>
        <w:t xml:space="preserve"> (2021), where parents became more conscious of the importance of being open with the young person and expressing feelings within the family. However, Coopey &amp; Johnson (2022) also reported that some young people experienced sessions as more focused on their parents’ needs than their own, illustrating variation in how supported young people felt to share their perspectives within family-based care (</w:t>
      </w:r>
      <w:proofErr w:type="spellStart"/>
      <w:r>
        <w:rPr>
          <w:color w:val="000000"/>
        </w:rPr>
        <w:t>Brinchmann</w:t>
      </w:r>
      <w:proofErr w:type="spellEnd"/>
      <w:r>
        <w:rPr>
          <w:color w:val="000000"/>
        </w:rPr>
        <w:t xml:space="preserve"> &amp; </w:t>
      </w:r>
      <w:proofErr w:type="spellStart"/>
      <w:r>
        <w:rPr>
          <w:color w:val="000000"/>
        </w:rPr>
        <w:t>Krvavac</w:t>
      </w:r>
      <w:proofErr w:type="spellEnd"/>
      <w:r>
        <w:rPr>
          <w:color w:val="000000"/>
        </w:rPr>
        <w:t>, 2021; Coopey &amp; Johnson, 2022).</w:t>
      </w:r>
    </w:p>
    <w:p w14:paraId="24E3D802" w14:textId="3D04729A" w:rsidR="00463FE9" w:rsidRPr="00A73B5E" w:rsidRDefault="00463FE9" w:rsidP="006A5EF0">
      <w:pPr>
        <w:rPr>
          <w:b/>
          <w:bCs/>
          <w:sz w:val="28"/>
          <w:szCs w:val="28"/>
        </w:rPr>
      </w:pPr>
      <w:r w:rsidRPr="00A73B5E">
        <w:rPr>
          <w:b/>
          <w:bCs/>
          <w:sz w:val="28"/>
          <w:szCs w:val="28"/>
        </w:rPr>
        <w:t>Negative experiences of family-based interventions</w:t>
      </w:r>
    </w:p>
    <w:p w14:paraId="1A991ADC" w14:textId="77777777" w:rsidR="008A4184" w:rsidRDefault="008A4184" w:rsidP="00A73B5E">
      <w:pPr>
        <w:ind w:firstLine="720"/>
        <w:rPr>
          <w:lang w:eastAsia="en-GB"/>
        </w:rPr>
      </w:pPr>
      <w:r>
        <w:rPr>
          <w:color w:val="000000"/>
        </w:rPr>
        <w:t>Alongside positive experiences, participants also reported negative experiences of family-based interventions. Two subthemes were most consistently reflected across the included studies: transitioning back home and identity struggles.</w:t>
      </w:r>
    </w:p>
    <w:p w14:paraId="29E59E53" w14:textId="77777777" w:rsidR="008A4184" w:rsidRDefault="008A4184">
      <w:pPr>
        <w:rPr>
          <w:lang w:eastAsia="en-GB"/>
        </w:rPr>
      </w:pPr>
      <w:r>
        <w:rPr>
          <w:b/>
          <w:bCs/>
          <w:i/>
          <w:iCs/>
        </w:rPr>
        <w:t>Transitioning back home</w:t>
      </w:r>
    </w:p>
    <w:p w14:paraId="21B44015" w14:textId="77777777" w:rsidR="00BE3A20" w:rsidRDefault="00BE3A20" w:rsidP="00A73B5E">
      <w:pPr>
        <w:ind w:firstLine="720"/>
        <w:rPr>
          <w:lang w:eastAsia="en-GB"/>
        </w:rPr>
      </w:pPr>
      <w:r>
        <w:rPr>
          <w:color w:val="000000"/>
        </w:rPr>
        <w:t xml:space="preserve">Families described the immediate post-discharge period as particularly vulnerable, often characterised by uncertainty, reduced support, and abrupt endings to intensive input (reported in Nilsen et al., 2021; Coopey &amp; Johnson, 2022). As one account summarised, </w:t>
      </w:r>
      <w:r>
        <w:rPr>
          <w:i/>
          <w:iCs/>
        </w:rPr>
        <w:t>“The majority of the participants remembered the immediate phase following discharge as very difficult.”</w:t>
      </w:r>
      <w:r>
        <w:rPr>
          <w:color w:val="000000"/>
        </w:rPr>
        <w:t xml:space="preserve"> (Nilsen et al., 2021, p. 10).</w:t>
      </w:r>
    </w:p>
    <w:p w14:paraId="103DCF11" w14:textId="62203349" w:rsidR="00BE3A20" w:rsidRDefault="00BE3A20" w:rsidP="00A73B5E">
      <w:pPr>
        <w:ind w:firstLine="720"/>
        <w:rPr>
          <w:lang w:eastAsia="en-GB"/>
        </w:rPr>
      </w:pPr>
      <w:r>
        <w:rPr>
          <w:color w:val="000000"/>
        </w:rPr>
        <w:t xml:space="preserve">In Nilsen et al. (2021), several parents described discharge as sudden and poorly planned following extended admission, and the immediate period after discharge was commonly remembered as difficult. Coopey &amp; Johnson (2022) similarly identified challenges linked to leaving the inpatient setting and returning to everyday life, indicating that transition experiences were a </w:t>
      </w:r>
      <w:r w:rsidR="00291A45">
        <w:rPr>
          <w:color w:val="000000"/>
        </w:rPr>
        <w:t>significant</w:t>
      </w:r>
      <w:r>
        <w:rPr>
          <w:color w:val="000000"/>
        </w:rPr>
        <w:t xml:space="preserve"> part of inpatient family-based pathways across studies (Nilsen et al., 2021; Coopey &amp; Johnson, 2022).</w:t>
      </w:r>
    </w:p>
    <w:p w14:paraId="5D80BE93" w14:textId="77777777" w:rsidR="008A4184" w:rsidRDefault="008A4184">
      <w:pPr>
        <w:rPr>
          <w:lang w:eastAsia="en-GB"/>
        </w:rPr>
      </w:pPr>
      <w:r>
        <w:rPr>
          <w:b/>
          <w:bCs/>
          <w:i/>
          <w:iCs/>
        </w:rPr>
        <w:t>Identity struggles</w:t>
      </w:r>
    </w:p>
    <w:p w14:paraId="18366FAD" w14:textId="77777777" w:rsidR="00BE3A20" w:rsidRDefault="00BE3A20" w:rsidP="00A73B5E">
      <w:pPr>
        <w:ind w:firstLine="720"/>
        <w:rPr>
          <w:lang w:eastAsia="en-GB"/>
        </w:rPr>
      </w:pPr>
      <w:r>
        <w:rPr>
          <w:color w:val="000000"/>
        </w:rPr>
        <w:lastRenderedPageBreak/>
        <w:t xml:space="preserve">Young people sometimes experienced early phases of treatment as disempowering, particularly when responsibility for eating and daily routines shifted to parents or staff (reported in Conti et al., 2017; Medway et al., 2019). Conti et al. (2017) captured this as a loss of voice and self: </w:t>
      </w:r>
      <w:r>
        <w:rPr>
          <w:i/>
          <w:iCs/>
        </w:rPr>
        <w:t>“First, Hayley was disempowered, lost her voice, and her sense of identity was eroded.”</w:t>
      </w:r>
      <w:r>
        <w:rPr>
          <w:color w:val="000000"/>
        </w:rPr>
        <w:t xml:space="preserve"> (Conti et al., 2017, p. 420). Such accounts highlight a tension between safeguarding and the adolescent’s developmental need for agency.</w:t>
      </w:r>
    </w:p>
    <w:p w14:paraId="725A09E7" w14:textId="6021E018" w:rsidR="00BE3A20" w:rsidRDefault="00BE3A20" w:rsidP="00A73B5E">
      <w:pPr>
        <w:ind w:firstLine="720"/>
        <w:rPr>
          <w:lang w:eastAsia="en-GB"/>
        </w:rPr>
      </w:pPr>
      <w:r>
        <w:rPr>
          <w:color w:val="000000"/>
        </w:rPr>
        <w:t xml:space="preserve">Medway et al. (2019) described identity formation as being exacerbated during early phases of treatment, where adolescents were positioned as needing intensive support and could find separation and autonomy difficult. Conti et al. (2017) also reported that young people experienced externalisation and parent-led processes as shaping how others interpreted them, sometimes describing this as </w:t>
      </w:r>
      <w:r w:rsidR="00291A45">
        <w:rPr>
          <w:color w:val="000000"/>
        </w:rPr>
        <w:t>decreasing</w:t>
      </w:r>
      <w:r>
        <w:rPr>
          <w:color w:val="000000"/>
        </w:rPr>
        <w:t xml:space="preserve"> identity and </w:t>
      </w:r>
      <w:r w:rsidR="00291A45">
        <w:rPr>
          <w:color w:val="000000"/>
        </w:rPr>
        <w:t xml:space="preserve">the </w:t>
      </w:r>
      <w:r>
        <w:rPr>
          <w:color w:val="000000"/>
        </w:rPr>
        <w:t>voice within treatment (Medway et al., 2019; Conti et al., 2017).</w:t>
      </w:r>
    </w:p>
    <w:p w14:paraId="78F70409" w14:textId="28CFF6D3" w:rsidR="00463FE9" w:rsidRPr="00A73B5E" w:rsidRDefault="00463FE9" w:rsidP="006A5EF0">
      <w:pPr>
        <w:rPr>
          <w:b/>
          <w:bCs/>
          <w:sz w:val="28"/>
          <w:szCs w:val="28"/>
        </w:rPr>
      </w:pPr>
      <w:r w:rsidRPr="00A73B5E">
        <w:rPr>
          <w:b/>
          <w:bCs/>
          <w:sz w:val="28"/>
          <w:szCs w:val="28"/>
        </w:rPr>
        <w:t>Impact of family-based interventions</w:t>
      </w:r>
    </w:p>
    <w:p w14:paraId="139A91FC" w14:textId="77777777" w:rsidR="008A4184" w:rsidRDefault="008A4184" w:rsidP="00A73B5E">
      <w:pPr>
        <w:ind w:firstLine="720"/>
        <w:rPr>
          <w:lang w:eastAsia="en-GB"/>
        </w:rPr>
      </w:pPr>
      <w:r>
        <w:rPr>
          <w:color w:val="000000"/>
        </w:rPr>
        <w:t>Family-based interventions were described as having both helpful and challenging impacts for young people and families. Across the included studies, two subthemes were most prominent: parental understanding of ED and young people’s difficulties with independence.</w:t>
      </w:r>
    </w:p>
    <w:p w14:paraId="31A9F093" w14:textId="77777777" w:rsidR="008A4184" w:rsidRDefault="008A4184">
      <w:pPr>
        <w:rPr>
          <w:lang w:eastAsia="en-GB"/>
        </w:rPr>
      </w:pPr>
      <w:r>
        <w:rPr>
          <w:b/>
          <w:bCs/>
          <w:i/>
          <w:iCs/>
        </w:rPr>
        <w:t>Parental understanding of ED</w:t>
      </w:r>
    </w:p>
    <w:p w14:paraId="1618FDFF" w14:textId="77777777" w:rsidR="00BE3A20" w:rsidRDefault="00BE3A20" w:rsidP="00A73B5E">
      <w:pPr>
        <w:ind w:firstLine="720"/>
        <w:rPr>
          <w:lang w:eastAsia="en-GB"/>
        </w:rPr>
      </w:pPr>
      <w:r>
        <w:rPr>
          <w:color w:val="000000"/>
        </w:rPr>
        <w:t xml:space="preserve">Young people often described parental learning as improving practical support, particularly around mealtimes and managing distress (reported in Coopey &amp; Johnson, 2022; Nilsen et al., 2021). One participant illustrated this shift: </w:t>
      </w:r>
      <w:r>
        <w:rPr>
          <w:i/>
          <w:iCs/>
        </w:rPr>
        <w:t>“Er, they know how to manage my meltdowns… and they now know how to properly support me at mealtimes.”</w:t>
      </w:r>
      <w:r>
        <w:rPr>
          <w:color w:val="000000"/>
        </w:rPr>
        <w:t xml:space="preserve"> (Coopey &amp; Johnson, 2022, p. 4).</w:t>
      </w:r>
    </w:p>
    <w:p w14:paraId="63DCB42A" w14:textId="77777777" w:rsidR="00BE3A20" w:rsidRDefault="00BE3A20" w:rsidP="00A73B5E">
      <w:pPr>
        <w:ind w:firstLine="720"/>
        <w:rPr>
          <w:lang w:eastAsia="en-GB"/>
        </w:rPr>
      </w:pPr>
      <w:r>
        <w:rPr>
          <w:color w:val="000000"/>
        </w:rPr>
        <w:t>In Coopey &amp; Johnson (2022), young people described parents becoming more accepting and better able to respond to distress and mealtimes following family-based input. Nilsen et al. (2021) likewise reported parents implying that greater knowledge and awareness enhanced empathy, suggesting that learning about ED processes was experienced as improving day-to-day family responses within inpatient family-based programmes (Coopey &amp; Johnson, 2022; Nilsen et al., 2021).</w:t>
      </w:r>
    </w:p>
    <w:p w14:paraId="634B0B81" w14:textId="77777777" w:rsidR="008A4184" w:rsidRDefault="008A4184">
      <w:pPr>
        <w:rPr>
          <w:lang w:eastAsia="en-GB"/>
        </w:rPr>
      </w:pPr>
      <w:r>
        <w:rPr>
          <w:b/>
          <w:bCs/>
          <w:i/>
          <w:iCs/>
        </w:rPr>
        <w:lastRenderedPageBreak/>
        <w:t>Young people’s difficulties with independence</w:t>
      </w:r>
    </w:p>
    <w:p w14:paraId="12CB3BC7" w14:textId="77777777" w:rsidR="00BE3A20" w:rsidRDefault="00BE3A20" w:rsidP="00A73B5E">
      <w:pPr>
        <w:ind w:firstLine="720"/>
        <w:rPr>
          <w:lang w:eastAsia="en-GB"/>
        </w:rPr>
      </w:pPr>
      <w:r>
        <w:rPr>
          <w:color w:val="000000"/>
        </w:rPr>
        <w:t xml:space="preserve">Some participants linked early reliance on parental control over eating to later challenges in regaining agency (reported in Gao et al., 2025; Medway et al., 2019). For example, Gao et al. (2025) reported that </w:t>
      </w:r>
      <w:r>
        <w:rPr>
          <w:i/>
          <w:iCs/>
        </w:rPr>
        <w:t>“one participant experienced significant difficulty regaining agency after phase one and noted that limited practice with making their own eating choices at the start of FBT contributed to a relapse and subsequent development of binge eating disorder.”</w:t>
      </w:r>
      <w:r>
        <w:rPr>
          <w:color w:val="000000"/>
        </w:rPr>
        <w:t xml:space="preserve"> (Gao et al., 2025, p. 893).</w:t>
      </w:r>
    </w:p>
    <w:p w14:paraId="31BE90B9" w14:textId="77777777" w:rsidR="00BE3A20" w:rsidRDefault="00BE3A20" w:rsidP="00A73B5E">
      <w:pPr>
        <w:ind w:firstLine="720"/>
        <w:rPr>
          <w:lang w:eastAsia="en-GB"/>
        </w:rPr>
      </w:pPr>
      <w:r>
        <w:rPr>
          <w:color w:val="000000"/>
        </w:rPr>
        <w:t>In Gao et al. (2025), adolescents described difficulties regaining agency after phase one of FBT and, in one account, linked this to later relapse and a change in symptom pattern. Medway et al. (2019) similarly reported that some adolescents required direct support to develop social and practical independence during later phases, indicating that independence was a recurring concern across qualitative accounts of FBT processes (Gao et al., 2025; Medway et al., 2019).</w:t>
      </w:r>
    </w:p>
    <w:p w14:paraId="4EDF2853" w14:textId="77777777" w:rsidR="001C73E5" w:rsidRDefault="001C73E5">
      <w:pPr>
        <w:rPr>
          <w:lang w:eastAsia="en-GB"/>
        </w:rPr>
      </w:pPr>
      <w:r w:rsidRPr="00A73B5E">
        <w:rPr>
          <w:b/>
          <w:bCs/>
          <w:color w:val="000000"/>
          <w:sz w:val="28"/>
          <w:szCs w:val="28"/>
        </w:rPr>
        <w:t>Discussion</w:t>
      </w:r>
    </w:p>
    <w:p w14:paraId="737D52BD" w14:textId="1658FC64" w:rsidR="001C73E5" w:rsidRDefault="001C73E5" w:rsidP="00A73B5E">
      <w:pPr>
        <w:ind w:firstLine="720"/>
        <w:rPr>
          <w:lang w:eastAsia="en-GB"/>
        </w:rPr>
      </w:pPr>
      <w:r>
        <w:t>This review synthesised qualitative accounts of how young people and families experience family-based interventions for eating disorders. Rather than implying that “family therapy” is uniformly experienced as helpful or harmful, the findings indicate patterned trade-offs: the same intervention components that can increase safety and parental efficacy may simultaneously constrain adolescent voice and autonomy, and group-based formats that reduce isolation may also intensify social comparison (</w:t>
      </w:r>
      <w:proofErr w:type="spellStart"/>
      <w:r>
        <w:t>Brinchmann</w:t>
      </w:r>
      <w:proofErr w:type="spellEnd"/>
      <w:r>
        <w:t xml:space="preserve"> &amp; </w:t>
      </w:r>
      <w:proofErr w:type="spellStart"/>
      <w:r>
        <w:t>Krvavac</w:t>
      </w:r>
      <w:proofErr w:type="spellEnd"/>
      <w:r>
        <w:t xml:space="preserve">, 2021; Coopey &amp; Johnson, 2022; Gao et al., 2025; Medway et al., 2019). </w:t>
      </w:r>
      <w:r w:rsidR="00291A45">
        <w:t>Therefore</w:t>
      </w:r>
      <w:r>
        <w:t xml:space="preserve">, the most </w:t>
      </w:r>
      <w:r w:rsidR="00291A45">
        <w:t xml:space="preserve">valid </w:t>
      </w:r>
      <w:r>
        <w:t xml:space="preserve">conclusion is not that these interventions are inherently supportive, but that perceived impact appears </w:t>
      </w:r>
      <w:r w:rsidR="00291A45">
        <w:t>dependent</w:t>
      </w:r>
      <w:r>
        <w:t xml:space="preserve"> on context (e.g., inpatient vs outpatient), implementation (how roles are negotiated), and the developmental needs of the young person.</w:t>
      </w:r>
    </w:p>
    <w:p w14:paraId="785B5BF3" w14:textId="30B1AAB4" w:rsidR="008A4184" w:rsidRDefault="008A4184" w:rsidP="00A73B5E">
      <w:pPr>
        <w:ind w:firstLine="720"/>
        <w:rPr>
          <w:lang w:eastAsia="en-GB"/>
        </w:rPr>
      </w:pPr>
      <w:r>
        <w:t xml:space="preserve">The subthemes in the Results can be read as reflecting different “active ingredients” across models. Experiences of recognition, openness, and reduced isolation were most clearly linked to MFT-style peer-family contact, where the group context can </w:t>
      </w:r>
      <w:r w:rsidR="00291A45">
        <w:t>validate</w:t>
      </w:r>
      <w:r>
        <w:t xml:space="preserve"> struggles and provide social learning (</w:t>
      </w:r>
      <w:proofErr w:type="spellStart"/>
      <w:r>
        <w:t>Brinchmann</w:t>
      </w:r>
      <w:proofErr w:type="spellEnd"/>
      <w:r>
        <w:t xml:space="preserve"> &amp; </w:t>
      </w:r>
      <w:proofErr w:type="spellStart"/>
      <w:r>
        <w:t>Krvavac</w:t>
      </w:r>
      <w:proofErr w:type="spellEnd"/>
      <w:r>
        <w:t xml:space="preserve">, 2021; Nilsen et al., 2021). By contrast, autonomy and identity tensions align more </w:t>
      </w:r>
      <w:r>
        <w:lastRenderedPageBreak/>
        <w:t xml:space="preserve">strongly with the phase structure and role shifts typical of FBT/FT-AN, where parents and staff in intensive settings temporarily take control of eating to manage risk (Medway et al., 2019; Coopey &amp; Johnson, 2022). AFT is relevant here as a conceptual counterpoint: its emphasis on adolescent autonomy highlights what can be </w:t>
      </w:r>
      <w:r w:rsidR="00291A45">
        <w:t>accidentally</w:t>
      </w:r>
      <w:r>
        <w:t xml:space="preserve"> deprioritised when treatments focus narrowly on behavioural containment (Medway et al., 2019). Taken together, the qualitative accounts suggest that “family-based treatment” is not a single experience but a set of components whose benefits and costs depend on how responsibility, voice, and relational safety are negotiated in practice.</w:t>
      </w:r>
    </w:p>
    <w:p w14:paraId="411625F4" w14:textId="3DA10B12" w:rsidR="001C73E5" w:rsidRDefault="001C73E5" w:rsidP="00A73B5E">
      <w:pPr>
        <w:ind w:firstLine="720"/>
        <w:rPr>
          <w:lang w:eastAsia="en-GB"/>
        </w:rPr>
      </w:pPr>
      <w:r>
        <w:t>Across the included studies, peer and family connection—particularly in MFT contexts—was frequently positioned as a core benefit, with participants describing recognition, shared understanding, and relational learning (</w:t>
      </w:r>
      <w:proofErr w:type="spellStart"/>
      <w:r>
        <w:t>Brinchmann</w:t>
      </w:r>
      <w:proofErr w:type="spellEnd"/>
      <w:r>
        <w:t xml:space="preserve"> &amp; </w:t>
      </w:r>
      <w:proofErr w:type="spellStart"/>
      <w:r>
        <w:t>Krvavac</w:t>
      </w:r>
      <w:proofErr w:type="spellEnd"/>
      <w:r>
        <w:t xml:space="preserve">, 2021; Nilsen et al., 2021). A </w:t>
      </w:r>
      <w:r w:rsidR="00DE023F">
        <w:t>reasonable account</w:t>
      </w:r>
      <w:r>
        <w:t xml:space="preserve"> is that peer contact functions as a credibility-enhancing mechanism: it normalises experiences, reduces isolation, and provides practical modelling that may feel more attainable than professional advice alone (Eisler et al., 2016). However, these benefits should be interpreted cautiously. First, the same group processes can introduce comparison pressures and unproductive competition, suggesting that “peer support” is not a neutral ingredient but a mechanism that can operate in opposing directions depending on facilitation, group composition, and participants’ vulnerability to comparison (</w:t>
      </w:r>
      <w:proofErr w:type="spellStart"/>
      <w:r>
        <w:t>Brinchmann</w:t>
      </w:r>
      <w:proofErr w:type="spellEnd"/>
      <w:r>
        <w:t xml:space="preserve"> &amp; </w:t>
      </w:r>
      <w:proofErr w:type="spellStart"/>
      <w:r>
        <w:t>Krvavac</w:t>
      </w:r>
      <w:proofErr w:type="spellEnd"/>
      <w:r>
        <w:t xml:space="preserve">, 2021). Second, even where families report improved communication, some young people perceived the intervention focus </w:t>
      </w:r>
      <w:proofErr w:type="gramStart"/>
      <w:r>
        <w:t>toward</w:t>
      </w:r>
      <w:r w:rsidR="00DE023F">
        <w:t>s</w:t>
      </w:r>
      <w:proofErr w:type="gramEnd"/>
      <w:r>
        <w:t xml:space="preserve"> parents rather than themselves, raising a critical question about whose needs are centred in family-based care and how adolescent voice is protected within parent-led models (Coopey &amp; Johnson, 2022).</w:t>
      </w:r>
    </w:p>
    <w:p w14:paraId="05A1FE81" w14:textId="32D9E3C6" w:rsidR="001C73E5" w:rsidRDefault="001C73E5" w:rsidP="00A73B5E">
      <w:pPr>
        <w:ind w:firstLine="720"/>
        <w:rPr>
          <w:lang w:eastAsia="en-GB"/>
        </w:rPr>
      </w:pPr>
      <w:r>
        <w:t xml:space="preserve">Increased parental understanding emerged as an important perceived impact, often linked to greater empathy and more effective support at mealtimes and during distress (Coopey &amp; Johnson, 2022; Nilsen et al., 2021; Gao et al., 2025). Critically, “understanding” may operate at different levels. Parents may develop instrumental knowledge </w:t>
      </w:r>
      <w:r w:rsidR="00DE023F">
        <w:t xml:space="preserve">in regard to </w:t>
      </w:r>
      <w:r>
        <w:t>how to respond, what to prioritise</w:t>
      </w:r>
      <w:r w:rsidR="00DE023F">
        <w:t xml:space="preserve"> and</w:t>
      </w:r>
      <w:r>
        <w:t xml:space="preserve"> how to manage risk without necessarily achieving experiential understanding of what the young person feels or values. This </w:t>
      </w:r>
      <w:r w:rsidR="00DE023F">
        <w:t>difference</w:t>
      </w:r>
      <w:r>
        <w:t xml:space="preserve"> matters because it offers one explanation for a</w:t>
      </w:r>
      <w:r w:rsidR="00DE023F">
        <w:t xml:space="preserve"> clear</w:t>
      </w:r>
      <w:r>
        <w:t xml:space="preserve"> tension </w:t>
      </w:r>
      <w:r>
        <w:lastRenderedPageBreak/>
        <w:t xml:space="preserve">in the data: parental learning is reported as helpful, yet some young people </w:t>
      </w:r>
      <w:r w:rsidR="00DE023F">
        <w:t>continue to maintain</w:t>
      </w:r>
      <w:r>
        <w:t xml:space="preserve"> that parents can never fully understand their experience (Coopey &amp; Johnson, 2022). In other words, family-based interventions may improve caregiving </w:t>
      </w:r>
      <w:r w:rsidR="00DE023F">
        <w:t xml:space="preserve">abilities </w:t>
      </w:r>
      <w:r>
        <w:t xml:space="preserve">while leaving deeper recognition needs partially unmet, </w:t>
      </w:r>
      <w:r w:rsidR="00DE023F">
        <w:t>especially</w:t>
      </w:r>
      <w:r>
        <w:t xml:space="preserve"> if sessions privilege behavioural management over collaborative meaning-making. This is consistent with broader concerns that ED-related distress and conflict can </w:t>
      </w:r>
      <w:r w:rsidR="00DE023F">
        <w:t>decrease</w:t>
      </w:r>
      <w:r>
        <w:t xml:space="preserve"> relationships, meaning that improved “knowledge” may not straightforwardly translate into relational repair (Eaton, 2020).</w:t>
      </w:r>
    </w:p>
    <w:p w14:paraId="3F8685FA" w14:textId="22EA462C" w:rsidR="001C73E5" w:rsidRDefault="001C73E5" w:rsidP="00A73B5E">
      <w:pPr>
        <w:ind w:firstLine="720"/>
        <w:rPr>
          <w:lang w:eastAsia="en-GB"/>
        </w:rPr>
      </w:pPr>
      <w:r>
        <w:t>Negative experiences were most clearly concentrated around transitions—particularly discharge from inpatient or intensive programmes—where families described abrupt endings, reduced access to support, and uncertainty about responsibility once home (Nilsen et al., 2021; Coopey &amp; Johnson, 2022). Importantly, this theme may reflect service-system design as much as the therapy model itself. When risk management shifts from a highly structured environment back to the home, families can experience a sudden increase in responsibility without equivalent scaffolding, creating a predictable vulnerability window. Therefore, “poorly planned discharge” should not be treated as a generic critique of family-based interventions, but as evidence that continuity-of-care arrangements and role clarity are integral to how family-based principles are experienced and sustained outside the clinic</w:t>
      </w:r>
      <w:r w:rsidR="00DE023F">
        <w:t xml:space="preserve"> (Nilsen et al., 2021)</w:t>
      </w:r>
      <w:r>
        <w:t>.</w:t>
      </w:r>
    </w:p>
    <w:p w14:paraId="0B27D67F" w14:textId="24505665" w:rsidR="002A6CF7" w:rsidRDefault="002A6CF7" w:rsidP="00A73B5E">
      <w:pPr>
        <w:ind w:firstLine="720"/>
        <w:rPr>
          <w:lang w:eastAsia="en-GB"/>
        </w:rPr>
      </w:pPr>
      <w:r>
        <w:t xml:space="preserve">A second major tension concerned autonomy and identity. Accounts from young people and parents suggest that early phases of parent-led refeeding and staff-led inpatient routines can be experienced as disempowering, with adolescents describing loss of voice, reliance on authority figures, and difficulty re-establishing agency as treatment progresses (Conti et al., 2017; Medway et al., 2019; Gao et al., 2025; Nilsen et al., 2021). Given the qualitative nature of the evidence, it is not possible to </w:t>
      </w:r>
      <w:r w:rsidR="00DE023F">
        <w:t xml:space="preserve">identify a casual effect, for example, </w:t>
      </w:r>
      <w:r>
        <w:t xml:space="preserve">that parental control “causes” relapse; </w:t>
      </w:r>
      <w:r w:rsidR="00DE023F">
        <w:t>instead</w:t>
      </w:r>
      <w:r>
        <w:t xml:space="preserve">, participants’ narratives indicate that limited opportunities to practise autonomous decision-making were perceived as contributing to later difficulties with independence and, for some, vulnerability after phase transitions (Gao et al., 2025; Medway et al., 2019). These findings </w:t>
      </w:r>
      <w:r w:rsidR="00DE023F">
        <w:t>support</w:t>
      </w:r>
      <w:r>
        <w:t xml:space="preserve"> an implementation challenge: how to preserve the safety benefits of </w:t>
      </w:r>
      <w:r>
        <w:lastRenderedPageBreak/>
        <w:t xml:space="preserve">intensive parental involvement in </w:t>
      </w:r>
      <w:r w:rsidR="00DE023F">
        <w:t>different</w:t>
      </w:r>
      <w:r>
        <w:t xml:space="preserve"> stages while actively planning for the restoration of adolescent agency, rather than assuming it will automatically return once weight improves.</w:t>
      </w:r>
    </w:p>
    <w:p w14:paraId="6E875CF2" w14:textId="3E3293D2" w:rsidR="008A4184" w:rsidRDefault="008A4184" w:rsidP="00A73B5E">
      <w:pPr>
        <w:ind w:firstLine="720"/>
        <w:rPr>
          <w:lang w:eastAsia="en-GB"/>
        </w:rPr>
      </w:pPr>
      <w:r>
        <w:t xml:space="preserve">A further critical issue concerns how therapeutic techniques are framed and implemented. For example, externalisation is often intended to reduce blame and unite families against the illness, yet some narratives suggest it can also reshape identity by encouraging others to interpret preferences and emotions through an “ED lens,” which may feel invalidating to the young person (Conti et al., 2017). Similarly, parental empowerment may increase safety and reduce parental helplessness, but it can be experienced by adolescents as </w:t>
      </w:r>
      <w:r w:rsidR="00DE023F">
        <w:t>monitoring</w:t>
      </w:r>
      <w:r>
        <w:t xml:space="preserve"> or loss of self if the rationale is not transparent or if opportunities to regain agency are delayed (Medway et al., 2019; Gao et al., 2025). These findings point to practical refinements that sit within existing models rather than replacing them: clinicians can make the purpose and time-limited nature of parental control explicit, build structured moments for adolescent voice even during high-risk phases </w:t>
      </w:r>
      <w:r w:rsidR="00DE023F">
        <w:t>such as</w:t>
      </w:r>
      <w:r>
        <w:t xml:space="preserve"> collaborative goal review, choices within boundaries, and treat transitions </w:t>
      </w:r>
      <w:r w:rsidR="00DE023F">
        <w:t xml:space="preserve">including </w:t>
      </w:r>
      <w:r>
        <w:t xml:space="preserve">step-down and discharge as planned therapeutic work rather than an administrative endpoint (Nilsen et al., 2021; Coopey &amp; Johnson, 2022). Finally, the review highlights priority questions for future qualitative work: how experiences differ for those who disengage </w:t>
      </w:r>
      <w:r w:rsidR="00A73B5E">
        <w:t>early,</w:t>
      </w:r>
      <w:r>
        <w:t xml:space="preserve"> how family-based principles translate across outpatient versus inpatient contexts, and how developmental stage (adolescence vs emerging adulthood) shapes the acceptability of responsibility shifts (</w:t>
      </w:r>
      <w:proofErr w:type="spellStart"/>
      <w:r>
        <w:t>Brinchmann</w:t>
      </w:r>
      <w:proofErr w:type="spellEnd"/>
      <w:r>
        <w:t xml:space="preserve"> &amp; </w:t>
      </w:r>
      <w:proofErr w:type="spellStart"/>
      <w:r>
        <w:t>Krvavac</w:t>
      </w:r>
      <w:proofErr w:type="spellEnd"/>
      <w:r>
        <w:t>, 2021; Medway et al., 2019; Gao et al., 2025). Addressing these gaps would strengthen confidence about which components should be intensified, adapted, or avoided for particular families.</w:t>
      </w:r>
    </w:p>
    <w:p w14:paraId="1D79A12D" w14:textId="264FEE97" w:rsidR="002A6CF7" w:rsidRDefault="002A6CF7" w:rsidP="00A73B5E">
      <w:pPr>
        <w:ind w:firstLine="720"/>
        <w:rPr>
          <w:lang w:eastAsia="en-GB"/>
        </w:rPr>
      </w:pPr>
      <w:r>
        <w:t xml:space="preserve">Taken together, the findings support </w:t>
      </w:r>
      <w:r w:rsidR="00DE023F">
        <w:t>that</w:t>
      </w:r>
      <w:r>
        <w:t xml:space="preserve"> family-based interventions may create valued support and relational learning, but they can also generate predictable costs for some young people, particularly around voice, identity, and autonomy (Coopey &amp; Johnson, 2022; Medway et al., 2019; Nilsen et al., 2021). Confidence in the synthesis is </w:t>
      </w:r>
      <w:r w:rsidR="00DE023F">
        <w:t>reduced</w:t>
      </w:r>
      <w:r>
        <w:t xml:space="preserve"> by limitations typical of qualitative intervention research, including small samples and the </w:t>
      </w:r>
      <w:r w:rsidR="00DE023F">
        <w:t>possibility</w:t>
      </w:r>
      <w:r>
        <w:t xml:space="preserve"> that those who disengage early or experience treatment as unacceptable are under-represented. In addition, limited reflexivity reporting in several </w:t>
      </w:r>
      <w:r>
        <w:lastRenderedPageBreak/>
        <w:t>studies constrains interpretation of how researcher and service contexts may have shaped the accounts presented (</w:t>
      </w:r>
      <w:proofErr w:type="spellStart"/>
      <w:r>
        <w:t>Brinchmann</w:t>
      </w:r>
      <w:proofErr w:type="spellEnd"/>
      <w:r>
        <w:t xml:space="preserve"> &amp; </w:t>
      </w:r>
      <w:proofErr w:type="spellStart"/>
      <w:r>
        <w:t>Krvavac</w:t>
      </w:r>
      <w:proofErr w:type="spellEnd"/>
      <w:r>
        <w:t xml:space="preserve">, 2021; Gao et al., 2025). </w:t>
      </w:r>
      <w:r w:rsidR="00DE023F">
        <w:t>T</w:t>
      </w:r>
      <w:r>
        <w:t>he analysis suggests service implications</w:t>
      </w:r>
      <w:r w:rsidR="00DE023F">
        <w:t xml:space="preserve"> such as</w:t>
      </w:r>
      <w:r>
        <w:t xml:space="preserve"> explicitly protect and structure adolescent voice within family sessions even during high-risk phases, in group-based formats, proactively manage social comparison and ensure group composition/facilitation support psychological safety, and treat discharge and step-down as therapeutic tasks that require shared planning, clear responsibility mapping, and accessible follow-up</w:t>
      </w:r>
      <w:r w:rsidR="00DE023F">
        <w:t xml:space="preserve"> sessions</w:t>
      </w:r>
      <w:r>
        <w:t xml:space="preserve"> (Coopey &amp; Johnson, 2022; Nilsen et al., 2021). These refinements align with the broader aim of balancing safeguarding with developmentally appropriate autonomy.</w:t>
      </w:r>
    </w:p>
    <w:p w14:paraId="526ED2F9" w14:textId="1001E06A" w:rsidR="00BC5168" w:rsidRPr="00A73B5E" w:rsidRDefault="00BC5168" w:rsidP="00A1258F">
      <w:pPr>
        <w:rPr>
          <w:rFonts w:ascii="Aptos" w:hAnsi="Aptos"/>
          <w:b/>
          <w:bCs/>
          <w:color w:val="000000"/>
          <w:sz w:val="28"/>
          <w:szCs w:val="28"/>
        </w:rPr>
      </w:pPr>
      <w:r w:rsidRPr="00A73B5E">
        <w:rPr>
          <w:rFonts w:ascii="Aptos" w:hAnsi="Aptos"/>
          <w:b/>
          <w:bCs/>
          <w:color w:val="000000"/>
          <w:sz w:val="28"/>
          <w:szCs w:val="28"/>
        </w:rPr>
        <w:t>Strengths</w:t>
      </w:r>
      <w:r w:rsidR="00CB3EFC" w:rsidRPr="00A73B5E">
        <w:rPr>
          <w:rFonts w:ascii="Aptos" w:hAnsi="Aptos"/>
          <w:b/>
          <w:bCs/>
          <w:color w:val="000000"/>
          <w:sz w:val="28"/>
          <w:szCs w:val="28"/>
        </w:rPr>
        <w:t xml:space="preserve"> and Limitations </w:t>
      </w:r>
    </w:p>
    <w:p w14:paraId="6E47CF5C" w14:textId="74AB1157" w:rsidR="002A6CF7" w:rsidRDefault="002A6CF7" w:rsidP="00A73B5E">
      <w:pPr>
        <w:ind w:firstLine="720"/>
        <w:rPr>
          <w:lang w:eastAsia="en-GB"/>
        </w:rPr>
      </w:pPr>
      <w:r>
        <w:rPr>
          <w:color w:val="000000"/>
        </w:rPr>
        <w:t xml:space="preserve">In terms of strengths, the included studies captured multiple family perspectives (e.g., parents, siblings, and young people), which supports a more systemic understanding of how interventions are experienced across the family unit (Nilsen et al., 2021). </w:t>
      </w:r>
      <w:proofErr w:type="spellStart"/>
      <w:r>
        <w:rPr>
          <w:color w:val="000000"/>
        </w:rPr>
        <w:t>Brinchmann</w:t>
      </w:r>
      <w:proofErr w:type="spellEnd"/>
      <w:r>
        <w:rPr>
          <w:color w:val="000000"/>
        </w:rPr>
        <w:t xml:space="preserve"> &amp; </w:t>
      </w:r>
      <w:proofErr w:type="spellStart"/>
      <w:r>
        <w:rPr>
          <w:color w:val="000000"/>
        </w:rPr>
        <w:t>Krvavac</w:t>
      </w:r>
      <w:proofErr w:type="spellEnd"/>
      <w:r>
        <w:rPr>
          <w:color w:val="000000"/>
        </w:rPr>
        <w:t xml:space="preserve"> (2021) also benefited from extended engagement with MFT groups, with observational depth potentially strengthening credibility and contextual sensitivity. Gao et al. (2025) addressed a common limitation in eating disorder research by attempting to recruit participants from historically marginalised groups, which is important for improving the relevance of experiential </w:t>
      </w:r>
      <w:r w:rsidR="00D0015C">
        <w:rPr>
          <w:color w:val="000000"/>
        </w:rPr>
        <w:t>evidence moving beyond samples characterised by racial homogeneity and high-resource availability.</w:t>
      </w:r>
    </w:p>
    <w:p w14:paraId="0F875511" w14:textId="70C37595" w:rsidR="002A6CF7" w:rsidRDefault="002A6CF7" w:rsidP="00A73B5E">
      <w:pPr>
        <w:ind w:firstLine="720"/>
        <w:rPr>
          <w:lang w:eastAsia="en-GB"/>
        </w:rPr>
      </w:pPr>
      <w:r>
        <w:rPr>
          <w:color w:val="000000"/>
        </w:rPr>
        <w:t xml:space="preserve">However, the review is limited by the small, non-generalisable samples typical of qualitative intervention research and by variation in timing between discharge and follow-up interviews, even where the accounts remain rich and detailed (Coopey &amp; Johnson, 2022; Nilsen et al., 2021). Families also face diverse challenges across treatment settings and countries, meaning experiences of inpatient care and discharge may not transfer directly across services. Differences in interviewer skill and researcher positioning may have shaped what participants disclosed, and incomplete reflexivity reporting in some studies </w:t>
      </w:r>
      <w:r w:rsidR="00313357">
        <w:rPr>
          <w:color w:val="000000"/>
        </w:rPr>
        <w:t>limit’s</w:t>
      </w:r>
      <w:r>
        <w:rPr>
          <w:color w:val="000000"/>
        </w:rPr>
        <w:t xml:space="preserve"> interpretation (Nilsen et al., 2021). In addition, qualitative accounts may be affected by engagement or retention effects: participants who discontinue treatment, experience it as unacceptable, or feel too distressed to participate may be under-represented, potentially </w:t>
      </w:r>
      <w:r w:rsidR="00D0015C">
        <w:rPr>
          <w:color w:val="000000"/>
        </w:rPr>
        <w:t>twisting</w:t>
      </w:r>
      <w:r>
        <w:rPr>
          <w:color w:val="000000"/>
        </w:rPr>
        <w:t xml:space="preserve"> themes toward more positive </w:t>
      </w:r>
      <w:r>
        <w:rPr>
          <w:color w:val="000000"/>
        </w:rPr>
        <w:lastRenderedPageBreak/>
        <w:t>narratives (</w:t>
      </w:r>
      <w:proofErr w:type="spellStart"/>
      <w:r>
        <w:rPr>
          <w:color w:val="000000"/>
        </w:rPr>
        <w:t>Brinchmann</w:t>
      </w:r>
      <w:proofErr w:type="spellEnd"/>
      <w:r>
        <w:rPr>
          <w:color w:val="000000"/>
        </w:rPr>
        <w:t xml:space="preserve"> &amp; </w:t>
      </w:r>
      <w:proofErr w:type="spellStart"/>
      <w:r>
        <w:rPr>
          <w:color w:val="000000"/>
        </w:rPr>
        <w:t>Krvavac</w:t>
      </w:r>
      <w:proofErr w:type="spellEnd"/>
      <w:r>
        <w:rPr>
          <w:color w:val="000000"/>
        </w:rPr>
        <w:t>, 2021). Finally, some studies may have privileged those who progressed further in treatment, excluding individuals who did not achieve early weight gain or who disengaged before later phases (Medway et al., 2019). Gao et al. (2025) also noted that illness duration prior to FBT was not captured, which could plausibly influence how the intervention is experienced.</w:t>
      </w:r>
    </w:p>
    <w:p w14:paraId="46B0F48A" w14:textId="493CB5FB" w:rsidR="00CB3EFC" w:rsidRPr="00A73B5E" w:rsidRDefault="00CB3EFC" w:rsidP="00A1258F">
      <w:pPr>
        <w:rPr>
          <w:rFonts w:ascii="Aptos" w:hAnsi="Aptos"/>
          <w:b/>
          <w:bCs/>
          <w:color w:val="000000"/>
          <w:sz w:val="28"/>
          <w:szCs w:val="28"/>
        </w:rPr>
      </w:pPr>
      <w:r w:rsidRPr="00A73B5E">
        <w:rPr>
          <w:rFonts w:ascii="Aptos" w:hAnsi="Aptos"/>
          <w:b/>
          <w:bCs/>
          <w:color w:val="000000"/>
          <w:sz w:val="28"/>
          <w:szCs w:val="28"/>
        </w:rPr>
        <w:t>Further Research</w:t>
      </w:r>
    </w:p>
    <w:p w14:paraId="584AEA1C" w14:textId="53C50703" w:rsidR="002A6CF7" w:rsidRDefault="002A6CF7" w:rsidP="00313357">
      <w:pPr>
        <w:ind w:firstLine="720"/>
        <w:rPr>
          <w:lang w:eastAsia="en-GB"/>
        </w:rPr>
      </w:pPr>
      <w:r>
        <w:rPr>
          <w:color w:val="000000"/>
        </w:rPr>
        <w:t>Given the limited qualitative research on how young people and their families experience family therapy, future studies are needed to provide more detailed insights that could inform the development and adaptation of family-based treatments for adolescents with AN who require higher levels of care (Nilsen et al., 2021). Additionally, exploring the perspectives of young people receiving FBT m</w:t>
      </w:r>
      <w:r w:rsidR="00D0015C">
        <w:rPr>
          <w:color w:val="000000"/>
        </w:rPr>
        <w:t>ay</w:t>
      </w:r>
      <w:r>
        <w:rPr>
          <w:color w:val="000000"/>
        </w:rPr>
        <w:t xml:space="preserve"> offer valuable and meaningful information (Medway et al., 2019). Research into FBT and MFT in inpatient settings would also be useful for building on current findings, informing service provision, and improving understanding of young people's experiences and the acceptability of available treatment options (Coopey &amp; Johnson, 2022).</w:t>
      </w:r>
    </w:p>
    <w:p w14:paraId="0FECCA19" w14:textId="68D50677" w:rsidR="00F71C77" w:rsidRPr="00A73B5E" w:rsidRDefault="00F71C77">
      <w:pPr>
        <w:rPr>
          <w:rFonts w:ascii="Aptos" w:hAnsi="Aptos"/>
          <w:b/>
          <w:bCs/>
          <w:color w:val="000000"/>
          <w:sz w:val="28"/>
          <w:szCs w:val="28"/>
        </w:rPr>
      </w:pPr>
      <w:r w:rsidRPr="00A73B5E">
        <w:rPr>
          <w:rFonts w:ascii="Aptos" w:hAnsi="Aptos"/>
          <w:b/>
          <w:bCs/>
          <w:color w:val="000000"/>
          <w:sz w:val="28"/>
          <w:szCs w:val="28"/>
        </w:rPr>
        <w:t>Conclusion</w:t>
      </w:r>
    </w:p>
    <w:p w14:paraId="7A14EE2D" w14:textId="4D07EEEC" w:rsidR="002A6CF7" w:rsidRDefault="002A6CF7" w:rsidP="00313357">
      <w:pPr>
        <w:ind w:firstLine="720"/>
        <w:rPr>
          <w:lang w:eastAsia="en-GB"/>
        </w:rPr>
      </w:pPr>
      <w:r>
        <w:rPr>
          <w:lang w:val="en-US"/>
        </w:rPr>
        <w:t xml:space="preserve">Family-based interventions for ED, particularly among adolescents, are associated with a range of positive and negative experiences. Many accounts </w:t>
      </w:r>
      <w:proofErr w:type="spellStart"/>
      <w:r>
        <w:rPr>
          <w:lang w:val="en-US"/>
        </w:rPr>
        <w:t>emphasise</w:t>
      </w:r>
      <w:proofErr w:type="spellEnd"/>
      <w:r>
        <w:rPr>
          <w:lang w:val="en-US"/>
        </w:rPr>
        <w:t xml:space="preserve"> collaboration, improved communication, and greater openness within families, which participants linked to feeling more supported and less isolated (</w:t>
      </w:r>
      <w:proofErr w:type="spellStart"/>
      <w:r>
        <w:rPr>
          <w:lang w:val="en-US"/>
        </w:rPr>
        <w:t>Brinchmann</w:t>
      </w:r>
      <w:proofErr w:type="spellEnd"/>
      <w:r>
        <w:rPr>
          <w:lang w:val="en-US"/>
        </w:rPr>
        <w:t xml:space="preserve"> &amp; </w:t>
      </w:r>
      <w:proofErr w:type="spellStart"/>
      <w:r>
        <w:rPr>
          <w:lang w:val="en-US"/>
        </w:rPr>
        <w:t>Krvavac</w:t>
      </w:r>
      <w:proofErr w:type="spellEnd"/>
      <w:r>
        <w:rPr>
          <w:lang w:val="en-US"/>
        </w:rPr>
        <w:t xml:space="preserve">, 2021; Eisler et al., 2016; Nilsen et al., 2021). Opportunities to share experiences with other families and peers were often described as helping participants challenge unhelpful patterns and develop new perspectives. Increased parental understanding of ED also emerged as a valued impact in several studies, particularly where it </w:t>
      </w:r>
      <w:r w:rsidR="00D0015C">
        <w:rPr>
          <w:lang w:val="en-US"/>
        </w:rPr>
        <w:t xml:space="preserve">was converted </w:t>
      </w:r>
      <w:r>
        <w:rPr>
          <w:lang w:val="en-US"/>
        </w:rPr>
        <w:t xml:space="preserve">into </w:t>
      </w:r>
      <w:r w:rsidR="00D0015C">
        <w:rPr>
          <w:lang w:val="en-US"/>
        </w:rPr>
        <w:t xml:space="preserve">a </w:t>
      </w:r>
      <w:r>
        <w:rPr>
          <w:lang w:val="en-US"/>
        </w:rPr>
        <w:t>more empathic day-to-day support (Coopey &amp; Johnson, 2022; Gao et al., 2025; Nilsen et al., 2021).</w:t>
      </w:r>
    </w:p>
    <w:p w14:paraId="39727775" w14:textId="77777777" w:rsidR="00041202" w:rsidRDefault="002A6CF7" w:rsidP="00041202">
      <w:pPr>
        <w:ind w:firstLine="720"/>
        <w:rPr>
          <w:lang w:eastAsia="en-GB"/>
        </w:rPr>
      </w:pPr>
      <w:r>
        <w:rPr>
          <w:lang w:val="en-US"/>
        </w:rPr>
        <w:t xml:space="preserve">However, significant challenges </w:t>
      </w:r>
      <w:r w:rsidR="00D0015C">
        <w:rPr>
          <w:lang w:val="en-US"/>
        </w:rPr>
        <w:t>continue</w:t>
      </w:r>
      <w:r>
        <w:rPr>
          <w:lang w:val="en-US"/>
        </w:rPr>
        <w:t xml:space="preserve">, especially regarding transitions home and the development of independence and identity. Some young people reported that family-based care could feel oriented more toward parents than toward supporting them directly, and that abrupt discharge processes could leave families feeling </w:t>
      </w:r>
      <w:r>
        <w:rPr>
          <w:lang w:val="en-US"/>
        </w:rPr>
        <w:lastRenderedPageBreak/>
        <w:t>unsupported (Coopey &amp; Johnson, 2022; Nilsen et al., 2021). In addition, early reliance on parental or staff authority was sometimes experienced as constraining agency and self-identity, with participants describing difficulties regaining autonomy and sustaining independent relationships later in treatment (Medway et al., 2019; Gao et al., 2025; Nilsen et al., 2021). These findings highlight the need for careful discharge planning, accessible post-treatment support, and more explicit attention to fostering adolescent voice and autonomy across phases of intervention.</w:t>
      </w:r>
    </w:p>
    <w:p w14:paraId="271D847A" w14:textId="775D9253" w:rsidR="003B2E2F" w:rsidRPr="00041202" w:rsidRDefault="003B2E2F" w:rsidP="00041202">
      <w:pPr>
        <w:rPr>
          <w:lang w:eastAsia="en-GB"/>
        </w:rPr>
      </w:pPr>
      <w:r w:rsidRPr="00A73B5E">
        <w:rPr>
          <w:rFonts w:ascii="Aptos" w:hAnsi="Aptos"/>
          <w:b/>
          <w:bCs/>
          <w:color w:val="000000"/>
          <w:sz w:val="28"/>
          <w:szCs w:val="28"/>
        </w:rPr>
        <w:t>Reference List</w:t>
      </w:r>
    </w:p>
    <w:p w14:paraId="6C1C2C13" w14:textId="32056441" w:rsidR="00BB1700" w:rsidRPr="00BB1700" w:rsidRDefault="00BB1700" w:rsidP="00BB1700">
      <w:r w:rsidRPr="00BB1700">
        <w:rPr>
          <w:rFonts w:ascii="Aptos" w:hAnsi="Aptos"/>
          <w:color w:val="000000"/>
        </w:rPr>
        <w:t>American Psychiatric Association</w:t>
      </w:r>
      <w:r>
        <w:rPr>
          <w:rFonts w:ascii="Aptos" w:hAnsi="Aptos"/>
          <w:color w:val="000000"/>
        </w:rPr>
        <w:t xml:space="preserve"> (DSM-5)</w:t>
      </w:r>
      <w:r w:rsidRPr="00BB1700">
        <w:rPr>
          <w:rFonts w:ascii="Aptos" w:hAnsi="Aptos"/>
          <w:color w:val="000000"/>
        </w:rPr>
        <w:t xml:space="preserve">. (2013). Diagnostic and statistical manual of mental disorders (5th ed.). </w:t>
      </w:r>
      <w:hyperlink r:id="rId8" w:history="1">
        <w:r w:rsidRPr="00CF443A">
          <w:rPr>
            <w:rStyle w:val="Hyperlink"/>
            <w:rFonts w:ascii="Aptos" w:hAnsi="Aptos"/>
          </w:rPr>
          <w:t>https://doi.org/10.1176/appi.books.9780890425596</w:t>
        </w:r>
      </w:hyperlink>
      <w:r w:rsidRPr="00BB1700">
        <w:rPr>
          <w:rFonts w:ascii="Aptos" w:hAnsi="Aptos"/>
          <w:color w:val="000000"/>
        </w:rPr>
        <w:t>.</w:t>
      </w:r>
      <w:r>
        <w:t xml:space="preserve"> </w:t>
      </w:r>
      <w:r w:rsidRPr="00BB1700">
        <w:t xml:space="preserve"> </w:t>
      </w:r>
    </w:p>
    <w:p w14:paraId="1DFF2CD5" w14:textId="77777777" w:rsidR="00461266" w:rsidRDefault="00461266" w:rsidP="00CC0A2E">
      <w:r>
        <w:t>Asen, E. and Scholz, M. (2010). Multi-Family Therapy: Concepts and Techniques. Hove: Routledge.</w:t>
      </w:r>
    </w:p>
    <w:p w14:paraId="61679FE0" w14:textId="77777777" w:rsidR="00461266" w:rsidRDefault="00461266" w:rsidP="003B2E2F">
      <w:pPr>
        <w:rPr>
          <w:rFonts w:ascii="Aptos" w:hAnsi="Aptos"/>
          <w:color w:val="000000"/>
        </w:rPr>
      </w:pPr>
      <w:r w:rsidRPr="003B2E2F">
        <w:rPr>
          <w:rFonts w:ascii="Aptos" w:hAnsi="Aptos"/>
          <w:color w:val="000000"/>
          <w:lang w:val="de-DE"/>
        </w:rPr>
        <w:t xml:space="preserve">Brinchmann, B. S., &amp; Krvavac, S. (2021). </w:t>
      </w:r>
      <w:r w:rsidRPr="003B2E2F">
        <w:rPr>
          <w:rFonts w:ascii="Aptos" w:hAnsi="Aptos"/>
          <w:color w:val="000000"/>
        </w:rPr>
        <w:t xml:space="preserve">“Breaking down the wall” patients` and families` experience of multifamily therapy for young adult women with severe eating disorders. </w:t>
      </w:r>
      <w:r w:rsidRPr="003B2E2F">
        <w:rPr>
          <w:rFonts w:ascii="Aptos" w:hAnsi="Aptos"/>
          <w:i/>
          <w:iCs/>
          <w:color w:val="000000"/>
        </w:rPr>
        <w:t>Journal of Eating Disorders</w:t>
      </w:r>
      <w:r w:rsidRPr="003B2E2F">
        <w:rPr>
          <w:rFonts w:ascii="Aptos" w:hAnsi="Aptos"/>
          <w:color w:val="000000"/>
        </w:rPr>
        <w:t>, 9(1), 56.</w:t>
      </w:r>
    </w:p>
    <w:p w14:paraId="26431B8D" w14:textId="5A51175B" w:rsidR="00BB1700" w:rsidRPr="003B2E2F" w:rsidRDefault="00BB1700" w:rsidP="003B2E2F">
      <w:pPr>
        <w:rPr>
          <w:rFonts w:ascii="Aptos" w:hAnsi="Aptos"/>
          <w:color w:val="000000"/>
        </w:rPr>
      </w:pPr>
      <w:r w:rsidRPr="00BB1700">
        <w:rPr>
          <w:rFonts w:ascii="Aptos" w:hAnsi="Aptos"/>
          <w:color w:val="000000"/>
        </w:rPr>
        <w:t xml:space="preserve">Chen E. Y., Weissman J. A., Zeffiro T. A., Yiu A., </w:t>
      </w:r>
      <w:proofErr w:type="spellStart"/>
      <w:r w:rsidRPr="00BB1700">
        <w:rPr>
          <w:rFonts w:ascii="Aptos" w:hAnsi="Aptos"/>
          <w:color w:val="000000"/>
        </w:rPr>
        <w:t>Eneva</w:t>
      </w:r>
      <w:proofErr w:type="spellEnd"/>
      <w:r w:rsidRPr="00BB1700">
        <w:rPr>
          <w:rFonts w:ascii="Aptos" w:hAnsi="Aptos"/>
          <w:color w:val="000000"/>
        </w:rPr>
        <w:t xml:space="preserve"> K. T., Arlt J. M., Swantek M. J. (2016). Family-based therapy for young adults with Anorexia Nervosa restores weight. </w:t>
      </w:r>
      <w:r w:rsidRPr="00BB1700">
        <w:rPr>
          <w:rFonts w:ascii="Aptos" w:hAnsi="Aptos"/>
          <w:i/>
          <w:iCs/>
          <w:color w:val="000000"/>
        </w:rPr>
        <w:t>International Journal of Eating Disorders,</w:t>
      </w:r>
      <w:r w:rsidRPr="00BB1700">
        <w:rPr>
          <w:rFonts w:ascii="Aptos" w:hAnsi="Aptos"/>
          <w:color w:val="000000"/>
        </w:rPr>
        <w:t xml:space="preserve"> 49(7), 701–707.</w:t>
      </w:r>
      <w:r>
        <w:rPr>
          <w:rFonts w:ascii="Aptos" w:hAnsi="Aptos"/>
          <w:color w:val="000000"/>
        </w:rPr>
        <w:t xml:space="preserve"> </w:t>
      </w:r>
      <w:hyperlink r:id="rId9" w:history="1">
        <w:r w:rsidRPr="00CF443A">
          <w:rPr>
            <w:rStyle w:val="Hyperlink"/>
            <w:rFonts w:ascii="Aptos" w:hAnsi="Aptos"/>
          </w:rPr>
          <w:t>https://doi.org/10.1002/eat.22513</w:t>
        </w:r>
      </w:hyperlink>
      <w:r>
        <w:rPr>
          <w:rFonts w:ascii="Aptos" w:hAnsi="Aptos"/>
          <w:color w:val="000000"/>
        </w:rPr>
        <w:t xml:space="preserve"> </w:t>
      </w:r>
    </w:p>
    <w:p w14:paraId="5F6D2C90" w14:textId="77777777" w:rsidR="00461266" w:rsidRPr="003B2E2F" w:rsidRDefault="00461266" w:rsidP="003B2E2F">
      <w:pPr>
        <w:rPr>
          <w:rFonts w:ascii="Aptos" w:hAnsi="Aptos"/>
          <w:color w:val="000000"/>
        </w:rPr>
      </w:pPr>
      <w:r w:rsidRPr="003B2E2F">
        <w:rPr>
          <w:rFonts w:ascii="Aptos" w:hAnsi="Aptos"/>
          <w:color w:val="000000"/>
        </w:rPr>
        <w:t xml:space="preserve">Conti, J., Calder, J., </w:t>
      </w:r>
      <w:proofErr w:type="spellStart"/>
      <w:r w:rsidRPr="003B2E2F">
        <w:rPr>
          <w:rFonts w:ascii="Aptos" w:hAnsi="Aptos"/>
          <w:color w:val="000000"/>
        </w:rPr>
        <w:t>Cibralic</w:t>
      </w:r>
      <w:proofErr w:type="spellEnd"/>
      <w:r w:rsidRPr="003B2E2F">
        <w:rPr>
          <w:rFonts w:ascii="Aptos" w:hAnsi="Aptos"/>
          <w:color w:val="000000"/>
        </w:rPr>
        <w:t>, S., Rhodes, P., Meade, T., &amp; Hewson, D. (2017). ‘Somebody else's roadmap’: Lived experience of Maudsley and family</w:t>
      </w:r>
      <w:r w:rsidRPr="003B2E2F">
        <w:rPr>
          <w:rFonts w:ascii="Cambria Math" w:hAnsi="Cambria Math" w:cs="Cambria Math"/>
          <w:color w:val="000000"/>
        </w:rPr>
        <w:t>‐</w:t>
      </w:r>
      <w:r w:rsidRPr="003B2E2F">
        <w:rPr>
          <w:rFonts w:ascii="Aptos" w:hAnsi="Aptos"/>
          <w:color w:val="000000"/>
        </w:rPr>
        <w:t xml:space="preserve">based therapy for adolescent anorexia nervosa. </w:t>
      </w:r>
      <w:r w:rsidRPr="003B2E2F">
        <w:rPr>
          <w:rFonts w:ascii="Aptos" w:hAnsi="Aptos"/>
          <w:i/>
          <w:iCs/>
          <w:color w:val="000000"/>
        </w:rPr>
        <w:t>Australian and New Zealand Journal of Family Therapy, 38</w:t>
      </w:r>
      <w:r w:rsidRPr="003B2E2F">
        <w:rPr>
          <w:rFonts w:ascii="Aptos" w:hAnsi="Aptos"/>
          <w:color w:val="000000"/>
        </w:rPr>
        <w:t>(3), 405-429.</w:t>
      </w:r>
    </w:p>
    <w:p w14:paraId="7A53887F" w14:textId="77777777" w:rsidR="00461266" w:rsidRPr="003B2E2F" w:rsidRDefault="00461266" w:rsidP="003B2E2F">
      <w:pPr>
        <w:rPr>
          <w:rFonts w:ascii="Aptos" w:hAnsi="Aptos"/>
          <w:color w:val="000000"/>
        </w:rPr>
      </w:pPr>
      <w:r w:rsidRPr="003B2E2F">
        <w:rPr>
          <w:rFonts w:ascii="Aptos" w:hAnsi="Aptos"/>
          <w:color w:val="000000"/>
        </w:rPr>
        <w:t xml:space="preserve">Coopey, E., &amp; Johnson, G. (2022). Exploring the experience of young people receiving treatment for an eating disorder: family therapy for anorexia nervosa and multi-family therapy in an inpatient setting. </w:t>
      </w:r>
      <w:r w:rsidRPr="003B2E2F">
        <w:rPr>
          <w:rFonts w:ascii="Aptos" w:hAnsi="Aptos"/>
          <w:i/>
          <w:iCs/>
          <w:color w:val="000000"/>
        </w:rPr>
        <w:t>Journal of Eating Disorders, 10</w:t>
      </w:r>
      <w:r w:rsidRPr="003B2E2F">
        <w:rPr>
          <w:rFonts w:ascii="Aptos" w:hAnsi="Aptos"/>
          <w:color w:val="000000"/>
        </w:rPr>
        <w:t xml:space="preserve">(1), 101. </w:t>
      </w:r>
    </w:p>
    <w:p w14:paraId="71A85776" w14:textId="77777777" w:rsidR="00461266" w:rsidRDefault="00461266" w:rsidP="00CC0A2E">
      <w:r>
        <w:t xml:space="preserve">Cottee-Lane, D., </w:t>
      </w:r>
      <w:proofErr w:type="spellStart"/>
      <w:r>
        <w:t>Pistrang</w:t>
      </w:r>
      <w:proofErr w:type="spellEnd"/>
      <w:r>
        <w:t xml:space="preserve">, N., &amp; Bryant-Waugh, R. (2004). Childhood onset </w:t>
      </w:r>
      <w:proofErr w:type="spellStart"/>
      <w:r>
        <w:t>ano</w:t>
      </w:r>
      <w:proofErr w:type="spellEnd"/>
      <w:r>
        <w:t xml:space="preserve"> </w:t>
      </w:r>
      <w:proofErr w:type="spellStart"/>
      <w:r>
        <w:t>rexia</w:t>
      </w:r>
      <w:proofErr w:type="spellEnd"/>
      <w:r>
        <w:t xml:space="preserve"> nervosa: the experience of parents. </w:t>
      </w:r>
      <w:proofErr w:type="spellStart"/>
      <w:r w:rsidRPr="0054221F">
        <w:rPr>
          <w:i/>
          <w:iCs/>
        </w:rPr>
        <w:t>Eur</w:t>
      </w:r>
      <w:proofErr w:type="spellEnd"/>
      <w:r w:rsidRPr="0054221F">
        <w:rPr>
          <w:i/>
          <w:iCs/>
        </w:rPr>
        <w:t xml:space="preserve"> Eat Disorders Rev.</w:t>
      </w:r>
      <w:r>
        <w:t xml:space="preserve"> 12(3):169–77.</w:t>
      </w:r>
    </w:p>
    <w:p w14:paraId="62303649" w14:textId="77777777" w:rsidR="00461266" w:rsidRDefault="00461266" w:rsidP="00CC0A2E">
      <w:r>
        <w:lastRenderedPageBreak/>
        <w:t xml:space="preserve">Couturier, J., Kimber, M., &amp; Szatmari, P. (2013). Efficacy of family-based treatment for adolescents with eating disorders: A systematic review and meta-analysis. </w:t>
      </w:r>
      <w:r w:rsidRPr="0054221F">
        <w:rPr>
          <w:i/>
          <w:iCs/>
        </w:rPr>
        <w:t>International Journal of Eating Disorders,</w:t>
      </w:r>
      <w:r>
        <w:t xml:space="preserve"> 46, 3–11.</w:t>
      </w:r>
    </w:p>
    <w:p w14:paraId="6E9F886D" w14:textId="77777777" w:rsidR="00461266" w:rsidRDefault="00461266" w:rsidP="00CC0A2E">
      <w:r>
        <w:t xml:space="preserve">Dawson, L., Rhodes, P., &amp; </w:t>
      </w:r>
      <w:proofErr w:type="spellStart"/>
      <w:r>
        <w:t>Touyz</w:t>
      </w:r>
      <w:proofErr w:type="spellEnd"/>
      <w:r>
        <w:t xml:space="preserve">, S. (2014). The recovery model and anorexia nervosa. </w:t>
      </w:r>
      <w:r w:rsidRPr="0054221F">
        <w:rPr>
          <w:i/>
          <w:iCs/>
        </w:rPr>
        <w:t>Australian &amp; New Zealand Journal of Psychiatry,</w:t>
      </w:r>
      <w:r>
        <w:t xml:space="preserve"> 48, 1009–1016.</w:t>
      </w:r>
    </w:p>
    <w:p w14:paraId="7941ABBD" w14:textId="77777777" w:rsidR="00461266" w:rsidRDefault="00461266" w:rsidP="00A1258F">
      <w:pPr>
        <w:rPr>
          <w:rFonts w:ascii="Aptos" w:hAnsi="Aptos"/>
          <w:b/>
          <w:bCs/>
          <w:color w:val="000000"/>
        </w:rPr>
      </w:pPr>
      <w:r>
        <w:t xml:space="preserve">Eaton, C.M. (2020). Eating disorder recovery: a meta ethnography. </w:t>
      </w:r>
      <w:r w:rsidRPr="0054221F">
        <w:rPr>
          <w:i/>
          <w:iCs/>
        </w:rPr>
        <w:t xml:space="preserve">J Am Psychiatry Nurses Assoc. </w:t>
      </w:r>
      <w:r>
        <w:t>26(4):373–88.</w:t>
      </w:r>
    </w:p>
    <w:p w14:paraId="67667276" w14:textId="77777777" w:rsidR="00461266" w:rsidRDefault="00461266" w:rsidP="00CC0A2E">
      <w:r>
        <w:t xml:space="preserve">Eisler, I., Simic, M., </w:t>
      </w:r>
      <w:proofErr w:type="spellStart"/>
      <w:r>
        <w:t>Hodsoll</w:t>
      </w:r>
      <w:proofErr w:type="spellEnd"/>
      <w:r>
        <w:t xml:space="preserve">, J., Asen, E., </w:t>
      </w:r>
      <w:proofErr w:type="spellStart"/>
      <w:r>
        <w:t>Berelowitz</w:t>
      </w:r>
      <w:proofErr w:type="spellEnd"/>
      <w:r>
        <w:t xml:space="preserve">, M., Connan, F., Ellis, G., Hugo, P., Schmidt, U., Treasure, J., &amp; Yi, I. (2016). A pragmatic randomised multi-centre trial of multifamily and single-family therapy for adolescent anorexia nervosa. </w:t>
      </w:r>
      <w:r w:rsidRPr="0054221F">
        <w:rPr>
          <w:i/>
          <w:iCs/>
        </w:rPr>
        <w:t>BMC Psychiatry</w:t>
      </w:r>
      <w:r>
        <w:t>, 16(1):1–4.</w:t>
      </w:r>
    </w:p>
    <w:p w14:paraId="6041FBFF" w14:textId="77777777" w:rsidR="00461266" w:rsidRDefault="00461266" w:rsidP="00CC0A2E">
      <w:pPr>
        <w:rPr>
          <w:rFonts w:ascii="Aptos" w:hAnsi="Aptos"/>
          <w:color w:val="000000"/>
        </w:rPr>
      </w:pPr>
      <w:r w:rsidRPr="00C10085">
        <w:rPr>
          <w:rFonts w:ascii="Aptos" w:hAnsi="Aptos"/>
          <w:color w:val="000000"/>
        </w:rPr>
        <w:t xml:space="preserve">Filipponi, C., Visentini, C., Filippini, T., Cutino, A., Ferri, P., </w:t>
      </w:r>
      <w:proofErr w:type="spellStart"/>
      <w:r w:rsidRPr="00C10085">
        <w:rPr>
          <w:rFonts w:ascii="Aptos" w:hAnsi="Aptos"/>
          <w:color w:val="000000"/>
        </w:rPr>
        <w:t>Rovesti</w:t>
      </w:r>
      <w:proofErr w:type="spellEnd"/>
      <w:r w:rsidRPr="00C10085">
        <w:rPr>
          <w:rFonts w:ascii="Aptos" w:hAnsi="Aptos"/>
          <w:color w:val="000000"/>
        </w:rPr>
        <w:t xml:space="preserve">, S., Latella, E., &amp; Di Lorenzo, R. (2022). The Follow-Up of Eating Disorders from Adolescence to Early Adulthood: A Systematic Review. </w:t>
      </w:r>
      <w:r w:rsidRPr="0054221F">
        <w:rPr>
          <w:rFonts w:ascii="Aptos" w:hAnsi="Aptos"/>
          <w:i/>
          <w:iCs/>
          <w:color w:val="000000"/>
        </w:rPr>
        <w:t>International Journal of Environmental Research and Public Health</w:t>
      </w:r>
      <w:r w:rsidRPr="00C10085">
        <w:rPr>
          <w:rFonts w:ascii="Aptos" w:hAnsi="Aptos"/>
          <w:color w:val="000000"/>
        </w:rPr>
        <w:t xml:space="preserve">, 19(23), 16237. </w:t>
      </w:r>
      <w:hyperlink r:id="rId10" w:history="1">
        <w:r w:rsidRPr="008C18DE">
          <w:rPr>
            <w:rStyle w:val="Hyperlink"/>
            <w:rFonts w:ascii="Aptos" w:hAnsi="Aptos"/>
          </w:rPr>
          <w:t>https://doi.org/10.3390/ijerph192316237</w:t>
        </w:r>
      </w:hyperlink>
    </w:p>
    <w:p w14:paraId="5E6D4B63" w14:textId="77777777" w:rsidR="00461266" w:rsidRDefault="00461266" w:rsidP="003B2E2F">
      <w:pPr>
        <w:rPr>
          <w:rFonts w:ascii="Aptos" w:hAnsi="Aptos"/>
          <w:color w:val="000000"/>
        </w:rPr>
      </w:pPr>
      <w:r w:rsidRPr="003B2E2F">
        <w:rPr>
          <w:rFonts w:ascii="Aptos" w:hAnsi="Aptos"/>
          <w:color w:val="000000"/>
        </w:rPr>
        <w:t>Gao, C., Drury, C. R., Singh, S., Le Grange, D., &amp; Gorrell, S. (2025). Adolescent Patient Perspectives on Family</w:t>
      </w:r>
      <w:r w:rsidRPr="003B2E2F">
        <w:rPr>
          <w:rFonts w:ascii="Cambria Math" w:hAnsi="Cambria Math" w:cs="Cambria Math"/>
          <w:color w:val="000000"/>
        </w:rPr>
        <w:t>‐</w:t>
      </w:r>
      <w:r w:rsidRPr="003B2E2F">
        <w:rPr>
          <w:rFonts w:ascii="Aptos" w:hAnsi="Aptos"/>
          <w:color w:val="000000"/>
        </w:rPr>
        <w:t xml:space="preserve">Based Treatment: A Pilot Study. </w:t>
      </w:r>
      <w:r w:rsidRPr="003B2E2F">
        <w:rPr>
          <w:rFonts w:ascii="Aptos" w:hAnsi="Aptos"/>
          <w:i/>
          <w:iCs/>
          <w:color w:val="000000"/>
        </w:rPr>
        <w:t>International Journal of Eating Disorders, 58</w:t>
      </w:r>
      <w:r w:rsidRPr="003B2E2F">
        <w:rPr>
          <w:rFonts w:ascii="Aptos" w:hAnsi="Aptos"/>
          <w:color w:val="000000"/>
        </w:rPr>
        <w:t>(5), 890-902.</w:t>
      </w:r>
    </w:p>
    <w:p w14:paraId="3FA95DEE" w14:textId="42536B49" w:rsidR="005F6189" w:rsidRDefault="005F6189" w:rsidP="00A1258F">
      <w:pPr>
        <w:rPr>
          <w:rFonts w:ascii="Aptos" w:hAnsi="Aptos"/>
          <w:color w:val="000000"/>
        </w:rPr>
      </w:pPr>
      <w:r w:rsidRPr="005F6189">
        <w:rPr>
          <w:rFonts w:ascii="Aptos" w:hAnsi="Aptos"/>
          <w:color w:val="000000"/>
        </w:rPr>
        <w:t xml:space="preserve">Halvorsen, I., Reas, D. L., Nilsen, J.-V., and </w:t>
      </w:r>
      <w:proofErr w:type="spellStart"/>
      <w:r w:rsidRPr="005F6189">
        <w:rPr>
          <w:rFonts w:ascii="Aptos" w:hAnsi="Aptos"/>
          <w:color w:val="000000"/>
        </w:rPr>
        <w:t>Rø</w:t>
      </w:r>
      <w:proofErr w:type="spellEnd"/>
      <w:r w:rsidRPr="005F6189">
        <w:rPr>
          <w:rFonts w:ascii="Aptos" w:hAnsi="Aptos"/>
          <w:color w:val="000000"/>
        </w:rPr>
        <w:t>, Ø. (2018)</w:t>
      </w:r>
      <w:r>
        <w:rPr>
          <w:rFonts w:ascii="Aptos" w:hAnsi="Aptos"/>
          <w:color w:val="000000"/>
        </w:rPr>
        <w:t>.</w:t>
      </w:r>
      <w:r w:rsidRPr="005F6189">
        <w:rPr>
          <w:rFonts w:ascii="Aptos" w:hAnsi="Aptos"/>
          <w:color w:val="000000"/>
        </w:rPr>
        <w:t xml:space="preserve"> Naturalistic Outcome of Family-Based Inpatient Treatment for Adolescents with Anorexia Nervosa. </w:t>
      </w:r>
      <w:r w:rsidRPr="00613E3D">
        <w:rPr>
          <w:rFonts w:ascii="Aptos" w:hAnsi="Aptos"/>
          <w:i/>
          <w:iCs/>
          <w:color w:val="000000"/>
        </w:rPr>
        <w:t>Eur. Eat. Disorders Rev.,</w:t>
      </w:r>
      <w:r w:rsidRPr="005F6189">
        <w:rPr>
          <w:rFonts w:ascii="Aptos" w:hAnsi="Aptos"/>
          <w:color w:val="000000"/>
        </w:rPr>
        <w:t xml:space="preserve"> 26: 141–145.</w:t>
      </w:r>
      <w:r>
        <w:rPr>
          <w:rFonts w:ascii="Aptos" w:hAnsi="Aptos"/>
          <w:color w:val="000000"/>
        </w:rPr>
        <w:t xml:space="preserve"> </w:t>
      </w:r>
      <w:hyperlink r:id="rId11" w:history="1">
        <w:r w:rsidRPr="004F514C">
          <w:rPr>
            <w:rStyle w:val="Hyperlink"/>
            <w:rFonts w:ascii="Aptos" w:hAnsi="Aptos"/>
          </w:rPr>
          <w:t>https://doi.org/10.1002/erv.2572</w:t>
        </w:r>
      </w:hyperlink>
      <w:r>
        <w:rPr>
          <w:rFonts w:ascii="Aptos" w:hAnsi="Aptos"/>
          <w:color w:val="000000"/>
        </w:rPr>
        <w:t xml:space="preserve"> </w:t>
      </w:r>
    </w:p>
    <w:p w14:paraId="0621075B" w14:textId="1F488178" w:rsidR="005F6189" w:rsidRDefault="005F6189" w:rsidP="00A1258F">
      <w:r>
        <w:t>H</w:t>
      </w:r>
      <w:r>
        <w:t>oste</w:t>
      </w:r>
      <w:r>
        <w:t>,</w:t>
      </w:r>
      <w:r>
        <w:t xml:space="preserve"> R</w:t>
      </w:r>
      <w:r>
        <w:t xml:space="preserve">. </w:t>
      </w:r>
      <w:r>
        <w:t>R.</w:t>
      </w:r>
      <w:r>
        <w:t xml:space="preserve"> (2015).</w:t>
      </w:r>
      <w:r>
        <w:t xml:space="preserve"> Incorporating family-based therapy principles into a partial hospitalization programme for adolescents with anorexia nervosa: challenges and considerations. </w:t>
      </w:r>
      <w:r w:rsidRPr="00613E3D">
        <w:rPr>
          <w:i/>
          <w:iCs/>
        </w:rPr>
        <w:t>J Fam Ther.</w:t>
      </w:r>
      <w:r>
        <w:t xml:space="preserve"> 37(1):41–60.</w:t>
      </w:r>
      <w:r w:rsidRPr="005F6189">
        <w:t xml:space="preserve"> </w:t>
      </w:r>
      <w:hyperlink r:id="rId12" w:history="1">
        <w:r w:rsidRPr="004F514C">
          <w:rPr>
            <w:rStyle w:val="Hyperlink"/>
          </w:rPr>
          <w:t>https://doi.org/10.1111/1467-6427.12055</w:t>
        </w:r>
      </w:hyperlink>
      <w:r>
        <w:t xml:space="preserve"> </w:t>
      </w:r>
    </w:p>
    <w:p w14:paraId="04373D61" w14:textId="2C487590" w:rsidR="005F6189" w:rsidRDefault="005F6189" w:rsidP="00A1258F">
      <w:pPr>
        <w:rPr>
          <w:rFonts w:ascii="Aptos" w:hAnsi="Aptos"/>
          <w:color w:val="000000"/>
        </w:rPr>
      </w:pPr>
      <w:proofErr w:type="spellStart"/>
      <w:r>
        <w:t>I</w:t>
      </w:r>
      <w:r>
        <w:t>sserlin</w:t>
      </w:r>
      <w:proofErr w:type="spellEnd"/>
      <w:r>
        <w:t>,</w:t>
      </w:r>
      <w:r>
        <w:t xml:space="preserve"> L</w:t>
      </w:r>
      <w:r>
        <w:t>.</w:t>
      </w:r>
      <w:r>
        <w:t xml:space="preserve">, </w:t>
      </w:r>
      <w:proofErr w:type="spellStart"/>
      <w:r>
        <w:t>Spettigue</w:t>
      </w:r>
      <w:proofErr w:type="spellEnd"/>
      <w:r>
        <w:t>,</w:t>
      </w:r>
      <w:r>
        <w:t xml:space="preserve"> W</w:t>
      </w:r>
      <w:r>
        <w:t>.</w:t>
      </w:r>
      <w:r>
        <w:t>, Norris</w:t>
      </w:r>
      <w:r>
        <w:t>,</w:t>
      </w:r>
      <w:r>
        <w:t xml:space="preserve"> M</w:t>
      </w:r>
      <w:r>
        <w:t>.</w:t>
      </w:r>
      <w:r>
        <w:t xml:space="preserve">, </w:t>
      </w:r>
      <w:r>
        <w:t xml:space="preserve">&amp; </w:t>
      </w:r>
      <w:r>
        <w:t>Couturier</w:t>
      </w:r>
      <w:r>
        <w:t>,</w:t>
      </w:r>
      <w:r>
        <w:t xml:space="preserve"> J. </w:t>
      </w:r>
      <w:r>
        <w:t xml:space="preserve">(2020). </w:t>
      </w:r>
      <w:r>
        <w:t xml:space="preserve">Outcomes of inpatient psychological treatments for children and adolescents with eating disorders at time of discharge: a systematic review. </w:t>
      </w:r>
      <w:r w:rsidRPr="00613E3D">
        <w:rPr>
          <w:i/>
          <w:iCs/>
        </w:rPr>
        <w:t xml:space="preserve">J Eat </w:t>
      </w:r>
      <w:proofErr w:type="spellStart"/>
      <w:r w:rsidRPr="00613E3D">
        <w:rPr>
          <w:i/>
          <w:iCs/>
        </w:rPr>
        <w:t>Disord</w:t>
      </w:r>
      <w:proofErr w:type="spellEnd"/>
      <w:r>
        <w:t>.</w:t>
      </w:r>
      <w:r w:rsidR="00AB2301">
        <w:t xml:space="preserve"> </w:t>
      </w:r>
      <w:r>
        <w:t>8(1):32.</w:t>
      </w:r>
      <w:r w:rsidR="00AB2301" w:rsidRPr="00AB2301">
        <w:rPr>
          <w:rFonts w:ascii="Merriweather Sans" w:hAnsi="Merriweather Sans"/>
          <w:color w:val="222222"/>
          <w:shd w:val="clear" w:color="auto" w:fill="FFFFFF"/>
        </w:rPr>
        <w:t xml:space="preserve"> </w:t>
      </w:r>
      <w:hyperlink r:id="rId13" w:history="1">
        <w:r w:rsidR="00AB2301" w:rsidRPr="004F514C">
          <w:rPr>
            <w:rStyle w:val="Hyperlink"/>
            <w:rFonts w:ascii="Merriweather Sans" w:hAnsi="Merriweather Sans"/>
            <w:shd w:val="clear" w:color="auto" w:fill="FFFFFF"/>
          </w:rPr>
          <w:t>https://doi.org/10.1186/s40337-020-00307-2</w:t>
        </w:r>
      </w:hyperlink>
      <w:r w:rsidR="00AB2301">
        <w:rPr>
          <w:rFonts w:ascii="Merriweather Sans" w:hAnsi="Merriweather Sans"/>
          <w:color w:val="222222"/>
          <w:shd w:val="clear" w:color="auto" w:fill="FFFFFF"/>
        </w:rPr>
        <w:t xml:space="preserve"> </w:t>
      </w:r>
    </w:p>
    <w:p w14:paraId="21F2086E" w14:textId="098EA054" w:rsidR="00461266" w:rsidRDefault="00461266" w:rsidP="00A1258F">
      <w:r>
        <w:lastRenderedPageBreak/>
        <w:t xml:space="preserve">Kakhi, S., McCann, J. (2016). Anorexia nervosa: diagnosis, risk factors and evidence-based treatments. </w:t>
      </w:r>
      <w:r w:rsidRPr="0054221F">
        <w:rPr>
          <w:i/>
          <w:iCs/>
        </w:rPr>
        <w:t xml:space="preserve">Prog </w:t>
      </w:r>
      <w:proofErr w:type="spellStart"/>
      <w:r w:rsidRPr="0054221F">
        <w:rPr>
          <w:i/>
          <w:iCs/>
        </w:rPr>
        <w:t>Neurol</w:t>
      </w:r>
      <w:proofErr w:type="spellEnd"/>
      <w:r w:rsidRPr="0054221F">
        <w:rPr>
          <w:i/>
          <w:iCs/>
        </w:rPr>
        <w:t xml:space="preserve"> Psychiatry</w:t>
      </w:r>
      <w:r>
        <w:t>, 20(6):24–9.</w:t>
      </w:r>
    </w:p>
    <w:p w14:paraId="5D3A3A47" w14:textId="77777777" w:rsidR="00461266" w:rsidRDefault="00461266" w:rsidP="00CC0A2E">
      <w:r>
        <w:t>Lock, J., &amp; Le Grange, D. (2013). Treatment manual for anorexia nervosa: A family-based approach. New York, NY: The Guilford Press.</w:t>
      </w:r>
    </w:p>
    <w:p w14:paraId="52AEC824" w14:textId="3391681C" w:rsidR="00AB2301" w:rsidRDefault="00AB2301" w:rsidP="00CC0A2E">
      <w:r w:rsidRPr="00AB2301">
        <w:t>Loftfjell, A</w:t>
      </w:r>
      <w:r>
        <w:t>.</w:t>
      </w:r>
      <w:r w:rsidRPr="00AB2301">
        <w:t xml:space="preserve"> &amp; Thomassen, S</w:t>
      </w:r>
      <w:r>
        <w:t>.,</w:t>
      </w:r>
      <w:r w:rsidRPr="00AB2301">
        <w:t xml:space="preserve"> Karlstad, J</w:t>
      </w:r>
      <w:r>
        <w:t>.,</w:t>
      </w:r>
      <w:r w:rsidRPr="00AB2301">
        <w:t xml:space="preserve"> &amp; </w:t>
      </w:r>
      <w:proofErr w:type="spellStart"/>
      <w:r w:rsidRPr="00AB2301">
        <w:t>Brinchmann</w:t>
      </w:r>
      <w:proofErr w:type="spellEnd"/>
      <w:r w:rsidRPr="00AB2301">
        <w:t xml:space="preserve">, B. (2020). Parents’ experiences of having an adult daughter with an eating disorder. </w:t>
      </w:r>
      <w:proofErr w:type="spellStart"/>
      <w:r w:rsidRPr="00AB2301">
        <w:t>Sykepleien</w:t>
      </w:r>
      <w:proofErr w:type="spellEnd"/>
      <w:r w:rsidRPr="00AB2301">
        <w:t xml:space="preserve"> </w:t>
      </w:r>
      <w:proofErr w:type="spellStart"/>
      <w:r w:rsidRPr="00AB2301">
        <w:t>Forskning</w:t>
      </w:r>
      <w:proofErr w:type="spellEnd"/>
      <w:r w:rsidRPr="00AB2301">
        <w:t xml:space="preserve">. </w:t>
      </w:r>
      <w:hyperlink r:id="rId14" w:history="1">
        <w:r w:rsidRPr="00AB2301">
          <w:rPr>
            <w:color w:val="0000FF"/>
            <w:u w:val="single"/>
          </w:rPr>
          <w:t>(PDF) Parents’ experiences of having an adult daughter with an eating disorder</w:t>
        </w:r>
      </w:hyperlink>
    </w:p>
    <w:p w14:paraId="6634FAF8" w14:textId="77777777" w:rsidR="00461266" w:rsidRDefault="00461266" w:rsidP="00CC0A2E">
      <w:r>
        <w:t xml:space="preserve">Medway, M. and Rhodes, P. (2016). Young people’s experience of family therapy for anorexia nervosa: a qualitative meta-synthesis. </w:t>
      </w:r>
      <w:r w:rsidRPr="0054221F">
        <w:rPr>
          <w:i/>
          <w:iCs/>
        </w:rPr>
        <w:t>Adv Eat Disorders</w:t>
      </w:r>
      <w:r>
        <w:t>. 4(2):189–207.</w:t>
      </w:r>
    </w:p>
    <w:p w14:paraId="198CDF14" w14:textId="77777777" w:rsidR="00461266" w:rsidRPr="003B2E2F" w:rsidRDefault="00461266" w:rsidP="003B2E2F">
      <w:pPr>
        <w:rPr>
          <w:rFonts w:ascii="Aptos" w:hAnsi="Aptos"/>
          <w:color w:val="000000"/>
        </w:rPr>
      </w:pPr>
      <w:r w:rsidRPr="003B2E2F">
        <w:rPr>
          <w:rFonts w:ascii="Aptos" w:hAnsi="Aptos"/>
          <w:color w:val="000000"/>
        </w:rPr>
        <w:t xml:space="preserve">Medway, M., Rhodes, P., Dawson, L., Miskovic-Wheatley, J., Wallis, A., &amp; Madden, S. (2019). Adolescent development in family-based treatment for anorexia nervosa: Patients’ and parents’ narratives. </w:t>
      </w:r>
      <w:r w:rsidRPr="003B2E2F">
        <w:rPr>
          <w:rFonts w:ascii="Aptos" w:hAnsi="Aptos"/>
          <w:i/>
          <w:iCs/>
          <w:color w:val="000000"/>
        </w:rPr>
        <w:t>Clinical child psychology and psychiatry</w:t>
      </w:r>
      <w:r w:rsidRPr="003B2E2F">
        <w:rPr>
          <w:rFonts w:ascii="Aptos" w:hAnsi="Aptos"/>
          <w:color w:val="000000"/>
        </w:rPr>
        <w:t>, 24(1), 129-143.</w:t>
      </w:r>
    </w:p>
    <w:p w14:paraId="4C56B3B8" w14:textId="60564F78" w:rsidR="00461266" w:rsidRDefault="00461266" w:rsidP="00CC0A2E">
      <w:pPr>
        <w:rPr>
          <w:rFonts w:ascii="Aptos" w:hAnsi="Aptos"/>
          <w:color w:val="000000"/>
        </w:rPr>
      </w:pPr>
      <w:r w:rsidRPr="00B828EC">
        <w:rPr>
          <w:rFonts w:ascii="Aptos" w:hAnsi="Aptos"/>
          <w:color w:val="000000"/>
        </w:rPr>
        <w:t>Minuchin, S.</w:t>
      </w:r>
      <w:r w:rsidR="00A73B5E">
        <w:rPr>
          <w:rFonts w:ascii="Aptos" w:hAnsi="Aptos"/>
          <w:color w:val="000000"/>
        </w:rPr>
        <w:t>,</w:t>
      </w:r>
      <w:r w:rsidRPr="00B828EC">
        <w:rPr>
          <w:rFonts w:ascii="Aptos" w:hAnsi="Aptos"/>
          <w:color w:val="000000"/>
        </w:rPr>
        <w:t xml:space="preserve"> Rosman, B.L.</w:t>
      </w:r>
      <w:r w:rsidR="00A73B5E">
        <w:rPr>
          <w:rFonts w:ascii="Aptos" w:hAnsi="Aptos"/>
          <w:color w:val="000000"/>
        </w:rPr>
        <w:t>,</w:t>
      </w:r>
      <w:r w:rsidRPr="00B828EC">
        <w:rPr>
          <w:rFonts w:ascii="Aptos" w:hAnsi="Aptos"/>
          <w:color w:val="000000"/>
        </w:rPr>
        <w:t xml:space="preserve"> Baker, L.</w:t>
      </w:r>
      <w:r w:rsidR="00A73B5E">
        <w:rPr>
          <w:rFonts w:ascii="Aptos" w:hAnsi="Aptos"/>
          <w:color w:val="000000"/>
        </w:rPr>
        <w:t xml:space="preserve"> (2013).</w:t>
      </w:r>
      <w:r w:rsidRPr="00B828EC">
        <w:rPr>
          <w:rFonts w:ascii="Aptos" w:hAnsi="Aptos"/>
          <w:color w:val="000000"/>
        </w:rPr>
        <w:t xml:space="preserve"> Psychosomatic Families: Anorexia Nervosa in Context</w:t>
      </w:r>
      <w:r w:rsidR="00A73B5E">
        <w:rPr>
          <w:rFonts w:ascii="Aptos" w:hAnsi="Aptos"/>
          <w:color w:val="000000"/>
        </w:rPr>
        <w:t>.</w:t>
      </w:r>
      <w:r w:rsidRPr="00B828EC">
        <w:rPr>
          <w:rFonts w:ascii="Aptos" w:hAnsi="Aptos"/>
          <w:color w:val="000000"/>
        </w:rPr>
        <w:t xml:space="preserve"> Harvard University Press: Cambridge, MA, USA; London, UK.</w:t>
      </w:r>
      <w:r>
        <w:rPr>
          <w:rFonts w:ascii="Aptos" w:hAnsi="Aptos"/>
          <w:color w:val="000000"/>
        </w:rPr>
        <w:t xml:space="preserve"> </w:t>
      </w:r>
      <w:hyperlink r:id="rId15" w:anchor="v=onepage&amp;q&amp;f=false" w:history="1">
        <w:r w:rsidRPr="008C18DE">
          <w:rPr>
            <w:rStyle w:val="Hyperlink"/>
            <w:rFonts w:ascii="Aptos" w:hAnsi="Aptos"/>
          </w:rPr>
          <w:t>https://books.google.co.uk/books?hl=en&amp;lr=&amp;id=_uEaVpbiyD4C&amp;oi=fnd&amp;pg=PR9&amp;ots=A4qltxyA6z&amp;sig=mA2rGVXq2VtWLuO0rVNU3plevKk&amp;redir_esc=y#v=onepage&amp;q&amp;f=false</w:t>
        </w:r>
      </w:hyperlink>
      <w:r>
        <w:rPr>
          <w:rFonts w:ascii="Aptos" w:hAnsi="Aptos"/>
          <w:color w:val="000000"/>
        </w:rPr>
        <w:t xml:space="preserve"> </w:t>
      </w:r>
    </w:p>
    <w:p w14:paraId="35396F30" w14:textId="77777777" w:rsidR="00461266" w:rsidRDefault="00461266" w:rsidP="00CC0A2E">
      <w:pPr>
        <w:rPr>
          <w:rFonts w:ascii="Aptos" w:hAnsi="Aptos"/>
          <w:color w:val="000000"/>
        </w:rPr>
      </w:pPr>
      <w:r>
        <w:rPr>
          <w:rFonts w:ascii="Aptos" w:hAnsi="Aptos"/>
          <w:color w:val="000000"/>
        </w:rPr>
        <w:t>N</w:t>
      </w:r>
      <w:r w:rsidRPr="00CC0A2E">
        <w:rPr>
          <w:rFonts w:ascii="Aptos" w:hAnsi="Aptos"/>
          <w:color w:val="000000"/>
        </w:rPr>
        <w:t xml:space="preserve">ice.org.uk. </w:t>
      </w:r>
      <w:r>
        <w:rPr>
          <w:rFonts w:ascii="Aptos" w:hAnsi="Aptos"/>
          <w:color w:val="000000"/>
        </w:rPr>
        <w:t xml:space="preserve">(2020). </w:t>
      </w:r>
      <w:r w:rsidRPr="00CC0A2E">
        <w:rPr>
          <w:rFonts w:ascii="Aptos" w:hAnsi="Aptos"/>
          <w:color w:val="000000"/>
        </w:rPr>
        <w:t>Eating disorders: Recognition and treatment</w:t>
      </w:r>
      <w:r>
        <w:rPr>
          <w:rFonts w:ascii="Aptos" w:hAnsi="Aptos"/>
          <w:color w:val="000000"/>
        </w:rPr>
        <w:t xml:space="preserve">. </w:t>
      </w:r>
      <w:hyperlink r:id="rId16" w:history="1">
        <w:r w:rsidRPr="008C18DE">
          <w:rPr>
            <w:rStyle w:val="Hyperlink"/>
            <w:rFonts w:ascii="Aptos" w:hAnsi="Aptos"/>
          </w:rPr>
          <w:t>https://www.nice.org.uk/guidance/ng69</w:t>
        </w:r>
      </w:hyperlink>
      <w:r>
        <w:rPr>
          <w:rFonts w:ascii="Aptos" w:hAnsi="Aptos"/>
          <w:color w:val="000000"/>
        </w:rPr>
        <w:t xml:space="preserve"> </w:t>
      </w:r>
    </w:p>
    <w:p w14:paraId="776B5A01" w14:textId="77777777" w:rsidR="00461266" w:rsidRDefault="00461266" w:rsidP="003B2E2F">
      <w:pPr>
        <w:rPr>
          <w:rFonts w:ascii="Aptos" w:hAnsi="Aptos"/>
          <w:color w:val="000000"/>
        </w:rPr>
      </w:pPr>
      <w:r w:rsidRPr="003B2E2F">
        <w:rPr>
          <w:rFonts w:ascii="Aptos" w:hAnsi="Aptos"/>
          <w:color w:val="000000"/>
          <w:lang w:val="nb-NO"/>
        </w:rPr>
        <w:t>Nilsen, J.-V., Rø, Ø., Halvorsen, I., Oddli, H. W., &amp; Hage, T. W. (2021).</w:t>
      </w:r>
      <w:r w:rsidRPr="003B2E2F">
        <w:rPr>
          <w:rFonts w:ascii="Aptos" w:hAnsi="Aptos"/>
          <w:color w:val="000000"/>
          <w:lang w:val="nb-NO"/>
        </w:rPr>
        <w:br/>
      </w:r>
      <w:r w:rsidRPr="003B2E2F">
        <w:rPr>
          <w:rFonts w:ascii="Aptos" w:hAnsi="Aptos"/>
          <w:color w:val="000000"/>
        </w:rPr>
        <w:t xml:space="preserve">Family members’ reflections upon a family-based inpatient treatment program for adolescent anorexia nervosa: A thematic analysis. </w:t>
      </w:r>
      <w:r w:rsidRPr="003B2E2F">
        <w:rPr>
          <w:rFonts w:ascii="Aptos" w:hAnsi="Aptos"/>
          <w:i/>
          <w:iCs/>
          <w:color w:val="000000"/>
        </w:rPr>
        <w:t>Journal of Eating Disorders, 9</w:t>
      </w:r>
      <w:r w:rsidRPr="003B2E2F">
        <w:rPr>
          <w:rFonts w:ascii="Aptos" w:hAnsi="Aptos"/>
          <w:color w:val="000000"/>
        </w:rPr>
        <w:t xml:space="preserve">, 7. </w:t>
      </w:r>
    </w:p>
    <w:p w14:paraId="53689BDB" w14:textId="7E367A5C" w:rsidR="00AB2301" w:rsidRDefault="00AB2301" w:rsidP="00CC0A2E">
      <w:r>
        <w:t xml:space="preserve">Richards, I. L., </w:t>
      </w:r>
      <w:proofErr w:type="spellStart"/>
      <w:r>
        <w:t>Subar</w:t>
      </w:r>
      <w:proofErr w:type="spellEnd"/>
      <w:r>
        <w:t>,</w:t>
      </w:r>
      <w:r>
        <w:t xml:space="preserve"> A.,</w:t>
      </w:r>
      <w:r>
        <w:t xml:space="preserve"> </w:t>
      </w:r>
      <w:proofErr w:type="spellStart"/>
      <w:r>
        <w:t>Touyz</w:t>
      </w:r>
      <w:proofErr w:type="spellEnd"/>
      <w:r>
        <w:t xml:space="preserve">, </w:t>
      </w:r>
      <w:r>
        <w:t xml:space="preserve">S. </w:t>
      </w:r>
      <w:r>
        <w:t>and Rhodes</w:t>
      </w:r>
      <w:r>
        <w:t>, P</w:t>
      </w:r>
      <w:r>
        <w:t xml:space="preserve">. </w:t>
      </w:r>
      <w:r>
        <w:t>(</w:t>
      </w:r>
      <w:r>
        <w:t>2018</w:t>
      </w:r>
      <w:r>
        <w:t>)</w:t>
      </w:r>
      <w:r>
        <w:t xml:space="preserve">. “Augmentative Approaches in Family- Based Treatment for Adolescents </w:t>
      </w:r>
      <w:proofErr w:type="gramStart"/>
      <w:r>
        <w:t>With</w:t>
      </w:r>
      <w:proofErr w:type="gramEnd"/>
      <w:r>
        <w:t xml:space="preserve"> Restrictive Eating Disorders: A Systematic Review.” </w:t>
      </w:r>
      <w:r w:rsidRPr="00AB2301">
        <w:rPr>
          <w:i/>
          <w:iCs/>
        </w:rPr>
        <w:t>European Eating Disorders Review</w:t>
      </w:r>
      <w:r>
        <w:t xml:space="preserve"> 26,2</w:t>
      </w:r>
      <w:r>
        <w:t xml:space="preserve"> </w:t>
      </w:r>
      <w:r>
        <w:t xml:space="preserve">92–111. </w:t>
      </w:r>
      <w:hyperlink r:id="rId17" w:history="1">
        <w:r w:rsidRPr="00CF443A">
          <w:rPr>
            <w:rStyle w:val="Hyperlink"/>
          </w:rPr>
          <w:t>https://doi.org/10.1002/erv.2577</w:t>
        </w:r>
      </w:hyperlink>
      <w:r>
        <w:t>.</w:t>
      </w:r>
      <w:r>
        <w:t xml:space="preserve"> </w:t>
      </w:r>
    </w:p>
    <w:p w14:paraId="6C68C2D6" w14:textId="5B6F2EF0" w:rsidR="00461266" w:rsidRDefault="00461266" w:rsidP="00CC0A2E">
      <w:pPr>
        <w:rPr>
          <w:rFonts w:ascii="Aptos" w:hAnsi="Aptos"/>
          <w:color w:val="000000"/>
        </w:rPr>
      </w:pPr>
      <w:r w:rsidRPr="00C2060A">
        <w:rPr>
          <w:rFonts w:ascii="Aptos" w:hAnsi="Aptos"/>
          <w:color w:val="000000"/>
        </w:rPr>
        <w:lastRenderedPageBreak/>
        <w:t xml:space="preserve">Russell, G.F.; </w:t>
      </w:r>
      <w:proofErr w:type="spellStart"/>
      <w:r w:rsidRPr="00C2060A">
        <w:rPr>
          <w:rFonts w:ascii="Aptos" w:hAnsi="Aptos"/>
          <w:color w:val="000000"/>
        </w:rPr>
        <w:t>Szmukler</w:t>
      </w:r>
      <w:proofErr w:type="spellEnd"/>
      <w:r w:rsidRPr="00C2060A">
        <w:rPr>
          <w:rFonts w:ascii="Aptos" w:hAnsi="Aptos"/>
          <w:color w:val="000000"/>
        </w:rPr>
        <w:t>, G.I.; Dare, C.; Eisler, I.</w:t>
      </w:r>
      <w:r>
        <w:rPr>
          <w:rFonts w:ascii="Aptos" w:hAnsi="Aptos"/>
          <w:color w:val="000000"/>
        </w:rPr>
        <w:t xml:space="preserve"> (1987).</w:t>
      </w:r>
      <w:r w:rsidRPr="00C2060A">
        <w:rPr>
          <w:rFonts w:ascii="Aptos" w:hAnsi="Aptos"/>
          <w:color w:val="000000"/>
        </w:rPr>
        <w:t xml:space="preserve"> An evaluation of family therapy in anorexia nervosa and bulimia nervosa. Arch. Gen. </w:t>
      </w:r>
      <w:r w:rsidRPr="0054221F">
        <w:rPr>
          <w:rFonts w:ascii="Aptos" w:hAnsi="Aptos"/>
          <w:i/>
          <w:iCs/>
          <w:color w:val="000000"/>
        </w:rPr>
        <w:t>Psychiatry</w:t>
      </w:r>
      <w:r w:rsidRPr="00C2060A">
        <w:rPr>
          <w:rFonts w:ascii="Aptos" w:hAnsi="Aptos"/>
          <w:color w:val="000000"/>
        </w:rPr>
        <w:t>, 44, 1047–1056.</w:t>
      </w:r>
      <w:r>
        <w:rPr>
          <w:rFonts w:ascii="Aptos" w:hAnsi="Aptos"/>
          <w:color w:val="000000"/>
        </w:rPr>
        <w:t xml:space="preserve"> </w:t>
      </w:r>
      <w:hyperlink r:id="rId18" w:history="1">
        <w:r w:rsidRPr="008C18DE">
          <w:rPr>
            <w:rStyle w:val="Hyperlink"/>
            <w:rFonts w:ascii="Aptos" w:hAnsi="Aptos"/>
          </w:rPr>
          <w:t>https://pubmed.ncbi.nlm.nih.gov/3318754/</w:t>
        </w:r>
      </w:hyperlink>
      <w:r>
        <w:rPr>
          <w:rFonts w:ascii="Aptos" w:hAnsi="Aptos"/>
          <w:color w:val="000000"/>
        </w:rPr>
        <w:t xml:space="preserve"> </w:t>
      </w:r>
    </w:p>
    <w:p w14:paraId="7B1D7A28" w14:textId="1622929E" w:rsidR="00613E3D" w:rsidRDefault="00613E3D" w:rsidP="00CC0A2E">
      <w:pPr>
        <w:rPr>
          <w:rFonts w:ascii="Aptos" w:hAnsi="Aptos"/>
          <w:color w:val="000000"/>
        </w:rPr>
      </w:pPr>
      <w:r w:rsidRPr="00613E3D">
        <w:rPr>
          <w:rFonts w:ascii="Aptos" w:hAnsi="Aptos"/>
          <w:color w:val="000000"/>
        </w:rPr>
        <w:t xml:space="preserve">Stewart, M. P., &amp; Baumann, O. (2026). The Effectiveness of Adolescent-Focused Therapy and Family-Based Therapy for Anorexia Nervosa. </w:t>
      </w:r>
      <w:r w:rsidRPr="00613E3D">
        <w:rPr>
          <w:rFonts w:ascii="Aptos" w:hAnsi="Aptos"/>
          <w:i/>
          <w:iCs/>
          <w:color w:val="000000"/>
        </w:rPr>
        <w:t>Psychological Reports</w:t>
      </w:r>
      <w:r w:rsidRPr="00613E3D">
        <w:rPr>
          <w:rFonts w:ascii="Aptos" w:hAnsi="Aptos"/>
          <w:color w:val="000000"/>
        </w:rPr>
        <w:t>, 129(1), 7-28.</w:t>
      </w:r>
      <w:hyperlink r:id="rId19" w:history="1">
        <w:r w:rsidRPr="00CF443A">
          <w:rPr>
            <w:rStyle w:val="Hyperlink"/>
            <w:rFonts w:ascii="Aptos" w:hAnsi="Aptos"/>
          </w:rPr>
          <w:t>https://doi.org/10.1177/00332941241226687</w:t>
        </w:r>
      </w:hyperlink>
      <w:r>
        <w:rPr>
          <w:rFonts w:ascii="Aptos" w:hAnsi="Aptos"/>
          <w:color w:val="000000"/>
        </w:rPr>
        <w:t xml:space="preserve"> </w:t>
      </w:r>
    </w:p>
    <w:p w14:paraId="0A0769EE" w14:textId="77777777" w:rsidR="00461266" w:rsidRDefault="00461266" w:rsidP="00CC0A2E">
      <w:r>
        <w:t xml:space="preserve">Tantillo, M., McGraw, J. S., Hauenstein, E. J., </w:t>
      </w:r>
      <w:proofErr w:type="gramStart"/>
      <w:r>
        <w:t xml:space="preserve">and  </w:t>
      </w:r>
      <w:proofErr w:type="spellStart"/>
      <w:r>
        <w:t>Groth</w:t>
      </w:r>
      <w:proofErr w:type="spellEnd"/>
      <w:proofErr w:type="gramEnd"/>
      <w:r>
        <w:t xml:space="preserve">, S. W. (2015). Partnering with patients and families to develop an innovative multifamily therapy group treatment for adults with anorexia nervosa. </w:t>
      </w:r>
      <w:r w:rsidRPr="0054221F">
        <w:rPr>
          <w:i/>
          <w:iCs/>
        </w:rPr>
        <w:t xml:space="preserve">Adv Eat </w:t>
      </w:r>
      <w:proofErr w:type="spellStart"/>
      <w:r w:rsidRPr="0054221F">
        <w:rPr>
          <w:i/>
          <w:iCs/>
        </w:rPr>
        <w:t>Disord</w:t>
      </w:r>
      <w:proofErr w:type="spellEnd"/>
      <w:r w:rsidRPr="0054221F">
        <w:rPr>
          <w:i/>
          <w:iCs/>
        </w:rPr>
        <w:t>.</w:t>
      </w:r>
      <w:r>
        <w:t xml:space="preserve"> 3(3):269–87. </w:t>
      </w:r>
      <w:hyperlink r:id="rId20" w:history="1">
        <w:r w:rsidRPr="008C18DE">
          <w:rPr>
            <w:rStyle w:val="Hyperlink"/>
          </w:rPr>
          <w:t>https://doi.org/10.1080/21662630.2015.1048478</w:t>
        </w:r>
      </w:hyperlink>
      <w:r>
        <w:t xml:space="preserve">.  </w:t>
      </w:r>
    </w:p>
    <w:p w14:paraId="59778F60" w14:textId="77777777" w:rsidR="00461266" w:rsidRDefault="00461266" w:rsidP="00CC0A2E">
      <w:r>
        <w:t xml:space="preserve">Tierney, S. (2008). The individual within a condition: a qualitative study of young people’s reflections on being treated for anorexia nervosa. </w:t>
      </w:r>
      <w:r w:rsidRPr="0054221F">
        <w:rPr>
          <w:i/>
          <w:iCs/>
        </w:rPr>
        <w:t xml:space="preserve">J Am </w:t>
      </w:r>
      <w:proofErr w:type="spellStart"/>
      <w:r w:rsidRPr="0054221F">
        <w:rPr>
          <w:i/>
          <w:iCs/>
        </w:rPr>
        <w:t>Psychiatr</w:t>
      </w:r>
      <w:proofErr w:type="spellEnd"/>
      <w:r w:rsidRPr="0054221F">
        <w:rPr>
          <w:i/>
          <w:iCs/>
        </w:rPr>
        <w:t xml:space="preserve"> Nurses Assoc.</w:t>
      </w:r>
      <w:r>
        <w:t xml:space="preserve"> 13(6):368–75.</w:t>
      </w:r>
    </w:p>
    <w:p w14:paraId="5AC42D64" w14:textId="77777777" w:rsidR="00461266" w:rsidRDefault="00461266" w:rsidP="00CC0A2E">
      <w:pPr>
        <w:rPr>
          <w:rFonts w:ascii="Aptos" w:hAnsi="Aptos"/>
          <w:color w:val="000000"/>
        </w:rPr>
      </w:pPr>
      <w:r w:rsidRPr="00C2060A">
        <w:rPr>
          <w:rFonts w:ascii="Aptos" w:hAnsi="Aptos"/>
          <w:color w:val="000000"/>
        </w:rPr>
        <w:t xml:space="preserve">Treasure, J.; Claudino, A.M.; Zucker, N. </w:t>
      </w:r>
      <w:r>
        <w:rPr>
          <w:rFonts w:ascii="Aptos" w:hAnsi="Aptos"/>
          <w:color w:val="000000"/>
        </w:rPr>
        <w:t xml:space="preserve">(2010). </w:t>
      </w:r>
      <w:r w:rsidRPr="00C2060A">
        <w:rPr>
          <w:rFonts w:ascii="Aptos" w:hAnsi="Aptos"/>
          <w:color w:val="000000"/>
        </w:rPr>
        <w:t xml:space="preserve">Eating disorders. </w:t>
      </w:r>
      <w:r w:rsidRPr="0054221F">
        <w:rPr>
          <w:rFonts w:ascii="Aptos" w:hAnsi="Aptos"/>
          <w:i/>
          <w:iCs/>
          <w:color w:val="000000"/>
        </w:rPr>
        <w:t>Lancet</w:t>
      </w:r>
      <w:r w:rsidRPr="00C2060A">
        <w:rPr>
          <w:rFonts w:ascii="Aptos" w:hAnsi="Aptos"/>
          <w:color w:val="000000"/>
        </w:rPr>
        <w:t>, 375, 583–593</w:t>
      </w:r>
      <w:r>
        <w:rPr>
          <w:rFonts w:ascii="Aptos" w:hAnsi="Aptos"/>
          <w:color w:val="000000"/>
        </w:rPr>
        <w:t xml:space="preserve"> </w:t>
      </w:r>
      <w:hyperlink r:id="rId21" w:history="1">
        <w:r w:rsidRPr="008C18DE">
          <w:rPr>
            <w:rStyle w:val="Hyperlink"/>
            <w:rFonts w:ascii="Aptos" w:hAnsi="Aptos"/>
          </w:rPr>
          <w:t>https://www.thelancet.com/journals/lancet/article/PIIS0140-6736(09)61748-7/fulltext</w:t>
        </w:r>
      </w:hyperlink>
      <w:r>
        <w:rPr>
          <w:rFonts w:ascii="Aptos" w:hAnsi="Aptos"/>
          <w:color w:val="000000"/>
        </w:rPr>
        <w:t xml:space="preserve"> </w:t>
      </w:r>
    </w:p>
    <w:p w14:paraId="0955A3EE" w14:textId="77777777" w:rsidR="00C2060A" w:rsidRDefault="00C2060A" w:rsidP="00CC0A2E">
      <w:pPr>
        <w:rPr>
          <w:rFonts w:ascii="Aptos" w:hAnsi="Aptos"/>
          <w:color w:val="000000"/>
        </w:rPr>
      </w:pPr>
    </w:p>
    <w:p w14:paraId="69F99EDE" w14:textId="77777777" w:rsidR="00C10085" w:rsidRPr="00CC0A2E" w:rsidRDefault="00C10085" w:rsidP="00CC0A2E">
      <w:pPr>
        <w:rPr>
          <w:rFonts w:ascii="Aptos" w:hAnsi="Aptos"/>
          <w:color w:val="000000"/>
        </w:rPr>
      </w:pPr>
    </w:p>
    <w:p w14:paraId="70BDF51E" w14:textId="77777777" w:rsidR="004C5A45" w:rsidRPr="00A1258F" w:rsidRDefault="004C5A45" w:rsidP="00A1258F">
      <w:pPr>
        <w:rPr>
          <w:rFonts w:ascii="Aptos" w:hAnsi="Aptos"/>
          <w:color w:val="000000"/>
        </w:rPr>
      </w:pPr>
    </w:p>
    <w:sectPr w:rsidR="004C5A45" w:rsidRPr="00A1258F" w:rsidSect="0031335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Merriweather Sans">
    <w:charset w:val="00"/>
    <w:family w:val="auto"/>
    <w:pitch w:val="variable"/>
    <w:sig w:usb0="A00004FF" w:usb1="4000207B"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C30B9"/>
    <w:multiLevelType w:val="hybridMultilevel"/>
    <w:tmpl w:val="D32CE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65440C3"/>
    <w:multiLevelType w:val="hybridMultilevel"/>
    <w:tmpl w:val="5356A4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4133460"/>
    <w:multiLevelType w:val="multilevel"/>
    <w:tmpl w:val="2CAAE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103FE3"/>
    <w:multiLevelType w:val="multilevel"/>
    <w:tmpl w:val="54329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E75262"/>
    <w:multiLevelType w:val="multilevel"/>
    <w:tmpl w:val="77C40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A30E7F"/>
    <w:multiLevelType w:val="multilevel"/>
    <w:tmpl w:val="A8AEC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0E36D6"/>
    <w:multiLevelType w:val="multilevel"/>
    <w:tmpl w:val="E3CA4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266252"/>
    <w:multiLevelType w:val="multilevel"/>
    <w:tmpl w:val="58D8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1D4D5E"/>
    <w:multiLevelType w:val="multilevel"/>
    <w:tmpl w:val="8D7A1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2F59BE"/>
    <w:multiLevelType w:val="hybridMultilevel"/>
    <w:tmpl w:val="129E93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519466988">
    <w:abstractNumId w:val="0"/>
  </w:num>
  <w:num w:numId="2" w16cid:durableId="1573084278">
    <w:abstractNumId w:val="9"/>
  </w:num>
  <w:num w:numId="3" w16cid:durableId="105199515">
    <w:abstractNumId w:val="1"/>
  </w:num>
  <w:num w:numId="4" w16cid:durableId="1225995565">
    <w:abstractNumId w:val="8"/>
  </w:num>
  <w:num w:numId="5" w16cid:durableId="1301690921">
    <w:abstractNumId w:val="7"/>
  </w:num>
  <w:num w:numId="6" w16cid:durableId="934437439">
    <w:abstractNumId w:val="6"/>
  </w:num>
  <w:num w:numId="7" w16cid:durableId="939917397">
    <w:abstractNumId w:val="4"/>
  </w:num>
  <w:num w:numId="8" w16cid:durableId="817920075">
    <w:abstractNumId w:val="2"/>
  </w:num>
  <w:num w:numId="9" w16cid:durableId="1473135450">
    <w:abstractNumId w:val="5"/>
  </w:num>
  <w:num w:numId="10" w16cid:durableId="17954461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D80"/>
    <w:rsid w:val="00041202"/>
    <w:rsid w:val="00044CA9"/>
    <w:rsid w:val="0005354F"/>
    <w:rsid w:val="000735FF"/>
    <w:rsid w:val="00095D61"/>
    <w:rsid w:val="000B2B0B"/>
    <w:rsid w:val="000F0833"/>
    <w:rsid w:val="0014589E"/>
    <w:rsid w:val="001B5338"/>
    <w:rsid w:val="001C73E5"/>
    <w:rsid w:val="001E1C60"/>
    <w:rsid w:val="001F38AD"/>
    <w:rsid w:val="00205ACF"/>
    <w:rsid w:val="00233C62"/>
    <w:rsid w:val="002344AF"/>
    <w:rsid w:val="00277D77"/>
    <w:rsid w:val="00291A45"/>
    <w:rsid w:val="002A6CF7"/>
    <w:rsid w:val="002E6E7E"/>
    <w:rsid w:val="0031038E"/>
    <w:rsid w:val="00313357"/>
    <w:rsid w:val="00321E99"/>
    <w:rsid w:val="0038024D"/>
    <w:rsid w:val="00385445"/>
    <w:rsid w:val="003B2E2F"/>
    <w:rsid w:val="003B460D"/>
    <w:rsid w:val="003C18C4"/>
    <w:rsid w:val="003E6DCC"/>
    <w:rsid w:val="00430610"/>
    <w:rsid w:val="00433DE5"/>
    <w:rsid w:val="00461266"/>
    <w:rsid w:val="00463FE9"/>
    <w:rsid w:val="004C4D76"/>
    <w:rsid w:val="004C5A45"/>
    <w:rsid w:val="004D79AF"/>
    <w:rsid w:val="004E392C"/>
    <w:rsid w:val="0054221F"/>
    <w:rsid w:val="00545DFF"/>
    <w:rsid w:val="005F5065"/>
    <w:rsid w:val="005F6189"/>
    <w:rsid w:val="00613E3D"/>
    <w:rsid w:val="00632D80"/>
    <w:rsid w:val="00634392"/>
    <w:rsid w:val="00643FD8"/>
    <w:rsid w:val="006728E4"/>
    <w:rsid w:val="006829BD"/>
    <w:rsid w:val="00696193"/>
    <w:rsid w:val="00696373"/>
    <w:rsid w:val="006A5EF0"/>
    <w:rsid w:val="006C2178"/>
    <w:rsid w:val="006E2F38"/>
    <w:rsid w:val="0070539C"/>
    <w:rsid w:val="00717488"/>
    <w:rsid w:val="00731A9E"/>
    <w:rsid w:val="0073717E"/>
    <w:rsid w:val="00783D2A"/>
    <w:rsid w:val="007D2851"/>
    <w:rsid w:val="007D4E0A"/>
    <w:rsid w:val="00801A46"/>
    <w:rsid w:val="00802E92"/>
    <w:rsid w:val="00873A44"/>
    <w:rsid w:val="00890F5F"/>
    <w:rsid w:val="00895895"/>
    <w:rsid w:val="008A2D00"/>
    <w:rsid w:val="008A4184"/>
    <w:rsid w:val="008B705A"/>
    <w:rsid w:val="008F0701"/>
    <w:rsid w:val="00937000"/>
    <w:rsid w:val="009371CC"/>
    <w:rsid w:val="0095287C"/>
    <w:rsid w:val="0099005F"/>
    <w:rsid w:val="009E607D"/>
    <w:rsid w:val="00A1258F"/>
    <w:rsid w:val="00A73B5E"/>
    <w:rsid w:val="00A765A6"/>
    <w:rsid w:val="00A86E6E"/>
    <w:rsid w:val="00A877BF"/>
    <w:rsid w:val="00AB2301"/>
    <w:rsid w:val="00AC59C6"/>
    <w:rsid w:val="00AE5B1B"/>
    <w:rsid w:val="00B214CC"/>
    <w:rsid w:val="00B5788A"/>
    <w:rsid w:val="00B81B4A"/>
    <w:rsid w:val="00B828EC"/>
    <w:rsid w:val="00BA0CB5"/>
    <w:rsid w:val="00BB1700"/>
    <w:rsid w:val="00BC5168"/>
    <w:rsid w:val="00BE3A20"/>
    <w:rsid w:val="00BE5BE4"/>
    <w:rsid w:val="00C10085"/>
    <w:rsid w:val="00C14DCA"/>
    <w:rsid w:val="00C2060A"/>
    <w:rsid w:val="00C36706"/>
    <w:rsid w:val="00C43D7B"/>
    <w:rsid w:val="00C813D9"/>
    <w:rsid w:val="00CB3EFC"/>
    <w:rsid w:val="00CC0A2E"/>
    <w:rsid w:val="00CC3E6F"/>
    <w:rsid w:val="00CF5F08"/>
    <w:rsid w:val="00CF7402"/>
    <w:rsid w:val="00D0015C"/>
    <w:rsid w:val="00D450B4"/>
    <w:rsid w:val="00D46C2D"/>
    <w:rsid w:val="00D81E18"/>
    <w:rsid w:val="00D9552B"/>
    <w:rsid w:val="00DB3204"/>
    <w:rsid w:val="00DB710B"/>
    <w:rsid w:val="00DE023F"/>
    <w:rsid w:val="00E02029"/>
    <w:rsid w:val="00E30249"/>
    <w:rsid w:val="00E914F4"/>
    <w:rsid w:val="00F5568B"/>
    <w:rsid w:val="00F71C77"/>
    <w:rsid w:val="00F850E7"/>
    <w:rsid w:val="00F97165"/>
    <w:rsid w:val="00FA1D22"/>
    <w:rsid w:val="00FD3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273E0"/>
  <w15:chartTrackingRefBased/>
  <w15:docId w15:val="{B1BCFC93-CEAE-4519-8A70-E9EC5698F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2D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32D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2D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2D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2D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2D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2D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2D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2D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D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2D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2D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2D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2D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2D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2D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2D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2D80"/>
    <w:rPr>
      <w:rFonts w:eastAsiaTheme="majorEastAsia" w:cstheme="majorBidi"/>
      <w:color w:val="272727" w:themeColor="text1" w:themeTint="D8"/>
    </w:rPr>
  </w:style>
  <w:style w:type="paragraph" w:styleId="Title">
    <w:name w:val="Title"/>
    <w:basedOn w:val="Normal"/>
    <w:next w:val="Normal"/>
    <w:link w:val="TitleChar"/>
    <w:uiPriority w:val="10"/>
    <w:qFormat/>
    <w:rsid w:val="00632D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2D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2D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2D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2D80"/>
    <w:pPr>
      <w:spacing w:before="160"/>
      <w:jc w:val="center"/>
    </w:pPr>
    <w:rPr>
      <w:i/>
      <w:iCs/>
      <w:color w:val="404040" w:themeColor="text1" w:themeTint="BF"/>
    </w:rPr>
  </w:style>
  <w:style w:type="character" w:customStyle="1" w:styleId="QuoteChar">
    <w:name w:val="Quote Char"/>
    <w:basedOn w:val="DefaultParagraphFont"/>
    <w:link w:val="Quote"/>
    <w:uiPriority w:val="29"/>
    <w:rsid w:val="00632D80"/>
    <w:rPr>
      <w:i/>
      <w:iCs/>
      <w:color w:val="404040" w:themeColor="text1" w:themeTint="BF"/>
    </w:rPr>
  </w:style>
  <w:style w:type="paragraph" w:styleId="ListParagraph">
    <w:name w:val="List Paragraph"/>
    <w:basedOn w:val="Normal"/>
    <w:uiPriority w:val="34"/>
    <w:qFormat/>
    <w:rsid w:val="00632D80"/>
    <w:pPr>
      <w:ind w:left="720"/>
      <w:contextualSpacing/>
    </w:pPr>
  </w:style>
  <w:style w:type="character" w:styleId="IntenseEmphasis">
    <w:name w:val="Intense Emphasis"/>
    <w:basedOn w:val="DefaultParagraphFont"/>
    <w:uiPriority w:val="21"/>
    <w:qFormat/>
    <w:rsid w:val="00632D80"/>
    <w:rPr>
      <w:i/>
      <w:iCs/>
      <w:color w:val="0F4761" w:themeColor="accent1" w:themeShade="BF"/>
    </w:rPr>
  </w:style>
  <w:style w:type="paragraph" w:styleId="IntenseQuote">
    <w:name w:val="Intense Quote"/>
    <w:basedOn w:val="Normal"/>
    <w:next w:val="Normal"/>
    <w:link w:val="IntenseQuoteChar"/>
    <w:uiPriority w:val="30"/>
    <w:qFormat/>
    <w:rsid w:val="00632D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2D80"/>
    <w:rPr>
      <w:i/>
      <w:iCs/>
      <w:color w:val="0F4761" w:themeColor="accent1" w:themeShade="BF"/>
    </w:rPr>
  </w:style>
  <w:style w:type="character" w:styleId="IntenseReference">
    <w:name w:val="Intense Reference"/>
    <w:basedOn w:val="DefaultParagraphFont"/>
    <w:uiPriority w:val="32"/>
    <w:qFormat/>
    <w:rsid w:val="00632D80"/>
    <w:rPr>
      <w:b/>
      <w:bCs/>
      <w:smallCaps/>
      <w:color w:val="0F4761" w:themeColor="accent1" w:themeShade="BF"/>
      <w:spacing w:val="5"/>
    </w:rPr>
  </w:style>
  <w:style w:type="table" w:styleId="TableGrid">
    <w:name w:val="Table Grid"/>
    <w:basedOn w:val="TableNormal"/>
    <w:uiPriority w:val="39"/>
    <w:rsid w:val="006A5E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C0A2E"/>
    <w:rPr>
      <w:color w:val="467886" w:themeColor="hyperlink"/>
      <w:u w:val="single"/>
    </w:rPr>
  </w:style>
  <w:style w:type="character" w:styleId="UnresolvedMention">
    <w:name w:val="Unresolved Mention"/>
    <w:basedOn w:val="DefaultParagraphFont"/>
    <w:uiPriority w:val="99"/>
    <w:semiHidden/>
    <w:unhideWhenUsed/>
    <w:rsid w:val="00CC0A2E"/>
    <w:rPr>
      <w:color w:val="605E5C"/>
      <w:shd w:val="clear" w:color="auto" w:fill="E1DFDD"/>
    </w:rPr>
  </w:style>
  <w:style w:type="paragraph" w:styleId="NoSpacing">
    <w:name w:val="No Spacing"/>
    <w:link w:val="NoSpacingChar"/>
    <w:uiPriority w:val="1"/>
    <w:qFormat/>
    <w:rsid w:val="0031335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13357"/>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6/appi.books.9780890425596" TargetMode="External"/><Relationship Id="rId13" Type="http://schemas.openxmlformats.org/officeDocument/2006/relationships/hyperlink" Target="https://doi.org/10.1186/s40337-020-00307-2" TargetMode="External"/><Relationship Id="rId18" Type="http://schemas.openxmlformats.org/officeDocument/2006/relationships/hyperlink" Target="https://pubmed.ncbi.nlm.nih.gov/3318754/" TargetMode="External"/><Relationship Id="rId3" Type="http://schemas.openxmlformats.org/officeDocument/2006/relationships/settings" Target="settings.xml"/><Relationship Id="rId21" Type="http://schemas.openxmlformats.org/officeDocument/2006/relationships/hyperlink" Target="https://www.thelancet.com/journals/lancet/article/PIIS0140-6736(09)61748-7/fulltext" TargetMode="External"/><Relationship Id="rId7" Type="http://schemas.openxmlformats.org/officeDocument/2006/relationships/image" Target="media/image3.png"/><Relationship Id="rId12" Type="http://schemas.openxmlformats.org/officeDocument/2006/relationships/hyperlink" Target="https://doi.org/10.1111/1467-6427.12055" TargetMode="External"/><Relationship Id="rId17" Type="http://schemas.openxmlformats.org/officeDocument/2006/relationships/hyperlink" Target="https://doi.org/10.1002/erv.2577" TargetMode="External"/><Relationship Id="rId2" Type="http://schemas.openxmlformats.org/officeDocument/2006/relationships/styles" Target="styles.xml"/><Relationship Id="rId16" Type="http://schemas.openxmlformats.org/officeDocument/2006/relationships/hyperlink" Target="https://www.nice.org.uk/guidance/ng69" TargetMode="External"/><Relationship Id="rId20" Type="http://schemas.openxmlformats.org/officeDocument/2006/relationships/hyperlink" Target="https://doi.org/10.1080/21662630.2015.1048478"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02/erv.2572"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books.google.co.uk/books?hl=en&amp;lr=&amp;id=_uEaVpbiyD4C&amp;oi=fnd&amp;pg=PR9&amp;ots=A4qltxyA6z&amp;sig=mA2rGVXq2VtWLuO0rVNU3plevKk&amp;redir_esc=y" TargetMode="External"/><Relationship Id="rId23" Type="http://schemas.openxmlformats.org/officeDocument/2006/relationships/glossaryDocument" Target="glossary/document.xml"/><Relationship Id="rId10" Type="http://schemas.openxmlformats.org/officeDocument/2006/relationships/hyperlink" Target="https://doi.org/10.3390/ijerph192316237" TargetMode="External"/><Relationship Id="rId19" Type="http://schemas.openxmlformats.org/officeDocument/2006/relationships/hyperlink" Target="https://doi.org/10.1177/00332941241226687" TargetMode="External"/><Relationship Id="rId4" Type="http://schemas.openxmlformats.org/officeDocument/2006/relationships/webSettings" Target="webSettings.xml"/><Relationship Id="rId9" Type="http://schemas.openxmlformats.org/officeDocument/2006/relationships/hyperlink" Target="https://doi.org/10.1002/eat.22513" TargetMode="External"/><Relationship Id="rId14" Type="http://schemas.openxmlformats.org/officeDocument/2006/relationships/hyperlink" Target="https://www.researchgate.net/publication/345675699_Parents'_experiences_of_having_an_adult_daughter_with_an_eating_disorder"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C31139F464743E98AEC868483BE89D2"/>
        <w:category>
          <w:name w:val="General"/>
          <w:gallery w:val="placeholder"/>
        </w:category>
        <w:types>
          <w:type w:val="bbPlcHdr"/>
        </w:types>
        <w:behaviors>
          <w:behavior w:val="content"/>
        </w:behaviors>
        <w:guid w:val="{2194A4C5-B979-4768-9CD7-9A2926362C7F}"/>
      </w:docPartPr>
      <w:docPartBody>
        <w:p w:rsidR="00767E7C" w:rsidRDefault="00692C48" w:rsidP="00692C48">
          <w:pPr>
            <w:pStyle w:val="FC31139F464743E98AEC868483BE89D2"/>
          </w:pPr>
          <w:r>
            <w:rPr>
              <w:rFonts w:asciiTheme="majorHAnsi" w:eastAsiaTheme="majorEastAsia" w:hAnsiTheme="majorHAnsi" w:cstheme="majorBidi"/>
              <w:caps/>
              <w:color w:val="156082" w:themeColor="accent1"/>
              <w:sz w:val="80"/>
              <w:szCs w:val="80"/>
            </w:rPr>
            <w:t>[Document title]</w:t>
          </w:r>
        </w:p>
      </w:docPartBody>
    </w:docPart>
    <w:docPart>
      <w:docPartPr>
        <w:name w:val="A4E65A2FCA7443F8A222361EC273B277"/>
        <w:category>
          <w:name w:val="General"/>
          <w:gallery w:val="placeholder"/>
        </w:category>
        <w:types>
          <w:type w:val="bbPlcHdr"/>
        </w:types>
        <w:behaviors>
          <w:behavior w:val="content"/>
        </w:behaviors>
        <w:guid w:val="{233F6FC9-39A7-4C9B-835C-0F45F3B80F74}"/>
      </w:docPartPr>
      <w:docPartBody>
        <w:p w:rsidR="00767E7C" w:rsidRDefault="00692C48" w:rsidP="00692C48">
          <w:pPr>
            <w:pStyle w:val="A4E65A2FCA7443F8A222361EC273B27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Merriweather Sans">
    <w:charset w:val="00"/>
    <w:family w:val="auto"/>
    <w:pitch w:val="variable"/>
    <w:sig w:usb0="A00004FF" w:usb1="4000207B" w:usb2="00000000" w:usb3="00000000" w:csb0="000001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C48"/>
    <w:rsid w:val="00692C48"/>
    <w:rsid w:val="00767E7C"/>
    <w:rsid w:val="00BA0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31139F464743E98AEC868483BE89D2">
    <w:name w:val="FC31139F464743E98AEC868483BE89D2"/>
    <w:rsid w:val="00692C48"/>
  </w:style>
  <w:style w:type="paragraph" w:customStyle="1" w:styleId="A4E65A2FCA7443F8A222361EC273B277">
    <w:name w:val="A4E65A2FCA7443F8A222361EC273B277"/>
    <w:rsid w:val="00692C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5307</TotalTime>
  <Pages>22</Pages>
  <Words>6034</Words>
  <Characters>36810</Characters>
  <Application>Microsoft Office Word</Application>
  <DocSecurity>0</DocSecurity>
  <Lines>920</Lines>
  <Paragraphs>337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ECCY7006</dc:title>
  <dc:subject>Written Assignment: A Systematic Literature Review</dc:subject>
  <dc:creator>charlene griffiths</dc:creator>
  <cp:keywords/>
  <dc:description/>
  <cp:lastModifiedBy>charlene griffiths</cp:lastModifiedBy>
  <cp:revision>37</cp:revision>
  <cp:lastPrinted>2026-05-02T11:09:00Z</cp:lastPrinted>
  <dcterms:created xsi:type="dcterms:W3CDTF">2026-05-02T11:09:00Z</dcterms:created>
  <dcterms:modified xsi:type="dcterms:W3CDTF">2026-05-10T16:13:00Z</dcterms:modified>
</cp:coreProperties>
</file>