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EF945F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w:t>
            </w:r>
            <w:r w:rsidR="00CA0715">
              <w:rPr>
                <w:b/>
                <w:color w:val="auto"/>
                <w:sz w:val="32"/>
              </w:rPr>
              <w:t>Shannen FOWLER</w:t>
            </w:r>
            <w:r>
              <w:rPr>
                <w:b/>
                <w:color w:val="auto"/>
                <w:sz w:val="32"/>
              </w:rPr>
              <w:t>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BFE3D43" w:rsidR="00575A8F" w:rsidRDefault="00575A8F" w:rsidP="00E6298B">
            <w:pPr>
              <w:overflowPunct/>
              <w:autoSpaceDE/>
              <w:autoSpaceDN/>
              <w:adjustRightInd/>
              <w:ind w:right="107"/>
              <w:textAlignment w:val="auto"/>
              <w:rPr>
                <w:b/>
                <w:color w:val="auto"/>
                <w:sz w:val="32"/>
              </w:rPr>
            </w:pPr>
            <w:r>
              <w:rPr>
                <w:b/>
                <w:color w:val="auto"/>
                <w:sz w:val="32"/>
              </w:rPr>
              <w:t>___</w:t>
            </w:r>
            <w:r w:rsidR="00B75940">
              <w:rPr>
                <w:b/>
                <w:color w:val="auto"/>
                <w:sz w:val="32"/>
              </w:rPr>
              <w:t>2245960</w:t>
            </w:r>
            <w:r>
              <w:rPr>
                <w:b/>
                <w:color w:val="auto"/>
                <w:sz w:val="32"/>
              </w:rPr>
              <w:t>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6045070D" w14:textId="77777777" w:rsidR="001A0977" w:rsidRDefault="001A0977"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35632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3B1933" w:rsidRDefault="00FF7784" w:rsidP="003B1933">
      <w:pPr>
        <w:spacing w:line="276" w:lineRule="auto"/>
        <w:ind w:right="107"/>
        <w:jc w:val="both"/>
        <w:rPr>
          <w:sz w:val="22"/>
          <w:szCs w:val="22"/>
        </w:rPr>
      </w:pPr>
    </w:p>
    <w:p w14:paraId="532CA492" w14:textId="77777777" w:rsidR="00826436" w:rsidRPr="003B1933" w:rsidRDefault="00826436" w:rsidP="003B1933">
      <w:pPr>
        <w:spacing w:line="276" w:lineRule="auto"/>
        <w:rPr>
          <w:rFonts w:eastAsia="Arial"/>
          <w:color w:val="000000" w:themeColor="text1"/>
          <w:sz w:val="22"/>
          <w:szCs w:val="22"/>
        </w:rPr>
      </w:pPr>
      <w:r w:rsidRPr="003B1933">
        <w:rPr>
          <w:rFonts w:eastAsia="Arial"/>
          <w:color w:val="000000" w:themeColor="text1"/>
          <w:sz w:val="22"/>
          <w:szCs w:val="22"/>
        </w:rPr>
        <w:t xml:space="preserve">In this essay I will be discussing the coping strategies I have applied to develop resilience and minimise stress since being attested as a Police Constable in March 2023. </w:t>
      </w:r>
      <w:proofErr w:type="gramStart"/>
      <w:r w:rsidRPr="003B1933">
        <w:rPr>
          <w:rFonts w:eastAsia="Arial"/>
          <w:color w:val="000000" w:themeColor="text1"/>
          <w:sz w:val="22"/>
          <w:szCs w:val="22"/>
        </w:rPr>
        <w:t>In order to</w:t>
      </w:r>
      <w:proofErr w:type="gramEnd"/>
      <w:r w:rsidRPr="003B1933">
        <w:rPr>
          <w:rFonts w:eastAsia="Arial"/>
          <w:color w:val="000000" w:themeColor="text1"/>
          <w:sz w:val="22"/>
          <w:szCs w:val="22"/>
        </w:rPr>
        <w:t xml:space="preserve"> do so in a concise and systematic manner, I will be applying Borton’s ‘Model of Reflection’ </w:t>
      </w:r>
      <w:sdt>
        <w:sdtPr>
          <w:rPr>
            <w:rFonts w:eastAsia="Arial"/>
            <w:color w:val="000000" w:themeColor="text1"/>
            <w:sz w:val="22"/>
            <w:szCs w:val="22"/>
          </w:rPr>
          <w:id w:val="-972748647"/>
          <w:citation/>
        </w:sdtPr>
        <w:sdtEndPr/>
        <w:sdtContent>
          <w:r w:rsidRPr="003B1933">
            <w:rPr>
              <w:rFonts w:eastAsia="Arial"/>
              <w:color w:val="000000" w:themeColor="text1"/>
              <w:sz w:val="22"/>
              <w:szCs w:val="22"/>
            </w:rPr>
            <w:fldChar w:fldCharType="begin"/>
          </w:r>
          <w:r w:rsidRPr="003B1933">
            <w:rPr>
              <w:rFonts w:eastAsia="Arial"/>
              <w:color w:val="000000" w:themeColor="text1"/>
              <w:sz w:val="22"/>
              <w:szCs w:val="22"/>
            </w:rPr>
            <w:instrText xml:space="preserve"> CITATION Bor70 \l 2057 </w:instrText>
          </w:r>
          <w:r w:rsidRPr="003B1933">
            <w:rPr>
              <w:rFonts w:eastAsia="Arial"/>
              <w:color w:val="000000" w:themeColor="text1"/>
              <w:sz w:val="22"/>
              <w:szCs w:val="22"/>
            </w:rPr>
            <w:fldChar w:fldCharType="separate"/>
          </w:r>
          <w:r w:rsidRPr="003B1933">
            <w:rPr>
              <w:rFonts w:eastAsia="Arial"/>
              <w:noProof/>
              <w:color w:val="000000" w:themeColor="text1"/>
              <w:sz w:val="22"/>
              <w:szCs w:val="22"/>
            </w:rPr>
            <w:t>(Borton, 1970)</w:t>
          </w:r>
          <w:r w:rsidRPr="003B1933">
            <w:rPr>
              <w:rFonts w:eastAsia="Arial"/>
              <w:color w:val="000000" w:themeColor="text1"/>
              <w:sz w:val="22"/>
              <w:szCs w:val="22"/>
            </w:rPr>
            <w:fldChar w:fldCharType="end"/>
          </w:r>
        </w:sdtContent>
      </w:sdt>
      <w:r w:rsidRPr="003B1933">
        <w:rPr>
          <w:rFonts w:eastAsia="Arial"/>
          <w:color w:val="000000" w:themeColor="text1"/>
          <w:sz w:val="22"/>
          <w:szCs w:val="22"/>
        </w:rPr>
        <w:t xml:space="preserve">. This model is focused on three central questions; “what?”, “so what?” and “now what?”. The first of these questions relates to the context of the experience and the feelings evoked as a result, specifically stress, as well as the importance of developing strategies to build resilience to maintain optimal functioning personally and within a policing environment. Next, the “so what?” relates to the methods I adopted to overcome stress and the implications regarding my ability to deal with the problem. Finally, Borton’s “now what?” concerns my action plan based on what I have learnt from the experience. This involves comparing and reflecting on what was effective and what wasn’t and what considerations I need to make to ensure the strategies remain successful throughout my career. </w:t>
      </w:r>
    </w:p>
    <w:p w14:paraId="043561EB" w14:textId="77777777" w:rsidR="00826436" w:rsidRPr="003B1933" w:rsidRDefault="00826436" w:rsidP="003B1933">
      <w:pPr>
        <w:spacing w:line="276" w:lineRule="auto"/>
        <w:rPr>
          <w:rFonts w:eastAsia="Arial"/>
          <w:color w:val="000000" w:themeColor="text1"/>
          <w:sz w:val="22"/>
          <w:szCs w:val="22"/>
        </w:rPr>
      </w:pPr>
    </w:p>
    <w:p w14:paraId="0B855310" w14:textId="77777777" w:rsidR="00826436" w:rsidRPr="003B1933" w:rsidRDefault="00826436" w:rsidP="003B1933">
      <w:pPr>
        <w:spacing w:line="276" w:lineRule="auto"/>
        <w:rPr>
          <w:rFonts w:eastAsia="Arial"/>
          <w:color w:val="000000" w:themeColor="text1"/>
          <w:sz w:val="22"/>
          <w:szCs w:val="22"/>
        </w:rPr>
      </w:pPr>
    </w:p>
    <w:p w14:paraId="72B246EF" w14:textId="77777777" w:rsidR="00826436" w:rsidRPr="003B1933" w:rsidRDefault="00826436" w:rsidP="003B1933">
      <w:pPr>
        <w:spacing w:line="276" w:lineRule="auto"/>
        <w:rPr>
          <w:sz w:val="22"/>
          <w:szCs w:val="22"/>
        </w:rPr>
      </w:pPr>
      <w:r w:rsidRPr="003B1933">
        <w:rPr>
          <w:sz w:val="22"/>
          <w:szCs w:val="22"/>
        </w:rPr>
        <w:t xml:space="preserve">As a police force providing their service for 1.3 million people </w:t>
      </w:r>
      <w:sdt>
        <w:sdtPr>
          <w:rPr>
            <w:sz w:val="22"/>
            <w:szCs w:val="22"/>
          </w:rPr>
          <w:id w:val="1921440356"/>
          <w:citation/>
        </w:sdtPr>
        <w:sdtEndPr/>
        <w:sdtContent>
          <w:r w:rsidRPr="003B1933">
            <w:rPr>
              <w:sz w:val="22"/>
              <w:szCs w:val="22"/>
            </w:rPr>
            <w:fldChar w:fldCharType="begin"/>
          </w:r>
          <w:r w:rsidRPr="003B1933">
            <w:rPr>
              <w:sz w:val="22"/>
              <w:szCs w:val="22"/>
            </w:rPr>
            <w:instrText xml:space="preserve">CITATION Sou23 \l 2057 </w:instrText>
          </w:r>
          <w:r w:rsidRPr="003B1933">
            <w:rPr>
              <w:sz w:val="22"/>
              <w:szCs w:val="22"/>
            </w:rPr>
            <w:fldChar w:fldCharType="separate"/>
          </w:r>
          <w:r w:rsidRPr="003B1933">
            <w:rPr>
              <w:noProof/>
              <w:sz w:val="22"/>
              <w:szCs w:val="22"/>
            </w:rPr>
            <w:t>(South Wales Police, n.d.)</w:t>
          </w:r>
          <w:r w:rsidRPr="003B1933">
            <w:rPr>
              <w:sz w:val="22"/>
              <w:szCs w:val="22"/>
            </w:rPr>
            <w:fldChar w:fldCharType="end"/>
          </w:r>
        </w:sdtContent>
      </w:sdt>
      <w:r w:rsidRPr="003B1933">
        <w:rPr>
          <w:sz w:val="22"/>
          <w:szCs w:val="22"/>
        </w:rPr>
        <w:t xml:space="preserve">, highly stressful situations are inevitable. Stress is defined as “a state of worry or mental tension caused by a difficult situation” </w:t>
      </w:r>
      <w:sdt>
        <w:sdtPr>
          <w:rPr>
            <w:sz w:val="22"/>
            <w:szCs w:val="22"/>
          </w:rPr>
          <w:id w:val="-52314191"/>
          <w:citation/>
        </w:sdtPr>
        <w:sdtEndPr/>
        <w:sdtContent>
          <w:r w:rsidRPr="003B1933">
            <w:rPr>
              <w:sz w:val="22"/>
              <w:szCs w:val="22"/>
            </w:rPr>
            <w:fldChar w:fldCharType="begin"/>
          </w:r>
          <w:r w:rsidRPr="003B1933">
            <w:rPr>
              <w:sz w:val="22"/>
              <w:szCs w:val="22"/>
            </w:rPr>
            <w:instrText xml:space="preserve"> CITATION Wor23 \l 2057 </w:instrText>
          </w:r>
          <w:r w:rsidRPr="003B1933">
            <w:rPr>
              <w:sz w:val="22"/>
              <w:szCs w:val="22"/>
            </w:rPr>
            <w:fldChar w:fldCharType="separate"/>
          </w:r>
          <w:r w:rsidRPr="003B1933">
            <w:rPr>
              <w:noProof/>
              <w:sz w:val="22"/>
              <w:szCs w:val="22"/>
            </w:rPr>
            <w:t>(World Health Organisation, 2023)</w:t>
          </w:r>
          <w:r w:rsidRPr="003B1933">
            <w:rPr>
              <w:sz w:val="22"/>
              <w:szCs w:val="22"/>
            </w:rPr>
            <w:fldChar w:fldCharType="end"/>
          </w:r>
        </w:sdtContent>
      </w:sdt>
      <w:r w:rsidRPr="003B1933">
        <w:rPr>
          <w:sz w:val="22"/>
          <w:szCs w:val="22"/>
        </w:rPr>
        <w:t xml:space="preserve">, and although is not it itself always detrimental, as shown in a study by Kirby et al. that demonstrates brief stress is beneficial for the brain’s hippocampus </w:t>
      </w:r>
      <w:sdt>
        <w:sdtPr>
          <w:rPr>
            <w:sz w:val="22"/>
            <w:szCs w:val="22"/>
          </w:rPr>
          <w:id w:val="-767999741"/>
          <w:citation/>
        </w:sdtPr>
        <w:sdtEndPr/>
        <w:sdtContent>
          <w:r w:rsidRPr="003B1933">
            <w:rPr>
              <w:sz w:val="22"/>
              <w:szCs w:val="22"/>
            </w:rPr>
            <w:fldChar w:fldCharType="begin"/>
          </w:r>
          <w:r w:rsidRPr="003B1933">
            <w:rPr>
              <w:sz w:val="22"/>
              <w:szCs w:val="22"/>
            </w:rPr>
            <w:instrText xml:space="preserve"> CITATION Kir13 \l 2057 </w:instrText>
          </w:r>
          <w:r w:rsidRPr="003B1933">
            <w:rPr>
              <w:sz w:val="22"/>
              <w:szCs w:val="22"/>
            </w:rPr>
            <w:fldChar w:fldCharType="separate"/>
          </w:r>
          <w:r w:rsidRPr="003B1933">
            <w:rPr>
              <w:noProof/>
              <w:sz w:val="22"/>
              <w:szCs w:val="22"/>
            </w:rPr>
            <w:t>(Kirby, et al., 2013)</w:t>
          </w:r>
          <w:r w:rsidRPr="003B1933">
            <w:rPr>
              <w:sz w:val="22"/>
              <w:szCs w:val="22"/>
            </w:rPr>
            <w:fldChar w:fldCharType="end"/>
          </w:r>
        </w:sdtContent>
      </w:sdt>
      <w:r w:rsidRPr="003B1933">
        <w:rPr>
          <w:sz w:val="22"/>
          <w:szCs w:val="22"/>
        </w:rPr>
        <w:t xml:space="preserve">, long term sustained stress can have severe consequences on mental, physical and emotional health </w:t>
      </w:r>
      <w:sdt>
        <w:sdtPr>
          <w:rPr>
            <w:sz w:val="22"/>
            <w:szCs w:val="22"/>
          </w:rPr>
          <w:id w:val="-1752878218"/>
          <w:citation/>
        </w:sdtPr>
        <w:sdtEndPr/>
        <w:sdtContent>
          <w:r w:rsidRPr="003B1933">
            <w:rPr>
              <w:sz w:val="22"/>
              <w:szCs w:val="22"/>
            </w:rPr>
            <w:fldChar w:fldCharType="begin"/>
          </w:r>
          <w:r w:rsidRPr="003B1933">
            <w:rPr>
              <w:sz w:val="22"/>
              <w:szCs w:val="22"/>
            </w:rPr>
            <w:instrText xml:space="preserve"> CITATION Nic19 \l 2057 </w:instrText>
          </w:r>
          <w:r w:rsidRPr="003B1933">
            <w:rPr>
              <w:sz w:val="22"/>
              <w:szCs w:val="22"/>
            </w:rPr>
            <w:fldChar w:fldCharType="separate"/>
          </w:r>
          <w:r w:rsidRPr="003B1933">
            <w:rPr>
              <w:noProof/>
              <w:sz w:val="22"/>
              <w:szCs w:val="22"/>
            </w:rPr>
            <w:t>(Rohleder, 2019)</w:t>
          </w:r>
          <w:r w:rsidRPr="003B1933">
            <w:rPr>
              <w:sz w:val="22"/>
              <w:szCs w:val="22"/>
            </w:rPr>
            <w:fldChar w:fldCharType="end"/>
          </w:r>
        </w:sdtContent>
      </w:sdt>
      <w:r w:rsidRPr="003B1933">
        <w:rPr>
          <w:sz w:val="22"/>
          <w:szCs w:val="22"/>
        </w:rPr>
        <w:t xml:space="preserve">. Resilience is ‘the human ability to adapt in the face of tragedy, trauma, adversity, hardship, and ongoing significant life stressors </w:t>
      </w:r>
      <w:sdt>
        <w:sdtPr>
          <w:rPr>
            <w:sz w:val="22"/>
            <w:szCs w:val="22"/>
          </w:rPr>
          <w:id w:val="1500159163"/>
          <w:citation/>
        </w:sdtPr>
        <w:sdtEndPr/>
        <w:sdtContent>
          <w:r w:rsidRPr="003B1933">
            <w:rPr>
              <w:sz w:val="22"/>
              <w:szCs w:val="22"/>
            </w:rPr>
            <w:fldChar w:fldCharType="begin"/>
          </w:r>
          <w:r w:rsidRPr="003B1933">
            <w:rPr>
              <w:sz w:val="22"/>
              <w:szCs w:val="22"/>
            </w:rPr>
            <w:instrText xml:space="preserve"> CITATION Rus05 \l 2057 </w:instrText>
          </w:r>
          <w:r w:rsidRPr="003B1933">
            <w:rPr>
              <w:sz w:val="22"/>
              <w:szCs w:val="22"/>
            </w:rPr>
            <w:fldChar w:fldCharType="separate"/>
          </w:r>
          <w:r w:rsidRPr="003B1933">
            <w:rPr>
              <w:noProof/>
              <w:sz w:val="22"/>
              <w:szCs w:val="22"/>
            </w:rPr>
            <w:t>(Newman, 2005)</w:t>
          </w:r>
          <w:r w:rsidRPr="003B1933">
            <w:rPr>
              <w:sz w:val="22"/>
              <w:szCs w:val="22"/>
            </w:rPr>
            <w:fldChar w:fldCharType="end"/>
          </w:r>
        </w:sdtContent>
      </w:sdt>
      <w:r w:rsidRPr="003B1933">
        <w:rPr>
          <w:sz w:val="22"/>
          <w:szCs w:val="22"/>
        </w:rPr>
        <w:t xml:space="preserve">. This is significantly relevant in the context of policing as the role entails continuous dealings with individuals often during the worst moment of their lives. Therefore, an inability to adapt and overcome difficult situations has the potential to lead to not only burn- out and other health problems, but a reduced capability to perform well in the role- directly impacting those we aim to help. </w:t>
      </w:r>
    </w:p>
    <w:p w14:paraId="11EF1A31" w14:textId="77777777" w:rsidR="00826436" w:rsidRPr="003B1933" w:rsidRDefault="00826436" w:rsidP="003B1933">
      <w:pPr>
        <w:spacing w:line="276" w:lineRule="auto"/>
        <w:rPr>
          <w:sz w:val="22"/>
          <w:szCs w:val="22"/>
        </w:rPr>
      </w:pPr>
    </w:p>
    <w:p w14:paraId="2F784EC1" w14:textId="77777777" w:rsidR="00826436" w:rsidRPr="003B1933" w:rsidRDefault="00826436" w:rsidP="003B1933">
      <w:pPr>
        <w:spacing w:line="276" w:lineRule="auto"/>
        <w:rPr>
          <w:sz w:val="22"/>
          <w:szCs w:val="22"/>
        </w:rPr>
      </w:pPr>
    </w:p>
    <w:p w14:paraId="3C582D1F" w14:textId="77777777" w:rsidR="00826436" w:rsidRPr="003B1933" w:rsidRDefault="00826436" w:rsidP="003B1933">
      <w:pPr>
        <w:spacing w:line="276" w:lineRule="auto"/>
        <w:rPr>
          <w:sz w:val="22"/>
          <w:szCs w:val="22"/>
        </w:rPr>
      </w:pPr>
      <w:r w:rsidRPr="003B1933">
        <w:rPr>
          <w:sz w:val="22"/>
          <w:szCs w:val="22"/>
        </w:rPr>
        <w:t xml:space="preserve">Having explored the meaning of stress and resilience and the potential impact of poor stress management within a policing role which constitutes the “what?” portion of Borton’s model, I will now move on to the next phase, “so what?”. Here I will discuss the methods that were beneficial to me, </w:t>
      </w:r>
      <w:r w:rsidRPr="003B1933">
        <w:rPr>
          <w:sz w:val="22"/>
          <w:szCs w:val="22"/>
        </w:rPr>
        <w:lastRenderedPageBreak/>
        <w:t xml:space="preserve">including what information and experience I based my decisions on </w:t>
      </w:r>
      <w:proofErr w:type="gramStart"/>
      <w:r w:rsidRPr="003B1933">
        <w:rPr>
          <w:sz w:val="22"/>
          <w:szCs w:val="22"/>
        </w:rPr>
        <w:t>in order to</w:t>
      </w:r>
      <w:proofErr w:type="gramEnd"/>
      <w:r w:rsidRPr="003B1933">
        <w:rPr>
          <w:sz w:val="22"/>
          <w:szCs w:val="22"/>
        </w:rPr>
        <w:t xml:space="preserve"> obtain the most desirable outcome. </w:t>
      </w:r>
    </w:p>
    <w:p w14:paraId="2531D1A9" w14:textId="77777777" w:rsidR="00826436" w:rsidRPr="003B1933" w:rsidRDefault="00826436" w:rsidP="003B1933">
      <w:pPr>
        <w:spacing w:line="276" w:lineRule="auto"/>
        <w:rPr>
          <w:sz w:val="22"/>
          <w:szCs w:val="22"/>
        </w:rPr>
      </w:pPr>
    </w:p>
    <w:p w14:paraId="7245F83D" w14:textId="77777777" w:rsidR="00826436" w:rsidRPr="003B1933" w:rsidRDefault="00826436" w:rsidP="003B1933">
      <w:pPr>
        <w:spacing w:line="276" w:lineRule="auto"/>
        <w:rPr>
          <w:sz w:val="22"/>
          <w:szCs w:val="22"/>
        </w:rPr>
      </w:pPr>
    </w:p>
    <w:p w14:paraId="1DC7C020" w14:textId="77777777" w:rsidR="00826436" w:rsidRPr="003B1933" w:rsidRDefault="00826436" w:rsidP="003B1933">
      <w:pPr>
        <w:spacing w:line="276" w:lineRule="auto"/>
        <w:rPr>
          <w:sz w:val="22"/>
          <w:szCs w:val="22"/>
        </w:rPr>
      </w:pPr>
      <w:r w:rsidRPr="003B1933">
        <w:rPr>
          <w:sz w:val="22"/>
          <w:szCs w:val="22"/>
        </w:rPr>
        <w:t xml:space="preserve">The first coping strategy I used throughout my initial 6 months of learning was exercise, namely dancing. This is a relatively new activity for me and quickly became an essential part of my routine as I found not only does it improve my overall fitness level but significantly boosts my mood by providing a physical outlet for stress. There are a considerable number of studies boasting the benefits of exercise for mental health- one article stated that evidence has shown it is comparable to established treatments such as CBD and certain medication in the treatment of elevated anxiety </w:t>
      </w:r>
      <w:sdt>
        <w:sdtPr>
          <w:rPr>
            <w:sz w:val="22"/>
            <w:szCs w:val="22"/>
          </w:rPr>
          <w:id w:val="1306352515"/>
          <w:citation/>
        </w:sdtPr>
        <w:sdtEndPr/>
        <w:sdtContent>
          <w:r w:rsidRPr="003B1933">
            <w:rPr>
              <w:sz w:val="22"/>
              <w:szCs w:val="22"/>
            </w:rPr>
            <w:fldChar w:fldCharType="begin"/>
          </w:r>
          <w:r w:rsidRPr="003B1933">
            <w:rPr>
              <w:sz w:val="22"/>
              <w:szCs w:val="22"/>
            </w:rPr>
            <w:instrText xml:space="preserve">CITATION Sto15 \l 2057 </w:instrText>
          </w:r>
          <w:r w:rsidRPr="003B1933">
            <w:rPr>
              <w:sz w:val="22"/>
              <w:szCs w:val="22"/>
            </w:rPr>
            <w:fldChar w:fldCharType="separate"/>
          </w:r>
          <w:r w:rsidRPr="003B1933">
            <w:rPr>
              <w:noProof/>
              <w:sz w:val="22"/>
              <w:szCs w:val="22"/>
            </w:rPr>
            <w:t>(Stonerock, et al., 2015)</w:t>
          </w:r>
          <w:r w:rsidRPr="003B1933">
            <w:rPr>
              <w:sz w:val="22"/>
              <w:szCs w:val="22"/>
            </w:rPr>
            <w:fldChar w:fldCharType="end"/>
          </w:r>
        </w:sdtContent>
      </w:sdt>
      <w:r w:rsidRPr="003B1933">
        <w:rPr>
          <w:sz w:val="22"/>
          <w:szCs w:val="22"/>
        </w:rPr>
        <w:t xml:space="preserve">. It must however be noted that further research is required to confirm exactly which mechanisms are responsible for the reduction of stress during physical activity. In the past, I have struggled remaining consistent at the gym as I found lifting weights and using a treadmill promptly became mundane and monotonous. Since beginning dance classes, I have found that exercising within a group and forming relationships with other members has held me accountable and forced me to push myself to remain motivated. A study conducted over 12 weeks on medical students experiencing stress (comparable to the stress associated with policing) found that those who regularly participated in group fitness classes led to a decrease in perceived stress as well as an increase in physical, emotional and mental quality of life than those exercising regularly alone or not at all </w:t>
      </w:r>
      <w:sdt>
        <w:sdtPr>
          <w:rPr>
            <w:sz w:val="22"/>
            <w:szCs w:val="22"/>
          </w:rPr>
          <w:id w:val="1992759870"/>
          <w:citation/>
        </w:sdtPr>
        <w:sdtEndPr/>
        <w:sdtContent>
          <w:r w:rsidRPr="003B1933">
            <w:rPr>
              <w:sz w:val="22"/>
              <w:szCs w:val="22"/>
            </w:rPr>
            <w:fldChar w:fldCharType="begin"/>
          </w:r>
          <w:r w:rsidRPr="003B1933">
            <w:rPr>
              <w:sz w:val="22"/>
              <w:szCs w:val="22"/>
            </w:rPr>
            <w:instrText xml:space="preserve">CITATION Eff17 \l 2057 </w:instrText>
          </w:r>
          <w:r w:rsidRPr="003B1933">
            <w:rPr>
              <w:sz w:val="22"/>
              <w:szCs w:val="22"/>
            </w:rPr>
            <w:fldChar w:fldCharType="separate"/>
          </w:r>
          <w:r w:rsidRPr="003B1933">
            <w:rPr>
              <w:noProof/>
              <w:sz w:val="22"/>
              <w:szCs w:val="22"/>
            </w:rPr>
            <w:t>(Yorks, et al., 2017)</w:t>
          </w:r>
          <w:r w:rsidRPr="003B1933">
            <w:rPr>
              <w:sz w:val="22"/>
              <w:szCs w:val="22"/>
            </w:rPr>
            <w:fldChar w:fldCharType="end"/>
          </w:r>
        </w:sdtContent>
      </w:sdt>
      <w:r w:rsidRPr="003B1933">
        <w:rPr>
          <w:sz w:val="22"/>
          <w:szCs w:val="22"/>
        </w:rPr>
        <w:t>. The self-discipline and consistency with exercise has enhanced my resilience and therefore my capacity to cope with difficult situations.</w:t>
      </w:r>
    </w:p>
    <w:p w14:paraId="6EB64E74" w14:textId="77777777" w:rsidR="00826436" w:rsidRPr="003B1933" w:rsidRDefault="00826436" w:rsidP="003B1933">
      <w:pPr>
        <w:spacing w:line="276" w:lineRule="auto"/>
        <w:rPr>
          <w:sz w:val="22"/>
          <w:szCs w:val="22"/>
        </w:rPr>
      </w:pPr>
    </w:p>
    <w:p w14:paraId="20A01A56" w14:textId="77777777" w:rsidR="00826436" w:rsidRPr="003B1933" w:rsidRDefault="00826436" w:rsidP="003B1933">
      <w:pPr>
        <w:spacing w:line="276" w:lineRule="auto"/>
        <w:rPr>
          <w:sz w:val="22"/>
          <w:szCs w:val="22"/>
        </w:rPr>
      </w:pPr>
    </w:p>
    <w:p w14:paraId="13225881" w14:textId="77777777" w:rsidR="00826436" w:rsidRPr="003B1933" w:rsidRDefault="00826436" w:rsidP="003B1933">
      <w:pPr>
        <w:spacing w:line="276" w:lineRule="auto"/>
        <w:rPr>
          <w:sz w:val="22"/>
          <w:szCs w:val="22"/>
        </w:rPr>
      </w:pPr>
      <w:r w:rsidRPr="003B1933">
        <w:rPr>
          <w:sz w:val="22"/>
          <w:szCs w:val="22"/>
        </w:rPr>
        <w:t xml:space="preserve">My second strategy, a contrast to the above, is reading fiction. Since a young age I have been enraptured by stories of fantasy, horror and crime and the escapism it provides by allowing you to immerse in a completely different world. During stressful situations my mind races and continues to do so long after their resolution and I have always found reading the most effective way to disengage and clear my head. As a result, I get a full night’s rest and therefore adopt a more positive outlook overall, crucial as disrupted/ insufficient sleep is known to increase risk of anxiety, depression, and ability to cope with even minor stressors </w:t>
      </w:r>
      <w:sdt>
        <w:sdtPr>
          <w:rPr>
            <w:sz w:val="22"/>
            <w:szCs w:val="22"/>
          </w:rPr>
          <w:id w:val="560520613"/>
          <w:citation/>
        </w:sdtPr>
        <w:sdtEndPr/>
        <w:sdtContent>
          <w:r w:rsidRPr="003B1933">
            <w:rPr>
              <w:sz w:val="22"/>
              <w:szCs w:val="22"/>
            </w:rPr>
            <w:fldChar w:fldCharType="begin"/>
          </w:r>
          <w:r w:rsidRPr="003B1933">
            <w:rPr>
              <w:sz w:val="22"/>
              <w:szCs w:val="22"/>
            </w:rPr>
            <w:instrText xml:space="preserve"> CITATION Col22 \l 2057 </w:instrText>
          </w:r>
          <w:r w:rsidRPr="003B1933">
            <w:rPr>
              <w:sz w:val="22"/>
              <w:szCs w:val="22"/>
            </w:rPr>
            <w:fldChar w:fldCharType="separate"/>
          </w:r>
          <w:r w:rsidRPr="003B1933">
            <w:rPr>
              <w:noProof/>
              <w:sz w:val="22"/>
              <w:szCs w:val="22"/>
            </w:rPr>
            <w:t>(Colombia University Department of Psychiatry, 2022)</w:t>
          </w:r>
          <w:r w:rsidRPr="003B1933">
            <w:rPr>
              <w:sz w:val="22"/>
              <w:szCs w:val="22"/>
            </w:rPr>
            <w:fldChar w:fldCharType="end"/>
          </w:r>
        </w:sdtContent>
      </w:sdt>
      <w:r w:rsidRPr="003B1933">
        <w:rPr>
          <w:sz w:val="22"/>
          <w:szCs w:val="22"/>
        </w:rPr>
        <w:t xml:space="preserve">. A study conducted on 231 students at a Canadian University found that recreational reading over the academic year led to decreased levels of anxiety and depressive symptoms as well as making students feel more socially connected </w:t>
      </w:r>
      <w:sdt>
        <w:sdtPr>
          <w:rPr>
            <w:sz w:val="22"/>
            <w:szCs w:val="22"/>
          </w:rPr>
          <w:id w:val="-237552184"/>
          <w:citation/>
        </w:sdtPr>
        <w:sdtEndPr/>
        <w:sdtContent>
          <w:r w:rsidRPr="003B1933">
            <w:rPr>
              <w:sz w:val="22"/>
              <w:szCs w:val="22"/>
            </w:rPr>
            <w:fldChar w:fldCharType="begin"/>
          </w:r>
          <w:r w:rsidRPr="003B1933">
            <w:rPr>
              <w:sz w:val="22"/>
              <w:szCs w:val="22"/>
            </w:rPr>
            <w:instrText xml:space="preserve"> CITATION Lev22 \l 2057 </w:instrText>
          </w:r>
          <w:r w:rsidRPr="003B1933">
            <w:rPr>
              <w:sz w:val="22"/>
              <w:szCs w:val="22"/>
            </w:rPr>
            <w:fldChar w:fldCharType="separate"/>
          </w:r>
          <w:r w:rsidRPr="003B1933">
            <w:rPr>
              <w:noProof/>
              <w:sz w:val="22"/>
              <w:szCs w:val="22"/>
            </w:rPr>
            <w:t>(Levine, et al., 2022)</w:t>
          </w:r>
          <w:r w:rsidRPr="003B1933">
            <w:rPr>
              <w:sz w:val="22"/>
              <w:szCs w:val="22"/>
            </w:rPr>
            <w:fldChar w:fldCharType="end"/>
          </w:r>
        </w:sdtContent>
      </w:sdt>
      <w:r w:rsidRPr="003B1933">
        <w:rPr>
          <w:sz w:val="22"/>
          <w:szCs w:val="22"/>
        </w:rPr>
        <w:t>. This increase in social connectivity encourages improved relationships and communication that are particularly beneficial for preventing stress at its source. It must however be acknowledged that academic literature regarding the psychological effects of reading is minimal and further research is required to understand the long-term benefits.</w:t>
      </w:r>
    </w:p>
    <w:p w14:paraId="7822668E" w14:textId="77777777" w:rsidR="00826436" w:rsidRPr="003B1933" w:rsidRDefault="00826436" w:rsidP="003B1933">
      <w:pPr>
        <w:spacing w:line="276" w:lineRule="auto"/>
        <w:rPr>
          <w:sz w:val="22"/>
          <w:szCs w:val="22"/>
        </w:rPr>
      </w:pPr>
    </w:p>
    <w:p w14:paraId="2DD7B049" w14:textId="77777777" w:rsidR="00826436" w:rsidRPr="003B1933" w:rsidRDefault="00826436" w:rsidP="003B1933">
      <w:pPr>
        <w:spacing w:line="276" w:lineRule="auto"/>
        <w:rPr>
          <w:sz w:val="22"/>
          <w:szCs w:val="22"/>
        </w:rPr>
      </w:pPr>
    </w:p>
    <w:p w14:paraId="27AA0E47" w14:textId="77777777" w:rsidR="00826436" w:rsidRPr="003B1933" w:rsidRDefault="00826436" w:rsidP="003B1933">
      <w:pPr>
        <w:spacing w:line="276" w:lineRule="auto"/>
        <w:rPr>
          <w:sz w:val="22"/>
          <w:szCs w:val="22"/>
        </w:rPr>
      </w:pPr>
      <w:r w:rsidRPr="003B1933">
        <w:rPr>
          <w:sz w:val="22"/>
          <w:szCs w:val="22"/>
        </w:rPr>
        <w:t xml:space="preserve">It is not often possible to eliminate or avoid sources of stress and these are two of the strategies I have personally found to be most effective for taking a step back in order tackle problems with a fresh perspective. Throughout the 6 months I discovered that balance is essential; the physical strategy enables me to expel restless energy, improves my mood and as a social activity fosters communication and relationships while reading renders me relaxed, open minded and encourages critical thinking and empathy due to its solitary nature. In future I will continue to use each method harmoniously, reading for at least 20 minutes prior to sleeping as a minimum but I will limit the amount of time I spend dancing as I have noted excessive amounts of exercise starts to have detrimental effects due to fatigue and consequently becomes unsustainable. </w:t>
      </w:r>
    </w:p>
    <w:p w14:paraId="41F28339" w14:textId="77777777" w:rsidR="00826436" w:rsidRDefault="00826436" w:rsidP="00826436"/>
    <w:p w14:paraId="0FA0FBD9" w14:textId="77777777" w:rsidR="00826436" w:rsidRPr="00435A09" w:rsidRDefault="00826436" w:rsidP="00826436">
      <w:pPr>
        <w:rPr>
          <w:b/>
          <w:bCs/>
          <w:sz w:val="22"/>
          <w:szCs w:val="22"/>
          <w:u w:val="single"/>
        </w:rPr>
      </w:pPr>
      <w:r w:rsidRPr="00435A09">
        <w:rPr>
          <w:b/>
          <w:bCs/>
          <w:sz w:val="22"/>
          <w:szCs w:val="22"/>
          <w:u w:val="single"/>
        </w:rPr>
        <w:t>Word Count: 1,024</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732F504" w14:textId="231D52AC" w:rsidR="00826436" w:rsidRPr="003B1933" w:rsidRDefault="00826436" w:rsidP="0015452F">
      <w:pPr>
        <w:spacing w:line="276" w:lineRule="auto"/>
        <w:rPr>
          <w:sz w:val="22"/>
          <w:szCs w:val="22"/>
        </w:rPr>
      </w:pPr>
      <w:r w:rsidRPr="003B1933">
        <w:rPr>
          <w:sz w:val="22"/>
          <w:szCs w:val="22"/>
        </w:rPr>
        <w:t xml:space="preserve">Conflict is inherently woven into the fabric of policing, arising from the dynamic and unpredictable nature of the role. Responding to incidents and dealing with members of the public gives rise to the potential of physical conflict, while emotionally charged situations and the requirement to make split second decisions whilst navigating ethical and legal considerations provides mental and emotional aspects to conflict. Effective and strategic resolution techniques are therefore </w:t>
      </w:r>
      <w:r w:rsidR="009C5BA3">
        <w:rPr>
          <w:sz w:val="22"/>
          <w:szCs w:val="22"/>
        </w:rPr>
        <w:t>crucial</w:t>
      </w:r>
      <w:r w:rsidRPr="003B1933">
        <w:rPr>
          <w:sz w:val="22"/>
          <w:szCs w:val="22"/>
        </w:rPr>
        <w:t xml:space="preserve"> to minimise the risk of escalation, build and maintain community trust, and promote safety of officers and members of the public alike. There are a multitude of elements that must be considered when approaching conflict which I will discuss using an incident that occurred shortly after beginning my policing career. I will firstly describe the event and critically assess it from a social and legislative context before critically reflecting on the actions I took and the communication methods I applied using Gibbs model of reflection</w:t>
      </w:r>
      <w:sdt>
        <w:sdtPr>
          <w:rPr>
            <w:sz w:val="22"/>
            <w:szCs w:val="22"/>
          </w:rPr>
          <w:id w:val="402110946"/>
          <w:citation/>
        </w:sdtPr>
        <w:sdtEndPr/>
        <w:sdtContent>
          <w:r w:rsidRPr="003B1933">
            <w:rPr>
              <w:sz w:val="22"/>
              <w:szCs w:val="22"/>
            </w:rPr>
            <w:fldChar w:fldCharType="begin"/>
          </w:r>
          <w:r w:rsidRPr="003B1933">
            <w:rPr>
              <w:sz w:val="22"/>
              <w:szCs w:val="22"/>
            </w:rPr>
            <w:instrText xml:space="preserve"> CITATION Gib88 \l 2057 </w:instrText>
          </w:r>
          <w:r w:rsidRPr="003B1933">
            <w:rPr>
              <w:sz w:val="22"/>
              <w:szCs w:val="22"/>
            </w:rPr>
            <w:fldChar w:fldCharType="separate"/>
          </w:r>
          <w:r w:rsidRPr="003B1933">
            <w:rPr>
              <w:noProof/>
              <w:sz w:val="22"/>
              <w:szCs w:val="22"/>
            </w:rPr>
            <w:t xml:space="preserve"> </w:t>
          </w:r>
          <w:r w:rsidRPr="003B1933">
            <w:rPr>
              <w:rFonts w:eastAsiaTheme="minorHAnsi"/>
              <w:noProof/>
              <w:sz w:val="22"/>
              <w:szCs w:val="22"/>
            </w:rPr>
            <w:t>(Gibbs, 1988)</w:t>
          </w:r>
          <w:r w:rsidRPr="003B1933">
            <w:rPr>
              <w:sz w:val="22"/>
              <w:szCs w:val="22"/>
            </w:rPr>
            <w:fldChar w:fldCharType="end"/>
          </w:r>
        </w:sdtContent>
      </w:sdt>
      <w:r w:rsidRPr="003B1933">
        <w:rPr>
          <w:sz w:val="22"/>
          <w:szCs w:val="22"/>
        </w:rPr>
        <w:t xml:space="preserve">. I will subsequently describe the theories and models that underpin the causes of conflict in a policing context. </w:t>
      </w:r>
    </w:p>
    <w:p w14:paraId="0D1D03AD" w14:textId="77777777" w:rsidR="00826436" w:rsidRPr="003B1933" w:rsidRDefault="00826436" w:rsidP="0015452F">
      <w:pPr>
        <w:spacing w:line="276" w:lineRule="auto"/>
        <w:rPr>
          <w:sz w:val="22"/>
          <w:szCs w:val="22"/>
        </w:rPr>
      </w:pPr>
    </w:p>
    <w:p w14:paraId="68EE4FA6" w14:textId="77777777" w:rsidR="00826436" w:rsidRPr="003B1933" w:rsidRDefault="00826436" w:rsidP="0015452F">
      <w:pPr>
        <w:spacing w:line="276" w:lineRule="auto"/>
        <w:rPr>
          <w:b/>
          <w:bCs/>
          <w:sz w:val="22"/>
          <w:szCs w:val="22"/>
        </w:rPr>
      </w:pPr>
    </w:p>
    <w:p w14:paraId="19729229" w14:textId="77777777" w:rsidR="00826436" w:rsidRPr="003B1933" w:rsidRDefault="00826436" w:rsidP="0015452F">
      <w:pPr>
        <w:spacing w:line="276" w:lineRule="auto"/>
        <w:rPr>
          <w:sz w:val="22"/>
          <w:szCs w:val="22"/>
        </w:rPr>
      </w:pPr>
      <w:r w:rsidRPr="003B1933">
        <w:rPr>
          <w:sz w:val="22"/>
          <w:szCs w:val="22"/>
        </w:rPr>
        <w:t xml:space="preserve">The incident I have decided to focus on in this essay is the first instance of conflict I came across after only two weeks into my career after completing my initial training. Being based in the hub, I have had limited exposure to the plethora of conflict situations faced by response officers, however, </w:t>
      </w:r>
      <w:proofErr w:type="gramStart"/>
      <w:r w:rsidRPr="003B1933">
        <w:rPr>
          <w:sz w:val="22"/>
          <w:szCs w:val="22"/>
        </w:rPr>
        <w:t>tense</w:t>
      </w:r>
      <w:proofErr w:type="gramEnd"/>
      <w:r w:rsidRPr="003B1933">
        <w:rPr>
          <w:sz w:val="22"/>
          <w:szCs w:val="22"/>
        </w:rPr>
        <w:t xml:space="preserve"> and adversarial situations are still very much prevalent within the custody suite. One evening a student was walking home and was stopped by a male. The male went on to punch the student multiple times before pushing him to the floor and stamping onto his head a total of three times. This resulted in the student falling unconscious and obtaining a broken nose, dislocated jaw, and a split lip. The male was verbally abusive throughout his detention and when I went to meet him for the interview, he refused to exit the cell. I eventually persuaded him to leave after which he began getting agitated after observing the custody sergeant that had booked him in prior. He was returned to his cell for a short period before the interview was conducted. After the interview, the male </w:t>
      </w:r>
      <w:r w:rsidRPr="003B1933">
        <w:rPr>
          <w:sz w:val="22"/>
          <w:szCs w:val="22"/>
        </w:rPr>
        <w:lastRenderedPageBreak/>
        <w:t xml:space="preserve">became agitated again, insisting on staying in the custody suite, but was eventually placed back into the cell. </w:t>
      </w:r>
    </w:p>
    <w:p w14:paraId="5B5DF63A" w14:textId="77777777" w:rsidR="00826436" w:rsidRPr="003B1933" w:rsidRDefault="00826436" w:rsidP="0015452F">
      <w:pPr>
        <w:spacing w:line="276" w:lineRule="auto"/>
        <w:rPr>
          <w:b/>
          <w:bCs/>
          <w:sz w:val="22"/>
          <w:szCs w:val="22"/>
        </w:rPr>
      </w:pPr>
    </w:p>
    <w:p w14:paraId="28AEB384" w14:textId="77777777" w:rsidR="00826436" w:rsidRPr="003B1933" w:rsidRDefault="00826436" w:rsidP="0015452F">
      <w:pPr>
        <w:spacing w:line="276" w:lineRule="auto"/>
        <w:rPr>
          <w:b/>
          <w:bCs/>
          <w:sz w:val="22"/>
          <w:szCs w:val="22"/>
        </w:rPr>
      </w:pPr>
    </w:p>
    <w:p w14:paraId="3EBBE5EA" w14:textId="77777777" w:rsidR="00826436" w:rsidRPr="003B1933" w:rsidRDefault="00826436" w:rsidP="0015452F">
      <w:pPr>
        <w:spacing w:line="276" w:lineRule="auto"/>
        <w:rPr>
          <w:sz w:val="22"/>
          <w:szCs w:val="22"/>
        </w:rPr>
      </w:pPr>
      <w:r w:rsidRPr="003B1933">
        <w:rPr>
          <w:sz w:val="22"/>
          <w:szCs w:val="22"/>
        </w:rPr>
        <w:t xml:space="preserve">The social context of this incident is multi- dimensional. The assault on the victim is identifiable as a repetitive attack and was also against an individual unknown to the suspect. It is to be noted that the effects and consequences of physical assault have been somewhat neglected in academia whilst the focus has been centralised around the ramifications of sexual assault; however data collated over the period of a year ending in March 2022 has illustrated the most common perpetrators of violence in England and Wales were in fact strangers </w:t>
      </w:r>
      <w:sdt>
        <w:sdtPr>
          <w:rPr>
            <w:sz w:val="22"/>
            <w:szCs w:val="22"/>
          </w:rPr>
          <w:id w:val="1733580244"/>
          <w:citation/>
        </w:sdtPr>
        <w:sdtEndPr/>
        <w:sdtContent>
          <w:r w:rsidRPr="003B1933">
            <w:rPr>
              <w:sz w:val="22"/>
              <w:szCs w:val="22"/>
            </w:rPr>
            <w:fldChar w:fldCharType="begin"/>
          </w:r>
          <w:r w:rsidRPr="003B1933">
            <w:rPr>
              <w:sz w:val="22"/>
              <w:szCs w:val="22"/>
            </w:rPr>
            <w:instrText xml:space="preserve"> CITATION Off22 \l 2057 </w:instrText>
          </w:r>
          <w:r w:rsidRPr="003B1933">
            <w:rPr>
              <w:sz w:val="22"/>
              <w:szCs w:val="22"/>
            </w:rPr>
            <w:fldChar w:fldCharType="separate"/>
          </w:r>
          <w:r w:rsidRPr="003B1933">
            <w:rPr>
              <w:rFonts w:eastAsiaTheme="minorHAnsi"/>
              <w:noProof/>
              <w:sz w:val="22"/>
              <w:szCs w:val="22"/>
            </w:rPr>
            <w:t>(Office for National Statistics, 2022)</w:t>
          </w:r>
          <w:r w:rsidRPr="003B1933">
            <w:rPr>
              <w:sz w:val="22"/>
              <w:szCs w:val="22"/>
            </w:rPr>
            <w:fldChar w:fldCharType="end"/>
          </w:r>
        </w:sdtContent>
      </w:sdt>
      <w:r w:rsidRPr="003B1933">
        <w:rPr>
          <w:sz w:val="22"/>
          <w:szCs w:val="22"/>
        </w:rPr>
        <w:t xml:space="preserve">. The reasons for this can only be surmised </w:t>
      </w:r>
      <w:proofErr w:type="gramStart"/>
      <w:r w:rsidRPr="003B1933">
        <w:rPr>
          <w:sz w:val="22"/>
          <w:szCs w:val="22"/>
        </w:rPr>
        <w:t>as a result of</w:t>
      </w:r>
      <w:proofErr w:type="gramEnd"/>
      <w:r w:rsidRPr="003B1933">
        <w:rPr>
          <w:sz w:val="22"/>
          <w:szCs w:val="22"/>
        </w:rPr>
        <w:t xml:space="preserve"> varying factors including societal stressors, mental health issues or substance abuse which can amplify aggression, especially when directed towards individuals with whom there are no personal connections. Victims of assault may obtain injuries that lead to disabilities as well as psychological consequences including PTSD, anxiety, difficulty trusting others and forming relationships as well as withdrawal from social situations </w:t>
      </w:r>
      <w:sdt>
        <w:sdtPr>
          <w:rPr>
            <w:sz w:val="22"/>
            <w:szCs w:val="22"/>
          </w:rPr>
          <w:id w:val="-346327603"/>
          <w:citation/>
        </w:sdtPr>
        <w:sdtEndPr/>
        <w:sdtContent>
          <w:r w:rsidRPr="003B1933">
            <w:rPr>
              <w:sz w:val="22"/>
              <w:szCs w:val="22"/>
            </w:rPr>
            <w:fldChar w:fldCharType="begin"/>
          </w:r>
          <w:r w:rsidRPr="003B1933">
            <w:rPr>
              <w:sz w:val="22"/>
              <w:szCs w:val="22"/>
            </w:rPr>
            <w:instrText xml:space="preserve"> CITATION Cri22 \l 2057 </w:instrText>
          </w:r>
          <w:r w:rsidRPr="003B1933">
            <w:rPr>
              <w:sz w:val="22"/>
              <w:szCs w:val="22"/>
            </w:rPr>
            <w:fldChar w:fldCharType="separate"/>
          </w:r>
          <w:r w:rsidRPr="003B1933">
            <w:rPr>
              <w:rFonts w:eastAsiaTheme="minorHAnsi"/>
              <w:noProof/>
              <w:sz w:val="22"/>
              <w:szCs w:val="22"/>
            </w:rPr>
            <w:t>(Criminal Injuries Helpline, 2022)</w:t>
          </w:r>
          <w:r w:rsidRPr="003B1933">
            <w:rPr>
              <w:sz w:val="22"/>
              <w:szCs w:val="22"/>
            </w:rPr>
            <w:fldChar w:fldCharType="end"/>
          </w:r>
        </w:sdtContent>
      </w:sdt>
      <w:r w:rsidRPr="003B1933">
        <w:rPr>
          <w:sz w:val="22"/>
          <w:szCs w:val="22"/>
        </w:rPr>
        <w:t xml:space="preserve">- which are furthermore capable of having a ripple effect beyond the victim alone. A study conducted found that the relationships with family and friends providing valuable support to victims of physical assault often became strained or damaged due to the additional responsibilities and psychological needs of the victim </w:t>
      </w:r>
      <w:sdt>
        <w:sdtPr>
          <w:rPr>
            <w:sz w:val="22"/>
            <w:szCs w:val="22"/>
          </w:rPr>
          <w:id w:val="-491877602"/>
          <w:citation/>
        </w:sdtPr>
        <w:sdtEndPr/>
        <w:sdtContent>
          <w:r w:rsidRPr="003B1933">
            <w:rPr>
              <w:sz w:val="22"/>
              <w:szCs w:val="22"/>
            </w:rPr>
            <w:fldChar w:fldCharType="begin"/>
          </w:r>
          <w:r w:rsidRPr="003B1933">
            <w:rPr>
              <w:sz w:val="22"/>
              <w:szCs w:val="22"/>
            </w:rPr>
            <w:instrText xml:space="preserve"> CITATION Ful15 \l 2057 </w:instrText>
          </w:r>
          <w:r w:rsidRPr="003B1933">
            <w:rPr>
              <w:sz w:val="22"/>
              <w:szCs w:val="22"/>
            </w:rPr>
            <w:fldChar w:fldCharType="separate"/>
          </w:r>
          <w:r w:rsidRPr="003B1933">
            <w:rPr>
              <w:rFonts w:eastAsiaTheme="minorHAnsi"/>
              <w:noProof/>
              <w:sz w:val="22"/>
              <w:szCs w:val="22"/>
            </w:rPr>
            <w:t>(Fuller, 2015)</w:t>
          </w:r>
          <w:r w:rsidRPr="003B1933">
            <w:rPr>
              <w:sz w:val="22"/>
              <w:szCs w:val="22"/>
            </w:rPr>
            <w:fldChar w:fldCharType="end"/>
          </w:r>
        </w:sdtContent>
      </w:sdt>
      <w:r w:rsidRPr="003B1933">
        <w:rPr>
          <w:sz w:val="22"/>
          <w:szCs w:val="22"/>
        </w:rPr>
        <w:t xml:space="preserve">. In addition to this, the assault occurred in a residential area and was witnessed by other residents. Owing to this, it is likely there exists a sense of fear by these residents as they may feel their comfort and security has been compromised, leading to a reluctance to continue living in that area.  </w:t>
      </w:r>
    </w:p>
    <w:p w14:paraId="4970097D" w14:textId="77777777" w:rsidR="00826436" w:rsidRPr="003B1933" w:rsidRDefault="00826436" w:rsidP="0015452F">
      <w:pPr>
        <w:spacing w:line="276" w:lineRule="auto"/>
        <w:rPr>
          <w:b/>
          <w:bCs/>
          <w:sz w:val="22"/>
          <w:szCs w:val="22"/>
        </w:rPr>
      </w:pPr>
    </w:p>
    <w:p w14:paraId="41F336D2" w14:textId="77777777" w:rsidR="00826436" w:rsidRPr="003B1933" w:rsidRDefault="00826436" w:rsidP="0015452F">
      <w:pPr>
        <w:spacing w:line="276" w:lineRule="auto"/>
        <w:rPr>
          <w:b/>
          <w:bCs/>
          <w:sz w:val="22"/>
          <w:szCs w:val="22"/>
        </w:rPr>
      </w:pPr>
    </w:p>
    <w:p w14:paraId="6A28E530" w14:textId="77777777" w:rsidR="00826436" w:rsidRPr="003B1933" w:rsidRDefault="00826436" w:rsidP="0015452F">
      <w:pPr>
        <w:spacing w:line="276" w:lineRule="auto"/>
        <w:rPr>
          <w:sz w:val="22"/>
          <w:szCs w:val="22"/>
        </w:rPr>
      </w:pPr>
      <w:r w:rsidRPr="003B1933">
        <w:rPr>
          <w:sz w:val="22"/>
          <w:szCs w:val="22"/>
        </w:rPr>
        <w:t xml:space="preserve">The legislation concerning assaults distinguishes between various degrees of harm and intent but is centralised around the application of unlawful force against another. This use of force can be intentional or reckless, where a person consciously commits an act despite knowing a risk exists or will exist </w:t>
      </w:r>
      <w:sdt>
        <w:sdtPr>
          <w:rPr>
            <w:sz w:val="22"/>
            <w:szCs w:val="22"/>
          </w:rPr>
          <w:id w:val="387303281"/>
          <w:citation/>
        </w:sdtPr>
        <w:sdtEndPr/>
        <w:sdtContent>
          <w:r w:rsidRPr="003B1933">
            <w:rPr>
              <w:sz w:val="22"/>
              <w:szCs w:val="22"/>
            </w:rPr>
            <w:fldChar w:fldCharType="begin"/>
          </w:r>
          <w:r w:rsidRPr="003B1933">
            <w:rPr>
              <w:sz w:val="22"/>
              <w:szCs w:val="22"/>
            </w:rPr>
            <w:instrText xml:space="preserve"> CITATION Lex23 \l 2057 </w:instrText>
          </w:r>
          <w:r w:rsidRPr="003B1933">
            <w:rPr>
              <w:sz w:val="22"/>
              <w:szCs w:val="22"/>
            </w:rPr>
            <w:fldChar w:fldCharType="separate"/>
          </w:r>
          <w:r w:rsidRPr="003B1933">
            <w:rPr>
              <w:noProof/>
              <w:sz w:val="22"/>
              <w:szCs w:val="22"/>
            </w:rPr>
            <w:t>(LexisNexis, n.d.)</w:t>
          </w:r>
          <w:r w:rsidRPr="003B1933">
            <w:rPr>
              <w:sz w:val="22"/>
              <w:szCs w:val="22"/>
            </w:rPr>
            <w:fldChar w:fldCharType="end"/>
          </w:r>
        </w:sdtContent>
      </w:sdt>
      <w:r w:rsidRPr="003B1933">
        <w:rPr>
          <w:sz w:val="22"/>
          <w:szCs w:val="22"/>
        </w:rPr>
        <w:t xml:space="preserve">. The assault on the student involved repeated strikes towards the victim’s face before he was thrown to the floor and subjected to attacks to the head, all factors that are indications of intent </w:t>
      </w:r>
      <w:sdt>
        <w:sdtPr>
          <w:rPr>
            <w:sz w:val="22"/>
            <w:szCs w:val="22"/>
          </w:rPr>
          <w:id w:val="1094823711"/>
          <w:citation/>
        </w:sdtPr>
        <w:sdtEndPr/>
        <w:sdtContent>
          <w:r w:rsidRPr="003B1933">
            <w:rPr>
              <w:sz w:val="22"/>
              <w:szCs w:val="22"/>
            </w:rPr>
            <w:fldChar w:fldCharType="begin"/>
          </w:r>
          <w:r w:rsidRPr="003B1933">
            <w:rPr>
              <w:sz w:val="22"/>
              <w:szCs w:val="22"/>
            </w:rPr>
            <w:instrText xml:space="preserve"> CITATION The22 \l 2057 </w:instrText>
          </w:r>
          <w:r w:rsidRPr="003B1933">
            <w:rPr>
              <w:sz w:val="22"/>
              <w:szCs w:val="22"/>
            </w:rPr>
            <w:fldChar w:fldCharType="separate"/>
          </w:r>
          <w:r w:rsidRPr="003B1933">
            <w:rPr>
              <w:noProof/>
              <w:sz w:val="22"/>
              <w:szCs w:val="22"/>
            </w:rPr>
            <w:t>(The Crown Prosecution Service, 2022)</w:t>
          </w:r>
          <w:r w:rsidRPr="003B1933">
            <w:rPr>
              <w:sz w:val="22"/>
              <w:szCs w:val="22"/>
            </w:rPr>
            <w:fldChar w:fldCharType="end"/>
          </w:r>
        </w:sdtContent>
      </w:sdt>
      <w:r w:rsidRPr="003B1933">
        <w:rPr>
          <w:sz w:val="22"/>
          <w:szCs w:val="22"/>
        </w:rPr>
        <w:t xml:space="preserve">, and can therefore be undoubtably categorised as an intentional use of force. Legislation provides defences including self-defence, consent, and lawful authority however the victim had fallen unconscious prior to being stamped on, negating any possible defence for this incident. The severity of injuries is taken into consideration when determining which offence has been committed- every case of assault is evaluated individually however injuries that may amount to grievous bodily harm (GBH) include substantial bleeding, broken bones, dislocated joints, or a permanent disability or disfigurement </w:t>
      </w:r>
      <w:sdt>
        <w:sdtPr>
          <w:rPr>
            <w:sz w:val="22"/>
            <w:szCs w:val="22"/>
          </w:rPr>
          <w:id w:val="-1961953712"/>
          <w:citation/>
        </w:sdtPr>
        <w:sdtEndPr/>
        <w:sdtContent>
          <w:r w:rsidRPr="003B1933">
            <w:rPr>
              <w:sz w:val="22"/>
              <w:szCs w:val="22"/>
            </w:rPr>
            <w:fldChar w:fldCharType="begin"/>
          </w:r>
          <w:r w:rsidRPr="003B1933">
            <w:rPr>
              <w:sz w:val="22"/>
              <w:szCs w:val="22"/>
            </w:rPr>
            <w:instrText xml:space="preserve"> CITATION Law18 \l 2057 </w:instrText>
          </w:r>
          <w:r w:rsidRPr="003B1933">
            <w:rPr>
              <w:sz w:val="22"/>
              <w:szCs w:val="22"/>
            </w:rPr>
            <w:fldChar w:fldCharType="separate"/>
          </w:r>
          <w:r w:rsidRPr="003B1933">
            <w:rPr>
              <w:noProof/>
              <w:sz w:val="22"/>
              <w:szCs w:val="22"/>
            </w:rPr>
            <w:t>(LawTeacher, 2018)</w:t>
          </w:r>
          <w:r w:rsidRPr="003B1933">
            <w:rPr>
              <w:sz w:val="22"/>
              <w:szCs w:val="22"/>
            </w:rPr>
            <w:fldChar w:fldCharType="end"/>
          </w:r>
        </w:sdtContent>
      </w:sdt>
      <w:r w:rsidRPr="003B1933">
        <w:rPr>
          <w:sz w:val="22"/>
          <w:szCs w:val="22"/>
        </w:rPr>
        <w:t xml:space="preserve">. The victim sustained a broken nose, dislocated jaw and a split lip which overall are consistent with the offence of GBH and in conjunction with the intent of the suspect the offence was therefore classified as a Section 18 Grievous Bodily Harm with intent </w:t>
      </w:r>
      <w:sdt>
        <w:sdtPr>
          <w:rPr>
            <w:sz w:val="22"/>
            <w:szCs w:val="22"/>
          </w:rPr>
          <w:id w:val="638232148"/>
          <w:citation/>
        </w:sdtPr>
        <w:sdtEndPr/>
        <w:sdtContent>
          <w:r w:rsidRPr="003B1933">
            <w:rPr>
              <w:sz w:val="22"/>
              <w:szCs w:val="22"/>
            </w:rPr>
            <w:fldChar w:fldCharType="begin"/>
          </w:r>
          <w:r w:rsidRPr="003B1933">
            <w:rPr>
              <w:sz w:val="22"/>
              <w:szCs w:val="22"/>
            </w:rPr>
            <w:instrText xml:space="preserve"> CITATION UKG09 \l 2057 </w:instrText>
          </w:r>
          <w:r w:rsidRPr="003B1933">
            <w:rPr>
              <w:sz w:val="22"/>
              <w:szCs w:val="22"/>
            </w:rPr>
            <w:fldChar w:fldCharType="separate"/>
          </w:r>
          <w:r w:rsidRPr="003B1933">
            <w:rPr>
              <w:noProof/>
              <w:sz w:val="22"/>
              <w:szCs w:val="22"/>
            </w:rPr>
            <w:t>(UK Government, 2009)</w:t>
          </w:r>
          <w:r w:rsidRPr="003B1933">
            <w:rPr>
              <w:sz w:val="22"/>
              <w:szCs w:val="22"/>
            </w:rPr>
            <w:fldChar w:fldCharType="end"/>
          </w:r>
        </w:sdtContent>
      </w:sdt>
      <w:r w:rsidRPr="003B1933">
        <w:rPr>
          <w:sz w:val="22"/>
          <w:szCs w:val="22"/>
        </w:rPr>
        <w:t xml:space="preserve">. </w:t>
      </w:r>
    </w:p>
    <w:p w14:paraId="554476AD" w14:textId="1A36AA00" w:rsidR="00826436" w:rsidRPr="003B1933" w:rsidRDefault="005C6669" w:rsidP="0015452F">
      <w:pPr>
        <w:spacing w:line="276" w:lineRule="auto"/>
        <w:rPr>
          <w:sz w:val="22"/>
          <w:szCs w:val="22"/>
        </w:rPr>
      </w:pPr>
      <w:r>
        <w:rPr>
          <w:sz w:val="22"/>
          <w:szCs w:val="22"/>
        </w:rPr>
        <w:br/>
      </w:r>
    </w:p>
    <w:p w14:paraId="3DED480A" w14:textId="77777777" w:rsidR="00826436" w:rsidRPr="003B1933" w:rsidRDefault="00826436" w:rsidP="0015452F">
      <w:pPr>
        <w:spacing w:line="276" w:lineRule="auto"/>
        <w:rPr>
          <w:sz w:val="22"/>
          <w:szCs w:val="22"/>
        </w:rPr>
      </w:pPr>
      <w:r w:rsidRPr="003B1933">
        <w:rPr>
          <w:sz w:val="22"/>
          <w:szCs w:val="22"/>
        </w:rPr>
        <w:t xml:space="preserve">The male involved in this incident was a white English- speaking male. There were therefore no cultural, ethic or language issues in connection with this case. </w:t>
      </w:r>
    </w:p>
    <w:p w14:paraId="2F4D721C" w14:textId="77777777" w:rsidR="00826436" w:rsidRPr="003B1933" w:rsidRDefault="00826436" w:rsidP="0015452F">
      <w:pPr>
        <w:spacing w:line="276" w:lineRule="auto"/>
        <w:rPr>
          <w:sz w:val="22"/>
          <w:szCs w:val="22"/>
        </w:rPr>
      </w:pPr>
    </w:p>
    <w:p w14:paraId="52F18D29" w14:textId="77777777" w:rsidR="00826436" w:rsidRPr="003B1933" w:rsidRDefault="00826436" w:rsidP="0015452F">
      <w:pPr>
        <w:spacing w:line="276" w:lineRule="auto"/>
        <w:rPr>
          <w:sz w:val="22"/>
          <w:szCs w:val="22"/>
        </w:rPr>
      </w:pPr>
    </w:p>
    <w:p w14:paraId="17C13C75" w14:textId="77777777" w:rsidR="00826436" w:rsidRPr="003B1933" w:rsidRDefault="00826436" w:rsidP="0015452F">
      <w:pPr>
        <w:spacing w:line="276" w:lineRule="auto"/>
        <w:rPr>
          <w:b/>
          <w:bCs/>
          <w:sz w:val="22"/>
          <w:szCs w:val="22"/>
        </w:rPr>
      </w:pPr>
      <w:r w:rsidRPr="003B1933">
        <w:rPr>
          <w:b/>
          <w:bCs/>
          <w:sz w:val="22"/>
          <w:szCs w:val="22"/>
        </w:rPr>
        <w:t xml:space="preserve">Critical Reflection </w:t>
      </w:r>
    </w:p>
    <w:p w14:paraId="448DA26F" w14:textId="77777777" w:rsidR="00826436" w:rsidRPr="003B1933" w:rsidRDefault="00826436" w:rsidP="0015452F">
      <w:pPr>
        <w:spacing w:line="276" w:lineRule="auto"/>
        <w:rPr>
          <w:b/>
          <w:bCs/>
          <w:sz w:val="22"/>
          <w:szCs w:val="22"/>
        </w:rPr>
      </w:pPr>
    </w:p>
    <w:p w14:paraId="6B3910D2" w14:textId="77777777" w:rsidR="00826436" w:rsidRPr="003B1933" w:rsidRDefault="00826436" w:rsidP="0015452F">
      <w:pPr>
        <w:spacing w:line="276" w:lineRule="auto"/>
        <w:rPr>
          <w:sz w:val="22"/>
          <w:szCs w:val="22"/>
        </w:rPr>
      </w:pPr>
      <w:r w:rsidRPr="003B1933">
        <w:rPr>
          <w:sz w:val="22"/>
          <w:szCs w:val="22"/>
        </w:rPr>
        <w:lastRenderedPageBreak/>
        <w:t xml:space="preserve">I applied the skills I have developed throughout my previous employment and my training as a police officer to deal with the male to the best of my ability. Initially, he was verbally abusive and was pacing around the cell. I attempted to talk to him through the window, and it soon became apparent he was angry because he felt no one was listening to what he had to say. I bargained with him to get him to sit on the bed so I could open the door and have a face-to-face conversation with him. He complied, and I ensured my body language was relaxed and my facial expressions showed I was paying attention whilst we began to build a rapport. After this, he agreed to have disclosure with his solicitor but became aggravated after observing his custody sergeant, and I could see the situation escalating rapidly. I therefore decided it would be best to place him back in the cell to ensure the safety of himself as well as the staff present, which I did by reasoning with him and positioning myself in a way the sergeant was not in his line of sight. Post interview, the male did not wish to return to his cell, so I explained the next steps regarding the case using simple language to ensure it was fully understood and to avoid further frustration by using police jargon. The male accepted this and eventually allowed me to lead him back to the cell.  </w:t>
      </w:r>
    </w:p>
    <w:p w14:paraId="15AC2A31" w14:textId="3E248224" w:rsidR="00826436" w:rsidRPr="003B1933" w:rsidRDefault="005C6669" w:rsidP="0015452F">
      <w:pPr>
        <w:spacing w:line="276" w:lineRule="auto"/>
        <w:rPr>
          <w:sz w:val="22"/>
          <w:szCs w:val="22"/>
        </w:rPr>
      </w:pPr>
      <w:r>
        <w:rPr>
          <w:sz w:val="22"/>
          <w:szCs w:val="22"/>
        </w:rPr>
        <w:br/>
      </w:r>
    </w:p>
    <w:p w14:paraId="07472A99" w14:textId="77777777" w:rsidR="00826436" w:rsidRPr="003B1933" w:rsidRDefault="00826436" w:rsidP="0015452F">
      <w:pPr>
        <w:spacing w:line="276" w:lineRule="auto"/>
        <w:rPr>
          <w:sz w:val="22"/>
          <w:szCs w:val="22"/>
        </w:rPr>
      </w:pPr>
      <w:r w:rsidRPr="003B1933">
        <w:rPr>
          <w:sz w:val="22"/>
          <w:szCs w:val="22"/>
        </w:rPr>
        <w:t xml:space="preserve">When the male was agitated, I firstly felt considerably nervous. This was my first experience dealing with a prisoner independently and encountering conflict within a policing environment. Despite knowing there were many members of staff in the vicinity, I had a rush of adrenaline thinking of possible outcomes. Prior to opening the cell door however I took a moment to think through my actions and trust myself to make the right decisions, as my previous experience has shown I can deal with situations much more effectively when I remain calm and consequently make less mistakes. I then was able to engage with the male and express my understanding of his emotions and situation to achieve the desired outcome. </w:t>
      </w:r>
    </w:p>
    <w:p w14:paraId="6401C27E" w14:textId="19A16524" w:rsidR="00826436" w:rsidRPr="003B1933" w:rsidRDefault="005C6669" w:rsidP="0015452F">
      <w:pPr>
        <w:spacing w:line="276" w:lineRule="auto"/>
        <w:rPr>
          <w:sz w:val="22"/>
          <w:szCs w:val="22"/>
        </w:rPr>
      </w:pPr>
      <w:r>
        <w:rPr>
          <w:sz w:val="22"/>
          <w:szCs w:val="22"/>
        </w:rPr>
        <w:br/>
      </w:r>
    </w:p>
    <w:p w14:paraId="5039EF0C" w14:textId="77777777" w:rsidR="00826436" w:rsidRPr="003B1933" w:rsidRDefault="00826436" w:rsidP="0015452F">
      <w:pPr>
        <w:spacing w:line="276" w:lineRule="auto"/>
        <w:rPr>
          <w:sz w:val="22"/>
          <w:szCs w:val="22"/>
        </w:rPr>
      </w:pPr>
      <w:r w:rsidRPr="003B1933">
        <w:rPr>
          <w:sz w:val="22"/>
          <w:szCs w:val="22"/>
        </w:rPr>
        <w:t xml:space="preserve">I found the situation went well, and that the objective of effectively communicating with the male to remove him from the cell and conduct his interview was reached.  Conflict in a policing context is extremely volatile and considering the male is a drug user I believe he was dealt with in a safe and professional manner, resulting in his compliance.  </w:t>
      </w:r>
    </w:p>
    <w:p w14:paraId="3DB4BAEE" w14:textId="5FB1C32F" w:rsidR="00826436" w:rsidRPr="003B1933" w:rsidRDefault="005C6669" w:rsidP="0015452F">
      <w:pPr>
        <w:spacing w:line="276" w:lineRule="auto"/>
        <w:rPr>
          <w:sz w:val="22"/>
          <w:szCs w:val="22"/>
        </w:rPr>
      </w:pPr>
      <w:r>
        <w:rPr>
          <w:sz w:val="22"/>
          <w:szCs w:val="22"/>
        </w:rPr>
        <w:br/>
      </w:r>
    </w:p>
    <w:p w14:paraId="5994736D" w14:textId="77777777" w:rsidR="00826436" w:rsidRPr="003B1933" w:rsidRDefault="00826436" w:rsidP="0015452F">
      <w:pPr>
        <w:spacing w:line="276" w:lineRule="auto"/>
        <w:rPr>
          <w:sz w:val="22"/>
          <w:szCs w:val="22"/>
        </w:rPr>
      </w:pPr>
      <w:r w:rsidRPr="003B1933">
        <w:rPr>
          <w:sz w:val="22"/>
          <w:szCs w:val="22"/>
        </w:rPr>
        <w:t xml:space="preserve">I believe the success of the situation can be largely contributed to the fact that I allowed the male to explain why he was upset. I did not interrupt, and used nonverbal cues to demonstrate I was listening and understanding what he was saying. I could then refer to this conversation when he would begin to get angry as I knew the root cause and could therefore de- escalate the situation. When returned to the cell prior to interview he was insistent on not participating, and it was then suggested by staff I interview within the cell. Despite this, I knew it would not provide the best evidence for the case and wanted him to have the opportunity to explain his point of view, which he was appreciative of when informed. </w:t>
      </w:r>
    </w:p>
    <w:p w14:paraId="52357FED" w14:textId="4199C940" w:rsidR="00826436" w:rsidRPr="003B1933" w:rsidRDefault="005C6669" w:rsidP="0015452F">
      <w:pPr>
        <w:spacing w:line="276" w:lineRule="auto"/>
        <w:rPr>
          <w:sz w:val="22"/>
          <w:szCs w:val="22"/>
        </w:rPr>
      </w:pPr>
      <w:r>
        <w:rPr>
          <w:sz w:val="22"/>
          <w:szCs w:val="22"/>
        </w:rPr>
        <w:br/>
      </w:r>
    </w:p>
    <w:p w14:paraId="2F1D1529" w14:textId="77777777" w:rsidR="00826436" w:rsidRPr="003B1933" w:rsidRDefault="00826436" w:rsidP="0015452F">
      <w:pPr>
        <w:spacing w:line="276" w:lineRule="auto"/>
        <w:rPr>
          <w:sz w:val="22"/>
          <w:szCs w:val="22"/>
        </w:rPr>
      </w:pPr>
      <w:r w:rsidRPr="003B1933">
        <w:rPr>
          <w:sz w:val="22"/>
          <w:szCs w:val="22"/>
        </w:rPr>
        <w:t xml:space="preserve">Overall, it can be concluded that individuals respond to situations a lot more positively when they are spoken to with respect and compassion and feel they are listened to. I have however observed individuals in the custody suite that despite persistent communication and patience, they remain aggressive and intolerant of the police. This demonstrates that every person is different and may not respond well to officers at all, but some may require different communication methods to be applied. </w:t>
      </w:r>
    </w:p>
    <w:p w14:paraId="74181715" w14:textId="77777777" w:rsidR="00826436" w:rsidRPr="003B1933" w:rsidRDefault="00826436" w:rsidP="0015452F">
      <w:pPr>
        <w:spacing w:line="276" w:lineRule="auto"/>
        <w:rPr>
          <w:sz w:val="22"/>
          <w:szCs w:val="22"/>
        </w:rPr>
      </w:pPr>
    </w:p>
    <w:p w14:paraId="0A62C6B5" w14:textId="43CA7AA9" w:rsidR="007025E0" w:rsidRDefault="00826436" w:rsidP="0015452F">
      <w:pPr>
        <w:spacing w:line="276" w:lineRule="auto"/>
        <w:rPr>
          <w:sz w:val="22"/>
          <w:szCs w:val="22"/>
        </w:rPr>
      </w:pPr>
      <w:r w:rsidRPr="003B1933">
        <w:rPr>
          <w:sz w:val="22"/>
          <w:szCs w:val="22"/>
        </w:rPr>
        <w:t xml:space="preserve">If I were to deal with the situation again, I would employ the same communication tactics however I would present myself more confidently. Despite the successful outcome, I feel that employing a more confident attitude will promote positive interactions and influence how members of the public respond to me. Furthermore, I would remain compassionate however adopt a firmer approach to prevent unnecessary delays when a deadline needs to be met. </w:t>
      </w:r>
      <w:r w:rsidR="005C6669">
        <w:rPr>
          <w:sz w:val="22"/>
          <w:szCs w:val="22"/>
        </w:rPr>
        <w:br/>
      </w:r>
    </w:p>
    <w:p w14:paraId="08CDFEED" w14:textId="4F0B9513" w:rsidR="00826436" w:rsidRPr="007025E0" w:rsidRDefault="00826436" w:rsidP="0015452F">
      <w:pPr>
        <w:spacing w:line="276" w:lineRule="auto"/>
        <w:rPr>
          <w:sz w:val="22"/>
          <w:szCs w:val="22"/>
        </w:rPr>
      </w:pPr>
      <w:r w:rsidRPr="003B1933">
        <w:rPr>
          <w:b/>
          <w:bCs/>
          <w:sz w:val="22"/>
          <w:szCs w:val="22"/>
        </w:rPr>
        <w:t>Academic Models</w:t>
      </w:r>
    </w:p>
    <w:p w14:paraId="22FE3D87" w14:textId="77777777" w:rsidR="00826436" w:rsidRPr="003B1933" w:rsidRDefault="00826436" w:rsidP="0015452F">
      <w:pPr>
        <w:spacing w:line="276" w:lineRule="auto"/>
        <w:rPr>
          <w:b/>
          <w:bCs/>
          <w:sz w:val="22"/>
          <w:szCs w:val="22"/>
        </w:rPr>
      </w:pPr>
    </w:p>
    <w:p w14:paraId="61B97D6C" w14:textId="77777777" w:rsidR="00826436" w:rsidRPr="003B1933" w:rsidRDefault="00826436" w:rsidP="0015452F">
      <w:pPr>
        <w:spacing w:line="276" w:lineRule="auto"/>
        <w:rPr>
          <w:sz w:val="22"/>
          <w:szCs w:val="22"/>
        </w:rPr>
      </w:pPr>
      <w:r w:rsidRPr="003B1933">
        <w:rPr>
          <w:sz w:val="22"/>
          <w:szCs w:val="22"/>
        </w:rPr>
        <w:t>The “</w:t>
      </w:r>
      <w:proofErr w:type="spellStart"/>
      <w:r w:rsidRPr="003B1933">
        <w:rPr>
          <w:sz w:val="22"/>
          <w:szCs w:val="22"/>
        </w:rPr>
        <w:t>Betari</w:t>
      </w:r>
      <w:proofErr w:type="spellEnd"/>
      <w:r w:rsidRPr="003B1933">
        <w:rPr>
          <w:sz w:val="22"/>
          <w:szCs w:val="22"/>
        </w:rPr>
        <w:t xml:space="preserve"> Box” is a cyclic model that demonstrates how our own behaviours and attitudes can affect other people and how the behaviours and attitudes of others can impact us </w:t>
      </w:r>
      <w:sdt>
        <w:sdtPr>
          <w:rPr>
            <w:sz w:val="22"/>
            <w:szCs w:val="22"/>
          </w:rPr>
          <w:id w:val="-1905597523"/>
          <w:citation/>
        </w:sdtPr>
        <w:sdtEndPr/>
        <w:sdtContent>
          <w:r w:rsidRPr="003B1933">
            <w:rPr>
              <w:sz w:val="22"/>
              <w:szCs w:val="22"/>
            </w:rPr>
            <w:fldChar w:fldCharType="begin"/>
          </w:r>
          <w:r w:rsidRPr="003B1933">
            <w:rPr>
              <w:sz w:val="22"/>
              <w:szCs w:val="22"/>
            </w:rPr>
            <w:instrText xml:space="preserve"> CITATION Rev23 \l 2057 </w:instrText>
          </w:r>
          <w:r w:rsidRPr="003B1933">
            <w:rPr>
              <w:sz w:val="22"/>
              <w:szCs w:val="22"/>
            </w:rPr>
            <w:fldChar w:fldCharType="separate"/>
          </w:r>
          <w:r w:rsidRPr="003B1933">
            <w:rPr>
              <w:rFonts w:eastAsiaTheme="minorHAnsi"/>
              <w:noProof/>
              <w:sz w:val="22"/>
              <w:szCs w:val="22"/>
            </w:rPr>
            <w:t>(Revolution, n.d.)</w:t>
          </w:r>
          <w:r w:rsidRPr="003B1933">
            <w:rPr>
              <w:sz w:val="22"/>
              <w:szCs w:val="22"/>
            </w:rPr>
            <w:fldChar w:fldCharType="end"/>
          </w:r>
        </w:sdtContent>
      </w:sdt>
      <w:r w:rsidRPr="003B1933">
        <w:rPr>
          <w:sz w:val="22"/>
          <w:szCs w:val="22"/>
        </w:rPr>
        <w:t xml:space="preserve">. Our attitude can be described as the way we react to situations- either positively or negatively based on our beliefs, feelings, and behavioural tendencies </w:t>
      </w:r>
      <w:sdt>
        <w:sdtPr>
          <w:rPr>
            <w:sz w:val="22"/>
            <w:szCs w:val="22"/>
          </w:rPr>
          <w:id w:val="1231804551"/>
          <w:citation/>
        </w:sdtPr>
        <w:sdtEndPr/>
        <w:sdtContent>
          <w:r w:rsidRPr="003B1933">
            <w:rPr>
              <w:sz w:val="22"/>
              <w:szCs w:val="22"/>
            </w:rPr>
            <w:fldChar w:fldCharType="begin"/>
          </w:r>
          <w:r w:rsidRPr="003B1933">
            <w:rPr>
              <w:sz w:val="22"/>
              <w:szCs w:val="22"/>
            </w:rPr>
            <w:instrText xml:space="preserve"> CITATION Hog05 \l 2057 </w:instrText>
          </w:r>
          <w:r w:rsidRPr="003B1933">
            <w:rPr>
              <w:sz w:val="22"/>
              <w:szCs w:val="22"/>
            </w:rPr>
            <w:fldChar w:fldCharType="separate"/>
          </w:r>
          <w:r w:rsidRPr="003B1933">
            <w:rPr>
              <w:rFonts w:eastAsiaTheme="minorHAnsi"/>
              <w:noProof/>
              <w:sz w:val="22"/>
              <w:szCs w:val="22"/>
            </w:rPr>
            <w:t>(Hogg &amp; Vaughan, 2005)</w:t>
          </w:r>
          <w:r w:rsidRPr="003B1933">
            <w:rPr>
              <w:sz w:val="22"/>
              <w:szCs w:val="22"/>
            </w:rPr>
            <w:fldChar w:fldCharType="end"/>
          </w:r>
        </w:sdtContent>
      </w:sdt>
      <w:r w:rsidRPr="003B1933">
        <w:rPr>
          <w:sz w:val="22"/>
          <w:szCs w:val="22"/>
        </w:rPr>
        <w:t xml:space="preserve">. In essence, this model illustrates the reciprocal nature of communication and how our external responses based on our attitude influences the way we interact with those around us. This model holds significant relevance in everyday interactions as our attitudes and behaviours underpin the dynamics of our relationships, however this becomes particularly pertinent in a policing context. The police are often first responders and therefore must be capable of recognising the impact of their behaviour on the public, remaining positive and respectful during moments of conflict to foster cooperation and trust. Despite this, it </w:t>
      </w:r>
      <w:proofErr w:type="spellStart"/>
      <w:r w:rsidRPr="003B1933">
        <w:rPr>
          <w:sz w:val="22"/>
          <w:szCs w:val="22"/>
        </w:rPr>
        <w:t>can not</w:t>
      </w:r>
      <w:proofErr w:type="spellEnd"/>
      <w:r w:rsidRPr="003B1933">
        <w:rPr>
          <w:sz w:val="22"/>
          <w:szCs w:val="22"/>
        </w:rPr>
        <w:t xml:space="preserve"> be said that applying this model will result in the successful resolution of every conflict situation. All situations are unique and therefore varying factors may override individual attitudes and behaviours- such as heightened emotional states, mental health considerations, cultural differences, and intoxication. This model is therefore crucial to understand the need for self- awareness however its application may be limited, and a multitude of concepts and theories should be considered.</w:t>
      </w:r>
    </w:p>
    <w:p w14:paraId="0A232EB5" w14:textId="49D07A23" w:rsidR="00826436" w:rsidRPr="003B1933" w:rsidRDefault="005C6669" w:rsidP="0015452F">
      <w:pPr>
        <w:spacing w:line="276" w:lineRule="auto"/>
        <w:rPr>
          <w:sz w:val="22"/>
          <w:szCs w:val="22"/>
        </w:rPr>
      </w:pPr>
      <w:r>
        <w:rPr>
          <w:sz w:val="22"/>
          <w:szCs w:val="22"/>
        </w:rPr>
        <w:br/>
      </w:r>
    </w:p>
    <w:p w14:paraId="240D8256" w14:textId="77777777" w:rsidR="00826436" w:rsidRPr="003B1933" w:rsidRDefault="00826436" w:rsidP="0015452F">
      <w:pPr>
        <w:spacing w:line="276" w:lineRule="auto"/>
        <w:rPr>
          <w:sz w:val="22"/>
          <w:szCs w:val="22"/>
        </w:rPr>
      </w:pPr>
      <w:r w:rsidRPr="003B1933">
        <w:rPr>
          <w:sz w:val="22"/>
          <w:szCs w:val="22"/>
        </w:rPr>
        <w:t xml:space="preserve">The “drama triangle” is a social model that maps out the roles people unconsciously step into during times of destructive conflicts </w:t>
      </w:r>
      <w:sdt>
        <w:sdtPr>
          <w:rPr>
            <w:sz w:val="22"/>
            <w:szCs w:val="22"/>
          </w:rPr>
          <w:id w:val="-984925638"/>
          <w:citation/>
        </w:sdtPr>
        <w:sdtEndPr/>
        <w:sdtContent>
          <w:r w:rsidRPr="003B1933">
            <w:rPr>
              <w:sz w:val="22"/>
              <w:szCs w:val="22"/>
            </w:rPr>
            <w:fldChar w:fldCharType="begin"/>
          </w:r>
          <w:r w:rsidRPr="003B1933">
            <w:rPr>
              <w:sz w:val="22"/>
              <w:szCs w:val="22"/>
            </w:rPr>
            <w:instrText xml:space="preserve"> CITATION Hal18 \l 2057 </w:instrText>
          </w:r>
          <w:r w:rsidRPr="003B1933">
            <w:rPr>
              <w:sz w:val="22"/>
              <w:szCs w:val="22"/>
            </w:rPr>
            <w:fldChar w:fldCharType="separate"/>
          </w:r>
          <w:r w:rsidRPr="003B1933">
            <w:rPr>
              <w:rFonts w:eastAsiaTheme="minorHAnsi"/>
              <w:noProof/>
              <w:sz w:val="22"/>
              <w:szCs w:val="22"/>
            </w:rPr>
            <w:t>(Hall, 2018)</w:t>
          </w:r>
          <w:r w:rsidRPr="003B1933">
            <w:rPr>
              <w:sz w:val="22"/>
              <w:szCs w:val="22"/>
            </w:rPr>
            <w:fldChar w:fldCharType="end"/>
          </w:r>
        </w:sdtContent>
      </w:sdt>
      <w:r w:rsidRPr="003B1933">
        <w:rPr>
          <w:sz w:val="22"/>
          <w:szCs w:val="22"/>
        </w:rPr>
        <w:t xml:space="preserve">. This model is composed of three primary roles, and each involves specific behaviours that contribute to a cycle of negative interactions. </w:t>
      </w:r>
    </w:p>
    <w:p w14:paraId="21355C76" w14:textId="77777777" w:rsidR="00826436" w:rsidRPr="003B1933" w:rsidRDefault="00826436" w:rsidP="0015452F">
      <w:pPr>
        <w:spacing w:line="276" w:lineRule="auto"/>
        <w:rPr>
          <w:sz w:val="22"/>
          <w:szCs w:val="22"/>
        </w:rPr>
      </w:pPr>
    </w:p>
    <w:p w14:paraId="354DD883" w14:textId="77777777" w:rsidR="00826436" w:rsidRPr="003B1933" w:rsidRDefault="00826436" w:rsidP="0015452F">
      <w:pPr>
        <w:pStyle w:val="ListParagraph"/>
        <w:numPr>
          <w:ilvl w:val="0"/>
          <w:numId w:val="50"/>
        </w:numPr>
        <w:overflowPunct/>
        <w:autoSpaceDE/>
        <w:autoSpaceDN/>
        <w:adjustRightInd/>
        <w:spacing w:after="160" w:line="276" w:lineRule="auto"/>
        <w:textAlignment w:val="auto"/>
        <w:rPr>
          <w:sz w:val="22"/>
          <w:szCs w:val="22"/>
        </w:rPr>
      </w:pPr>
      <w:r w:rsidRPr="003B1933">
        <w:rPr>
          <w:sz w:val="22"/>
          <w:szCs w:val="22"/>
        </w:rPr>
        <w:t xml:space="preserve">The first role is that of the persecutor, who is believed to be the aggressor. The persecutor adopts a critical stance and places blame onto the victim and can be angry, controlling, judgemental and pessimistic </w:t>
      </w:r>
      <w:sdt>
        <w:sdtPr>
          <w:rPr>
            <w:sz w:val="22"/>
            <w:szCs w:val="22"/>
          </w:rPr>
          <w:id w:val="216712405"/>
          <w:citation/>
        </w:sdtPr>
        <w:sdtEndPr/>
        <w:sdtContent>
          <w:r w:rsidRPr="003B1933">
            <w:rPr>
              <w:sz w:val="22"/>
              <w:szCs w:val="22"/>
            </w:rPr>
            <w:fldChar w:fldCharType="begin"/>
          </w:r>
          <w:r w:rsidRPr="003B1933">
            <w:rPr>
              <w:sz w:val="22"/>
              <w:szCs w:val="22"/>
            </w:rPr>
            <w:instrText xml:space="preserve"> CITATION Nol21 \l 2057 </w:instrText>
          </w:r>
          <w:r w:rsidRPr="003B1933">
            <w:rPr>
              <w:sz w:val="22"/>
              <w:szCs w:val="22"/>
            </w:rPr>
            <w:fldChar w:fldCharType="separate"/>
          </w:r>
          <w:r w:rsidRPr="003B1933">
            <w:rPr>
              <w:rFonts w:eastAsiaTheme="minorHAnsi"/>
              <w:noProof/>
              <w:sz w:val="22"/>
              <w:szCs w:val="22"/>
            </w:rPr>
            <w:t>(Nollan, 2021)</w:t>
          </w:r>
          <w:r w:rsidRPr="003B1933">
            <w:rPr>
              <w:sz w:val="22"/>
              <w:szCs w:val="22"/>
            </w:rPr>
            <w:fldChar w:fldCharType="end"/>
          </w:r>
        </w:sdtContent>
      </w:sdt>
      <w:r w:rsidRPr="003B1933">
        <w:rPr>
          <w:sz w:val="22"/>
          <w:szCs w:val="22"/>
        </w:rPr>
        <w:t xml:space="preserve">. </w:t>
      </w:r>
    </w:p>
    <w:p w14:paraId="0677E712" w14:textId="77777777" w:rsidR="00826436" w:rsidRPr="003B1933" w:rsidRDefault="00826436" w:rsidP="0015452F">
      <w:pPr>
        <w:pStyle w:val="ListParagraph"/>
        <w:numPr>
          <w:ilvl w:val="0"/>
          <w:numId w:val="50"/>
        </w:numPr>
        <w:overflowPunct/>
        <w:autoSpaceDE/>
        <w:autoSpaceDN/>
        <w:adjustRightInd/>
        <w:spacing w:after="160" w:line="276" w:lineRule="auto"/>
        <w:textAlignment w:val="auto"/>
        <w:rPr>
          <w:sz w:val="22"/>
          <w:szCs w:val="22"/>
        </w:rPr>
      </w:pPr>
      <w:r w:rsidRPr="003B1933">
        <w:rPr>
          <w:sz w:val="22"/>
          <w:szCs w:val="22"/>
        </w:rPr>
        <w:t xml:space="preserve">The next role is that of the victim, who portray themselves as hopeless and in need of rescue, unable to take responsibility for their actions. They believe they are not capable of solving their own problems yet make no attempts to do so </w:t>
      </w:r>
      <w:sdt>
        <w:sdtPr>
          <w:rPr>
            <w:sz w:val="22"/>
            <w:szCs w:val="22"/>
          </w:rPr>
          <w:id w:val="1539231136"/>
          <w:citation/>
        </w:sdtPr>
        <w:sdtEndPr/>
        <w:sdtContent>
          <w:r w:rsidRPr="003B1933">
            <w:rPr>
              <w:sz w:val="22"/>
              <w:szCs w:val="22"/>
            </w:rPr>
            <w:fldChar w:fldCharType="begin"/>
          </w:r>
          <w:r w:rsidRPr="003B1933">
            <w:rPr>
              <w:sz w:val="22"/>
              <w:szCs w:val="22"/>
            </w:rPr>
            <w:instrText xml:space="preserve"> CITATION Nol21 \l 2057 </w:instrText>
          </w:r>
          <w:r w:rsidRPr="003B1933">
            <w:rPr>
              <w:sz w:val="22"/>
              <w:szCs w:val="22"/>
            </w:rPr>
            <w:fldChar w:fldCharType="separate"/>
          </w:r>
          <w:r w:rsidRPr="003B1933">
            <w:rPr>
              <w:rFonts w:eastAsiaTheme="minorHAnsi"/>
              <w:noProof/>
              <w:sz w:val="22"/>
              <w:szCs w:val="22"/>
            </w:rPr>
            <w:t>(Nollan, 2021)</w:t>
          </w:r>
          <w:r w:rsidRPr="003B1933">
            <w:rPr>
              <w:sz w:val="22"/>
              <w:szCs w:val="22"/>
            </w:rPr>
            <w:fldChar w:fldCharType="end"/>
          </w:r>
        </w:sdtContent>
      </w:sdt>
      <w:r w:rsidRPr="003B1933">
        <w:rPr>
          <w:sz w:val="22"/>
          <w:szCs w:val="22"/>
        </w:rPr>
        <w:t>.</w:t>
      </w:r>
    </w:p>
    <w:p w14:paraId="40E849F9" w14:textId="5F3D9923" w:rsidR="00826436" w:rsidRPr="003B1933" w:rsidRDefault="00826436" w:rsidP="0015452F">
      <w:pPr>
        <w:pStyle w:val="ListParagraph"/>
        <w:numPr>
          <w:ilvl w:val="0"/>
          <w:numId w:val="50"/>
        </w:numPr>
        <w:overflowPunct/>
        <w:autoSpaceDE/>
        <w:autoSpaceDN/>
        <w:adjustRightInd/>
        <w:spacing w:after="160" w:line="276" w:lineRule="auto"/>
        <w:textAlignment w:val="auto"/>
        <w:rPr>
          <w:sz w:val="22"/>
          <w:szCs w:val="22"/>
        </w:rPr>
      </w:pPr>
      <w:r w:rsidRPr="003B1933">
        <w:rPr>
          <w:sz w:val="22"/>
          <w:szCs w:val="22"/>
        </w:rPr>
        <w:t xml:space="preserve">The final role is that of the rescuer, who intervenes by offering to save the victim from their problems. Despite the intention to help, the rescuer often ends up encouraging dependency </w:t>
      </w:r>
      <w:r w:rsidR="00DD374F">
        <w:rPr>
          <w:sz w:val="22"/>
          <w:szCs w:val="22"/>
        </w:rPr>
        <w:br/>
      </w:r>
      <w:r w:rsidRPr="003B1933">
        <w:rPr>
          <w:sz w:val="22"/>
          <w:szCs w:val="22"/>
        </w:rPr>
        <w:t xml:space="preserve">and allows them to avoid addressing their own problems </w:t>
      </w:r>
      <w:sdt>
        <w:sdtPr>
          <w:rPr>
            <w:sz w:val="22"/>
            <w:szCs w:val="22"/>
          </w:rPr>
          <w:id w:val="-2069642799"/>
          <w:citation/>
        </w:sdtPr>
        <w:sdtEndPr/>
        <w:sdtContent>
          <w:r w:rsidRPr="003B1933">
            <w:rPr>
              <w:sz w:val="22"/>
              <w:szCs w:val="22"/>
            </w:rPr>
            <w:fldChar w:fldCharType="begin"/>
          </w:r>
          <w:r w:rsidRPr="003B1933">
            <w:rPr>
              <w:sz w:val="22"/>
              <w:szCs w:val="22"/>
            </w:rPr>
            <w:instrText xml:space="preserve"> CITATION Nol21 \l 2057 </w:instrText>
          </w:r>
          <w:r w:rsidRPr="003B1933">
            <w:rPr>
              <w:sz w:val="22"/>
              <w:szCs w:val="22"/>
            </w:rPr>
            <w:fldChar w:fldCharType="separate"/>
          </w:r>
          <w:r w:rsidRPr="003B1933">
            <w:rPr>
              <w:rFonts w:eastAsiaTheme="minorHAnsi"/>
              <w:noProof/>
              <w:sz w:val="22"/>
              <w:szCs w:val="22"/>
            </w:rPr>
            <w:t>(Nollan, 2021)</w:t>
          </w:r>
          <w:r w:rsidRPr="003B1933">
            <w:rPr>
              <w:sz w:val="22"/>
              <w:szCs w:val="22"/>
            </w:rPr>
            <w:fldChar w:fldCharType="end"/>
          </w:r>
        </w:sdtContent>
      </w:sdt>
      <w:r w:rsidRPr="003B1933">
        <w:rPr>
          <w:sz w:val="22"/>
          <w:szCs w:val="22"/>
        </w:rPr>
        <w:t>.</w:t>
      </w:r>
      <w:r w:rsidR="00DD374F">
        <w:rPr>
          <w:sz w:val="22"/>
          <w:szCs w:val="22"/>
        </w:rPr>
        <w:br/>
      </w:r>
    </w:p>
    <w:p w14:paraId="2A6AA449" w14:textId="24726BD3" w:rsidR="00826436" w:rsidRPr="003B1933" w:rsidRDefault="00826436" w:rsidP="0015452F">
      <w:pPr>
        <w:spacing w:line="276" w:lineRule="auto"/>
        <w:rPr>
          <w:sz w:val="22"/>
          <w:szCs w:val="22"/>
        </w:rPr>
      </w:pPr>
      <w:r w:rsidRPr="003B1933">
        <w:rPr>
          <w:sz w:val="22"/>
          <w:szCs w:val="22"/>
        </w:rPr>
        <w:t xml:space="preserve">This model is a useful tool for understanding unhealthy conflict management to avoid falling into these roles. Its simplicity allows for its application to a multitude of conflict situations however this simplicity also reduces complex human responses into three categories when they realistically are </w:t>
      </w:r>
      <w:r w:rsidR="00EC73C9">
        <w:rPr>
          <w:sz w:val="22"/>
          <w:szCs w:val="22"/>
        </w:rPr>
        <w:t xml:space="preserve">extremely </w:t>
      </w:r>
      <w:r w:rsidRPr="003B1933">
        <w:rPr>
          <w:sz w:val="22"/>
          <w:szCs w:val="22"/>
        </w:rPr>
        <w:t xml:space="preserve">diverse. Furthermore, this model focuses on negative interactions and neglects any constructive elements. </w:t>
      </w:r>
    </w:p>
    <w:p w14:paraId="18BF5240" w14:textId="77777777" w:rsidR="00826436" w:rsidRPr="003B1933" w:rsidRDefault="00826436" w:rsidP="0015452F">
      <w:pPr>
        <w:spacing w:line="276" w:lineRule="auto"/>
        <w:rPr>
          <w:sz w:val="22"/>
          <w:szCs w:val="22"/>
        </w:rPr>
      </w:pPr>
    </w:p>
    <w:p w14:paraId="582D3B4A" w14:textId="77777777" w:rsidR="00826436" w:rsidRPr="003B1933" w:rsidRDefault="00826436" w:rsidP="0015452F">
      <w:pPr>
        <w:spacing w:line="276" w:lineRule="auto"/>
        <w:rPr>
          <w:b/>
          <w:bCs/>
          <w:sz w:val="22"/>
          <w:szCs w:val="22"/>
        </w:rPr>
      </w:pPr>
    </w:p>
    <w:p w14:paraId="5A487D9E" w14:textId="77777777" w:rsidR="00826436" w:rsidRPr="003B1933" w:rsidRDefault="00826436" w:rsidP="0015452F">
      <w:pPr>
        <w:spacing w:line="276" w:lineRule="auto"/>
        <w:rPr>
          <w:sz w:val="22"/>
          <w:szCs w:val="22"/>
        </w:rPr>
      </w:pPr>
      <w:r w:rsidRPr="003B1933">
        <w:rPr>
          <w:sz w:val="22"/>
          <w:szCs w:val="22"/>
        </w:rPr>
        <w:t xml:space="preserve">Overall, I believe the incident was successfully dealt with and I am happy with the outcome. In most conflict situations, the use of force is not necessary and although may be the easier method of resolution from an officer’s perspective, taking the time and having the patience to avoid doing so fosters understanding, builds trust and contributes to long- term resolution. The subject committed a violent offence and was extremely aggressive and therefore high risk, thus employing a multitude of communication techniques was paramount. As a result, the male was compliant, and the interview was conducted as planned without escalation. This reinforces the idea that prioritising openness, empathy, and active listening makes a significant impact on the outcome of a conflict situation, and I am pleased with the actions I took. </w:t>
      </w:r>
    </w:p>
    <w:p w14:paraId="205D4E72" w14:textId="77777777" w:rsidR="00826436" w:rsidRDefault="00826436" w:rsidP="0015452F">
      <w:pPr>
        <w:spacing w:line="276" w:lineRule="auto"/>
      </w:pPr>
    </w:p>
    <w:p w14:paraId="2A07FA48" w14:textId="77777777" w:rsidR="00826436" w:rsidRPr="00435A09" w:rsidRDefault="00826436" w:rsidP="00826436">
      <w:pPr>
        <w:rPr>
          <w:sz w:val="22"/>
          <w:szCs w:val="22"/>
        </w:rPr>
      </w:pPr>
    </w:p>
    <w:p w14:paraId="0F195481" w14:textId="77777777" w:rsidR="00826436" w:rsidRPr="00435A09" w:rsidRDefault="00826436" w:rsidP="00826436">
      <w:pPr>
        <w:rPr>
          <w:b/>
          <w:bCs/>
          <w:sz w:val="22"/>
          <w:szCs w:val="22"/>
          <w:u w:val="single"/>
        </w:rPr>
      </w:pPr>
      <w:r w:rsidRPr="00435A09">
        <w:rPr>
          <w:b/>
          <w:bCs/>
          <w:sz w:val="22"/>
          <w:szCs w:val="22"/>
          <w:u w:val="single"/>
        </w:rPr>
        <w:t>Word Count: 2,192</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55A914A" w14:textId="41D22405" w:rsidR="00C81592" w:rsidRPr="00C71BA2" w:rsidRDefault="00C81592" w:rsidP="00C81592">
      <w:pPr>
        <w:rPr>
          <w:b/>
          <w:bCs/>
          <w:u w:val="single"/>
        </w:rPr>
      </w:pPr>
    </w:p>
    <w:p w14:paraId="6E84A43D" w14:textId="77777777" w:rsidR="00C81592" w:rsidRPr="007025E0" w:rsidRDefault="00C81592" w:rsidP="007025E0">
      <w:pPr>
        <w:spacing w:line="276" w:lineRule="auto"/>
        <w:rPr>
          <w:sz w:val="22"/>
          <w:szCs w:val="22"/>
        </w:rPr>
      </w:pPr>
    </w:p>
    <w:p w14:paraId="719DA8A0" w14:textId="3DB3D3CB" w:rsidR="00C81592" w:rsidRPr="007025E0" w:rsidRDefault="00C81592" w:rsidP="007025E0">
      <w:pPr>
        <w:spacing w:line="276" w:lineRule="auto"/>
        <w:rPr>
          <w:sz w:val="22"/>
          <w:szCs w:val="22"/>
        </w:rPr>
      </w:pPr>
      <w:r w:rsidRPr="007025E0">
        <w:rPr>
          <w:sz w:val="22"/>
          <w:szCs w:val="22"/>
        </w:rPr>
        <w:t xml:space="preserve">Victims are the individuals that bear the brunt of the consequences of crime and therefore should be the priority throughout the subsequent investigation. It is imperative that their needs are recognised and supported to ensure the focus remains on the victim throughout each stage of the criminal justice system. </w:t>
      </w:r>
      <w:proofErr w:type="gramStart"/>
      <w:r w:rsidRPr="007025E0">
        <w:rPr>
          <w:sz w:val="22"/>
          <w:szCs w:val="22"/>
        </w:rPr>
        <w:t>With this in mind, criminal</w:t>
      </w:r>
      <w:proofErr w:type="gramEnd"/>
      <w:r w:rsidRPr="007025E0">
        <w:rPr>
          <w:sz w:val="22"/>
          <w:szCs w:val="22"/>
        </w:rPr>
        <w:t xml:space="preserve"> justice agencies work to implement protocols and procedures to adhere to a statutory code, known as the “Codes of Practice for Victims of Crime”. This code focus’ on the rights of victims and denotes the minimum standard of service these victims should be provided </w:t>
      </w:r>
      <w:sdt>
        <w:sdtPr>
          <w:rPr>
            <w:sz w:val="22"/>
            <w:szCs w:val="22"/>
          </w:rPr>
          <w:id w:val="1373580085"/>
          <w:citation/>
        </w:sdtPr>
        <w:sdtEndPr/>
        <w:sdtContent>
          <w:r w:rsidRPr="007025E0">
            <w:rPr>
              <w:sz w:val="22"/>
              <w:szCs w:val="22"/>
            </w:rPr>
            <w:fldChar w:fldCharType="begin"/>
          </w:r>
          <w:r w:rsidRPr="007025E0">
            <w:rPr>
              <w:sz w:val="22"/>
              <w:szCs w:val="22"/>
            </w:rPr>
            <w:instrText xml:space="preserve"> CITATION UKG05 \l 2057 </w:instrText>
          </w:r>
          <w:r w:rsidRPr="007025E0">
            <w:rPr>
              <w:sz w:val="22"/>
              <w:szCs w:val="22"/>
            </w:rPr>
            <w:fldChar w:fldCharType="separate"/>
          </w:r>
          <w:r w:rsidRPr="007025E0">
            <w:rPr>
              <w:noProof/>
              <w:sz w:val="22"/>
              <w:szCs w:val="22"/>
            </w:rPr>
            <w:t>(UK Government, 2005)</w:t>
          </w:r>
          <w:r w:rsidRPr="007025E0">
            <w:rPr>
              <w:sz w:val="22"/>
              <w:szCs w:val="22"/>
            </w:rPr>
            <w:fldChar w:fldCharType="end"/>
          </w:r>
        </w:sdtContent>
      </w:sdt>
      <w:r w:rsidRPr="007025E0">
        <w:rPr>
          <w:sz w:val="22"/>
          <w:szCs w:val="22"/>
        </w:rPr>
        <w:t xml:space="preserve">. This code first came into effect in 2006 after being established by the Domestic Violence, Crime and Victims Act 2004, and has been revised three times since this time due to continuous efforts made to improve and strengthen it </w:t>
      </w:r>
      <w:sdt>
        <w:sdtPr>
          <w:rPr>
            <w:sz w:val="22"/>
            <w:szCs w:val="22"/>
          </w:rPr>
          <w:id w:val="1133364217"/>
          <w:citation/>
        </w:sdtPr>
        <w:sdtEndPr/>
        <w:sdtContent>
          <w:r w:rsidRPr="007025E0">
            <w:rPr>
              <w:sz w:val="22"/>
              <w:szCs w:val="22"/>
            </w:rPr>
            <w:fldChar w:fldCharType="begin"/>
          </w:r>
          <w:r w:rsidRPr="007025E0">
            <w:rPr>
              <w:sz w:val="22"/>
              <w:szCs w:val="22"/>
            </w:rPr>
            <w:instrText xml:space="preserve"> CITATION Vic23 \l 2057 </w:instrText>
          </w:r>
          <w:r w:rsidRPr="007025E0">
            <w:rPr>
              <w:sz w:val="22"/>
              <w:szCs w:val="22"/>
            </w:rPr>
            <w:fldChar w:fldCharType="separate"/>
          </w:r>
          <w:r w:rsidRPr="007025E0">
            <w:rPr>
              <w:noProof/>
              <w:sz w:val="22"/>
              <w:szCs w:val="22"/>
            </w:rPr>
            <w:t>(Victim Support , n.d.)</w:t>
          </w:r>
          <w:r w:rsidRPr="007025E0">
            <w:rPr>
              <w:sz w:val="22"/>
              <w:szCs w:val="22"/>
            </w:rPr>
            <w:fldChar w:fldCharType="end"/>
          </w:r>
        </w:sdtContent>
      </w:sdt>
      <w:r w:rsidRPr="007025E0">
        <w:rPr>
          <w:sz w:val="22"/>
          <w:szCs w:val="22"/>
        </w:rPr>
        <w:t xml:space="preserve">. These standards must be withheld from the outset to ensure transparency and encourage positive relationships whilst performing in compliance with legal obligations and ethical guidelines. In this essay I will be critically exploring an incident that I have investigated in which I played a significant role with a victim and how I have supported them throughout the process taking into consideration this code as well as specific legislation, social issues, and culture. </w:t>
      </w:r>
    </w:p>
    <w:p w14:paraId="485AF4B1" w14:textId="77777777" w:rsidR="00C81592" w:rsidRPr="007025E0" w:rsidRDefault="00C81592" w:rsidP="007025E0">
      <w:pPr>
        <w:spacing w:line="276" w:lineRule="auto"/>
        <w:rPr>
          <w:sz w:val="22"/>
          <w:szCs w:val="22"/>
        </w:rPr>
      </w:pPr>
    </w:p>
    <w:p w14:paraId="50A0FC99" w14:textId="77777777" w:rsidR="00C81592" w:rsidRPr="007025E0" w:rsidRDefault="00C81592" w:rsidP="007025E0">
      <w:pPr>
        <w:spacing w:line="276" w:lineRule="auto"/>
        <w:rPr>
          <w:sz w:val="22"/>
          <w:szCs w:val="22"/>
        </w:rPr>
      </w:pPr>
    </w:p>
    <w:p w14:paraId="4B074C3A" w14:textId="77777777" w:rsidR="00C81592" w:rsidRPr="007025E0" w:rsidRDefault="00C81592" w:rsidP="007025E0">
      <w:pPr>
        <w:spacing w:line="276" w:lineRule="auto"/>
        <w:rPr>
          <w:sz w:val="22"/>
          <w:szCs w:val="22"/>
        </w:rPr>
      </w:pPr>
      <w:r w:rsidRPr="007025E0">
        <w:rPr>
          <w:sz w:val="22"/>
          <w:szCs w:val="22"/>
        </w:rPr>
        <w:t xml:space="preserve">A call was received from a woman who was reporting an incident of racial abuse on behalf of her friend and housemate. The two women were at a busy supermarket together on a Saturday afternoon where her friend accidentally bumped into a young male due to the crowded nature of the store. As she started to turn to apologise to the male, he pushed her back before loudly calling her a “Stupid N****r”. The victim had become extremely distressed after the comment and informed her friend she wished to return home. The victim’s friend then insisted on calling the police; however, the victim was hesitant. Following a conversation with her friend she eventually agreed to allow her </w:t>
      </w:r>
      <w:r w:rsidRPr="007025E0">
        <w:rPr>
          <w:sz w:val="22"/>
          <w:szCs w:val="22"/>
        </w:rPr>
        <w:lastRenderedPageBreak/>
        <w:t xml:space="preserve">to report the incident yet remained somewhat reluctant. Officers attended the address to speak with her where it was disclosed by her friend that due to the victim’s autism and depression she struggles with social interaction. Officers therefore discussed with the victim how she would prefer to proceed where it was decided she would provide a statement with her other housemate present who would act as an appropriate adult. It was after this that I took the role as investigator of this case. At of the time of writing this essay the male has been charged and bailed to court. </w:t>
      </w:r>
    </w:p>
    <w:p w14:paraId="72043452" w14:textId="77777777" w:rsidR="00C81592" w:rsidRPr="007025E0" w:rsidRDefault="00C81592" w:rsidP="007025E0">
      <w:pPr>
        <w:spacing w:line="276" w:lineRule="auto"/>
        <w:rPr>
          <w:sz w:val="22"/>
          <w:szCs w:val="22"/>
        </w:rPr>
      </w:pPr>
    </w:p>
    <w:p w14:paraId="1BE42952" w14:textId="77777777" w:rsidR="00C81592" w:rsidRPr="007025E0" w:rsidRDefault="00C81592" w:rsidP="007025E0">
      <w:pPr>
        <w:spacing w:line="276" w:lineRule="auto"/>
        <w:rPr>
          <w:sz w:val="22"/>
          <w:szCs w:val="22"/>
        </w:rPr>
      </w:pPr>
    </w:p>
    <w:p w14:paraId="1B11FA52" w14:textId="77777777" w:rsidR="00C81592" w:rsidRPr="007025E0" w:rsidRDefault="00C81592" w:rsidP="007025E0">
      <w:pPr>
        <w:spacing w:line="276" w:lineRule="auto"/>
        <w:rPr>
          <w:sz w:val="22"/>
          <w:szCs w:val="22"/>
        </w:rPr>
      </w:pPr>
      <w:r w:rsidRPr="007025E0">
        <w:rPr>
          <w:sz w:val="22"/>
          <w:szCs w:val="22"/>
        </w:rPr>
        <w:t>After reading the initial statement from the victim it was clear that more than one offence had taken place. The circumstances were such that the victim had accidentally bumped into an individual that was stood behind her where he has then pushed her back intentionally, committing the offence of assault. There are two offences that are set out by Section 39 of the Criminal Justice Act 1988 including common assault and battery, the latter which is defined as “the intentional or reckless application of unlawful force to another person” and completes the offence of assault by beating</w:t>
      </w:r>
      <w:sdt>
        <w:sdtPr>
          <w:rPr>
            <w:sz w:val="22"/>
            <w:szCs w:val="22"/>
          </w:rPr>
          <w:id w:val="-681815090"/>
          <w:citation/>
        </w:sdtPr>
        <w:sdtEndPr/>
        <w:sdtContent>
          <w:r w:rsidRPr="007025E0">
            <w:rPr>
              <w:sz w:val="22"/>
              <w:szCs w:val="22"/>
            </w:rPr>
            <w:fldChar w:fldCharType="begin"/>
          </w:r>
          <w:r w:rsidRPr="007025E0">
            <w:rPr>
              <w:sz w:val="22"/>
              <w:szCs w:val="22"/>
            </w:rPr>
            <w:instrText xml:space="preserve"> CITATION CPS22 \l 2057 </w:instrText>
          </w:r>
          <w:r w:rsidRPr="007025E0">
            <w:rPr>
              <w:sz w:val="22"/>
              <w:szCs w:val="22"/>
            </w:rPr>
            <w:fldChar w:fldCharType="separate"/>
          </w:r>
          <w:r w:rsidRPr="007025E0">
            <w:rPr>
              <w:noProof/>
              <w:sz w:val="22"/>
              <w:szCs w:val="22"/>
            </w:rPr>
            <w:t xml:space="preserve"> (CPS, 2022)</w:t>
          </w:r>
          <w:r w:rsidRPr="007025E0">
            <w:rPr>
              <w:sz w:val="22"/>
              <w:szCs w:val="22"/>
            </w:rPr>
            <w:fldChar w:fldCharType="end"/>
          </w:r>
        </w:sdtContent>
      </w:sdt>
      <w:r w:rsidRPr="007025E0">
        <w:rPr>
          <w:sz w:val="22"/>
          <w:szCs w:val="22"/>
        </w:rPr>
        <w:t xml:space="preserve">. Secondly, the male goes on to commit a Section 4a public order offence. This offence is completed when, with intent to cause harassment, alarm, or distress to a person they use threatening, abusive or insulting words or behaviour or disorderly behaviour thereby causing that person harassment, </w:t>
      </w:r>
      <w:proofErr w:type="gramStart"/>
      <w:r w:rsidRPr="007025E0">
        <w:rPr>
          <w:sz w:val="22"/>
          <w:szCs w:val="22"/>
        </w:rPr>
        <w:t>alarm</w:t>
      </w:r>
      <w:proofErr w:type="gramEnd"/>
      <w:r w:rsidRPr="007025E0">
        <w:rPr>
          <w:sz w:val="22"/>
          <w:szCs w:val="22"/>
        </w:rPr>
        <w:t xml:space="preserve"> or distress </w:t>
      </w:r>
      <w:sdt>
        <w:sdtPr>
          <w:rPr>
            <w:sz w:val="22"/>
            <w:szCs w:val="22"/>
          </w:rPr>
          <w:id w:val="-216823419"/>
          <w:citation/>
        </w:sdtPr>
        <w:sdtEndPr/>
        <w:sdtContent>
          <w:r w:rsidRPr="007025E0">
            <w:rPr>
              <w:sz w:val="22"/>
              <w:szCs w:val="22"/>
            </w:rPr>
            <w:fldChar w:fldCharType="begin"/>
          </w:r>
          <w:r w:rsidRPr="007025E0">
            <w:rPr>
              <w:sz w:val="22"/>
              <w:szCs w:val="22"/>
            </w:rPr>
            <w:instrText xml:space="preserve"> CITATION UKG06 \l 2057 </w:instrText>
          </w:r>
          <w:r w:rsidRPr="007025E0">
            <w:rPr>
              <w:sz w:val="22"/>
              <w:szCs w:val="22"/>
            </w:rPr>
            <w:fldChar w:fldCharType="separate"/>
          </w:r>
          <w:r w:rsidRPr="007025E0">
            <w:rPr>
              <w:noProof/>
              <w:sz w:val="22"/>
              <w:szCs w:val="22"/>
            </w:rPr>
            <w:t>(UK Government, 2006)</w:t>
          </w:r>
          <w:r w:rsidRPr="007025E0">
            <w:rPr>
              <w:sz w:val="22"/>
              <w:szCs w:val="22"/>
            </w:rPr>
            <w:fldChar w:fldCharType="end"/>
          </w:r>
        </w:sdtContent>
      </w:sdt>
      <w:r w:rsidRPr="007025E0">
        <w:rPr>
          <w:sz w:val="22"/>
          <w:szCs w:val="22"/>
        </w:rPr>
        <w:t xml:space="preserve">. The severity of this offence was furthermore escalated to racially aggravated public order due to the discriminatory language used. </w:t>
      </w:r>
    </w:p>
    <w:p w14:paraId="1BBCD2DD" w14:textId="77777777" w:rsidR="00C81592" w:rsidRPr="007025E0" w:rsidRDefault="00C81592" w:rsidP="007025E0">
      <w:pPr>
        <w:spacing w:line="276" w:lineRule="auto"/>
        <w:rPr>
          <w:sz w:val="22"/>
          <w:szCs w:val="22"/>
        </w:rPr>
      </w:pPr>
    </w:p>
    <w:p w14:paraId="35F22F2B" w14:textId="77777777" w:rsidR="00C81592" w:rsidRPr="007025E0" w:rsidRDefault="00C81592" w:rsidP="007025E0">
      <w:pPr>
        <w:spacing w:line="276" w:lineRule="auto"/>
        <w:rPr>
          <w:sz w:val="22"/>
          <w:szCs w:val="22"/>
        </w:rPr>
      </w:pPr>
    </w:p>
    <w:p w14:paraId="27085805" w14:textId="77777777" w:rsidR="00C81592" w:rsidRPr="007025E0" w:rsidRDefault="00C81592" w:rsidP="007025E0">
      <w:pPr>
        <w:spacing w:line="276" w:lineRule="auto"/>
        <w:rPr>
          <w:sz w:val="22"/>
          <w:szCs w:val="22"/>
        </w:rPr>
      </w:pPr>
      <w:r w:rsidRPr="007025E0">
        <w:rPr>
          <w:sz w:val="22"/>
          <w:szCs w:val="22"/>
        </w:rPr>
        <w:t xml:space="preserve">Racism in the police force is an omnipresent, complex, and deep- rooted issue globally and remains a subject of great concern. In 1981, antagonism between black youths and the metropolitan police as well as high unemployment rate and economic equality triggered a series of riots in Brixton, sparked by the “stop and search” of a young black male where the black community felt they were being unfairly targeted by discriminatory policing practises </w:t>
      </w:r>
      <w:sdt>
        <w:sdtPr>
          <w:rPr>
            <w:sz w:val="22"/>
            <w:szCs w:val="22"/>
          </w:rPr>
          <w:id w:val="-1386791454"/>
          <w:citation/>
        </w:sdtPr>
        <w:sdtEndPr/>
        <w:sdtContent>
          <w:r w:rsidRPr="007025E0">
            <w:rPr>
              <w:sz w:val="22"/>
              <w:szCs w:val="22"/>
            </w:rPr>
            <w:fldChar w:fldCharType="begin"/>
          </w:r>
          <w:r w:rsidRPr="007025E0">
            <w:rPr>
              <w:sz w:val="22"/>
              <w:szCs w:val="22"/>
            </w:rPr>
            <w:instrText xml:space="preserve"> CITATION Bre10 \l 2057 </w:instrText>
          </w:r>
          <w:r w:rsidRPr="007025E0">
            <w:rPr>
              <w:sz w:val="22"/>
              <w:szCs w:val="22"/>
            </w:rPr>
            <w:fldChar w:fldCharType="separate"/>
          </w:r>
          <w:r w:rsidRPr="007025E0">
            <w:rPr>
              <w:noProof/>
              <w:sz w:val="22"/>
              <w:szCs w:val="22"/>
            </w:rPr>
            <w:t>(Brenton, 2010)</w:t>
          </w:r>
          <w:r w:rsidRPr="007025E0">
            <w:rPr>
              <w:sz w:val="22"/>
              <w:szCs w:val="22"/>
            </w:rPr>
            <w:fldChar w:fldCharType="end"/>
          </w:r>
        </w:sdtContent>
      </w:sdt>
      <w:r w:rsidRPr="007025E0">
        <w:rPr>
          <w:sz w:val="22"/>
          <w:szCs w:val="22"/>
        </w:rPr>
        <w:t xml:space="preserve">. Evidence of the disproportionate use of ‘stop and search’ powers led to the introduction of the Police and Criminal Evidence Act 1984, a legislative framework designed to establish a balance between police powers and the rights of the public </w:t>
      </w:r>
      <w:sdt>
        <w:sdtPr>
          <w:rPr>
            <w:sz w:val="22"/>
            <w:szCs w:val="22"/>
          </w:rPr>
          <w:id w:val="-1904681181"/>
          <w:citation/>
        </w:sdtPr>
        <w:sdtEndPr/>
        <w:sdtContent>
          <w:r w:rsidRPr="007025E0">
            <w:rPr>
              <w:sz w:val="22"/>
              <w:szCs w:val="22"/>
            </w:rPr>
            <w:fldChar w:fldCharType="begin"/>
          </w:r>
          <w:r w:rsidRPr="007025E0">
            <w:rPr>
              <w:sz w:val="22"/>
              <w:szCs w:val="22"/>
            </w:rPr>
            <w:instrText xml:space="preserve">CITATION Law19 \l 2057 </w:instrText>
          </w:r>
          <w:r w:rsidRPr="007025E0">
            <w:rPr>
              <w:sz w:val="22"/>
              <w:szCs w:val="22"/>
            </w:rPr>
            <w:fldChar w:fldCharType="separate"/>
          </w:r>
          <w:r w:rsidRPr="007025E0">
            <w:rPr>
              <w:noProof/>
              <w:sz w:val="22"/>
              <w:szCs w:val="22"/>
            </w:rPr>
            <w:t>(LawTeacher, 2019)</w:t>
          </w:r>
          <w:r w:rsidRPr="007025E0">
            <w:rPr>
              <w:sz w:val="22"/>
              <w:szCs w:val="22"/>
            </w:rPr>
            <w:fldChar w:fldCharType="end"/>
          </w:r>
        </w:sdtContent>
      </w:sdt>
      <w:r w:rsidRPr="007025E0">
        <w:rPr>
          <w:sz w:val="22"/>
          <w:szCs w:val="22"/>
        </w:rPr>
        <w:t xml:space="preserve"> and prevent racial profiling. Various further measures have been implemented to enable officers to understand and navigate diverse communities, however instances of racism still occur today. An inquest into the drowning of 12-year-old refugee Shukri Abdi in 2019 revealed issues surrounding the response of police after they had denied any foul play, as well as failures of the wider criminal justice system and education system that allowed persistent racist bullying </w:t>
      </w:r>
      <w:sdt>
        <w:sdtPr>
          <w:rPr>
            <w:sz w:val="22"/>
            <w:szCs w:val="22"/>
          </w:rPr>
          <w:id w:val="-1074893409"/>
          <w:citation/>
        </w:sdtPr>
        <w:sdtEndPr/>
        <w:sdtContent>
          <w:r w:rsidRPr="007025E0">
            <w:rPr>
              <w:sz w:val="22"/>
              <w:szCs w:val="22"/>
            </w:rPr>
            <w:fldChar w:fldCharType="begin"/>
          </w:r>
          <w:r w:rsidRPr="007025E0">
            <w:rPr>
              <w:sz w:val="22"/>
              <w:szCs w:val="22"/>
            </w:rPr>
            <w:instrText xml:space="preserve"> CITATION Rem21 \l 2057 </w:instrText>
          </w:r>
          <w:r w:rsidRPr="007025E0">
            <w:rPr>
              <w:sz w:val="22"/>
              <w:szCs w:val="22"/>
            </w:rPr>
            <w:fldChar w:fldCharType="separate"/>
          </w:r>
          <w:r w:rsidRPr="007025E0">
            <w:rPr>
              <w:noProof/>
              <w:sz w:val="22"/>
              <w:szCs w:val="22"/>
            </w:rPr>
            <w:t>(Joseph–Salisbury, et al., 2021)</w:t>
          </w:r>
          <w:r w:rsidRPr="007025E0">
            <w:rPr>
              <w:sz w:val="22"/>
              <w:szCs w:val="22"/>
            </w:rPr>
            <w:fldChar w:fldCharType="end"/>
          </w:r>
        </w:sdtContent>
      </w:sdt>
      <w:r w:rsidRPr="007025E0">
        <w:rPr>
          <w:sz w:val="22"/>
          <w:szCs w:val="22"/>
        </w:rPr>
        <w:t xml:space="preserve">. It is therefore clear that the fight against racism in policing is not over and continued commitment to addressing underlying issues is imperative for an inclusive, accountable, and unbiased police force. </w:t>
      </w:r>
    </w:p>
    <w:p w14:paraId="062571AA" w14:textId="77777777" w:rsidR="00C81592" w:rsidRPr="007025E0" w:rsidRDefault="00C81592" w:rsidP="007025E0">
      <w:pPr>
        <w:spacing w:line="276" w:lineRule="auto"/>
        <w:rPr>
          <w:sz w:val="22"/>
          <w:szCs w:val="22"/>
        </w:rPr>
      </w:pPr>
    </w:p>
    <w:p w14:paraId="658642EC" w14:textId="77777777" w:rsidR="00C81592" w:rsidRPr="007025E0" w:rsidRDefault="00C81592" w:rsidP="007025E0">
      <w:pPr>
        <w:spacing w:line="276" w:lineRule="auto"/>
        <w:rPr>
          <w:sz w:val="22"/>
          <w:szCs w:val="22"/>
        </w:rPr>
      </w:pPr>
    </w:p>
    <w:p w14:paraId="6AC25277" w14:textId="77777777" w:rsidR="00C81592" w:rsidRPr="007025E0" w:rsidRDefault="00C81592" w:rsidP="007025E0">
      <w:pPr>
        <w:spacing w:line="276" w:lineRule="auto"/>
        <w:rPr>
          <w:sz w:val="22"/>
          <w:szCs w:val="22"/>
        </w:rPr>
      </w:pPr>
      <w:r w:rsidRPr="007025E0">
        <w:rPr>
          <w:sz w:val="22"/>
          <w:szCs w:val="22"/>
        </w:rPr>
        <w:t xml:space="preserve">This incident is classed as a hate crime. A hate crime is an offence that is motivated by hostility or prejudice based on a real or perceived disability, race or ethnicity, religion or belief, sexual </w:t>
      </w:r>
      <w:proofErr w:type="gramStart"/>
      <w:r w:rsidRPr="007025E0">
        <w:rPr>
          <w:sz w:val="22"/>
          <w:szCs w:val="22"/>
        </w:rPr>
        <w:t>orientation</w:t>
      </w:r>
      <w:proofErr w:type="gramEnd"/>
      <w:r w:rsidRPr="007025E0">
        <w:rPr>
          <w:sz w:val="22"/>
          <w:szCs w:val="22"/>
        </w:rPr>
        <w:t xml:space="preserve"> or transgender identity </w:t>
      </w:r>
      <w:sdt>
        <w:sdtPr>
          <w:rPr>
            <w:sz w:val="22"/>
            <w:szCs w:val="22"/>
          </w:rPr>
          <w:id w:val="-1312709798"/>
          <w:citation/>
        </w:sdtPr>
        <w:sdtEndPr/>
        <w:sdtContent>
          <w:r w:rsidRPr="007025E0">
            <w:rPr>
              <w:sz w:val="22"/>
              <w:szCs w:val="22"/>
            </w:rPr>
            <w:fldChar w:fldCharType="begin"/>
          </w:r>
          <w:r w:rsidRPr="007025E0">
            <w:rPr>
              <w:sz w:val="22"/>
              <w:szCs w:val="22"/>
            </w:rPr>
            <w:instrText xml:space="preserve"> CITATION Met23 \l 2057 </w:instrText>
          </w:r>
          <w:r w:rsidRPr="007025E0">
            <w:rPr>
              <w:sz w:val="22"/>
              <w:szCs w:val="22"/>
            </w:rPr>
            <w:fldChar w:fldCharType="separate"/>
          </w:r>
          <w:r w:rsidRPr="007025E0">
            <w:rPr>
              <w:noProof/>
              <w:sz w:val="22"/>
              <w:szCs w:val="22"/>
            </w:rPr>
            <w:t>(Metropolitan Police, n.d.)</w:t>
          </w:r>
          <w:r w:rsidRPr="007025E0">
            <w:rPr>
              <w:sz w:val="22"/>
              <w:szCs w:val="22"/>
            </w:rPr>
            <w:fldChar w:fldCharType="end"/>
          </w:r>
        </w:sdtContent>
      </w:sdt>
      <w:r w:rsidRPr="007025E0">
        <w:rPr>
          <w:sz w:val="22"/>
          <w:szCs w:val="22"/>
        </w:rPr>
        <w:t xml:space="preserve">. Statistics published by the Home Office have shown that there were 155,841 hate crimes recorded in 2022 in England and Wales providing an increase of 26% from the previous year, with 70% being racially motivated </w:t>
      </w:r>
      <w:sdt>
        <w:sdtPr>
          <w:rPr>
            <w:sz w:val="22"/>
            <w:szCs w:val="22"/>
          </w:rPr>
          <w:id w:val="1658267179"/>
          <w:citation/>
        </w:sdtPr>
        <w:sdtEndPr/>
        <w:sdtContent>
          <w:r w:rsidRPr="007025E0">
            <w:rPr>
              <w:sz w:val="22"/>
              <w:szCs w:val="22"/>
            </w:rPr>
            <w:fldChar w:fldCharType="begin"/>
          </w:r>
          <w:r w:rsidRPr="007025E0">
            <w:rPr>
              <w:sz w:val="22"/>
              <w:szCs w:val="22"/>
            </w:rPr>
            <w:instrText xml:space="preserve"> CITATION Hom22 \l 2057 </w:instrText>
          </w:r>
          <w:r w:rsidRPr="007025E0">
            <w:rPr>
              <w:sz w:val="22"/>
              <w:szCs w:val="22"/>
            </w:rPr>
            <w:fldChar w:fldCharType="separate"/>
          </w:r>
          <w:r w:rsidRPr="007025E0">
            <w:rPr>
              <w:noProof/>
              <w:sz w:val="22"/>
              <w:szCs w:val="22"/>
            </w:rPr>
            <w:t>(Home Office, 2022)</w:t>
          </w:r>
          <w:r w:rsidRPr="007025E0">
            <w:rPr>
              <w:sz w:val="22"/>
              <w:szCs w:val="22"/>
            </w:rPr>
            <w:fldChar w:fldCharType="end"/>
          </w:r>
        </w:sdtContent>
      </w:sdt>
      <w:r w:rsidRPr="007025E0">
        <w:rPr>
          <w:sz w:val="22"/>
          <w:szCs w:val="22"/>
        </w:rPr>
        <w:t xml:space="preserve">. It should however be noted this increase may be due to improvements in crime recording by police as well as improved victim confidence in reporting </w:t>
      </w:r>
      <w:sdt>
        <w:sdtPr>
          <w:rPr>
            <w:sz w:val="22"/>
            <w:szCs w:val="22"/>
          </w:rPr>
          <w:id w:val="847145072"/>
          <w:citation/>
        </w:sdtPr>
        <w:sdtEndPr/>
        <w:sdtContent>
          <w:r w:rsidRPr="007025E0">
            <w:rPr>
              <w:sz w:val="22"/>
              <w:szCs w:val="22"/>
            </w:rPr>
            <w:fldChar w:fldCharType="begin"/>
          </w:r>
          <w:r w:rsidRPr="007025E0">
            <w:rPr>
              <w:sz w:val="22"/>
              <w:szCs w:val="22"/>
            </w:rPr>
            <w:instrText xml:space="preserve"> CITATION Hom22 \l 2057 </w:instrText>
          </w:r>
          <w:r w:rsidRPr="007025E0">
            <w:rPr>
              <w:sz w:val="22"/>
              <w:szCs w:val="22"/>
            </w:rPr>
            <w:fldChar w:fldCharType="separate"/>
          </w:r>
          <w:r w:rsidRPr="007025E0">
            <w:rPr>
              <w:noProof/>
              <w:sz w:val="22"/>
              <w:szCs w:val="22"/>
            </w:rPr>
            <w:t>(Home Office, 2022)</w:t>
          </w:r>
          <w:r w:rsidRPr="007025E0">
            <w:rPr>
              <w:sz w:val="22"/>
              <w:szCs w:val="22"/>
            </w:rPr>
            <w:fldChar w:fldCharType="end"/>
          </w:r>
        </w:sdtContent>
      </w:sdt>
      <w:r w:rsidRPr="007025E0">
        <w:rPr>
          <w:sz w:val="22"/>
          <w:szCs w:val="22"/>
        </w:rPr>
        <w:t xml:space="preserve">, but nonetheless demonstrates the severity and regularity of these offences. </w:t>
      </w:r>
    </w:p>
    <w:p w14:paraId="0C823FC7" w14:textId="77777777" w:rsidR="00C81592" w:rsidRPr="007025E0" w:rsidRDefault="00C81592" w:rsidP="007025E0">
      <w:pPr>
        <w:spacing w:line="276" w:lineRule="auto"/>
        <w:rPr>
          <w:sz w:val="22"/>
          <w:szCs w:val="22"/>
        </w:rPr>
      </w:pPr>
    </w:p>
    <w:p w14:paraId="1651E891" w14:textId="77777777" w:rsidR="00C81592" w:rsidRPr="007025E0" w:rsidRDefault="00C81592" w:rsidP="007025E0">
      <w:pPr>
        <w:spacing w:line="276" w:lineRule="auto"/>
        <w:rPr>
          <w:sz w:val="22"/>
          <w:szCs w:val="22"/>
        </w:rPr>
      </w:pPr>
    </w:p>
    <w:p w14:paraId="7BD569E4" w14:textId="77777777" w:rsidR="00C81592" w:rsidRPr="007025E0" w:rsidRDefault="00C81592" w:rsidP="007025E0">
      <w:pPr>
        <w:spacing w:line="276" w:lineRule="auto"/>
        <w:rPr>
          <w:sz w:val="22"/>
          <w:szCs w:val="22"/>
        </w:rPr>
      </w:pPr>
      <w:r w:rsidRPr="007025E0">
        <w:rPr>
          <w:sz w:val="22"/>
          <w:szCs w:val="22"/>
        </w:rPr>
        <w:lastRenderedPageBreak/>
        <w:t xml:space="preserve">There are multiple rights from the victim’s Code of Practice and standards and principles of behaviour that comprise the Code of Ethics </w:t>
      </w:r>
      <w:sdt>
        <w:sdtPr>
          <w:rPr>
            <w:sz w:val="22"/>
            <w:szCs w:val="22"/>
          </w:rPr>
          <w:id w:val="-1411614938"/>
          <w:citation/>
        </w:sdtPr>
        <w:sdtEndPr/>
        <w:sdtContent>
          <w:r w:rsidRPr="007025E0">
            <w:rPr>
              <w:sz w:val="22"/>
              <w:szCs w:val="22"/>
            </w:rPr>
            <w:fldChar w:fldCharType="begin"/>
          </w:r>
          <w:r w:rsidRPr="007025E0">
            <w:rPr>
              <w:sz w:val="22"/>
              <w:szCs w:val="22"/>
            </w:rPr>
            <w:instrText xml:space="preserve"> CITATION Col14 \l 2057 </w:instrText>
          </w:r>
          <w:r w:rsidRPr="007025E0">
            <w:rPr>
              <w:sz w:val="22"/>
              <w:szCs w:val="22"/>
            </w:rPr>
            <w:fldChar w:fldCharType="separate"/>
          </w:r>
          <w:r w:rsidRPr="007025E0">
            <w:rPr>
              <w:noProof/>
              <w:sz w:val="22"/>
              <w:szCs w:val="22"/>
            </w:rPr>
            <w:t>(College of Policing, 2014)</w:t>
          </w:r>
          <w:r w:rsidRPr="007025E0">
            <w:rPr>
              <w:sz w:val="22"/>
              <w:szCs w:val="22"/>
            </w:rPr>
            <w:fldChar w:fldCharType="end"/>
          </w:r>
        </w:sdtContent>
      </w:sdt>
      <w:r w:rsidRPr="007025E0">
        <w:rPr>
          <w:sz w:val="22"/>
          <w:szCs w:val="22"/>
        </w:rPr>
        <w:t xml:space="preserve"> that can be applied to this incident. Firstly, the right to be able to understand and to be understood </w:t>
      </w:r>
      <w:sdt>
        <w:sdtPr>
          <w:rPr>
            <w:sz w:val="22"/>
            <w:szCs w:val="22"/>
          </w:rPr>
          <w:id w:val="-1279325833"/>
          <w:citation/>
        </w:sdtPr>
        <w:sdtEndPr/>
        <w:sdtContent>
          <w:r w:rsidRPr="007025E0">
            <w:rPr>
              <w:sz w:val="22"/>
              <w:szCs w:val="22"/>
            </w:rPr>
            <w:fldChar w:fldCharType="begin"/>
          </w:r>
          <w:r w:rsidRPr="007025E0">
            <w:rPr>
              <w:sz w:val="22"/>
              <w:szCs w:val="22"/>
            </w:rPr>
            <w:instrText xml:space="preserve"> CITATION Min20 \l 2057 </w:instrText>
          </w:r>
          <w:r w:rsidRPr="007025E0">
            <w:rPr>
              <w:sz w:val="22"/>
              <w:szCs w:val="22"/>
            </w:rPr>
            <w:fldChar w:fldCharType="separate"/>
          </w:r>
          <w:r w:rsidRPr="007025E0">
            <w:rPr>
              <w:noProof/>
              <w:sz w:val="22"/>
              <w:szCs w:val="22"/>
            </w:rPr>
            <w:t>(Ministry of Justice , 2020)</w:t>
          </w:r>
          <w:r w:rsidRPr="007025E0">
            <w:rPr>
              <w:sz w:val="22"/>
              <w:szCs w:val="22"/>
            </w:rPr>
            <w:fldChar w:fldCharType="end"/>
          </w:r>
        </w:sdtContent>
      </w:sdt>
      <w:r w:rsidRPr="007025E0">
        <w:rPr>
          <w:sz w:val="22"/>
          <w:szCs w:val="22"/>
        </w:rPr>
        <w:t xml:space="preserve">. When taking on the case I ensured I took the time to personally understand the incident in great depth to investigate it as efficiently as possible, but also to recognise the needs and considerations of the victim in line with the standards of ‘authority, respect and courtesy’. This is particularly important as a course of action will vary- no two victims will feel or react in an identical manner. Due to this, as with any investigation, it was imperative to demonstrate the principle of ‘objectivity’ and base decisions on information I had available rather than the way I felt. I therefore had a discussion with the victim and her appropriate adult explaining my role, detailing the stages of the investigation, and answering any questions they had, where it soon became clear the victim started to feel a lot more comfortable and open in the way she communicated with me. This ties in with the policing principles of ‘openness’, ‘accountability’ and ‘honesty’ as I took the time to explain without providing any misleading or ambiguous information whilst accepting full responsibility as the officer in case. </w:t>
      </w:r>
    </w:p>
    <w:p w14:paraId="454C3D4C" w14:textId="77777777" w:rsidR="00C81592" w:rsidRPr="007025E0" w:rsidRDefault="00C81592" w:rsidP="007025E0">
      <w:pPr>
        <w:spacing w:line="276" w:lineRule="auto"/>
        <w:rPr>
          <w:sz w:val="22"/>
          <w:szCs w:val="22"/>
        </w:rPr>
      </w:pPr>
    </w:p>
    <w:p w14:paraId="18D874FD" w14:textId="77777777" w:rsidR="00C81592" w:rsidRPr="007025E0" w:rsidRDefault="00C81592" w:rsidP="007025E0">
      <w:pPr>
        <w:spacing w:line="276" w:lineRule="auto"/>
        <w:rPr>
          <w:sz w:val="22"/>
          <w:szCs w:val="22"/>
        </w:rPr>
      </w:pPr>
    </w:p>
    <w:p w14:paraId="430CC25C" w14:textId="77777777" w:rsidR="00C81592" w:rsidRPr="007025E0" w:rsidRDefault="00C81592" w:rsidP="007025E0">
      <w:pPr>
        <w:spacing w:line="276" w:lineRule="auto"/>
        <w:rPr>
          <w:sz w:val="22"/>
          <w:szCs w:val="22"/>
        </w:rPr>
      </w:pPr>
      <w:r w:rsidRPr="007025E0">
        <w:rPr>
          <w:sz w:val="22"/>
          <w:szCs w:val="22"/>
        </w:rPr>
        <w:t>Secondly, the right to be referred to services that support victims and have the support tailored to their needs as well as the right to make a Victim Personal Statement, (VPS)</w:t>
      </w:r>
      <w:sdt>
        <w:sdtPr>
          <w:rPr>
            <w:sz w:val="22"/>
            <w:szCs w:val="22"/>
          </w:rPr>
          <w:id w:val="-765453275"/>
          <w:citation/>
        </w:sdtPr>
        <w:sdtEndPr/>
        <w:sdtContent>
          <w:r w:rsidRPr="007025E0">
            <w:rPr>
              <w:sz w:val="22"/>
              <w:szCs w:val="22"/>
            </w:rPr>
            <w:fldChar w:fldCharType="begin"/>
          </w:r>
          <w:r w:rsidRPr="007025E0">
            <w:rPr>
              <w:sz w:val="22"/>
              <w:szCs w:val="22"/>
            </w:rPr>
            <w:instrText xml:space="preserve"> CITATION Min20 \l 2057 </w:instrText>
          </w:r>
          <w:r w:rsidRPr="007025E0">
            <w:rPr>
              <w:sz w:val="22"/>
              <w:szCs w:val="22"/>
            </w:rPr>
            <w:fldChar w:fldCharType="separate"/>
          </w:r>
          <w:r w:rsidRPr="007025E0">
            <w:rPr>
              <w:noProof/>
              <w:sz w:val="22"/>
              <w:szCs w:val="22"/>
            </w:rPr>
            <w:t xml:space="preserve"> (Ministry of Justice , 2020)</w:t>
          </w:r>
          <w:r w:rsidRPr="007025E0">
            <w:rPr>
              <w:sz w:val="22"/>
              <w:szCs w:val="22"/>
            </w:rPr>
            <w:fldChar w:fldCharType="end"/>
          </w:r>
        </w:sdtContent>
      </w:sdt>
      <w:r w:rsidRPr="007025E0">
        <w:rPr>
          <w:sz w:val="22"/>
          <w:szCs w:val="22"/>
        </w:rPr>
        <w:t xml:space="preserve"> are directly applicable. All victims of crime have the right to provide a VPS, which is a document by the victim detailing the way they have been impacted by a crime. They are considered prior to sentencing to provide a more comprehensive understanding of the impacts of an offence from the point of view of the individual directly affected. Officers explained this process to the victim on the day of the incident who informed them she would think about it and to check back in a few days. Over a week later the victim agreed to provide a VPS however I believe if I had asked earlier her recall of her emotional state post- incident would have been clearer and therefore eventually provided a stronger impact in court. As the victim was the subject of a hate crime, she was provided access to a Hate Crime Support Officer (HCSO). A HCSO is an officer who provides specialised support to victims and can also link them to further support agencies. The victim of this incident was grateful as despite all officers receiving training, she found further comfort through someone who was committed to addressing hate crimes themselves.</w:t>
      </w:r>
    </w:p>
    <w:p w14:paraId="5B8922F4" w14:textId="77777777" w:rsidR="00C81592" w:rsidRPr="007025E0" w:rsidRDefault="00C81592" w:rsidP="007025E0">
      <w:pPr>
        <w:spacing w:line="276" w:lineRule="auto"/>
        <w:rPr>
          <w:sz w:val="22"/>
          <w:szCs w:val="22"/>
        </w:rPr>
      </w:pPr>
    </w:p>
    <w:p w14:paraId="370EDB2F" w14:textId="77777777" w:rsidR="00C81592" w:rsidRPr="007025E0" w:rsidRDefault="00C81592" w:rsidP="007025E0">
      <w:pPr>
        <w:spacing w:line="276" w:lineRule="auto"/>
        <w:rPr>
          <w:sz w:val="22"/>
          <w:szCs w:val="22"/>
        </w:rPr>
      </w:pPr>
    </w:p>
    <w:p w14:paraId="4FFB6D2B" w14:textId="77777777" w:rsidR="00C81592" w:rsidRPr="007025E0" w:rsidRDefault="00C81592" w:rsidP="007025E0">
      <w:pPr>
        <w:spacing w:line="276" w:lineRule="auto"/>
        <w:rPr>
          <w:sz w:val="22"/>
          <w:szCs w:val="22"/>
        </w:rPr>
      </w:pPr>
      <w:r w:rsidRPr="007025E0">
        <w:rPr>
          <w:sz w:val="22"/>
          <w:szCs w:val="22"/>
        </w:rPr>
        <w:t xml:space="preserve">Furthermore, the victim is classed as vulnerable due to her suffering with depression and was therefore eligible to receive ‘special measures’; provisions that are implemented to support vulnerable or intimidated witnesses to help them give the highest quality of evidence in court </w:t>
      </w:r>
      <w:sdt>
        <w:sdtPr>
          <w:rPr>
            <w:sz w:val="22"/>
            <w:szCs w:val="22"/>
          </w:rPr>
          <w:id w:val="-1648897258"/>
          <w:citation/>
        </w:sdtPr>
        <w:sdtEndPr/>
        <w:sdtContent>
          <w:r w:rsidRPr="007025E0">
            <w:rPr>
              <w:sz w:val="22"/>
              <w:szCs w:val="22"/>
            </w:rPr>
            <w:fldChar w:fldCharType="begin"/>
          </w:r>
          <w:r w:rsidRPr="007025E0">
            <w:rPr>
              <w:sz w:val="22"/>
              <w:szCs w:val="22"/>
            </w:rPr>
            <w:instrText xml:space="preserve"> CITATION CPS21 \l 2057 </w:instrText>
          </w:r>
          <w:r w:rsidRPr="007025E0">
            <w:rPr>
              <w:sz w:val="22"/>
              <w:szCs w:val="22"/>
            </w:rPr>
            <w:fldChar w:fldCharType="separate"/>
          </w:r>
          <w:r w:rsidRPr="007025E0">
            <w:rPr>
              <w:noProof/>
              <w:sz w:val="22"/>
              <w:szCs w:val="22"/>
            </w:rPr>
            <w:t>(CPS, 2021)</w:t>
          </w:r>
          <w:r w:rsidRPr="007025E0">
            <w:rPr>
              <w:sz w:val="22"/>
              <w:szCs w:val="22"/>
            </w:rPr>
            <w:fldChar w:fldCharType="end"/>
          </w:r>
        </w:sdtContent>
      </w:sdt>
      <w:r w:rsidRPr="007025E0">
        <w:rPr>
          <w:sz w:val="22"/>
          <w:szCs w:val="22"/>
        </w:rPr>
        <w:t xml:space="preserve">. I took the time to explain this to the victim who expressed she felt a lot more confident knowing there were ways she could be accommodated and wished to have an intermediary present. The victims outlook on court proceedings was altered completely, demonstrating how exceptionally beneficial special measures are for a diverse population and how they contribute to an inclusive legal environment. Based on this, it is likely that many trials did not have the desired outcome before the introduction of special measures and continuous efforts should be made to ensure fair processes. </w:t>
      </w:r>
    </w:p>
    <w:p w14:paraId="7B97F551" w14:textId="77777777" w:rsidR="00C81592" w:rsidRPr="007025E0" w:rsidRDefault="00C81592" w:rsidP="007025E0">
      <w:pPr>
        <w:spacing w:line="276" w:lineRule="auto"/>
        <w:rPr>
          <w:sz w:val="22"/>
          <w:szCs w:val="22"/>
        </w:rPr>
      </w:pPr>
    </w:p>
    <w:p w14:paraId="0FAB1772" w14:textId="77777777" w:rsidR="00C81592" w:rsidRPr="007025E0" w:rsidRDefault="00C81592" w:rsidP="007025E0">
      <w:pPr>
        <w:spacing w:line="276" w:lineRule="auto"/>
        <w:rPr>
          <w:sz w:val="22"/>
          <w:szCs w:val="22"/>
        </w:rPr>
      </w:pPr>
    </w:p>
    <w:p w14:paraId="1473F1E5" w14:textId="2AD7D4EB" w:rsidR="00C81592" w:rsidRPr="007025E0" w:rsidRDefault="00C81592" w:rsidP="007025E0">
      <w:pPr>
        <w:spacing w:line="276" w:lineRule="auto"/>
        <w:rPr>
          <w:sz w:val="22"/>
          <w:szCs w:val="22"/>
        </w:rPr>
      </w:pPr>
      <w:r w:rsidRPr="007025E0">
        <w:rPr>
          <w:sz w:val="22"/>
          <w:szCs w:val="22"/>
        </w:rPr>
        <w:t xml:space="preserve">The victim also has the right to be provided with information about the investigation and prosecution </w:t>
      </w:r>
      <w:sdt>
        <w:sdtPr>
          <w:rPr>
            <w:sz w:val="22"/>
            <w:szCs w:val="22"/>
          </w:rPr>
          <w:id w:val="-150830875"/>
          <w:citation/>
        </w:sdtPr>
        <w:sdtEndPr/>
        <w:sdtContent>
          <w:r w:rsidRPr="007025E0">
            <w:rPr>
              <w:sz w:val="22"/>
              <w:szCs w:val="22"/>
            </w:rPr>
            <w:fldChar w:fldCharType="begin"/>
          </w:r>
          <w:r w:rsidRPr="007025E0">
            <w:rPr>
              <w:sz w:val="22"/>
              <w:szCs w:val="22"/>
            </w:rPr>
            <w:instrText xml:space="preserve"> CITATION Min20 \l 2057 </w:instrText>
          </w:r>
          <w:r w:rsidRPr="007025E0">
            <w:rPr>
              <w:sz w:val="22"/>
              <w:szCs w:val="22"/>
            </w:rPr>
            <w:fldChar w:fldCharType="separate"/>
          </w:r>
          <w:r w:rsidRPr="007025E0">
            <w:rPr>
              <w:noProof/>
              <w:sz w:val="22"/>
              <w:szCs w:val="22"/>
            </w:rPr>
            <w:t>(Ministry of Justice , 2020)</w:t>
          </w:r>
          <w:r w:rsidRPr="007025E0">
            <w:rPr>
              <w:sz w:val="22"/>
              <w:szCs w:val="22"/>
            </w:rPr>
            <w:fldChar w:fldCharType="end"/>
          </w:r>
        </w:sdtContent>
      </w:sdt>
      <w:r w:rsidRPr="007025E0">
        <w:rPr>
          <w:sz w:val="22"/>
          <w:szCs w:val="22"/>
        </w:rPr>
        <w:t xml:space="preserve">. After having discussed this with the victim it was agreed I would contact her whenever I received updates or every 3 days- as she </w:t>
      </w:r>
      <w:proofErr w:type="gramStart"/>
      <w:r w:rsidRPr="007025E0">
        <w:rPr>
          <w:sz w:val="22"/>
          <w:szCs w:val="22"/>
        </w:rPr>
        <w:t>expressed</w:t>
      </w:r>
      <w:proofErr w:type="gramEnd"/>
      <w:r w:rsidRPr="007025E0">
        <w:rPr>
          <w:sz w:val="22"/>
          <w:szCs w:val="22"/>
        </w:rPr>
        <w:t xml:space="preserve"> she would feel anxious with a lack of communication. I informed her of the investigation plan, when CCTV and other evidence was </w:t>
      </w:r>
      <w:r w:rsidRPr="007025E0">
        <w:rPr>
          <w:sz w:val="22"/>
          <w:szCs w:val="22"/>
        </w:rPr>
        <w:lastRenderedPageBreak/>
        <w:t xml:space="preserve">obtained, when the suspect was identified and arrested, and the result of his interview. This enabled the victim to actively participate in the investigation and the detail I provided allowed her to fully comprehend the process. The principles of ‘fairness’, ‘equality’ and ‘integrity’ were demonstrated by this and by the way I interacted with the victim from the moment I became part of the investigation. As with every case, I carried out my role in line with legislation whilst being led by the wishes of the victim but recognised that due to her vulnerability and the fact she was a part of the black community who had a tumultuous past with the police and was also subject to a hate crime, I had to go above and beyond to reassure the victim we take every case with the utmost seriousness and offer a myriad of support from ourselves and partner agencies along the way. </w:t>
      </w:r>
    </w:p>
    <w:p w14:paraId="40AF3C78" w14:textId="77777777" w:rsidR="00C81592" w:rsidRPr="007025E0" w:rsidRDefault="00C81592" w:rsidP="007025E0">
      <w:pPr>
        <w:spacing w:line="276" w:lineRule="auto"/>
        <w:rPr>
          <w:sz w:val="22"/>
          <w:szCs w:val="22"/>
        </w:rPr>
      </w:pPr>
    </w:p>
    <w:p w14:paraId="3289D860" w14:textId="77777777" w:rsidR="00C81592" w:rsidRPr="007025E0" w:rsidRDefault="00C81592" w:rsidP="007025E0">
      <w:pPr>
        <w:spacing w:line="276" w:lineRule="auto"/>
        <w:rPr>
          <w:sz w:val="22"/>
          <w:szCs w:val="22"/>
        </w:rPr>
      </w:pPr>
    </w:p>
    <w:p w14:paraId="3F1393B1" w14:textId="77777777" w:rsidR="00C81592" w:rsidRPr="007025E0" w:rsidRDefault="00C81592" w:rsidP="007025E0">
      <w:pPr>
        <w:spacing w:line="276" w:lineRule="auto"/>
        <w:rPr>
          <w:sz w:val="22"/>
          <w:szCs w:val="22"/>
        </w:rPr>
      </w:pPr>
      <w:r w:rsidRPr="007025E0">
        <w:rPr>
          <w:sz w:val="22"/>
          <w:szCs w:val="22"/>
        </w:rPr>
        <w:t xml:space="preserve">Overall, I am happy with how I dealt with the victim throughout the investigation and how I acted on my duties and responsibilities as an investigator as outlined in the standards of professional behaviour </w:t>
      </w:r>
      <w:sdt>
        <w:sdtPr>
          <w:rPr>
            <w:sz w:val="22"/>
            <w:szCs w:val="22"/>
          </w:rPr>
          <w:id w:val="1241214583"/>
          <w:citation/>
        </w:sdtPr>
        <w:sdtEndPr/>
        <w:sdtContent>
          <w:r w:rsidRPr="007025E0">
            <w:rPr>
              <w:sz w:val="22"/>
              <w:szCs w:val="22"/>
            </w:rPr>
            <w:fldChar w:fldCharType="begin"/>
          </w:r>
          <w:r w:rsidRPr="007025E0">
            <w:rPr>
              <w:sz w:val="22"/>
              <w:szCs w:val="22"/>
            </w:rPr>
            <w:instrText xml:space="preserve"> CITATION Col14 \l 2057 </w:instrText>
          </w:r>
          <w:r w:rsidRPr="007025E0">
            <w:rPr>
              <w:sz w:val="22"/>
              <w:szCs w:val="22"/>
            </w:rPr>
            <w:fldChar w:fldCharType="separate"/>
          </w:r>
          <w:r w:rsidRPr="007025E0">
            <w:rPr>
              <w:noProof/>
              <w:sz w:val="22"/>
              <w:szCs w:val="22"/>
            </w:rPr>
            <w:t>(College of Policing, 2014)</w:t>
          </w:r>
          <w:r w:rsidRPr="007025E0">
            <w:rPr>
              <w:sz w:val="22"/>
              <w:szCs w:val="22"/>
            </w:rPr>
            <w:fldChar w:fldCharType="end"/>
          </w:r>
        </w:sdtContent>
      </w:sdt>
      <w:r w:rsidRPr="007025E0">
        <w:rPr>
          <w:sz w:val="22"/>
          <w:szCs w:val="22"/>
        </w:rPr>
        <w:t xml:space="preserve">. The male involved was released on bail and is awaiting his court date after risk assessments were conducted and bail conditions imposed to ensure the victims safety and to prevent further victimisation. I have therefore ensured communication with the victim remains ongoing leading up to this to maintain the relationship we have established and address any needs or concerns they may have. The overarching role of officers is to maintain safety, uphold the law and protect the public, all of which begin with placing the victim at the heart of policing. This prioritisation of victims does not only acknowledge the severity of the effects of crime but also contributes to a criminal justice system that is supportive, responsive, and inclusive.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14789DC" w:rsidR="00025650" w:rsidRPr="00435A09" w:rsidRDefault="00C81592" w:rsidP="00E6298B">
      <w:pPr>
        <w:ind w:right="107"/>
        <w:jc w:val="both"/>
        <w:rPr>
          <w:b/>
          <w:bCs/>
          <w:sz w:val="22"/>
          <w:szCs w:val="22"/>
          <w:u w:val="single"/>
        </w:rPr>
      </w:pPr>
      <w:r w:rsidRPr="00435A09">
        <w:rPr>
          <w:b/>
          <w:bCs/>
          <w:sz w:val="22"/>
          <w:szCs w:val="22"/>
          <w:u w:val="single"/>
        </w:rPr>
        <w:t>Word Count: 1,925</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1BC0D3E9" w14:textId="5928AD07" w:rsidR="00CE22C4" w:rsidRPr="007025E0" w:rsidRDefault="00CE22C4" w:rsidP="007025E0">
      <w:pPr>
        <w:spacing w:line="276" w:lineRule="auto"/>
        <w:rPr>
          <w:sz w:val="22"/>
          <w:szCs w:val="22"/>
        </w:rPr>
      </w:pPr>
      <w:r w:rsidRPr="007025E0">
        <w:rPr>
          <w:sz w:val="22"/>
          <w:szCs w:val="22"/>
        </w:rPr>
        <w:t xml:space="preserve">We make thousands of decisions each day which are all driven either consciously or subconsciously by their possible influences and outcomes. For response officers, swift and accurate assessments are essential to manage a crisis from the outset, however timely decision making remains just as important in the subsequent investigation to deal with emerging details, prevent loss of evidence and enhance the likelihood of success. There is a multitude of processes and models available for officers when it comes to decision making, the primary of which is The National Decision Model (NDM). The NDM is used by police in England and Wales and is a framework developed by the College of Policing that uses a systematic approach to consider an array of factors to make decisions that align with ethical and legal standards </w:t>
      </w:r>
      <w:sdt>
        <w:sdtPr>
          <w:rPr>
            <w:sz w:val="22"/>
            <w:szCs w:val="22"/>
          </w:rPr>
          <w:id w:val="-476916721"/>
          <w:citation/>
        </w:sdtPr>
        <w:sdtContent>
          <w:r w:rsidRPr="007025E0">
            <w:rPr>
              <w:sz w:val="22"/>
              <w:szCs w:val="22"/>
            </w:rPr>
            <w:fldChar w:fldCharType="begin"/>
          </w:r>
          <w:r w:rsidRPr="007025E0">
            <w:rPr>
              <w:sz w:val="22"/>
              <w:szCs w:val="22"/>
            </w:rPr>
            <w:instrText xml:space="preserve"> CITATION Col13 \l 2057 </w:instrText>
          </w:r>
          <w:r w:rsidRPr="007025E0">
            <w:rPr>
              <w:sz w:val="22"/>
              <w:szCs w:val="22"/>
            </w:rPr>
            <w:fldChar w:fldCharType="separate"/>
          </w:r>
          <w:r w:rsidRPr="007025E0">
            <w:rPr>
              <w:noProof/>
              <w:sz w:val="22"/>
              <w:szCs w:val="22"/>
            </w:rPr>
            <w:t>(College of Policing, 2013)</w:t>
          </w:r>
          <w:r w:rsidRPr="007025E0">
            <w:rPr>
              <w:sz w:val="22"/>
              <w:szCs w:val="22"/>
            </w:rPr>
            <w:fldChar w:fldCharType="end"/>
          </w:r>
        </w:sdtContent>
      </w:sdt>
      <w:r w:rsidRPr="007025E0">
        <w:rPr>
          <w:sz w:val="22"/>
          <w:szCs w:val="22"/>
        </w:rPr>
        <w:t xml:space="preserve">. In this essay I will be critically assessing an incident I investigated and reflecting on how my decisions and use of discretion were impacted by my application of the NDM and the Code of Ethics. I will furthermore critically review my responsibilities regarding the ‘Criminal Procedures and Investigations Act’ (CPIA) whilst conducting my investigation. </w:t>
      </w:r>
      <w:r w:rsidR="00DD374F">
        <w:rPr>
          <w:sz w:val="22"/>
          <w:szCs w:val="22"/>
        </w:rPr>
        <w:br/>
      </w:r>
    </w:p>
    <w:p w14:paraId="4F8E5634" w14:textId="77777777" w:rsidR="00CE22C4" w:rsidRPr="007025E0" w:rsidRDefault="00CE22C4" w:rsidP="007025E0">
      <w:pPr>
        <w:spacing w:line="276" w:lineRule="auto"/>
        <w:rPr>
          <w:sz w:val="22"/>
          <w:szCs w:val="22"/>
        </w:rPr>
      </w:pPr>
    </w:p>
    <w:p w14:paraId="228DEA73" w14:textId="0882D32B" w:rsidR="00CE22C4" w:rsidRPr="007025E0" w:rsidRDefault="00CE22C4" w:rsidP="007025E0">
      <w:pPr>
        <w:spacing w:line="276" w:lineRule="auto"/>
        <w:rPr>
          <w:sz w:val="22"/>
          <w:szCs w:val="22"/>
        </w:rPr>
      </w:pPr>
      <w:r w:rsidRPr="007025E0">
        <w:rPr>
          <w:sz w:val="22"/>
          <w:szCs w:val="22"/>
        </w:rPr>
        <w:t xml:space="preserve">The incident I investigated that I will be assessing in this essay is one of harassment and domestic assault- a woman who was reporting her ex- partner. He had repeatedly attended her address without permission, and on this occasion, had observed a photograph in her hallway displaying herself and her new partner and this had triggered the male to become aggressive and enter her property before pushing her into her staircase where she obtained cuts along her forearms. The male was subsequently arrested and brought into custody, where I then took ownership of the case. </w:t>
      </w:r>
      <w:r w:rsidRPr="007025E0">
        <w:rPr>
          <w:sz w:val="22"/>
          <w:szCs w:val="22"/>
        </w:rPr>
        <w:lastRenderedPageBreak/>
        <w:t xml:space="preserve">Prior to interview I was informed by custody the male had been aggressive and defecated in his cell in protest. The victim stated she often had verbal arguments with the male, but this was the first time he had become aggressive and was fearful it would happen again. The male was released on bail for further enquiries to be conducted by myself and bail conditions were put in place to safeguard the victim. </w:t>
      </w:r>
      <w:r w:rsidR="00DD374F">
        <w:rPr>
          <w:sz w:val="22"/>
          <w:szCs w:val="22"/>
        </w:rPr>
        <w:br/>
      </w:r>
    </w:p>
    <w:p w14:paraId="39680449" w14:textId="77777777" w:rsidR="00CE22C4" w:rsidRPr="007025E0" w:rsidRDefault="00CE22C4" w:rsidP="007025E0">
      <w:pPr>
        <w:spacing w:line="276" w:lineRule="auto"/>
        <w:rPr>
          <w:b/>
          <w:bCs/>
          <w:sz w:val="22"/>
          <w:szCs w:val="22"/>
        </w:rPr>
      </w:pPr>
    </w:p>
    <w:p w14:paraId="66793B6F" w14:textId="77777777" w:rsidR="00CE22C4" w:rsidRPr="007025E0" w:rsidRDefault="00CE22C4" w:rsidP="007025E0">
      <w:pPr>
        <w:spacing w:line="276" w:lineRule="auto"/>
        <w:rPr>
          <w:sz w:val="22"/>
          <w:szCs w:val="22"/>
        </w:rPr>
      </w:pPr>
      <w:r w:rsidRPr="007025E0">
        <w:rPr>
          <w:sz w:val="22"/>
          <w:szCs w:val="22"/>
        </w:rPr>
        <w:t xml:space="preserve">The NDM underpins all policing decisions and is a valuable tool for standardising these decisions by providing a structured framework that officers can follow to ensure a consistent approach to incidents. The model is made up of 6 components; gather information and intelligence, assess </w:t>
      </w:r>
      <w:proofErr w:type="gramStart"/>
      <w:r w:rsidRPr="007025E0">
        <w:rPr>
          <w:sz w:val="22"/>
          <w:szCs w:val="22"/>
        </w:rPr>
        <w:t>threat</w:t>
      </w:r>
      <w:proofErr w:type="gramEnd"/>
      <w:r w:rsidRPr="007025E0">
        <w:rPr>
          <w:sz w:val="22"/>
          <w:szCs w:val="22"/>
        </w:rPr>
        <w:t xml:space="preserve"> and risk and develop a working strategy, consider powers and policy, identify options and contingencies, and take action and review what happened- all of which are centralised around the Code of Ethics (COE). The COE defines the standards of behaviour and policing values that all members of a policing profession should uphold throughout their careers </w:t>
      </w:r>
      <w:sdt>
        <w:sdtPr>
          <w:rPr>
            <w:sz w:val="22"/>
            <w:szCs w:val="22"/>
          </w:rPr>
          <w:id w:val="25608561"/>
          <w:citation/>
        </w:sdtPr>
        <w:sdtContent>
          <w:r w:rsidRPr="007025E0">
            <w:rPr>
              <w:sz w:val="22"/>
              <w:szCs w:val="22"/>
            </w:rPr>
            <w:fldChar w:fldCharType="begin"/>
          </w:r>
          <w:r w:rsidRPr="007025E0">
            <w:rPr>
              <w:sz w:val="22"/>
              <w:szCs w:val="22"/>
            </w:rPr>
            <w:instrText xml:space="preserve"> CITATION Col141 \l 2057 </w:instrText>
          </w:r>
          <w:r w:rsidRPr="007025E0">
            <w:rPr>
              <w:sz w:val="22"/>
              <w:szCs w:val="22"/>
            </w:rPr>
            <w:fldChar w:fldCharType="separate"/>
          </w:r>
          <w:r w:rsidRPr="007025E0">
            <w:rPr>
              <w:noProof/>
              <w:sz w:val="22"/>
              <w:szCs w:val="22"/>
            </w:rPr>
            <w:t>(College of Policing, 2014)</w:t>
          </w:r>
          <w:r w:rsidRPr="007025E0">
            <w:rPr>
              <w:sz w:val="22"/>
              <w:szCs w:val="22"/>
            </w:rPr>
            <w:fldChar w:fldCharType="end"/>
          </w:r>
        </w:sdtContent>
      </w:sdt>
      <w:r w:rsidRPr="007025E0">
        <w:rPr>
          <w:sz w:val="22"/>
          <w:szCs w:val="22"/>
        </w:rPr>
        <w:t>.</w:t>
      </w:r>
    </w:p>
    <w:p w14:paraId="53FA4D5F" w14:textId="77777777" w:rsidR="00CE22C4" w:rsidRPr="007025E0" w:rsidRDefault="00CE22C4" w:rsidP="007025E0">
      <w:pPr>
        <w:spacing w:line="276" w:lineRule="auto"/>
        <w:rPr>
          <w:sz w:val="22"/>
          <w:szCs w:val="22"/>
        </w:rPr>
      </w:pPr>
    </w:p>
    <w:p w14:paraId="44771B7D" w14:textId="77777777" w:rsidR="00CE22C4" w:rsidRPr="007025E0" w:rsidRDefault="00CE22C4" w:rsidP="007025E0">
      <w:pPr>
        <w:spacing w:line="276" w:lineRule="auto"/>
        <w:rPr>
          <w:sz w:val="22"/>
          <w:szCs w:val="22"/>
        </w:rPr>
      </w:pPr>
    </w:p>
    <w:p w14:paraId="28666C6B" w14:textId="1DEBC222" w:rsidR="00CE22C4" w:rsidRPr="007025E0" w:rsidRDefault="00CE22C4" w:rsidP="007025E0">
      <w:pPr>
        <w:spacing w:line="276" w:lineRule="auto"/>
        <w:rPr>
          <w:sz w:val="22"/>
          <w:szCs w:val="22"/>
        </w:rPr>
      </w:pPr>
      <w:r w:rsidRPr="007025E0">
        <w:rPr>
          <w:sz w:val="22"/>
          <w:szCs w:val="22"/>
        </w:rPr>
        <w:t xml:space="preserve">The first stage of the NDM is to gather Information and Intelligence, which began as soon as I took ownership of the case. Initially I reviewed the file to fully comprehend the circumstances and establish what evidence was available and what enquiries were still outstanding. I furthermore requested PNC checks for the suspect and the victim and formulated a ‘DV Checklist’, a document which illustrates any reported history between the two individuals to assess the risk and make an informed decision accurately and objectively. She informed me he often attended her address but had not previously become physical. The victim stated she was worried this was the start of a bigger chain of events. </w:t>
      </w:r>
      <w:proofErr w:type="gramStart"/>
      <w:r w:rsidRPr="007025E0">
        <w:rPr>
          <w:sz w:val="22"/>
          <w:szCs w:val="22"/>
        </w:rPr>
        <w:t>In regard to</w:t>
      </w:r>
      <w:proofErr w:type="gramEnd"/>
      <w:r w:rsidRPr="007025E0">
        <w:rPr>
          <w:sz w:val="22"/>
          <w:szCs w:val="22"/>
        </w:rPr>
        <w:t xml:space="preserve"> interviewing the suspect, I discussed his behaviour with the custody sergeant who confirmed he had had a medical review and was deemed fit for interview. </w:t>
      </w:r>
      <w:r w:rsidR="00DD374F">
        <w:rPr>
          <w:sz w:val="22"/>
          <w:szCs w:val="22"/>
        </w:rPr>
        <w:br/>
      </w:r>
    </w:p>
    <w:p w14:paraId="7C5A0ED2" w14:textId="77777777" w:rsidR="00CE22C4" w:rsidRPr="007025E0" w:rsidRDefault="00CE22C4" w:rsidP="007025E0">
      <w:pPr>
        <w:spacing w:line="276" w:lineRule="auto"/>
        <w:rPr>
          <w:b/>
          <w:bCs/>
          <w:sz w:val="22"/>
          <w:szCs w:val="22"/>
        </w:rPr>
      </w:pPr>
    </w:p>
    <w:p w14:paraId="25F79935" w14:textId="78835DF3" w:rsidR="00CE22C4" w:rsidRPr="007025E0" w:rsidRDefault="00CE22C4" w:rsidP="007025E0">
      <w:pPr>
        <w:spacing w:line="276" w:lineRule="auto"/>
        <w:rPr>
          <w:sz w:val="22"/>
          <w:szCs w:val="22"/>
        </w:rPr>
      </w:pPr>
      <w:r w:rsidRPr="007025E0">
        <w:rPr>
          <w:sz w:val="22"/>
          <w:szCs w:val="22"/>
        </w:rPr>
        <w:t xml:space="preserve">As the suspect was already in custody, there was no immediate threat to the victim. Despite this, the safeguarding of the victim remained the priority so an evaluation of the risk of harm was imperative. It was found by the Crime Survey for England and Wales that out of an estimated 2,124,000 victims, only 889,918 incidents of domestic abuse were recorded by the police in the year ending March 2023 </w:t>
      </w:r>
      <w:sdt>
        <w:sdtPr>
          <w:rPr>
            <w:sz w:val="22"/>
            <w:szCs w:val="22"/>
          </w:rPr>
          <w:id w:val="-1139108866"/>
          <w:citation/>
        </w:sdtPr>
        <w:sdtContent>
          <w:r w:rsidRPr="007025E0">
            <w:rPr>
              <w:sz w:val="22"/>
              <w:szCs w:val="22"/>
            </w:rPr>
            <w:fldChar w:fldCharType="begin"/>
          </w:r>
          <w:r w:rsidRPr="007025E0">
            <w:rPr>
              <w:sz w:val="22"/>
              <w:szCs w:val="22"/>
            </w:rPr>
            <w:instrText xml:space="preserve"> CITATION Off23 \l 2057 </w:instrText>
          </w:r>
          <w:r w:rsidRPr="007025E0">
            <w:rPr>
              <w:sz w:val="22"/>
              <w:szCs w:val="22"/>
            </w:rPr>
            <w:fldChar w:fldCharType="separate"/>
          </w:r>
          <w:r w:rsidRPr="007025E0">
            <w:rPr>
              <w:noProof/>
              <w:sz w:val="22"/>
              <w:szCs w:val="22"/>
            </w:rPr>
            <w:t>(Office for National Statistics, 2023)</w:t>
          </w:r>
          <w:r w:rsidRPr="007025E0">
            <w:rPr>
              <w:sz w:val="22"/>
              <w:szCs w:val="22"/>
            </w:rPr>
            <w:fldChar w:fldCharType="end"/>
          </w:r>
        </w:sdtContent>
      </w:sdt>
      <w:r w:rsidRPr="007025E0">
        <w:rPr>
          <w:sz w:val="22"/>
          <w:szCs w:val="22"/>
        </w:rPr>
        <w:t>. This low reporting rate paints a picture of how reluctant victims are to come forward, so I wanted to ensure I did my upmost to treat this victim with respect and sensitivity. There was no previous recorded history between the individuals involved and the suspect, although he had pre-convictions for different offences, did not have a history of offending on bail.  A working strategy was therefore decided that the male would be released on police bail with conditions put on place to safeguard the victim, including not to contact the victim and not to attend her residential street. Due to the victim’s concerns, I also requested reassurance visits by neighbourhood patrols and contact to be made from the Crime Reduction Team, who provide additional support in terms of safeguarding. In custody, based on the actions of the suspect I decided I would interview him following normal procedures, but I used my discretion to opt for another officer to come with me as an additional precaution due to health and safety considerations.</w:t>
      </w:r>
      <w:r w:rsidR="00DD374F">
        <w:rPr>
          <w:sz w:val="22"/>
          <w:szCs w:val="22"/>
        </w:rPr>
        <w:br/>
      </w:r>
    </w:p>
    <w:p w14:paraId="26BD571A" w14:textId="77777777" w:rsidR="00CE22C4" w:rsidRPr="007025E0" w:rsidRDefault="00CE22C4" w:rsidP="007025E0">
      <w:pPr>
        <w:spacing w:line="276" w:lineRule="auto"/>
        <w:rPr>
          <w:b/>
          <w:bCs/>
          <w:sz w:val="22"/>
          <w:szCs w:val="22"/>
        </w:rPr>
      </w:pPr>
    </w:p>
    <w:p w14:paraId="48C359E9" w14:textId="62B83E0B" w:rsidR="00CE22C4" w:rsidRDefault="00CE22C4" w:rsidP="007025E0">
      <w:pPr>
        <w:spacing w:line="276" w:lineRule="auto"/>
        <w:rPr>
          <w:sz w:val="22"/>
          <w:szCs w:val="22"/>
        </w:rPr>
      </w:pPr>
      <w:r w:rsidRPr="007025E0">
        <w:rPr>
          <w:sz w:val="22"/>
          <w:szCs w:val="22"/>
        </w:rPr>
        <w:t xml:space="preserve">While police always aim to implement a victim- led approach and prioritise the preferences of the affected individual(s), there are instances where the victim’s wishes may be constrained by powers and policies which as a result directly affect the options and contingencies. The victim wanted the </w:t>
      </w:r>
      <w:r w:rsidRPr="007025E0">
        <w:rPr>
          <w:sz w:val="22"/>
          <w:szCs w:val="22"/>
        </w:rPr>
        <w:lastRenderedPageBreak/>
        <w:t xml:space="preserve">suspect charged for the assault prior to being released from custody, however this was not possible due to outstanding enquiries and lack of evidence. During an investigation it is not solely the needs of the victim that must be considered but also the rights of the suspect to ensure a fair and balanced legal process which I ensured to factor in when considering possible avenues, demonstrating integrity and objectivity. I was therefore open with the victim and discussed the possible options for bail conditions. The victim expressed that she would like bail conditions imposed that would prevent the suspect entering a large area of Cardiff, however PACE, the legal framework for police powers, sets out that bail conditions must be ‘necessary and proportionate’ </w:t>
      </w:r>
      <w:sdt>
        <w:sdtPr>
          <w:rPr>
            <w:sz w:val="22"/>
            <w:szCs w:val="22"/>
          </w:rPr>
          <w:id w:val="1879049916"/>
          <w:citation/>
        </w:sdtPr>
        <w:sdtContent>
          <w:r w:rsidRPr="007025E0">
            <w:rPr>
              <w:sz w:val="22"/>
              <w:szCs w:val="22"/>
            </w:rPr>
            <w:fldChar w:fldCharType="begin"/>
          </w:r>
          <w:r w:rsidRPr="007025E0">
            <w:rPr>
              <w:sz w:val="22"/>
              <w:szCs w:val="22"/>
            </w:rPr>
            <w:instrText xml:space="preserve"> CITATION CPS23 \l 2057 </w:instrText>
          </w:r>
          <w:r w:rsidRPr="007025E0">
            <w:rPr>
              <w:sz w:val="22"/>
              <w:szCs w:val="22"/>
            </w:rPr>
            <w:fldChar w:fldCharType="separate"/>
          </w:r>
          <w:r w:rsidRPr="007025E0">
            <w:rPr>
              <w:rFonts w:eastAsiaTheme="minorHAnsi"/>
              <w:noProof/>
              <w:sz w:val="22"/>
              <w:szCs w:val="22"/>
            </w:rPr>
            <w:t>(CPS, 2023)</w:t>
          </w:r>
          <w:r w:rsidRPr="007025E0">
            <w:rPr>
              <w:sz w:val="22"/>
              <w:szCs w:val="22"/>
            </w:rPr>
            <w:fldChar w:fldCharType="end"/>
          </w:r>
        </w:sdtContent>
      </w:sdt>
      <w:r w:rsidRPr="007025E0">
        <w:rPr>
          <w:sz w:val="22"/>
          <w:szCs w:val="22"/>
        </w:rPr>
        <w:t xml:space="preserve"> and due to the suspect having a home address and employment in Cardiff this would not align with these standards. I was open with the victim from the start and decided bail conditions that prevented the suspect attending the street on which the victim lived would be sufficient to safeguard her. For the suspect interview, I could have chosen to interview within the cell, but I wanted to provide him the opportunity to share his account in an environment conducive to open communication whilst maintaining everyone’s safety. </w:t>
      </w:r>
      <w:r w:rsidR="00DD374F">
        <w:rPr>
          <w:sz w:val="22"/>
          <w:szCs w:val="22"/>
        </w:rPr>
        <w:br/>
      </w:r>
    </w:p>
    <w:p w14:paraId="508016C0" w14:textId="77777777" w:rsidR="00893ADF" w:rsidRPr="007025E0" w:rsidRDefault="00893ADF" w:rsidP="007025E0">
      <w:pPr>
        <w:spacing w:line="276" w:lineRule="auto"/>
        <w:rPr>
          <w:sz w:val="22"/>
          <w:szCs w:val="22"/>
        </w:rPr>
      </w:pPr>
    </w:p>
    <w:p w14:paraId="095D14D7" w14:textId="5131151F" w:rsidR="00CE22C4" w:rsidRPr="007025E0" w:rsidRDefault="00CE22C4" w:rsidP="007025E0">
      <w:pPr>
        <w:spacing w:line="276" w:lineRule="auto"/>
        <w:rPr>
          <w:sz w:val="22"/>
          <w:szCs w:val="22"/>
        </w:rPr>
      </w:pPr>
      <w:r w:rsidRPr="007025E0">
        <w:rPr>
          <w:sz w:val="22"/>
          <w:szCs w:val="22"/>
        </w:rPr>
        <w:t xml:space="preserve">I implemented the </w:t>
      </w:r>
      <w:proofErr w:type="gramStart"/>
      <w:r w:rsidRPr="007025E0">
        <w:rPr>
          <w:sz w:val="22"/>
          <w:szCs w:val="22"/>
        </w:rPr>
        <w:t>aforementioned actions</w:t>
      </w:r>
      <w:proofErr w:type="gramEnd"/>
      <w:r w:rsidRPr="007025E0">
        <w:rPr>
          <w:sz w:val="22"/>
          <w:szCs w:val="22"/>
        </w:rPr>
        <w:t xml:space="preserve"> and am happy with the outcome. As the lead investigator I have kept in contact with the victim to address any concerns and questions she may have but the suspect has followed his bail conditions, and the victim is happy with the decisions I have made throughout the process. Upon taking on the case and against my better judgement, I immediately took a dislike to the suspect based on his alleged actions which could have resulted in the integrity of the process being compromised. Applying the NDM however ensured my initial opinion did not affect the decisions I made, and the investigation was fair where I could take accountability for every stage. The suspect interview was successful and personal considerations were made for all parties involved. </w:t>
      </w:r>
      <w:r w:rsidR="00DD374F">
        <w:rPr>
          <w:sz w:val="22"/>
          <w:szCs w:val="22"/>
        </w:rPr>
        <w:br/>
      </w:r>
      <w:r w:rsidRPr="007025E0">
        <w:rPr>
          <w:sz w:val="22"/>
          <w:szCs w:val="22"/>
        </w:rPr>
        <w:br/>
      </w:r>
    </w:p>
    <w:p w14:paraId="52F543BC" w14:textId="63041A08" w:rsidR="00CE22C4" w:rsidRPr="007025E0" w:rsidRDefault="00CE22C4" w:rsidP="007025E0">
      <w:pPr>
        <w:spacing w:line="276" w:lineRule="auto"/>
        <w:rPr>
          <w:sz w:val="22"/>
          <w:szCs w:val="22"/>
        </w:rPr>
      </w:pPr>
      <w:r w:rsidRPr="007025E0">
        <w:rPr>
          <w:sz w:val="22"/>
          <w:szCs w:val="22"/>
        </w:rPr>
        <w:t xml:space="preserve">The CPIA 1996 is a piece of statutory legislation that plays a significant role in shaping the conduct of investigations and prosecution of criminal offences. This act focuses on establishing a fair trial by introducing important provisions that ensures the prosecution discloses any material that might reasonably be considered capable of undermining the case against the accused or assisting the case for the accused </w:t>
      </w:r>
      <w:sdt>
        <w:sdtPr>
          <w:rPr>
            <w:sz w:val="22"/>
            <w:szCs w:val="22"/>
          </w:rPr>
          <w:id w:val="-446231516"/>
          <w:citation/>
        </w:sdtPr>
        <w:sdtContent>
          <w:r w:rsidRPr="007025E0">
            <w:rPr>
              <w:sz w:val="22"/>
              <w:szCs w:val="22"/>
            </w:rPr>
            <w:fldChar w:fldCharType="begin"/>
          </w:r>
          <w:r w:rsidRPr="007025E0">
            <w:rPr>
              <w:sz w:val="22"/>
              <w:szCs w:val="22"/>
            </w:rPr>
            <w:instrText xml:space="preserve"> CITATION UKG18 \l 2057 </w:instrText>
          </w:r>
          <w:r w:rsidRPr="007025E0">
            <w:rPr>
              <w:sz w:val="22"/>
              <w:szCs w:val="22"/>
            </w:rPr>
            <w:fldChar w:fldCharType="separate"/>
          </w:r>
          <w:r w:rsidRPr="007025E0">
            <w:rPr>
              <w:rFonts w:eastAsiaTheme="minorHAnsi"/>
              <w:noProof/>
              <w:sz w:val="22"/>
              <w:szCs w:val="22"/>
            </w:rPr>
            <w:t>(UK Government, 2018)</w:t>
          </w:r>
          <w:r w:rsidRPr="007025E0">
            <w:rPr>
              <w:sz w:val="22"/>
              <w:szCs w:val="22"/>
            </w:rPr>
            <w:fldChar w:fldCharType="end"/>
          </w:r>
        </w:sdtContent>
      </w:sdt>
      <w:r w:rsidRPr="007025E0">
        <w:rPr>
          <w:sz w:val="22"/>
          <w:szCs w:val="22"/>
        </w:rPr>
        <w:t xml:space="preserve">. From a policing perspective, the act governs how police officers are to record, retain and disclose material to the prosecutor obtained over the course of an investigation </w:t>
      </w:r>
      <w:sdt>
        <w:sdtPr>
          <w:rPr>
            <w:sz w:val="22"/>
            <w:szCs w:val="22"/>
          </w:rPr>
          <w:id w:val="-1087770964"/>
          <w:citation/>
        </w:sdtPr>
        <w:sdtContent>
          <w:r w:rsidRPr="007025E0">
            <w:rPr>
              <w:sz w:val="22"/>
              <w:szCs w:val="22"/>
            </w:rPr>
            <w:fldChar w:fldCharType="begin"/>
          </w:r>
          <w:r w:rsidRPr="007025E0">
            <w:rPr>
              <w:sz w:val="22"/>
              <w:szCs w:val="22"/>
            </w:rPr>
            <w:instrText xml:space="preserve"> CITATION Min201 \l 2057 </w:instrText>
          </w:r>
          <w:r w:rsidRPr="007025E0">
            <w:rPr>
              <w:sz w:val="22"/>
              <w:szCs w:val="22"/>
            </w:rPr>
            <w:fldChar w:fldCharType="separate"/>
          </w:r>
          <w:r w:rsidRPr="007025E0">
            <w:rPr>
              <w:rFonts w:eastAsiaTheme="minorHAnsi"/>
              <w:noProof/>
              <w:sz w:val="22"/>
              <w:szCs w:val="22"/>
            </w:rPr>
            <w:t>(Ministry of Justice, 2020)</w:t>
          </w:r>
          <w:r w:rsidRPr="007025E0">
            <w:rPr>
              <w:sz w:val="22"/>
              <w:szCs w:val="22"/>
            </w:rPr>
            <w:fldChar w:fldCharType="end"/>
          </w:r>
        </w:sdtContent>
      </w:sdt>
      <w:r w:rsidRPr="007025E0">
        <w:rPr>
          <w:sz w:val="22"/>
          <w:szCs w:val="22"/>
        </w:rPr>
        <w:t xml:space="preserve">. This undoubtably encourages fairness and transparency, however the practical application of this legislation can be deliberated. </w:t>
      </w:r>
      <w:r w:rsidR="00DD374F">
        <w:rPr>
          <w:sz w:val="22"/>
          <w:szCs w:val="22"/>
        </w:rPr>
        <w:br/>
      </w:r>
    </w:p>
    <w:p w14:paraId="26347604" w14:textId="77777777" w:rsidR="00CE22C4" w:rsidRPr="007025E0" w:rsidRDefault="00CE22C4" w:rsidP="007025E0">
      <w:pPr>
        <w:spacing w:line="276" w:lineRule="auto"/>
        <w:rPr>
          <w:b/>
          <w:bCs/>
          <w:sz w:val="22"/>
          <w:szCs w:val="22"/>
        </w:rPr>
      </w:pPr>
    </w:p>
    <w:p w14:paraId="45A02E73" w14:textId="2F678198" w:rsidR="00CE22C4" w:rsidRPr="007025E0" w:rsidRDefault="00CE22C4" w:rsidP="007025E0">
      <w:pPr>
        <w:spacing w:line="276" w:lineRule="auto"/>
        <w:rPr>
          <w:sz w:val="22"/>
          <w:szCs w:val="22"/>
        </w:rPr>
      </w:pPr>
      <w:r w:rsidRPr="007025E0">
        <w:rPr>
          <w:sz w:val="22"/>
          <w:szCs w:val="22"/>
        </w:rPr>
        <w:t xml:space="preserve">Firstly, it can be said that the sheer volume and complexity of available evidence in modern investigations leaves room for gaps in disclosure. Where offences have taken place that involve the use of technology and/ or are covering a longer timeline, and resources available to review evidence are limited, this could raise concerns as to whether investigators are identifying all applicable evidence. This is demonstrated in the case of R vs Allan, a 2017 case of alleged rape and assault that was dropped </w:t>
      </w:r>
      <w:proofErr w:type="gramStart"/>
      <w:r w:rsidRPr="007025E0">
        <w:rPr>
          <w:sz w:val="22"/>
          <w:szCs w:val="22"/>
        </w:rPr>
        <w:t>as a result of</w:t>
      </w:r>
      <w:proofErr w:type="gramEnd"/>
      <w:r w:rsidRPr="007025E0">
        <w:rPr>
          <w:sz w:val="22"/>
          <w:szCs w:val="22"/>
        </w:rPr>
        <w:t xml:space="preserve"> disclosure failings </w:t>
      </w:r>
      <w:sdt>
        <w:sdtPr>
          <w:rPr>
            <w:sz w:val="22"/>
            <w:szCs w:val="22"/>
          </w:rPr>
          <w:id w:val="-1985765247"/>
          <w:citation/>
        </w:sdtPr>
        <w:sdtContent>
          <w:r w:rsidRPr="007025E0">
            <w:rPr>
              <w:sz w:val="22"/>
              <w:szCs w:val="22"/>
            </w:rPr>
            <w:fldChar w:fldCharType="begin"/>
          </w:r>
          <w:r w:rsidRPr="007025E0">
            <w:rPr>
              <w:sz w:val="22"/>
              <w:szCs w:val="22"/>
            </w:rPr>
            <w:instrText xml:space="preserve"> CITATION Hou20 \l 2057 </w:instrText>
          </w:r>
          <w:r w:rsidRPr="007025E0">
            <w:rPr>
              <w:sz w:val="22"/>
              <w:szCs w:val="22"/>
            </w:rPr>
            <w:fldChar w:fldCharType="separate"/>
          </w:r>
          <w:r w:rsidRPr="007025E0">
            <w:rPr>
              <w:rFonts w:eastAsiaTheme="minorHAnsi"/>
              <w:noProof/>
              <w:sz w:val="22"/>
              <w:szCs w:val="22"/>
            </w:rPr>
            <w:t>(House of Lords, 2020)</w:t>
          </w:r>
          <w:r w:rsidRPr="007025E0">
            <w:rPr>
              <w:sz w:val="22"/>
              <w:szCs w:val="22"/>
            </w:rPr>
            <w:fldChar w:fldCharType="end"/>
          </w:r>
        </w:sdtContent>
      </w:sdt>
      <w:r w:rsidRPr="007025E0">
        <w:rPr>
          <w:sz w:val="22"/>
          <w:szCs w:val="22"/>
        </w:rPr>
        <w:t xml:space="preserve">. The officer in the case conducted a search of over 57,000 lines of message data from the defendant’s phone and concluded there was no relevant evidence, despite it later coming to light by the Defence Counsel there was a high number of undermining messages that inevitable caused the cause to collapse </w:t>
      </w:r>
      <w:sdt>
        <w:sdtPr>
          <w:rPr>
            <w:sz w:val="22"/>
            <w:szCs w:val="22"/>
          </w:rPr>
          <w:id w:val="1503469786"/>
          <w:citation/>
        </w:sdtPr>
        <w:sdtContent>
          <w:r w:rsidRPr="007025E0">
            <w:rPr>
              <w:sz w:val="22"/>
              <w:szCs w:val="22"/>
            </w:rPr>
            <w:fldChar w:fldCharType="begin"/>
          </w:r>
          <w:r w:rsidRPr="007025E0">
            <w:rPr>
              <w:sz w:val="22"/>
              <w:szCs w:val="22"/>
            </w:rPr>
            <w:instrText xml:space="preserve"> CITATION CPS18 \l 2057 </w:instrText>
          </w:r>
          <w:r w:rsidRPr="007025E0">
            <w:rPr>
              <w:sz w:val="22"/>
              <w:szCs w:val="22"/>
            </w:rPr>
            <w:fldChar w:fldCharType="separate"/>
          </w:r>
          <w:r w:rsidRPr="007025E0">
            <w:rPr>
              <w:rFonts w:eastAsiaTheme="minorHAnsi"/>
              <w:noProof/>
              <w:sz w:val="22"/>
              <w:szCs w:val="22"/>
            </w:rPr>
            <w:t>(CPS, 2018)</w:t>
          </w:r>
          <w:r w:rsidRPr="007025E0">
            <w:rPr>
              <w:sz w:val="22"/>
              <w:szCs w:val="22"/>
            </w:rPr>
            <w:fldChar w:fldCharType="end"/>
          </w:r>
        </w:sdtContent>
      </w:sdt>
      <w:r w:rsidRPr="007025E0">
        <w:rPr>
          <w:sz w:val="22"/>
          <w:szCs w:val="22"/>
        </w:rPr>
        <w:t xml:space="preserve">. A review of this case found that the disclosure problems were not a result of the information being deliberately withheld, but error, lack of challenge and lack of knowledge </w:t>
      </w:r>
      <w:sdt>
        <w:sdtPr>
          <w:rPr>
            <w:sz w:val="22"/>
            <w:szCs w:val="22"/>
          </w:rPr>
          <w:id w:val="-1906288423"/>
          <w:citation/>
        </w:sdtPr>
        <w:sdtContent>
          <w:r w:rsidRPr="007025E0">
            <w:rPr>
              <w:sz w:val="22"/>
              <w:szCs w:val="22"/>
            </w:rPr>
            <w:fldChar w:fldCharType="begin"/>
          </w:r>
          <w:r w:rsidRPr="007025E0">
            <w:rPr>
              <w:sz w:val="22"/>
              <w:szCs w:val="22"/>
            </w:rPr>
            <w:instrText xml:space="preserve"> CITATION CPS18 \l 2057 </w:instrText>
          </w:r>
          <w:r w:rsidRPr="007025E0">
            <w:rPr>
              <w:sz w:val="22"/>
              <w:szCs w:val="22"/>
            </w:rPr>
            <w:fldChar w:fldCharType="separate"/>
          </w:r>
          <w:r w:rsidRPr="007025E0">
            <w:rPr>
              <w:rFonts w:eastAsiaTheme="minorHAnsi"/>
              <w:noProof/>
              <w:sz w:val="22"/>
              <w:szCs w:val="22"/>
            </w:rPr>
            <w:t xml:space="preserve">(CPS, </w:t>
          </w:r>
          <w:r w:rsidRPr="007025E0">
            <w:rPr>
              <w:rFonts w:eastAsiaTheme="minorHAnsi"/>
              <w:noProof/>
              <w:sz w:val="22"/>
              <w:szCs w:val="22"/>
            </w:rPr>
            <w:lastRenderedPageBreak/>
            <w:t>2018)</w:t>
          </w:r>
          <w:r w:rsidRPr="007025E0">
            <w:rPr>
              <w:sz w:val="22"/>
              <w:szCs w:val="22"/>
            </w:rPr>
            <w:fldChar w:fldCharType="end"/>
          </w:r>
        </w:sdtContent>
      </w:sdt>
      <w:r w:rsidRPr="007025E0">
        <w:rPr>
          <w:sz w:val="22"/>
          <w:szCs w:val="22"/>
        </w:rPr>
        <w:t xml:space="preserve">. This in turn highlights that this legislation that came into effect in 1996 may not be capable of fully addressing advancements in technology. Despite this, this case prompted additional scrutiny regarding disclosure that in turn has enabled provisions to be added to the legislation to maintain relevance and effectiveness, but continued effort should be made to address these challenges before the conclusion of a case. As my investigation involves the offence of harassment, I ensured I allowed myself an appropriate time frame to procure all available evidence, including all undermining material. </w:t>
      </w:r>
      <w:r w:rsidR="00DD374F">
        <w:rPr>
          <w:sz w:val="22"/>
          <w:szCs w:val="22"/>
        </w:rPr>
        <w:br/>
      </w:r>
    </w:p>
    <w:p w14:paraId="2D22D80E" w14:textId="77777777" w:rsidR="00CE22C4" w:rsidRPr="007025E0" w:rsidRDefault="00CE22C4" w:rsidP="007025E0">
      <w:pPr>
        <w:spacing w:line="276" w:lineRule="auto"/>
        <w:rPr>
          <w:sz w:val="22"/>
          <w:szCs w:val="22"/>
        </w:rPr>
      </w:pPr>
    </w:p>
    <w:p w14:paraId="2CC7689B" w14:textId="30E37225" w:rsidR="00CE22C4" w:rsidRPr="007025E0" w:rsidRDefault="00CE22C4" w:rsidP="007025E0">
      <w:pPr>
        <w:spacing w:line="276" w:lineRule="auto"/>
        <w:rPr>
          <w:sz w:val="22"/>
          <w:szCs w:val="22"/>
        </w:rPr>
      </w:pPr>
      <w:r w:rsidRPr="007025E0">
        <w:rPr>
          <w:sz w:val="22"/>
          <w:szCs w:val="22"/>
        </w:rPr>
        <w:t xml:space="preserve">Furthermore, as this legislation provides disclosure guidance on evidence, unused and non- relevant material, this may give rise to issues surrounding what qualifies as ‘relevant’. As this decision is left to the investigator, it can be argued that the idea of relevance is subjective which can result in an incomplete file of evidence. This provides a further challenge during a complex investigation that involves a high number of lines of enquiry where each stage can be perceived differently and thus requires a more meticulous approach as there is more room for error. For the case I am investigating, the casefile has not yet been put forward to CPS for a charging decision due to ongoing enquiries so I must ensure to not only include the information I deem relevant to the case but to also keep in mind that further evidence I obtain may render information I previously classed as non- relevant, relevant. Investigators including myself must therefore find a balance between providing full disclosure in line with the provisions of this act whilst omitting unnecessary material without neglecting this information for potential future use. </w:t>
      </w:r>
      <w:r w:rsidR="00DD374F">
        <w:rPr>
          <w:sz w:val="22"/>
          <w:szCs w:val="22"/>
        </w:rPr>
        <w:br/>
      </w:r>
    </w:p>
    <w:p w14:paraId="7904BBC7" w14:textId="77777777" w:rsidR="00CE22C4" w:rsidRPr="007025E0" w:rsidRDefault="00CE22C4" w:rsidP="007025E0">
      <w:pPr>
        <w:spacing w:line="276" w:lineRule="auto"/>
        <w:rPr>
          <w:sz w:val="22"/>
          <w:szCs w:val="22"/>
        </w:rPr>
      </w:pPr>
    </w:p>
    <w:p w14:paraId="45A4A758" w14:textId="77777777" w:rsidR="00CE22C4" w:rsidRPr="007025E0" w:rsidRDefault="00CE22C4" w:rsidP="007025E0">
      <w:pPr>
        <w:spacing w:line="276" w:lineRule="auto"/>
        <w:rPr>
          <w:sz w:val="22"/>
          <w:szCs w:val="22"/>
        </w:rPr>
      </w:pPr>
      <w:r w:rsidRPr="007025E0">
        <w:rPr>
          <w:sz w:val="22"/>
          <w:szCs w:val="22"/>
        </w:rPr>
        <w:t xml:space="preserve">Overall, I am very satisfied with how I have dealt with the situation. In an investigation, when the risks that present themselves are not well managed this can be heavily criticised by the public and the justice system so the utmost care must be taken to not only make timely and effective decisions but also to be able to justify them. Harassment and assault can have significant impacts on a victim, so I ensured my investigation was collaborative and remained in line with the considerations presented by the NDM and will continue to do so in my career, preventing personal bias from affecting the case. As a result, my suspect was dealt with fairly and the victim remains safeguarded. </w:t>
      </w:r>
    </w:p>
    <w:p w14:paraId="55E8513B" w14:textId="77777777" w:rsidR="00025650" w:rsidRDefault="00025650" w:rsidP="00E6298B">
      <w:pPr>
        <w:ind w:right="107"/>
        <w:jc w:val="both"/>
        <w:rPr>
          <w:sz w:val="24"/>
          <w:szCs w:val="24"/>
        </w:rPr>
      </w:pPr>
    </w:p>
    <w:p w14:paraId="4502C55A" w14:textId="79804EB3" w:rsidR="00CE22C4" w:rsidRPr="00435A09" w:rsidRDefault="00CE22C4" w:rsidP="00E6298B">
      <w:pPr>
        <w:ind w:right="107"/>
        <w:jc w:val="both"/>
        <w:rPr>
          <w:b/>
          <w:bCs/>
          <w:sz w:val="22"/>
          <w:szCs w:val="22"/>
          <w:u w:val="single"/>
        </w:rPr>
      </w:pPr>
      <w:r w:rsidRPr="00435A09">
        <w:rPr>
          <w:b/>
          <w:bCs/>
          <w:sz w:val="22"/>
          <w:szCs w:val="22"/>
          <w:u w:val="single"/>
        </w:rPr>
        <w:t>Word Count: 1,925</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2B4DA333" w14:textId="732C892F" w:rsidR="004923DA" w:rsidRPr="00270EEB" w:rsidRDefault="004923DA" w:rsidP="00A618F7">
      <w:pPr>
        <w:overflowPunct/>
        <w:autoSpaceDE/>
        <w:autoSpaceDN/>
        <w:adjustRightInd/>
        <w:ind w:right="107"/>
        <w:textAlignment w:val="auto"/>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sdt>
      <w:sdtPr>
        <w:id w:val="687956457"/>
        <w:docPartObj>
          <w:docPartGallery w:val="Bibliographies"/>
          <w:docPartUnique/>
        </w:docPartObj>
      </w:sdtPr>
      <w:sdtEndPr>
        <w:rPr>
          <w:b w:val="0"/>
          <w:kern w:val="0"/>
          <w:sz w:val="22"/>
          <w:szCs w:val="22"/>
        </w:rPr>
      </w:sdtEndPr>
      <w:sdtContent>
        <w:p w14:paraId="7A778F4D" w14:textId="7C66F2E3" w:rsidR="00A618F7" w:rsidRDefault="00A618F7">
          <w:pPr>
            <w:pStyle w:val="Heading1"/>
          </w:pPr>
          <w:r>
            <w:t>Bibliography</w:t>
          </w:r>
        </w:p>
        <w:sdt>
          <w:sdtPr>
            <w:rPr>
              <w:sz w:val="22"/>
              <w:szCs w:val="22"/>
            </w:rPr>
            <w:id w:val="111145805"/>
            <w:bibliography/>
          </w:sdtPr>
          <w:sdtContent>
            <w:p w14:paraId="19D2F81A" w14:textId="77777777" w:rsidR="00A618F7" w:rsidRPr="00893ADF" w:rsidRDefault="00A618F7" w:rsidP="00893ADF">
              <w:pPr>
                <w:pStyle w:val="Bibliography"/>
                <w:spacing w:line="360" w:lineRule="auto"/>
                <w:ind w:left="720" w:hanging="720"/>
                <w:rPr>
                  <w:noProof/>
                  <w:sz w:val="22"/>
                  <w:szCs w:val="22"/>
                </w:rPr>
              </w:pPr>
              <w:r w:rsidRPr="00893ADF">
                <w:rPr>
                  <w:sz w:val="22"/>
                  <w:szCs w:val="22"/>
                </w:rPr>
                <w:fldChar w:fldCharType="begin"/>
              </w:r>
              <w:r w:rsidRPr="00893ADF">
                <w:rPr>
                  <w:sz w:val="22"/>
                  <w:szCs w:val="22"/>
                </w:rPr>
                <w:instrText xml:space="preserve"> BIBLIOGRAPHY </w:instrText>
              </w:r>
              <w:r w:rsidRPr="00893ADF">
                <w:rPr>
                  <w:sz w:val="22"/>
                  <w:szCs w:val="22"/>
                </w:rPr>
                <w:fldChar w:fldCharType="separate"/>
              </w:r>
              <w:r w:rsidRPr="00893ADF">
                <w:rPr>
                  <w:noProof/>
                  <w:sz w:val="22"/>
                  <w:szCs w:val="22"/>
                </w:rPr>
                <w:t xml:space="preserve">Borton, T. (1970). </w:t>
              </w:r>
              <w:r w:rsidRPr="00893ADF">
                <w:rPr>
                  <w:i/>
                  <w:iCs/>
                  <w:noProof/>
                  <w:sz w:val="22"/>
                  <w:szCs w:val="22"/>
                </w:rPr>
                <w:t>Reach Touch and Teach.</w:t>
              </w:r>
              <w:r w:rsidRPr="00893ADF">
                <w:rPr>
                  <w:noProof/>
                  <w:sz w:val="22"/>
                  <w:szCs w:val="22"/>
                </w:rPr>
                <w:t xml:space="preserve"> New York: McGraw-Hill.</w:t>
              </w:r>
            </w:p>
            <w:p w14:paraId="4D84BA23"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Brenton, F. (2010). </w:t>
              </w:r>
              <w:r w:rsidRPr="00893ADF">
                <w:rPr>
                  <w:i/>
                  <w:iCs/>
                  <w:noProof/>
                  <w:sz w:val="22"/>
                  <w:szCs w:val="22"/>
                </w:rPr>
                <w:t>BRIXTON RIOTS (APRIL 10-12, 1981)</w:t>
              </w:r>
              <w:r w:rsidRPr="00893ADF">
                <w:rPr>
                  <w:noProof/>
                  <w:sz w:val="22"/>
                  <w:szCs w:val="22"/>
                </w:rPr>
                <w:t>. Retrieved December 2023, from https://www.blackpast.org/global-african-history/brixton-riots-april-10-12-1981/</w:t>
              </w:r>
            </w:p>
            <w:p w14:paraId="77E5AF7F"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College of Policing. (2013). </w:t>
              </w:r>
              <w:r w:rsidRPr="00893ADF">
                <w:rPr>
                  <w:i/>
                  <w:iCs/>
                  <w:noProof/>
                  <w:sz w:val="22"/>
                  <w:szCs w:val="22"/>
                </w:rPr>
                <w:t>National decision model</w:t>
              </w:r>
              <w:r w:rsidRPr="00893ADF">
                <w:rPr>
                  <w:noProof/>
                  <w:sz w:val="22"/>
                  <w:szCs w:val="22"/>
                </w:rPr>
                <w:t>. Retrieved December 21, 2023, from https://www.college.police.uk/app/national-decision-model/national-decision-model</w:t>
              </w:r>
            </w:p>
            <w:p w14:paraId="418A92B9"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College of Policing. (2014, July). </w:t>
              </w:r>
              <w:r w:rsidRPr="00893ADF">
                <w:rPr>
                  <w:i/>
                  <w:iCs/>
                  <w:noProof/>
                  <w:sz w:val="22"/>
                  <w:szCs w:val="22"/>
                </w:rPr>
                <w:t>Code of Ethics.</w:t>
              </w:r>
              <w:r w:rsidRPr="00893ADF">
                <w:rPr>
                  <w:noProof/>
                  <w:sz w:val="22"/>
                  <w:szCs w:val="22"/>
                </w:rPr>
                <w:t xml:space="preserve"> Retrieved December 2023, from https://assets.college.police.uk/s3fs-public/2021-02/code_of_ethics.pdf</w:t>
              </w:r>
            </w:p>
            <w:p w14:paraId="7C2B9925"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College of Policing. (2014). </w:t>
              </w:r>
              <w:r w:rsidRPr="00893ADF">
                <w:rPr>
                  <w:i/>
                  <w:iCs/>
                  <w:noProof/>
                  <w:sz w:val="22"/>
                  <w:szCs w:val="22"/>
                </w:rPr>
                <w:t>Code of Ethics</w:t>
              </w:r>
              <w:r w:rsidRPr="00893ADF">
                <w:rPr>
                  <w:noProof/>
                  <w:sz w:val="22"/>
                  <w:szCs w:val="22"/>
                </w:rPr>
                <w:t>. Retrieved dECEMBER 21, 2023, from https://assets.college.police.uk/s3fs-public/2021-02/code_of_ethics.pdf</w:t>
              </w:r>
            </w:p>
            <w:p w14:paraId="2F9F2DC2"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Colombia University Department of Psychiatry. (2022). </w:t>
              </w:r>
              <w:r w:rsidRPr="00893ADF">
                <w:rPr>
                  <w:i/>
                  <w:iCs/>
                  <w:noProof/>
                  <w:sz w:val="22"/>
                  <w:szCs w:val="22"/>
                </w:rPr>
                <w:t>How Sleep Deprivation Impacts Mental Health</w:t>
              </w:r>
              <w:r w:rsidRPr="00893ADF">
                <w:rPr>
                  <w:noProof/>
                  <w:sz w:val="22"/>
                  <w:szCs w:val="22"/>
                </w:rPr>
                <w:t>. Retrieved October 2023, from https://www.columbiapsychiatry.org/news/how-sleep-deprivation-affects-your-mental-health</w:t>
              </w:r>
            </w:p>
            <w:p w14:paraId="08AB3523"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CPS. (2018, January). </w:t>
              </w:r>
              <w:r w:rsidRPr="00893ADF">
                <w:rPr>
                  <w:i/>
                  <w:iCs/>
                  <w:noProof/>
                  <w:sz w:val="22"/>
                  <w:szCs w:val="22"/>
                </w:rPr>
                <w:t>A joint review of the disclosure process in the case of R v Allan.</w:t>
              </w:r>
              <w:r w:rsidRPr="00893ADF">
                <w:rPr>
                  <w:noProof/>
                  <w:sz w:val="22"/>
                  <w:szCs w:val="22"/>
                </w:rPr>
                <w:t xml:space="preserve"> Retrieved December 28, 2023, from https://www.cps.gov.uk/sites/default/files/documents/publications/joint-review-disclosure-Allan.pdf</w:t>
              </w:r>
            </w:p>
            <w:p w14:paraId="2B222209"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CPS. (2021). </w:t>
              </w:r>
              <w:r w:rsidRPr="00893ADF">
                <w:rPr>
                  <w:i/>
                  <w:iCs/>
                  <w:noProof/>
                  <w:sz w:val="22"/>
                  <w:szCs w:val="22"/>
                </w:rPr>
                <w:t>Special Measures</w:t>
              </w:r>
              <w:r w:rsidRPr="00893ADF">
                <w:rPr>
                  <w:noProof/>
                  <w:sz w:val="22"/>
                  <w:szCs w:val="22"/>
                </w:rPr>
                <w:t>. Retrieved December 2023, from https://www.cps.gov.uk/legal-guidance/special-measures</w:t>
              </w:r>
            </w:p>
            <w:p w14:paraId="57806E16"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CPS. (2022). </w:t>
              </w:r>
              <w:r w:rsidRPr="00893ADF">
                <w:rPr>
                  <w:i/>
                  <w:iCs/>
                  <w:noProof/>
                  <w:sz w:val="22"/>
                  <w:szCs w:val="22"/>
                </w:rPr>
                <w:t>Offences against the Person, incorporating the Charging Standard</w:t>
              </w:r>
              <w:r w:rsidRPr="00893ADF">
                <w:rPr>
                  <w:noProof/>
                  <w:sz w:val="22"/>
                  <w:szCs w:val="22"/>
                </w:rPr>
                <w:t>. Retrieved December 2023, from https://www.cps.gov.uk/legal-guidance/offences-against-person-incorporating-charging-standard</w:t>
              </w:r>
            </w:p>
            <w:p w14:paraId="750C3262"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CPS. (2023). </w:t>
              </w:r>
              <w:r w:rsidRPr="00893ADF">
                <w:rPr>
                  <w:i/>
                  <w:iCs/>
                  <w:noProof/>
                  <w:sz w:val="22"/>
                  <w:szCs w:val="22"/>
                </w:rPr>
                <w:t>Bail</w:t>
              </w:r>
              <w:r w:rsidRPr="00893ADF">
                <w:rPr>
                  <w:noProof/>
                  <w:sz w:val="22"/>
                  <w:szCs w:val="22"/>
                </w:rPr>
                <w:t>. Retrieved December 26, 2023, from https://www.cps.gov.uk/legal-guidance/bail</w:t>
              </w:r>
            </w:p>
            <w:p w14:paraId="6FF5C51F"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Criminal Injuries Helpline. (2022). </w:t>
              </w:r>
              <w:r w:rsidRPr="00893ADF">
                <w:rPr>
                  <w:i/>
                  <w:iCs/>
                  <w:noProof/>
                  <w:sz w:val="22"/>
                  <w:szCs w:val="22"/>
                </w:rPr>
                <w:t>What Impact Does Assault Have on Victims, Families &amp; Friends?</w:t>
              </w:r>
              <w:r w:rsidRPr="00893ADF">
                <w:rPr>
                  <w:noProof/>
                  <w:sz w:val="22"/>
                  <w:szCs w:val="22"/>
                </w:rPr>
                <w:t xml:space="preserve"> Retrieved December 2023, from https://criminalinjurieshelpline.co.uk/blog/impact-assault-victims/</w:t>
              </w:r>
            </w:p>
            <w:p w14:paraId="42982947"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Fuller, G. (2015). The serious impact and consequences of physical assault. </w:t>
              </w:r>
              <w:r w:rsidRPr="00893ADF">
                <w:rPr>
                  <w:i/>
                  <w:iCs/>
                  <w:noProof/>
                  <w:sz w:val="22"/>
                  <w:szCs w:val="22"/>
                </w:rPr>
                <w:t>Trends &amp; Issues in Crime and Criminal Justice</w:t>
              </w:r>
              <w:r w:rsidRPr="00893ADF">
                <w:rPr>
                  <w:noProof/>
                  <w:sz w:val="22"/>
                  <w:szCs w:val="22"/>
                </w:rPr>
                <w:t>(496), 1-8.</w:t>
              </w:r>
            </w:p>
            <w:p w14:paraId="62745BBD"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Gibbs, G. (1988). </w:t>
              </w:r>
              <w:r w:rsidRPr="00893ADF">
                <w:rPr>
                  <w:i/>
                  <w:iCs/>
                  <w:noProof/>
                  <w:sz w:val="22"/>
                  <w:szCs w:val="22"/>
                </w:rPr>
                <w:t>Learning by Doing, A Guide to Teaching and Learning Methods.</w:t>
              </w:r>
              <w:r w:rsidRPr="00893ADF">
                <w:rPr>
                  <w:noProof/>
                  <w:sz w:val="22"/>
                  <w:szCs w:val="22"/>
                </w:rPr>
                <w:t xml:space="preserve"> FEU.</w:t>
              </w:r>
            </w:p>
            <w:p w14:paraId="24F03E6C"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Hall, J. (2018). </w:t>
              </w:r>
              <w:r w:rsidRPr="00893ADF">
                <w:rPr>
                  <w:i/>
                  <w:iCs/>
                  <w:noProof/>
                  <w:sz w:val="22"/>
                  <w:szCs w:val="22"/>
                </w:rPr>
                <w:t>Emotional resilience: stepping outside the drama triangle</w:t>
              </w:r>
              <w:r w:rsidRPr="00893ADF">
                <w:rPr>
                  <w:noProof/>
                  <w:sz w:val="22"/>
                  <w:szCs w:val="22"/>
                </w:rPr>
                <w:t>. Retrieved December 2023, from https://www.lawsociety.org.uk/topics/family-and-children/emotional-resilience-stepping-outside-drama-triangle</w:t>
              </w:r>
            </w:p>
            <w:p w14:paraId="2F978A21"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lastRenderedPageBreak/>
                <w:t xml:space="preserve">Hogg, M. Q., &amp; Vaughan, G. M. (2005). In </w:t>
              </w:r>
              <w:r w:rsidRPr="00893ADF">
                <w:rPr>
                  <w:i/>
                  <w:iCs/>
                  <w:noProof/>
                  <w:sz w:val="22"/>
                  <w:szCs w:val="22"/>
                </w:rPr>
                <w:t xml:space="preserve">Social Psychology </w:t>
              </w:r>
              <w:r w:rsidRPr="00893ADF">
                <w:rPr>
                  <w:noProof/>
                  <w:sz w:val="22"/>
                  <w:szCs w:val="22"/>
                </w:rPr>
                <w:t>(p. 150). California : Prentice Hall .</w:t>
              </w:r>
            </w:p>
            <w:p w14:paraId="639AE61C"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Home Office. (2022). </w:t>
              </w:r>
              <w:r w:rsidRPr="00893ADF">
                <w:rPr>
                  <w:i/>
                  <w:iCs/>
                  <w:noProof/>
                  <w:sz w:val="22"/>
                  <w:szCs w:val="22"/>
                </w:rPr>
                <w:t>Hate crime, England and Wales, 2021 to 2022</w:t>
              </w:r>
              <w:r w:rsidRPr="00893ADF">
                <w:rPr>
                  <w:noProof/>
                  <w:sz w:val="22"/>
                  <w:szCs w:val="22"/>
                </w:rPr>
                <w:t>. Retrieved December 2023, from https://www.gov.uk/government/statistics/hate-crime-england-and-wales-2021-to-2022/hate-crime-england-and-wales-2021-to-2022</w:t>
              </w:r>
            </w:p>
            <w:p w14:paraId="487A9D02"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House of Lords. (2020). </w:t>
              </w:r>
              <w:r w:rsidRPr="00893ADF">
                <w:rPr>
                  <w:i/>
                  <w:iCs/>
                  <w:noProof/>
                  <w:sz w:val="22"/>
                  <w:szCs w:val="22"/>
                </w:rPr>
                <w:t>Disclosure of Evidence in Criminal Proceedings</w:t>
              </w:r>
              <w:r w:rsidRPr="00893ADF">
                <w:rPr>
                  <w:noProof/>
                  <w:sz w:val="22"/>
                  <w:szCs w:val="22"/>
                </w:rPr>
                <w:t>. Retrieved December 28, 2023, from https://researchbriefings.files.parliament.uk/documents/LLN-2020-0010/LLN-2020-0010.pdf</w:t>
              </w:r>
            </w:p>
            <w:p w14:paraId="22E63197"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Joseph–Salisbury, R., Connelly, L., &amp; Wangari-Jones, P. (2021). “The UK is not innocent”: Black Lives Matter, policing and abolition in the UK. </w:t>
              </w:r>
              <w:r w:rsidRPr="00893ADF">
                <w:rPr>
                  <w:i/>
                  <w:iCs/>
                  <w:noProof/>
                  <w:sz w:val="22"/>
                  <w:szCs w:val="22"/>
                </w:rPr>
                <w:t>Equality, Diversity and Inclusion: An International Journal, 40</w:t>
              </w:r>
              <w:r w:rsidRPr="00893ADF">
                <w:rPr>
                  <w:noProof/>
                  <w:sz w:val="22"/>
                  <w:szCs w:val="22"/>
                </w:rPr>
                <w:t>(1), 21-28.</w:t>
              </w:r>
            </w:p>
            <w:p w14:paraId="74093BDA"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Kirby, E. D., Muroy, S. E., Sun, W. G., D., C., Leong, M. J., Barchas, L. A., &amp; Kaufer, D. (2013). Acute stress enhances adult rat hippocampal neurogenesis and activation of newborn neurons via secreted astrocytic FGF2. </w:t>
              </w:r>
              <w:r w:rsidRPr="00893ADF">
                <w:rPr>
                  <w:i/>
                  <w:iCs/>
                  <w:noProof/>
                  <w:sz w:val="22"/>
                  <w:szCs w:val="22"/>
                </w:rPr>
                <w:t>Elife</w:t>
              </w:r>
              <w:r w:rsidRPr="00893ADF">
                <w:rPr>
                  <w:noProof/>
                  <w:sz w:val="22"/>
                  <w:szCs w:val="22"/>
                </w:rPr>
                <w:t>.</w:t>
              </w:r>
            </w:p>
            <w:p w14:paraId="214A1DC6"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LawTeacher. (2018). </w:t>
              </w:r>
              <w:r w:rsidRPr="00893ADF">
                <w:rPr>
                  <w:i/>
                  <w:iCs/>
                  <w:noProof/>
                  <w:sz w:val="22"/>
                  <w:szCs w:val="22"/>
                </w:rPr>
                <w:t>Wounding and GBH Lecture</w:t>
              </w:r>
              <w:r w:rsidRPr="00893ADF">
                <w:rPr>
                  <w:noProof/>
                  <w:sz w:val="22"/>
                  <w:szCs w:val="22"/>
                </w:rPr>
                <w:t>. Retrieved November 14, 2023, from https://www.lawteacher.net/lectures/criminal-law/non-fatal-offences/wounding-gbh/#citethis</w:t>
              </w:r>
            </w:p>
            <w:p w14:paraId="3364E6E8"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LawTeacher. (2019). </w:t>
              </w:r>
              <w:r w:rsidRPr="00893ADF">
                <w:rPr>
                  <w:i/>
                  <w:iCs/>
                  <w:noProof/>
                  <w:sz w:val="22"/>
                  <w:szCs w:val="22"/>
                </w:rPr>
                <w:t>Police and Criminal Evidence Act 1984</w:t>
              </w:r>
              <w:r w:rsidRPr="00893ADF">
                <w:rPr>
                  <w:noProof/>
                  <w:sz w:val="22"/>
                  <w:szCs w:val="22"/>
                </w:rPr>
                <w:t>. Retrieved December 2023, from https://www.lawteacher.net/acts/police-and-criminal-evidence-act-1984.php</w:t>
              </w:r>
            </w:p>
            <w:p w14:paraId="40FB320A"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Levine, S. L., Cherrier, S., Holding, A. C., &amp; Koestner, R. (2022). For the love of reading: Recreational reading reduces psychological distress in college students and autonomous motivation is the key. </w:t>
              </w:r>
              <w:r w:rsidRPr="00893ADF">
                <w:rPr>
                  <w:i/>
                  <w:iCs/>
                  <w:noProof/>
                  <w:sz w:val="22"/>
                  <w:szCs w:val="22"/>
                </w:rPr>
                <w:t>Taylor &amp; Francis; Journal of American college health, 70</w:t>
              </w:r>
              <w:r w:rsidRPr="00893ADF">
                <w:rPr>
                  <w:noProof/>
                  <w:sz w:val="22"/>
                  <w:szCs w:val="22"/>
                </w:rPr>
                <w:t>(1), 162.</w:t>
              </w:r>
            </w:p>
            <w:p w14:paraId="7FBB88B7"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LexisNexis. (n.d.). </w:t>
              </w:r>
              <w:r w:rsidRPr="00893ADF">
                <w:rPr>
                  <w:i/>
                  <w:iCs/>
                  <w:noProof/>
                  <w:sz w:val="22"/>
                  <w:szCs w:val="22"/>
                </w:rPr>
                <w:t>Recklessness Definition</w:t>
              </w:r>
              <w:r w:rsidRPr="00893ADF">
                <w:rPr>
                  <w:noProof/>
                  <w:sz w:val="22"/>
                  <w:szCs w:val="22"/>
                </w:rPr>
                <w:t>. Retrieved November 14, 2023, from https://www.lexisnexis.co.uk/legal/glossary/recklessness</w:t>
              </w:r>
            </w:p>
            <w:p w14:paraId="5878C193"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Metropolitan Police. (n.d.). </w:t>
              </w:r>
              <w:r w:rsidRPr="00893ADF">
                <w:rPr>
                  <w:i/>
                  <w:iCs/>
                  <w:noProof/>
                  <w:sz w:val="22"/>
                  <w:szCs w:val="22"/>
                </w:rPr>
                <w:t>What is hate crime?</w:t>
              </w:r>
              <w:r w:rsidRPr="00893ADF">
                <w:rPr>
                  <w:noProof/>
                  <w:sz w:val="22"/>
                  <w:szCs w:val="22"/>
                </w:rPr>
                <w:t xml:space="preserve"> Retrieved December 2023, from https://www.met.police.uk/advice/advice-and-information/hco/hate-crime/what-is-hate-crime/</w:t>
              </w:r>
            </w:p>
            <w:p w14:paraId="2BA7103A"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Ministry of Justice . (2020, November). </w:t>
              </w:r>
              <w:r w:rsidRPr="00893ADF">
                <w:rPr>
                  <w:i/>
                  <w:iCs/>
                  <w:noProof/>
                  <w:sz w:val="22"/>
                  <w:szCs w:val="22"/>
                </w:rPr>
                <w:t>Code of Practice for Victims of Crime in Englad and Wales .</w:t>
              </w:r>
              <w:r w:rsidRPr="00893ADF">
                <w:rPr>
                  <w:noProof/>
                  <w:sz w:val="22"/>
                  <w:szCs w:val="22"/>
                </w:rPr>
                <w:t xml:space="preserve"> Retrieved December 2023, from https://assets.publishing.service.gov.uk/media/60620279d3bf7f5ceaca0d89/victims-code-2020.pdf</w:t>
              </w:r>
            </w:p>
            <w:p w14:paraId="43264328"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Ministry of Justice. (2020). </w:t>
              </w:r>
              <w:r w:rsidRPr="00893ADF">
                <w:rPr>
                  <w:i/>
                  <w:iCs/>
                  <w:noProof/>
                  <w:sz w:val="22"/>
                  <w:szCs w:val="22"/>
                </w:rPr>
                <w:t>https://assets.publishing.service.gov.uk/government/uploads/system/uploads/attachment_data/file/931173/Criminal-procedure-and-investigations-act-1996.pdf</w:t>
              </w:r>
              <w:r w:rsidRPr="00893ADF">
                <w:rPr>
                  <w:noProof/>
                  <w:sz w:val="22"/>
                  <w:szCs w:val="22"/>
                </w:rPr>
                <w:t>. Retrieved December 26, 2023, from https://assets.publishing.service.gov.uk/government/uploads/system/uploads/attachment_data/file/931173/Criminal-procedure-and-investigations-act-1996.pdf</w:t>
              </w:r>
            </w:p>
            <w:p w14:paraId="2DEB3750"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Newman, R. (2005). APA's Resilience Initiative. </w:t>
              </w:r>
              <w:r w:rsidRPr="00893ADF">
                <w:rPr>
                  <w:i/>
                  <w:iCs/>
                  <w:noProof/>
                  <w:sz w:val="22"/>
                  <w:szCs w:val="22"/>
                </w:rPr>
                <w:t>Professional Psychology Research and Practice, 36</w:t>
              </w:r>
              <w:r w:rsidRPr="00893ADF">
                <w:rPr>
                  <w:noProof/>
                  <w:sz w:val="22"/>
                  <w:szCs w:val="22"/>
                </w:rPr>
                <w:t>(3), 227.</w:t>
              </w:r>
            </w:p>
            <w:p w14:paraId="33B5D37A"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Nollan, J. (2021). </w:t>
              </w:r>
              <w:r w:rsidRPr="00893ADF">
                <w:rPr>
                  <w:i/>
                  <w:iCs/>
                  <w:noProof/>
                  <w:sz w:val="22"/>
                  <w:szCs w:val="22"/>
                </w:rPr>
                <w:t>How To Escape The Karpman Drama Triangle</w:t>
              </w:r>
              <w:r w:rsidRPr="00893ADF">
                <w:rPr>
                  <w:noProof/>
                  <w:sz w:val="22"/>
                  <w:szCs w:val="22"/>
                </w:rPr>
                <w:t>. Retrieved December 2023, from https://www.aconsciousrethink.com/9667/karpman-drama-triangle/</w:t>
              </w:r>
            </w:p>
            <w:p w14:paraId="617EB9DF"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lastRenderedPageBreak/>
                <w:t xml:space="preserve">Office for National Statistics. (2022). </w:t>
              </w:r>
              <w:r w:rsidRPr="00893ADF">
                <w:rPr>
                  <w:i/>
                  <w:iCs/>
                  <w:noProof/>
                  <w:sz w:val="22"/>
                  <w:szCs w:val="22"/>
                </w:rPr>
                <w:t>The nature of violent crime in England and Wales: Year ending March 2022</w:t>
              </w:r>
              <w:r w:rsidRPr="00893ADF">
                <w:rPr>
                  <w:noProof/>
                  <w:sz w:val="22"/>
                  <w:szCs w:val="22"/>
                </w:rPr>
                <w:t>. Retrieved December 2023, from https://www.ons.gov.uk/peoplepopulationandcommunity/crimeandjustice/articles/thenatureofviolentcrimeinenglandandwales/yearendingmarch2022</w:t>
              </w:r>
            </w:p>
            <w:p w14:paraId="55AD95F3"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Office for National Statistics. (2023). </w:t>
              </w:r>
              <w:r w:rsidRPr="00893ADF">
                <w:rPr>
                  <w:i/>
                  <w:iCs/>
                  <w:noProof/>
                  <w:sz w:val="22"/>
                  <w:szCs w:val="22"/>
                </w:rPr>
                <w:t>Domestic abuse in England and Wales overview: November 2023</w:t>
              </w:r>
              <w:r w:rsidRPr="00893ADF">
                <w:rPr>
                  <w:noProof/>
                  <w:sz w:val="22"/>
                  <w:szCs w:val="22"/>
                </w:rPr>
                <w:t>. Retrieved December 21, 2023, from https://www.ons.gov.uk/peoplepopulationandcommunity/crimeandjustice/bulletins/domesticabuseinenglandandwalesoverview/november2023</w:t>
              </w:r>
            </w:p>
            <w:p w14:paraId="7F5E615E"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Revolution. (n.d.). </w:t>
              </w:r>
              <w:r w:rsidRPr="00893ADF">
                <w:rPr>
                  <w:i/>
                  <w:iCs/>
                  <w:noProof/>
                  <w:sz w:val="22"/>
                  <w:szCs w:val="22"/>
                </w:rPr>
                <w:t>The Betari Box Model</w:t>
              </w:r>
              <w:r w:rsidRPr="00893ADF">
                <w:rPr>
                  <w:noProof/>
                  <w:sz w:val="22"/>
                  <w:szCs w:val="22"/>
                </w:rPr>
                <w:t>. Retrieved December 2023, from https://www.revolutionlearning.co.uk/article/the-betari-box-model/</w:t>
              </w:r>
            </w:p>
            <w:p w14:paraId="62CA4809"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Rohleder, N. (2019). Stress and inflammation – The need to address the gap in the transition. </w:t>
              </w:r>
              <w:r w:rsidRPr="00893ADF">
                <w:rPr>
                  <w:i/>
                  <w:iCs/>
                  <w:noProof/>
                  <w:sz w:val="22"/>
                  <w:szCs w:val="22"/>
                </w:rPr>
                <w:t>Psychoneuroendocrinology, 105</w:t>
              </w:r>
              <w:r w:rsidRPr="00893ADF">
                <w:rPr>
                  <w:noProof/>
                  <w:sz w:val="22"/>
                  <w:szCs w:val="22"/>
                </w:rPr>
                <w:t>, 164.</w:t>
              </w:r>
            </w:p>
            <w:p w14:paraId="053A68E6"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South Wales Police. (n.d.). </w:t>
              </w:r>
              <w:r w:rsidRPr="00893ADF">
                <w:rPr>
                  <w:i/>
                  <w:iCs/>
                  <w:noProof/>
                  <w:sz w:val="22"/>
                  <w:szCs w:val="22"/>
                </w:rPr>
                <w:t>About Us</w:t>
              </w:r>
              <w:r w:rsidRPr="00893ADF">
                <w:rPr>
                  <w:noProof/>
                  <w:sz w:val="22"/>
                  <w:szCs w:val="22"/>
                </w:rPr>
                <w:t>. Retrieved October 2023, from https://www.south-wales.police.uk/police-forces/south-wales-police/areas/about-us/about-us/overview/</w:t>
              </w:r>
            </w:p>
            <w:p w14:paraId="2CD6FB0D"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Stonerock, G. L., M Hoffman, B., J Smith, P., &amp; A Blumenthal, J. (2015). Exercise as Treatment for Anxiety: Systematic Review and Analysis. </w:t>
              </w:r>
              <w:r w:rsidRPr="00893ADF">
                <w:rPr>
                  <w:i/>
                  <w:iCs/>
                  <w:noProof/>
                  <w:sz w:val="22"/>
                  <w:szCs w:val="22"/>
                </w:rPr>
                <w:t>Annals of Behavioral Medicine, 49</w:t>
              </w:r>
              <w:r w:rsidRPr="00893ADF">
                <w:rPr>
                  <w:noProof/>
                  <w:sz w:val="22"/>
                  <w:szCs w:val="22"/>
                </w:rPr>
                <w:t>(4), 551-552.</w:t>
              </w:r>
            </w:p>
            <w:p w14:paraId="4E69DDBD"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The Crown Prosecution Service. (2022). </w:t>
              </w:r>
              <w:r w:rsidRPr="00893ADF">
                <w:rPr>
                  <w:i/>
                  <w:iCs/>
                  <w:noProof/>
                  <w:sz w:val="22"/>
                  <w:szCs w:val="22"/>
                </w:rPr>
                <w:t>Offences against the Person, incorporating the Charging Standard</w:t>
              </w:r>
              <w:r w:rsidRPr="00893ADF">
                <w:rPr>
                  <w:noProof/>
                  <w:sz w:val="22"/>
                  <w:szCs w:val="22"/>
                </w:rPr>
                <w:t>. Retrieved November 14, 2023, from https://www.cps.gov.uk/legal-guidance/offences-against-person-incorporating-charging-standard</w:t>
              </w:r>
            </w:p>
            <w:p w14:paraId="4E6C8875"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UK Government. (2005). </w:t>
              </w:r>
              <w:r w:rsidRPr="00893ADF">
                <w:rPr>
                  <w:i/>
                  <w:iCs/>
                  <w:noProof/>
                  <w:sz w:val="22"/>
                  <w:szCs w:val="22"/>
                </w:rPr>
                <w:t>The Code of Practice for Victims of Crime in England and Wales and supporting public information materials</w:t>
              </w:r>
              <w:r w:rsidRPr="00893ADF">
                <w:rPr>
                  <w:noProof/>
                  <w:sz w:val="22"/>
                  <w:szCs w:val="22"/>
                </w:rPr>
                <w:t>. Retrieved December 2023, from https://www.gov.uk/government/publications/the-code-of-practice-for-victims-of-crime</w:t>
              </w:r>
            </w:p>
            <w:p w14:paraId="34BBC074"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UK Government. (2006). </w:t>
              </w:r>
              <w:r w:rsidRPr="00893ADF">
                <w:rPr>
                  <w:i/>
                  <w:iCs/>
                  <w:noProof/>
                  <w:sz w:val="22"/>
                  <w:szCs w:val="22"/>
                </w:rPr>
                <w:t>Public Order Act 1986</w:t>
              </w:r>
              <w:r w:rsidRPr="00893ADF">
                <w:rPr>
                  <w:noProof/>
                  <w:sz w:val="22"/>
                  <w:szCs w:val="22"/>
                </w:rPr>
                <w:t>. Retrieved December 2023, from https://www.legislation.gov.uk/ukpga/1986/64/section/4A</w:t>
              </w:r>
            </w:p>
            <w:p w14:paraId="21D2F4B7"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UK Government. (2009). </w:t>
              </w:r>
              <w:r w:rsidRPr="00893ADF">
                <w:rPr>
                  <w:i/>
                  <w:iCs/>
                  <w:noProof/>
                  <w:sz w:val="22"/>
                  <w:szCs w:val="22"/>
                </w:rPr>
                <w:t>Offences against the Person Act 1861</w:t>
              </w:r>
              <w:r w:rsidRPr="00893ADF">
                <w:rPr>
                  <w:noProof/>
                  <w:sz w:val="22"/>
                  <w:szCs w:val="22"/>
                </w:rPr>
                <w:t>. Retrieved November 14, 2023, from https://www.legislation.gov.uk/ukpga/Vict/24-25/100/section/18</w:t>
              </w:r>
            </w:p>
            <w:p w14:paraId="3502CA67"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UK Government. (2018). </w:t>
              </w:r>
              <w:r w:rsidRPr="00893ADF">
                <w:rPr>
                  <w:i/>
                  <w:iCs/>
                  <w:noProof/>
                  <w:sz w:val="22"/>
                  <w:szCs w:val="22"/>
                </w:rPr>
                <w:t>Criminal Procedure and Investigations Act 1996</w:t>
              </w:r>
              <w:r w:rsidRPr="00893ADF">
                <w:rPr>
                  <w:noProof/>
                  <w:sz w:val="22"/>
                  <w:szCs w:val="22"/>
                </w:rPr>
                <w:t>. Retrieved December 26, 2023, from https://www.legislation.gov.uk/ukpga/1996/25/part/I/crossheading/the-main-provisions</w:t>
              </w:r>
            </w:p>
            <w:p w14:paraId="471B948E"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Victim Support . (n.d.). </w:t>
              </w:r>
              <w:r w:rsidRPr="00893ADF">
                <w:rPr>
                  <w:i/>
                  <w:iCs/>
                  <w:noProof/>
                  <w:sz w:val="22"/>
                  <w:szCs w:val="22"/>
                </w:rPr>
                <w:t>Victims’ Code</w:t>
              </w:r>
              <w:r w:rsidRPr="00893ADF">
                <w:rPr>
                  <w:noProof/>
                  <w:sz w:val="22"/>
                  <w:szCs w:val="22"/>
                </w:rPr>
                <w:t>. Retrieved December 2023, from https://www.victimsupport.org.uk/help-and-support/your-rights/victims-code/#:~:text=The%20revised%20Victims%20Code%20of%20Practice,and%20other%20specifics%2C%20under%20each%20one.&amp;text=The%20revised%20Victims%20Code,specifics%2C%20under%20each%20one.&amp;text</w:t>
              </w:r>
            </w:p>
            <w:p w14:paraId="081EDBD6"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World Health Organisation. (2023). </w:t>
              </w:r>
              <w:r w:rsidRPr="00893ADF">
                <w:rPr>
                  <w:i/>
                  <w:iCs/>
                  <w:noProof/>
                  <w:sz w:val="22"/>
                  <w:szCs w:val="22"/>
                </w:rPr>
                <w:t>Stress</w:t>
              </w:r>
              <w:r w:rsidRPr="00893ADF">
                <w:rPr>
                  <w:noProof/>
                  <w:sz w:val="22"/>
                  <w:szCs w:val="22"/>
                </w:rPr>
                <w:t>. Retrieved October 2023, from https://www.who.int/news-room/questions-and-answers/item/stress</w:t>
              </w:r>
            </w:p>
            <w:p w14:paraId="22E468D3" w14:textId="77777777" w:rsidR="00A618F7" w:rsidRPr="00893ADF" w:rsidRDefault="00A618F7" w:rsidP="00893ADF">
              <w:pPr>
                <w:pStyle w:val="Bibliography"/>
                <w:spacing w:line="360" w:lineRule="auto"/>
                <w:ind w:left="720" w:hanging="720"/>
                <w:rPr>
                  <w:noProof/>
                  <w:sz w:val="22"/>
                  <w:szCs w:val="22"/>
                </w:rPr>
              </w:pPr>
              <w:r w:rsidRPr="00893ADF">
                <w:rPr>
                  <w:noProof/>
                  <w:sz w:val="22"/>
                  <w:szCs w:val="22"/>
                </w:rPr>
                <w:t xml:space="preserve">Yorks, D. M., Frothingham, C. A., &amp; Schuenke, M. D. (2017). Effects of Group Fitness Classes on Stress and Quality of Life of Medical Students. </w:t>
              </w:r>
              <w:r w:rsidRPr="00893ADF">
                <w:rPr>
                  <w:i/>
                  <w:iCs/>
                  <w:noProof/>
                  <w:sz w:val="22"/>
                  <w:szCs w:val="22"/>
                </w:rPr>
                <w:t>Journal of Osteopathic Medicine, 117</w:t>
              </w:r>
              <w:r w:rsidRPr="00893ADF">
                <w:rPr>
                  <w:noProof/>
                  <w:sz w:val="22"/>
                  <w:szCs w:val="22"/>
                </w:rPr>
                <w:t>(11), 24.</w:t>
              </w:r>
            </w:p>
            <w:p w14:paraId="57C163B3" w14:textId="7B90C874" w:rsidR="00A618F7" w:rsidRPr="00893ADF" w:rsidRDefault="00A618F7" w:rsidP="00893ADF">
              <w:pPr>
                <w:spacing w:line="360" w:lineRule="auto"/>
                <w:rPr>
                  <w:sz w:val="22"/>
                  <w:szCs w:val="22"/>
                </w:rPr>
              </w:pPr>
              <w:r w:rsidRPr="00893ADF">
                <w:rPr>
                  <w:b/>
                  <w:bCs/>
                  <w:noProof/>
                  <w:sz w:val="22"/>
                  <w:szCs w:val="22"/>
                </w:rPr>
                <w:lastRenderedPageBreak/>
                <w:fldChar w:fldCharType="end"/>
              </w:r>
            </w:p>
          </w:sdtContent>
        </w:sdt>
      </w:sdtContent>
    </w:sdt>
    <w:p w14:paraId="250CF227" w14:textId="77777777" w:rsidR="006D4550" w:rsidRPr="00893ADF" w:rsidRDefault="006D4550" w:rsidP="00893ADF">
      <w:pPr>
        <w:overflowPunct/>
        <w:autoSpaceDE/>
        <w:autoSpaceDN/>
        <w:adjustRightInd/>
        <w:spacing w:line="360" w:lineRule="auto"/>
        <w:ind w:right="107"/>
        <w:textAlignment w:val="auto"/>
        <w:rPr>
          <w:b/>
          <w:sz w:val="22"/>
          <w:szCs w:val="22"/>
        </w:rPr>
      </w:pPr>
      <w:r w:rsidRPr="00893ADF">
        <w:rPr>
          <w:b/>
          <w:sz w:val="22"/>
          <w:szCs w:val="22"/>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2125BC3"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643585">
        <w:rPr>
          <w:rFonts w:eastAsia="Arial"/>
          <w:color w:val="000000" w:themeColor="text1"/>
          <w:sz w:val="24"/>
          <w:szCs w:val="24"/>
          <w:highlight w:val="yellow"/>
        </w:rPr>
        <w:t>Shannen FOWLER</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3382B4B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643585">
        <w:rPr>
          <w:rFonts w:eastAsia="Arial"/>
          <w:color w:val="000000" w:themeColor="text1"/>
          <w:sz w:val="24"/>
          <w:szCs w:val="24"/>
          <w:highlight w:val="yellow"/>
        </w:rPr>
        <w:t>30/12/2023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9B378" w14:textId="77777777" w:rsidR="006F79B2" w:rsidRDefault="006F79B2">
      <w:r>
        <w:separator/>
      </w:r>
    </w:p>
  </w:endnote>
  <w:endnote w:type="continuationSeparator" w:id="0">
    <w:p w14:paraId="0DE1B934" w14:textId="77777777" w:rsidR="006F79B2" w:rsidRDefault="006F7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D51F4" w14:textId="77777777" w:rsidR="006F79B2" w:rsidRDefault="006F79B2">
      <w:r>
        <w:separator/>
      </w:r>
    </w:p>
  </w:footnote>
  <w:footnote w:type="continuationSeparator" w:id="0">
    <w:p w14:paraId="66344EF0" w14:textId="77777777" w:rsidR="006F79B2" w:rsidRDefault="006F7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B36DF1"/>
    <w:multiLevelType w:val="hybridMultilevel"/>
    <w:tmpl w:val="AB602D0E"/>
    <w:lvl w:ilvl="0" w:tplc="6C5ECA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9"/>
  </w:num>
  <w:num w:numId="2" w16cid:durableId="482046309">
    <w:abstractNumId w:val="32"/>
  </w:num>
  <w:num w:numId="3" w16cid:durableId="293676560">
    <w:abstractNumId w:val="24"/>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2"/>
  </w:num>
  <w:num w:numId="6" w16cid:durableId="182399986">
    <w:abstractNumId w:val="46"/>
  </w:num>
  <w:num w:numId="7" w16cid:durableId="1116021683">
    <w:abstractNumId w:val="48"/>
  </w:num>
  <w:num w:numId="8" w16cid:durableId="1131434421">
    <w:abstractNumId w:val="35"/>
  </w:num>
  <w:num w:numId="9" w16cid:durableId="486675903">
    <w:abstractNumId w:val="33"/>
  </w:num>
  <w:num w:numId="10" w16cid:durableId="517357457">
    <w:abstractNumId w:val="29"/>
  </w:num>
  <w:num w:numId="11" w16cid:durableId="1984001614">
    <w:abstractNumId w:val="30"/>
  </w:num>
  <w:num w:numId="12" w16cid:durableId="1335956400">
    <w:abstractNumId w:val="9"/>
  </w:num>
  <w:num w:numId="13" w16cid:durableId="1821076796">
    <w:abstractNumId w:val="34"/>
  </w:num>
  <w:num w:numId="14" w16cid:durableId="1871646545">
    <w:abstractNumId w:val="17"/>
  </w:num>
  <w:num w:numId="15" w16cid:durableId="584992973">
    <w:abstractNumId w:val="16"/>
  </w:num>
  <w:num w:numId="16" w16cid:durableId="1473597526">
    <w:abstractNumId w:val="27"/>
  </w:num>
  <w:num w:numId="17" w16cid:durableId="392584874">
    <w:abstractNumId w:val="7"/>
  </w:num>
  <w:num w:numId="18" w16cid:durableId="1183468976">
    <w:abstractNumId w:val="26"/>
  </w:num>
  <w:num w:numId="19" w16cid:durableId="1852641457">
    <w:abstractNumId w:val="15"/>
  </w:num>
  <w:num w:numId="20" w16cid:durableId="1193301274">
    <w:abstractNumId w:val="13"/>
  </w:num>
  <w:num w:numId="21" w16cid:durableId="10160365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3"/>
  </w:num>
  <w:num w:numId="23" w16cid:durableId="1087455737">
    <w:abstractNumId w:val="18"/>
  </w:num>
  <w:num w:numId="24" w16cid:durableId="414664631">
    <w:abstractNumId w:val="14"/>
  </w:num>
  <w:num w:numId="25" w16cid:durableId="1043212599">
    <w:abstractNumId w:val="11"/>
  </w:num>
  <w:num w:numId="26" w16cid:durableId="989946603">
    <w:abstractNumId w:val="28"/>
  </w:num>
  <w:num w:numId="27" w16cid:durableId="993989380">
    <w:abstractNumId w:val="19"/>
  </w:num>
  <w:num w:numId="28" w16cid:durableId="13507660">
    <w:abstractNumId w:val="42"/>
  </w:num>
  <w:num w:numId="29" w16cid:durableId="1300648714">
    <w:abstractNumId w:val="36"/>
  </w:num>
  <w:num w:numId="30" w16cid:durableId="979071194">
    <w:abstractNumId w:val="41"/>
  </w:num>
  <w:num w:numId="31" w16cid:durableId="1461340778">
    <w:abstractNumId w:val="20"/>
  </w:num>
  <w:num w:numId="32" w16cid:durableId="193003855">
    <w:abstractNumId w:val="44"/>
  </w:num>
  <w:num w:numId="33" w16cid:durableId="1531644275">
    <w:abstractNumId w:val="31"/>
  </w:num>
  <w:num w:numId="34" w16cid:durableId="1635066536">
    <w:abstractNumId w:val="12"/>
  </w:num>
  <w:num w:numId="35" w16cid:durableId="631331852">
    <w:abstractNumId w:val="45"/>
  </w:num>
  <w:num w:numId="36" w16cid:durableId="347872680">
    <w:abstractNumId w:val="40"/>
  </w:num>
  <w:num w:numId="37" w16cid:durableId="1603414141">
    <w:abstractNumId w:val="4"/>
  </w:num>
  <w:num w:numId="38" w16cid:durableId="1482427513">
    <w:abstractNumId w:val="47"/>
  </w:num>
  <w:num w:numId="39" w16cid:durableId="1106727336">
    <w:abstractNumId w:val="43"/>
  </w:num>
  <w:num w:numId="40" w16cid:durableId="1457063564">
    <w:abstractNumId w:val="37"/>
  </w:num>
  <w:num w:numId="41" w16cid:durableId="304089601">
    <w:abstractNumId w:val="38"/>
  </w:num>
  <w:num w:numId="42" w16cid:durableId="745035364">
    <w:abstractNumId w:val="3"/>
  </w:num>
  <w:num w:numId="43" w16cid:durableId="1947349845">
    <w:abstractNumId w:val="5"/>
  </w:num>
  <w:num w:numId="44" w16cid:durableId="1055658733">
    <w:abstractNumId w:val="25"/>
  </w:num>
  <w:num w:numId="45" w16cid:durableId="1261336802">
    <w:abstractNumId w:val="6"/>
  </w:num>
  <w:num w:numId="46" w16cid:durableId="481507105">
    <w:abstractNumId w:val="2"/>
  </w:num>
  <w:num w:numId="47" w16cid:durableId="161168124">
    <w:abstractNumId w:val="0"/>
  </w:num>
  <w:num w:numId="48" w16cid:durableId="262417934">
    <w:abstractNumId w:val="21"/>
  </w:num>
  <w:num w:numId="49" w16cid:durableId="877544857">
    <w:abstractNumId w:val="49"/>
  </w:num>
  <w:num w:numId="50" w16cid:durableId="1187862921">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193"/>
    <w:rsid w:val="00150794"/>
    <w:rsid w:val="0015452F"/>
    <w:rsid w:val="001608C4"/>
    <w:rsid w:val="001678DD"/>
    <w:rsid w:val="00171418"/>
    <w:rsid w:val="001961CF"/>
    <w:rsid w:val="001A0977"/>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D5BE3"/>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5632B"/>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1933"/>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5A09"/>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669"/>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3585"/>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6F79B2"/>
    <w:rsid w:val="00700249"/>
    <w:rsid w:val="007025E0"/>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436"/>
    <w:rsid w:val="00826F48"/>
    <w:rsid w:val="008308AE"/>
    <w:rsid w:val="0083166E"/>
    <w:rsid w:val="00831DC3"/>
    <w:rsid w:val="008322C7"/>
    <w:rsid w:val="008349B3"/>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3ADF"/>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C5BA3"/>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18F7"/>
    <w:rsid w:val="00A652F6"/>
    <w:rsid w:val="00A732EA"/>
    <w:rsid w:val="00A7489E"/>
    <w:rsid w:val="00A763C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5940"/>
    <w:rsid w:val="00B77305"/>
    <w:rsid w:val="00B77CFE"/>
    <w:rsid w:val="00B82CC2"/>
    <w:rsid w:val="00B84A89"/>
    <w:rsid w:val="00B92BEF"/>
    <w:rsid w:val="00B9689A"/>
    <w:rsid w:val="00BA7DCC"/>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1592"/>
    <w:rsid w:val="00C836CC"/>
    <w:rsid w:val="00C87A74"/>
    <w:rsid w:val="00C92C71"/>
    <w:rsid w:val="00C93F8F"/>
    <w:rsid w:val="00CA0715"/>
    <w:rsid w:val="00CA3593"/>
    <w:rsid w:val="00CB143A"/>
    <w:rsid w:val="00CB258E"/>
    <w:rsid w:val="00CB3C8F"/>
    <w:rsid w:val="00CC02F1"/>
    <w:rsid w:val="00CC11A6"/>
    <w:rsid w:val="00CC135E"/>
    <w:rsid w:val="00CC4414"/>
    <w:rsid w:val="00CD3D58"/>
    <w:rsid w:val="00CD5D3F"/>
    <w:rsid w:val="00CE22C4"/>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374F"/>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C73C9"/>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0A8C"/>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A618F7"/>
    <w:rPr>
      <w:rFonts w:ascii="Arial" w:hAnsi="Arial" w:cs="Arial"/>
      <w:b/>
      <w:color w:val="000000"/>
      <w:kern w:val="28"/>
      <w:sz w:val="28"/>
      <w:lang w:eastAsia="en-GB"/>
    </w:rPr>
  </w:style>
  <w:style w:type="paragraph" w:styleId="Bibliography">
    <w:name w:val="Bibliography"/>
    <w:basedOn w:val="Normal"/>
    <w:next w:val="Normal"/>
    <w:uiPriority w:val="37"/>
    <w:unhideWhenUsed/>
    <w:rsid w:val="00A61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6016428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Bor70</b:Tag>
    <b:SourceType>Book</b:SourceType>
    <b:Guid>{189791B1-29AB-42FE-A02D-E030FC2D0A4B}</b:Guid>
    <b:Title>Reach Touch and Teach</b:Title>
    <b:Year>1970</b:Year>
    <b:Author>
      <b:Author>
        <b:NameList>
          <b:Person>
            <b:Last>Borton</b:Last>
            <b:First>Terry</b:First>
          </b:Person>
        </b:NameList>
      </b:Author>
    </b:Author>
    <b:BookTitle>Reach Touch and Teach</b:BookTitle>
    <b:City>New York</b:City>
    <b:Publisher>McGraw-Hill</b:Publisher>
    <b:RefOrder>1</b:RefOrder>
  </b:Source>
  <b:Source>
    <b:Tag>Sou23</b:Tag>
    <b:SourceType>InternetSite</b:SourceType>
    <b:Guid>{C1B99D35-4B85-4E7D-87DE-0C4747B8CF80}</b:Guid>
    <b:Title>About Us</b:Title>
    <b:Author>
      <b:Author>
        <b:Corporate>South Wales Police</b:Corporate>
      </b:Author>
    </b:Author>
    <b:YearAccessed>2023</b:YearAccessed>
    <b:MonthAccessed>October</b:MonthAccessed>
    <b:URL>https://www.south-wales.police.uk/police-forces/south-wales-police/areas/about-us/about-us/overview/</b:URL>
    <b:RefOrder>2</b:RefOrder>
  </b:Source>
  <b:Source>
    <b:Tag>Wor23</b:Tag>
    <b:SourceType>InternetSite</b:SourceType>
    <b:Guid>{C95CF903-CD31-46DA-9746-E926D57F2670}</b:Guid>
    <b:Author>
      <b:Author>
        <b:Corporate>World Health Organisation</b:Corporate>
      </b:Author>
    </b:Author>
    <b:Title>Stress</b:Title>
    <b:Year>2023</b:Year>
    <b:YearAccessed>2023</b:YearAccessed>
    <b:MonthAccessed>October</b:MonthAccessed>
    <b:URL>https://www.who.int/news-room/questions-and-answers/item/stress</b:URL>
    <b:RefOrder>3</b:RefOrder>
  </b:Source>
  <b:Source>
    <b:Tag>Kir13</b:Tag>
    <b:SourceType>JournalArticle</b:SourceType>
    <b:Guid>{52568634-272F-41FF-8A05-A17AA35A9C7E}</b:Guid>
    <b:Title>Acute stress enhances adult rat hippocampal neurogenesis and activation of newborn neurons via secreted astrocytic FGF2</b:Title>
    <b:Year>2013</b:Year>
    <b:Author>
      <b:Author>
        <b:NameList>
          <b:Person>
            <b:Last>Kirby</b:Last>
            <b:First>E.</b:First>
            <b:Middle>D.</b:Middle>
          </b:Person>
          <b:Person>
            <b:Last>Muroy</b:Last>
            <b:First>S.</b:First>
            <b:Middle>E.</b:Middle>
          </b:Person>
          <b:Person>
            <b:Last>Sun</b:Last>
            <b:First>W.</b:First>
            <b:Middle>G.</b:Middle>
          </b:Person>
          <b:Person>
            <b:Last>D.</b:Last>
            <b:First>Covarrubias</b:First>
          </b:Person>
          <b:Person>
            <b:Last>Leong</b:Last>
            <b:First>M.</b:First>
            <b:Middle>J.</b:Middle>
          </b:Person>
          <b:Person>
            <b:Last>Barchas</b:Last>
            <b:First>L.</b:First>
            <b:Middle>A.</b:Middle>
          </b:Person>
          <b:Person>
            <b:Last>Kaufer</b:Last>
            <b:First>D</b:First>
          </b:Person>
        </b:NameList>
      </b:Author>
    </b:Author>
    <b:JournalName>Elife</b:JournalName>
    <b:RefOrder>4</b:RefOrder>
  </b:Source>
  <b:Source>
    <b:Tag>Nic19</b:Tag>
    <b:SourceType>JournalArticle</b:SourceType>
    <b:Guid>{B7BB2730-9CCD-4C3B-ACA3-8DF763D5384C}</b:Guid>
    <b:Author>
      <b:Author>
        <b:NameList>
          <b:Person>
            <b:Last>Rohleder</b:Last>
            <b:First>Nicolas</b:First>
          </b:Person>
        </b:NameList>
      </b:Author>
    </b:Author>
    <b:Title>Stress and inflammation – The need to address the gap in the transition</b:Title>
    <b:JournalName>Psychoneuroendocrinology</b:JournalName>
    <b:Year>2019</b:Year>
    <b:Pages>164</b:Pages>
    <b:Volume>105</b:Volume>
    <b:RefOrder>5</b:RefOrder>
  </b:Source>
  <b:Source>
    <b:Tag>Rus05</b:Tag>
    <b:SourceType>JournalArticle</b:SourceType>
    <b:Guid>{3D840C6B-4AED-4E87-B48F-F7CD93AE7566}</b:Guid>
    <b:Author>
      <b:Author>
        <b:NameList>
          <b:Person>
            <b:Last>Newman</b:Last>
            <b:First>Russ</b:First>
          </b:Person>
        </b:NameList>
      </b:Author>
    </b:Author>
    <b:Title>APA's Resilience Initiative</b:Title>
    <b:JournalName>Professional Psychology Research and Practice</b:JournalName>
    <b:Year>2005</b:Year>
    <b:Pages>227</b:Pages>
    <b:Volume>36</b:Volume>
    <b:Issue>3</b:Issue>
    <b:RefOrder>6</b:RefOrder>
  </b:Source>
  <b:Source>
    <b:Tag>Sto15</b:Tag>
    <b:SourceType>JournalArticle</b:SourceType>
    <b:Guid>{94CC4183-B619-47CD-80A4-C6D71565AAEC}</b:Guid>
    <b:Author>
      <b:Author>
        <b:NameList>
          <b:Person>
            <b:Last>Stonerock</b:Last>
            <b:First>Gregory</b:First>
            <b:Middle>L</b:Middle>
          </b:Person>
          <b:Person>
            <b:Last>M Hoffman</b:Last>
            <b:First>Benson</b:First>
          </b:Person>
          <b:Person>
            <b:Last>J Smith</b:Last>
            <b:First>Patrick</b:First>
          </b:Person>
          <b:Person>
            <b:Last>A Blumenthal</b:Last>
            <b:First>James</b:First>
          </b:Person>
        </b:NameList>
      </b:Author>
    </b:Author>
    <b:Title>Exercise as Treatment for Anxiety: Systematic Review and Analysis</b:Title>
    <b:JournalName>Annals of Behavioral Medicine</b:JournalName>
    <b:Year>2015</b:Year>
    <b:Pages>551-552</b:Pages>
    <b:Volume>49</b:Volume>
    <b:Issue>4</b:Issue>
    <b:RefOrder>7</b:RefOrder>
  </b:Source>
  <b:Source>
    <b:Tag>Eff17</b:Tag>
    <b:SourceType>JournalArticle</b:SourceType>
    <b:Guid>{EC4D2661-D3BB-4BEA-8B75-8C98150AACFA}</b:Guid>
    <b:Title>Effects of Group Fitness Classes on Stress and Quality of Life of Medical Students</b:Title>
    <b:JournalName>Journal of Osteopathic Medicine</b:JournalName>
    <b:Year>2017</b:Year>
    <b:Pages>24</b:Pages>
    <b:Volume>117</b:Volume>
    <b:Issue>11</b:Issue>
    <b:Author>
      <b:Author>
        <b:NameList>
          <b:Person>
            <b:Last>Yorks</b:Last>
            <b:First>Dayna</b:First>
            <b:Middle>M</b:Middle>
          </b:Person>
          <b:Person>
            <b:Last>Frothingham</b:Last>
            <b:First>Christopher</b:First>
            <b:Middle>A</b:Middle>
          </b:Person>
          <b:Person>
            <b:Last>Schuenke</b:Last>
            <b:First>Mark</b:First>
            <b:Middle>D</b:Middle>
          </b:Person>
        </b:NameList>
      </b:Author>
    </b:Author>
    <b:RefOrder>8</b:RefOrder>
  </b:Source>
  <b:Source>
    <b:Tag>Col22</b:Tag>
    <b:SourceType>InternetSite</b:SourceType>
    <b:Guid>{91C9ED04-471F-4946-BCD0-531DAEDB3E81}</b:Guid>
    <b:Title>How Sleep Deprivation Impacts Mental Health</b:Title>
    <b:Year>2022</b:Year>
    <b:Author>
      <b:Author>
        <b:Corporate>Colombia University Department of Psychiatry</b:Corporate>
      </b:Author>
    </b:Author>
    <b:YearAccessed>2023</b:YearAccessed>
    <b:MonthAccessed>October</b:MonthAccessed>
    <b:URL>https://www.columbiapsychiatry.org/news/how-sleep-deprivation-affects-your-mental-health</b:URL>
    <b:RefOrder>9</b:RefOrder>
  </b:Source>
  <b:Source>
    <b:Tag>Lev22</b:Tag>
    <b:SourceType>JournalArticle</b:SourceType>
    <b:Guid>{A6577263-C103-4CC8-973C-CD8536A8B97E}</b:Guid>
    <b:Title>For the love of reading: Recreational reading reduces psychological distress in college students and autonomous motivation is the key</b:Title>
    <b:Year>2022</b:Year>
    <b:Author>
      <b:Author>
        <b:NameList>
          <b:Person>
            <b:Last>Levine</b:Last>
            <b:First>S</b:First>
            <b:Middle>L</b:Middle>
          </b:Person>
          <b:Person>
            <b:Last>Cherrier</b:Last>
            <b:First>S</b:First>
          </b:Person>
          <b:Person>
            <b:Last>Holding</b:Last>
            <b:First>A</b:First>
            <b:Middle>C</b:Middle>
          </b:Person>
          <b:Person>
            <b:Last>Koestner</b:Last>
            <b:First>R</b:First>
          </b:Person>
        </b:NameList>
      </b:Author>
    </b:Author>
    <b:JournalName>Taylor &amp; Francis; Journal of American college health</b:JournalName>
    <b:Pages>162</b:Pages>
    <b:Volume>70</b:Volume>
    <b:Issue>1</b:Issue>
    <b:RefOrder>10</b:RefOrder>
  </b:Source>
  <b:Source>
    <b:Tag>Gib88</b:Tag>
    <b:SourceType>Book</b:SourceType>
    <b:Guid>{DEFB987F-83E9-467E-A617-EC57E6D70751}</b:Guid>
    <b:Author>
      <b:Author>
        <b:NameList>
          <b:Person>
            <b:Last>Gibbs</b:Last>
            <b:First>Graham</b:First>
          </b:Person>
        </b:NameList>
      </b:Author>
    </b:Author>
    <b:Title>Learning by Doing, A Guide to Teaching and Learning Methods</b:Title>
    <b:Year>1988</b:Year>
    <b:Publisher>FEU</b:Publisher>
    <b:RefOrder>11</b:RefOrder>
  </b:Source>
  <b:Source>
    <b:Tag>Off22</b:Tag>
    <b:SourceType>InternetSite</b:SourceType>
    <b:Guid>{83553418-5537-4194-8512-DFC6CBE5F85F}</b:Guid>
    <b:Title>The nature of violent crime in England and Wales: Year ending March 2022</b:Title>
    <b:Year>2022</b:Year>
    <b:Author>
      <b:Author>
        <b:Corporate>Office for National Statistics</b:Corporate>
      </b:Author>
    </b:Author>
    <b:YearAccessed>2023</b:YearAccessed>
    <b:MonthAccessed>December</b:MonthAccessed>
    <b:URL>https://www.ons.gov.uk/peoplepopulationandcommunity/crimeandjustice/articles/thenatureofviolentcrimeinenglandandwales/yearendingmarch2022</b:URL>
    <b:RefOrder>12</b:RefOrder>
  </b:Source>
  <b:Source>
    <b:Tag>Cri22</b:Tag>
    <b:SourceType>InternetSite</b:SourceType>
    <b:Guid>{C38A96F7-6237-42BF-A01E-47963C35B0B5}</b:Guid>
    <b:Title>What Impact Does Assault Have on Victims, Families &amp; Friends?</b:Title>
    <b:Year>2022</b:Year>
    <b:Author>
      <b:Author>
        <b:Corporate>Criminal Injuries Helpline</b:Corporate>
      </b:Author>
    </b:Author>
    <b:YearAccessed>2023</b:YearAccessed>
    <b:MonthAccessed>December </b:MonthAccessed>
    <b:URL>https://criminalinjurieshelpline.co.uk/blog/impact-assault-victims/</b:URL>
    <b:RefOrder>13</b:RefOrder>
  </b:Source>
  <b:Source>
    <b:Tag>Ful15</b:Tag>
    <b:SourceType>JournalArticle</b:SourceType>
    <b:Guid>{4920FDF2-D185-4441-8635-D67E1468398B}</b:Guid>
    <b:Title>The serious impact and consequences of physical assault</b:Title>
    <b:Year>2015</b:Year>
    <b:Author>
      <b:Author>
        <b:NameList>
          <b:Person>
            <b:Last>Fuller</b:Last>
            <b:First>Georgina</b:First>
          </b:Person>
        </b:NameList>
      </b:Author>
    </b:Author>
    <b:JournalName>Trends &amp; Issues in Crime and Criminal Justice</b:JournalName>
    <b:Pages>1-8</b:Pages>
    <b:Issue>496</b:Issue>
    <b:RefOrder>14</b:RefOrder>
  </b:Source>
  <b:Source>
    <b:Tag>Lex23</b:Tag>
    <b:SourceType>InternetSite</b:SourceType>
    <b:Guid>{5F07E684-3519-48AC-99E9-C1EE54D9ECE0}</b:Guid>
    <b:Title>Recklessness Definition</b:Title>
    <b:Author>
      <b:Author>
        <b:Corporate>LexisNexis</b:Corporate>
      </b:Author>
    </b:Author>
    <b:YearAccessed>2023</b:YearAccessed>
    <b:MonthAccessed>November</b:MonthAccessed>
    <b:DayAccessed>14</b:DayAccessed>
    <b:URL>https://www.lexisnexis.co.uk/legal/glossary/recklessness</b:URL>
    <b:RefOrder>15</b:RefOrder>
  </b:Source>
  <b:Source>
    <b:Tag>The22</b:Tag>
    <b:SourceType>InternetSite</b:SourceType>
    <b:Guid>{09B8142A-B797-47C6-920E-536BB5F3DB87}</b:Guid>
    <b:Author>
      <b:Author>
        <b:Corporate>The Crown Prosecution Service</b:Corporate>
      </b:Author>
    </b:Author>
    <b:Title>Offences against the Person, incorporating the Charging Standard</b:Title>
    <b:Year>2022</b:Year>
    <b:YearAccessed>2023</b:YearAccessed>
    <b:MonthAccessed>November</b:MonthAccessed>
    <b:DayAccessed>14</b:DayAccessed>
    <b:URL>https://www.cps.gov.uk/legal-guidance/offences-against-person-incorporating-charging-standard</b:URL>
    <b:RefOrder>16</b:RefOrder>
  </b:Source>
  <b:Source>
    <b:Tag>Law18</b:Tag>
    <b:SourceType>InternetSite</b:SourceType>
    <b:Guid>{74401FF4-D4E3-4541-AAAA-6B5D0D3CAF72}</b:Guid>
    <b:Author>
      <b:Author>
        <b:Corporate>LawTeacher</b:Corporate>
      </b:Author>
    </b:Author>
    <b:Title>Wounding and GBH Lecture</b:Title>
    <b:Year>2018</b:Year>
    <b:YearAccessed>2023</b:YearAccessed>
    <b:MonthAccessed>November</b:MonthAccessed>
    <b:DayAccessed>14</b:DayAccessed>
    <b:URL>https://www.lawteacher.net/lectures/criminal-law/non-fatal-offences/wounding-gbh/#citethis</b:URL>
    <b:RefOrder>17</b:RefOrder>
  </b:Source>
  <b:Source>
    <b:Tag>UKG09</b:Tag>
    <b:SourceType>InternetSite</b:SourceType>
    <b:Guid>{B64FD254-B8D3-4485-81F4-27D83099A396}</b:Guid>
    <b:Author>
      <b:Author>
        <b:Corporate>UK Government</b:Corporate>
      </b:Author>
    </b:Author>
    <b:Title>Offences against the Person Act 1861</b:Title>
    <b:Year>2009</b:Year>
    <b:YearAccessed>2023</b:YearAccessed>
    <b:MonthAccessed>November</b:MonthAccessed>
    <b:DayAccessed>14</b:DayAccessed>
    <b:URL>https://www.legislation.gov.uk/ukpga/Vict/24-25/100/section/18</b:URL>
    <b:RefOrder>18</b:RefOrder>
  </b:Source>
  <b:Source>
    <b:Tag>Rev23</b:Tag>
    <b:SourceType>InternetSite</b:SourceType>
    <b:Guid>{74737313-0FC9-4114-A377-5C63BC6B9FD2}</b:Guid>
    <b:Title>The Betari Box Model</b:Title>
    <b:Author>
      <b:Author>
        <b:Corporate>Revolution</b:Corporate>
      </b:Author>
    </b:Author>
    <b:YearAccessed>2023</b:YearAccessed>
    <b:MonthAccessed>December</b:MonthAccessed>
    <b:URL>https://www.revolutionlearning.co.uk/article/the-betari-box-model/</b:URL>
    <b:RefOrder>19</b:RefOrder>
  </b:Source>
  <b:Source>
    <b:Tag>Hog05</b:Tag>
    <b:SourceType>BookSection</b:SourceType>
    <b:Guid>{E2D30319-3B48-47D1-9A33-D61975BF9D08}</b:Guid>
    <b:Year>2005</b:Year>
    <b:Author>
      <b:Author>
        <b:NameList>
          <b:Person>
            <b:Last>Hogg</b:Last>
            <b:First>Michael</b:First>
            <b:Middle>Q</b:Middle>
          </b:Person>
          <b:Person>
            <b:Last>Vaughan</b:Last>
            <b:First>Graham</b:First>
            <b:Middle>M</b:Middle>
          </b:Person>
        </b:NameList>
      </b:Author>
    </b:Author>
    <b:BookTitle>Social Psychology </b:BookTitle>
    <b:Pages>150</b:Pages>
    <b:City>California </b:City>
    <b:Publisher>Prentice Hall </b:Publisher>
    <b:RefOrder>20</b:RefOrder>
  </b:Source>
  <b:Source>
    <b:Tag>Hal18</b:Tag>
    <b:SourceType>InternetSite</b:SourceType>
    <b:Guid>{EE8CB44E-C4B4-4280-AF62-4A9B52603899}</b:Guid>
    <b:Title>Emotional resilience: stepping outside the drama triangle</b:Title>
    <b:Year>2018</b:Year>
    <b:Author>
      <b:Author>
        <b:NameList>
          <b:Person>
            <b:Last>Hall</b:Last>
            <b:First>Julian</b:First>
          </b:Person>
        </b:NameList>
      </b:Author>
    </b:Author>
    <b:YearAccessed>2023</b:YearAccessed>
    <b:MonthAccessed>December </b:MonthAccessed>
    <b:URL>https://www.lawsociety.org.uk/topics/family-and-children/emotional-resilience-stepping-outside-drama-triangle</b:URL>
    <b:RefOrder>21</b:RefOrder>
  </b:Source>
  <b:Source>
    <b:Tag>Nol21</b:Tag>
    <b:SourceType>InternetSite</b:SourceType>
    <b:Guid>{B964ECA1-8D0D-4B21-954C-1D2F4142B178}</b:Guid>
    <b:Author>
      <b:Author>
        <b:NameList>
          <b:Person>
            <b:Last>Nollan</b:Last>
            <b:First>Jack</b:First>
          </b:Person>
        </b:NameList>
      </b:Author>
    </b:Author>
    <b:Title>How To Escape The Karpman Drama Triangle</b:Title>
    <b:Year>2021</b:Year>
    <b:YearAccessed>2023</b:YearAccessed>
    <b:MonthAccessed>December</b:MonthAccessed>
    <b:URL>https://www.aconsciousrethink.com/9667/karpman-drama-triangle/</b:URL>
    <b:RefOrder>22</b:RefOrder>
  </b:Source>
  <b:Source>
    <b:Tag>UKG05</b:Tag>
    <b:SourceType>InternetSite</b:SourceType>
    <b:Guid>{F5EB5C8F-EE70-4A7C-8E13-EA3646568E45}</b:Guid>
    <b:Author>
      <b:Author>
        <b:Corporate>UK Government</b:Corporate>
      </b:Author>
    </b:Author>
    <b:Title>The Code of Practice for Victims of Crime in England and Wales and supporting public information materials</b:Title>
    <b:Year>2005</b:Year>
    <b:YearAccessed>2023</b:YearAccessed>
    <b:MonthAccessed>December</b:MonthAccessed>
    <b:URL>https://www.gov.uk/government/publications/the-code-of-practice-for-victims-of-crime</b:URL>
    <b:RefOrder>23</b:RefOrder>
  </b:Source>
  <b:Source>
    <b:Tag>Vic23</b:Tag>
    <b:SourceType>InternetSite</b:SourceType>
    <b:Guid>{343775B8-EEBA-4B22-B253-2FF709ED368E}</b:Guid>
    <b:Author>
      <b:Author>
        <b:Corporate>Victim Support </b:Corporate>
      </b:Author>
    </b:Author>
    <b:Title>Victims’ Code</b:Title>
    <b:YearAccessed>2023</b:YearAccessed>
    <b:MonthAccessed>December</b:MonthAccessed>
    <b:URL>https://www.victimsupport.org.uk/help-and-support/your-rights/victims-code/#:~:text=The%20revised%20Victims%20Code%20of%20Practice,and%20other%20specifics%2C%20under%20each%20one.&amp;text=The%20revised%20Victims%20Code,specifics%2C%20under%20each%20one.&amp;text</b:URL>
    <b:RefOrder>24</b:RefOrder>
  </b:Source>
  <b:Source>
    <b:Tag>CPS22</b:Tag>
    <b:SourceType>InternetSite</b:SourceType>
    <b:Guid>{98C4A5A8-1CC8-441E-A20B-F869B2C12984}</b:Guid>
    <b:Author>
      <b:Author>
        <b:Corporate>CPS</b:Corporate>
      </b:Author>
    </b:Author>
    <b:Title>Offences against the Person, incorporating the Charging Standard</b:Title>
    <b:Year>2022</b:Year>
    <b:YearAccessed>2023</b:YearAccessed>
    <b:MonthAccessed>December</b:MonthAccessed>
    <b:URL>https://www.cps.gov.uk/legal-guidance/offences-against-person-incorporating-charging-standard</b:URL>
    <b:RefOrder>25</b:RefOrder>
  </b:Source>
  <b:Source>
    <b:Tag>UKG06</b:Tag>
    <b:SourceType>InternetSite</b:SourceType>
    <b:Guid>{EAB658AF-E761-4C7B-98EA-7CDF98152B42}</b:Guid>
    <b:Author>
      <b:Author>
        <b:Corporate>UK Government</b:Corporate>
      </b:Author>
    </b:Author>
    <b:Title>Public Order Act 1986</b:Title>
    <b:Year>2006</b:Year>
    <b:YearAccessed>2023</b:YearAccessed>
    <b:MonthAccessed>December</b:MonthAccessed>
    <b:URL>https://www.legislation.gov.uk/ukpga/1986/64/section/4A</b:URL>
    <b:RefOrder>26</b:RefOrder>
  </b:Source>
  <b:Source>
    <b:Tag>Bre10</b:Tag>
    <b:SourceType>InternetSite</b:SourceType>
    <b:Guid>{4DCB701E-4A61-4B9E-A1B2-38CCCDEC7598}</b:Guid>
    <b:Author>
      <b:Author>
        <b:NameList>
          <b:Person>
            <b:Last>Brenton</b:Last>
            <b:First>Felix</b:First>
          </b:Person>
        </b:NameList>
      </b:Author>
    </b:Author>
    <b:Title>BRIXTON RIOTS (APRIL 10-12, 1981)</b:Title>
    <b:Year>2010</b:Year>
    <b:YearAccessed>2023</b:YearAccessed>
    <b:MonthAccessed>December</b:MonthAccessed>
    <b:URL>https://www.blackpast.org/global-african-history/brixton-riots-april-10-12-1981/</b:URL>
    <b:RefOrder>27</b:RefOrder>
  </b:Source>
  <b:Source>
    <b:Tag>Law19</b:Tag>
    <b:SourceType>InternetSite</b:SourceType>
    <b:Guid>{6A5F4C03-207B-48B1-B919-1E8FC2171402}</b:Guid>
    <b:Title>Police and Criminal Evidence Act 1984</b:Title>
    <b:Year>2019</b:Year>
    <b:YearAccessed>2023</b:YearAccessed>
    <b:MonthAccessed>December</b:MonthAccessed>
    <b:URL>https://www.lawteacher.net/acts/police-and-criminal-evidence-act-1984.php</b:URL>
    <b:Author>
      <b:Author>
        <b:NameList>
          <b:Person>
            <b:Last>LawTeacher</b:Last>
          </b:Person>
        </b:NameList>
      </b:Author>
    </b:Author>
    <b:RefOrder>28</b:RefOrder>
  </b:Source>
  <b:Source>
    <b:Tag>Rem21</b:Tag>
    <b:SourceType>JournalArticle</b:SourceType>
    <b:Guid>{52E6BC7E-B656-47A7-B5F5-D54FA4EEDC8C}</b:Guid>
    <b:Title>“The UK is not innocent”: Black Lives Matter, policing and abolition in the UK</b:Title>
    <b:Year>2021</b:Year>
    <b:Author>
      <b:Author>
        <b:NameList>
          <b:Person>
            <b:Last>Joseph–Salisbury</b:Last>
            <b:First>Remi</b:First>
          </b:Person>
          <b:Person>
            <b:Last>Connelly</b:Last>
            <b:First>Laura</b:First>
          </b:Person>
          <b:Person>
            <b:Last>Wangari-Jones</b:Last>
            <b:First>Peninah</b:First>
          </b:Person>
        </b:NameList>
      </b:Author>
    </b:Author>
    <b:JournalName>Equality, Diversity and Inclusion: An International Journal</b:JournalName>
    <b:Pages>21-28</b:Pages>
    <b:Volume>40</b:Volume>
    <b:Issue>1</b:Issue>
    <b:RefOrder>29</b:RefOrder>
  </b:Source>
  <b:Source>
    <b:Tag>Met23</b:Tag>
    <b:SourceType>InternetSite</b:SourceType>
    <b:Guid>{BCCA3BF0-C69D-448B-9FBF-1408EAC59AB6}</b:Guid>
    <b:Title>What is hate crime?</b:Title>
    <b:Author>
      <b:Author>
        <b:Corporate>Metropolitan Police</b:Corporate>
      </b:Author>
    </b:Author>
    <b:YearAccessed>2023</b:YearAccessed>
    <b:MonthAccessed>December</b:MonthAccessed>
    <b:URL>https://www.met.police.uk/advice/advice-and-information/hco/hate-crime/what-is-hate-crime/</b:URL>
    <b:RefOrder>30</b:RefOrder>
  </b:Source>
  <b:Source>
    <b:Tag>Hom22</b:Tag>
    <b:SourceType>InternetSite</b:SourceType>
    <b:Guid>{2E15BA5F-DD4E-4FD6-88B8-9474357B8C25}</b:Guid>
    <b:Author>
      <b:Author>
        <b:Corporate>Home Office</b:Corporate>
      </b:Author>
    </b:Author>
    <b:Title>Hate crime, England and Wales, 2021 to 2022</b:Title>
    <b:Year>2022</b:Year>
    <b:YearAccessed>2023</b:YearAccessed>
    <b:MonthAccessed>December</b:MonthAccessed>
    <b:URL>https://www.gov.uk/government/statistics/hate-crime-england-and-wales-2021-to-2022/hate-crime-england-and-wales-2021-to-2022</b:URL>
    <b:RefOrder>31</b:RefOrder>
  </b:Source>
  <b:Source>
    <b:Tag>Col14</b:Tag>
    <b:SourceType>DocumentFromInternetSite</b:SourceType>
    <b:Guid>{A20F0CAF-7E8B-4B02-8122-C037F8E2FC4C}</b:Guid>
    <b:Title>Code of Ethics</b:Title>
    <b:Year>2014</b:Year>
    <b:YearAccessed>2023</b:YearAccessed>
    <b:MonthAccessed>December</b:MonthAccessed>
    <b:URL>https://assets.college.police.uk/s3fs-public/2021-02/code_of_ethics.pdf</b:URL>
    <b:Author>
      <b:Author>
        <b:Corporate>College of Policing</b:Corporate>
      </b:Author>
    </b:Author>
    <b:Month>July</b:Month>
    <b:RefOrder>32</b:RefOrder>
  </b:Source>
  <b:Source>
    <b:Tag>Min20</b:Tag>
    <b:SourceType>DocumentFromInternetSite</b:SourceType>
    <b:Guid>{98BA2325-F243-4E98-AEA0-F4A07D1CD0CE}</b:Guid>
    <b:Author>
      <b:Author>
        <b:Corporate>Ministry of Justice </b:Corporate>
      </b:Author>
    </b:Author>
    <b:Title>Code of Practice for Victims of Crime in Englad and Wales </b:Title>
    <b:Year>2020</b:Year>
    <b:Month>November</b:Month>
    <b:YearAccessed>2023</b:YearAccessed>
    <b:MonthAccessed>December</b:MonthAccessed>
    <b:URL>https://assets.publishing.service.gov.uk/media/60620279d3bf7f5ceaca0d89/victims-code-2020.pdf</b:URL>
    <b:RefOrder>33</b:RefOrder>
  </b:Source>
  <b:Source>
    <b:Tag>CPS21</b:Tag>
    <b:SourceType>InternetSite</b:SourceType>
    <b:Guid>{F9779A94-03C4-440F-B4C8-0DB23A08EDE2}</b:Guid>
    <b:Title>Special Measures</b:Title>
    <b:Year>2021</b:Year>
    <b:YearAccessed>2023</b:YearAccessed>
    <b:MonthAccessed>December</b:MonthAccessed>
    <b:URL>https://www.cps.gov.uk/legal-guidance/special-measures</b:URL>
    <b:Author>
      <b:Author>
        <b:Corporate>CPS</b:Corporate>
      </b:Author>
    </b:Author>
    <b:RefOrder>34</b:RefOrder>
  </b:Source>
  <b:Source>
    <b:Tag>Col13</b:Tag>
    <b:SourceType>InternetSite</b:SourceType>
    <b:Guid>{7212EA4A-DD15-41A2-A588-414A5E2EF1D2}</b:Guid>
    <b:Author>
      <b:Author>
        <b:Corporate>College of Policing</b:Corporate>
      </b:Author>
    </b:Author>
    <b:Title>National decision model</b:Title>
    <b:Year>2013</b:Year>
    <b:YearAccessed>2023</b:YearAccessed>
    <b:MonthAccessed>December</b:MonthAccessed>
    <b:DayAccessed>21</b:DayAccessed>
    <b:URL>https://www.college.police.uk/app/national-decision-model/national-decision-model</b:URL>
    <b:RefOrder>35</b:RefOrder>
  </b:Source>
  <b:Source>
    <b:Tag>Col141</b:Tag>
    <b:SourceType>InternetSite</b:SourceType>
    <b:Guid>{FE422C93-3C79-477B-B503-FFCEB404206D}</b:Guid>
    <b:Author>
      <b:Author>
        <b:Corporate>College of Policing</b:Corporate>
      </b:Author>
    </b:Author>
    <b:Title>Code of Ethics</b:Title>
    <b:Year>2014</b:Year>
    <b:YearAccessed>2023</b:YearAccessed>
    <b:MonthAccessed>dECEMBER</b:MonthAccessed>
    <b:DayAccessed>21</b:DayAccessed>
    <b:URL>https://assets.college.police.uk/s3fs-public/2021-02/code_of_ethics.pdf</b:URL>
    <b:RefOrder>36</b:RefOrder>
  </b:Source>
  <b:Source>
    <b:Tag>Off23</b:Tag>
    <b:SourceType>InternetSite</b:SourceType>
    <b:Guid>{A6C61B22-B78A-44FB-9D02-2E8F6AD7D606}</b:Guid>
    <b:Author>
      <b:Author>
        <b:Corporate>Office for National Statistics</b:Corporate>
      </b:Author>
    </b:Author>
    <b:Title>Domestic abuse in England and Wales overview: November 2023</b:Title>
    <b:Year>2023</b:Year>
    <b:YearAccessed>2023</b:YearAccessed>
    <b:MonthAccessed>December </b:MonthAccessed>
    <b:DayAccessed>21</b:DayAccessed>
    <b:URL>https://www.ons.gov.uk/peoplepopulationandcommunity/crimeandjustice/bulletins/domesticabuseinenglandandwalesoverview/november2023</b:URL>
    <b:RefOrder>37</b:RefOrder>
  </b:Source>
  <b:Source>
    <b:Tag>CPS23</b:Tag>
    <b:SourceType>InternetSite</b:SourceType>
    <b:Guid>{B3E4CD0B-4190-4C08-982A-7922EC92EDF7}</b:Guid>
    <b:Author>
      <b:Author>
        <b:Corporate>CPS</b:Corporate>
      </b:Author>
    </b:Author>
    <b:Title>Bail</b:Title>
    <b:Year>2023</b:Year>
    <b:YearAccessed>2023</b:YearAccessed>
    <b:MonthAccessed>December</b:MonthAccessed>
    <b:DayAccessed>26</b:DayAccessed>
    <b:URL>https://www.cps.gov.uk/legal-guidance/bail</b:URL>
    <b:RefOrder>38</b:RefOrder>
  </b:Source>
  <b:Source>
    <b:Tag>UKG18</b:Tag>
    <b:SourceType>InternetSite</b:SourceType>
    <b:Guid>{BFB2DE32-3A79-418C-98C3-2BDCAF8756B4}</b:Guid>
    <b:Author>
      <b:Author>
        <b:Corporate>UK Government</b:Corporate>
      </b:Author>
    </b:Author>
    <b:Title>Criminal Procedure and Investigations Act 1996</b:Title>
    <b:Year>2018</b:Year>
    <b:YearAccessed>2023</b:YearAccessed>
    <b:MonthAccessed>December </b:MonthAccessed>
    <b:DayAccessed>26</b:DayAccessed>
    <b:URL>https://www.legislation.gov.uk/ukpga/1996/25/part/I/crossheading/the-main-provisions</b:URL>
    <b:RefOrder>39</b:RefOrder>
  </b:Source>
  <b:Source>
    <b:Tag>Min201</b:Tag>
    <b:SourceType>InternetSite</b:SourceType>
    <b:Guid>{6FD92D2D-3663-43F2-874C-CBFA389B840C}</b:Guid>
    <b:Author>
      <b:Author>
        <b:Corporate>Ministry of Justice</b:Corporate>
      </b:Author>
    </b:Author>
    <b:Title>https://assets.publishing.service.gov.uk/government/uploads/system/uploads/attachment_data/file/931173/Criminal-procedure-and-investigations-act-1996.pdf</b:Title>
    <b:Year>2020</b:Year>
    <b:YearAccessed>2023</b:YearAccessed>
    <b:MonthAccessed>December</b:MonthAccessed>
    <b:DayAccessed>26</b:DayAccessed>
    <b:URL>https://assets.publishing.service.gov.uk/government/uploads/system/uploads/attachment_data/file/931173/Criminal-procedure-and-investigations-act-1996.pdf</b:URL>
    <b:RefOrder>40</b:RefOrder>
  </b:Source>
  <b:Source>
    <b:Tag>Hou20</b:Tag>
    <b:SourceType>InternetSite</b:SourceType>
    <b:Guid>{370D6438-CD61-4E99-ACC5-DA1EF0F32D5C}</b:Guid>
    <b:Author>
      <b:Author>
        <b:Corporate>House of Lords</b:Corporate>
      </b:Author>
    </b:Author>
    <b:Title>Disclosure of Evidence in Criminal Proceedings</b:Title>
    <b:Year>2020</b:Year>
    <b:YearAccessed>2023</b:YearAccessed>
    <b:MonthAccessed>December</b:MonthAccessed>
    <b:DayAccessed>28</b:DayAccessed>
    <b:URL>https://researchbriefings.files.parliament.uk/documents/LLN-2020-0010/LLN-2020-0010.pdf</b:URL>
    <b:RefOrder>41</b:RefOrder>
  </b:Source>
  <b:Source>
    <b:Tag>CPS18</b:Tag>
    <b:SourceType>DocumentFromInternetSite</b:SourceType>
    <b:Guid>{E5527CBA-70E1-4B53-BF23-C6F9E5D2C7F7}</b:Guid>
    <b:Title>A joint review of the disclosure process in the case of R v Allan</b:Title>
    <b:Year>2018</b:Year>
    <b:YearAccessed>2023</b:YearAccessed>
    <b:MonthAccessed>December</b:MonthAccessed>
    <b:DayAccessed>28</b:DayAccessed>
    <b:URL>https://www.cps.gov.uk/sites/default/files/documents/publications/joint-review-disclosure-Allan.pdf</b:URL>
    <b:Author>
      <b:Author>
        <b:Corporate>CPS</b:Corporate>
      </b:Author>
    </b:Author>
    <b:Month>January</b:Month>
    <b:RefOrder>42</b:RefOrder>
  </b:Source>
</b:Sourc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610FF1-D5D3-490B-935B-5AB69AEC7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9466</Words>
  <Characters>53957</Characters>
  <Application>Microsoft Office Word</Application>
  <DocSecurity>0</DocSecurity>
  <Lines>449</Lines>
  <Paragraphs>126</Paragraphs>
  <ScaleCrop>false</ScaleCrop>
  <Company>Powys County Council</Company>
  <LinksUpToDate>false</LinksUpToDate>
  <CharactersWithSpaces>63297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Fowler,Shannen swp8678</cp:lastModifiedBy>
  <cp:revision>2</cp:revision>
  <cp:lastPrinted>2019-08-13T11:47:00Z</cp:lastPrinted>
  <dcterms:created xsi:type="dcterms:W3CDTF">2023-12-30T19:01:00Z</dcterms:created>
  <dcterms:modified xsi:type="dcterms:W3CDTF">2023-12-30T19:01:00Z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