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3066EB3A" wp14:paraId="2C078E63" wp14:textId="29321C6E">
      <w:pPr>
        <w:rPr>
          <w:rFonts w:ascii="Calibri" w:hAnsi="Calibri" w:eastAsia="Calibri" w:cs="Calibri"/>
          <w:sz w:val="20"/>
          <w:szCs w:val="20"/>
        </w:rPr>
      </w:pPr>
      <w:r w:rsidRPr="3066EB3A" w:rsidR="703203AC">
        <w:rPr>
          <w:rFonts w:ascii="Calibri" w:hAnsi="Calibri" w:eastAsia="Calibri" w:cs="Calibri"/>
          <w:sz w:val="20"/>
          <w:szCs w:val="20"/>
        </w:rPr>
        <w:t>ECAD5017</w:t>
      </w:r>
    </w:p>
    <w:p w:rsidR="703203AC" w:rsidP="3066EB3A" w:rsidRDefault="703203AC" w14:paraId="2CA63A6C" w14:textId="3797D005">
      <w:pPr>
        <w:rPr>
          <w:rFonts w:ascii="Calibri" w:hAnsi="Calibri" w:eastAsia="Calibri" w:cs="Calibri"/>
          <w:sz w:val="20"/>
          <w:szCs w:val="20"/>
        </w:rPr>
      </w:pPr>
      <w:r w:rsidRPr="3066EB3A" w:rsidR="703203AC">
        <w:rPr>
          <w:rFonts w:ascii="Calibri" w:hAnsi="Calibri" w:eastAsia="Calibri" w:cs="Calibri"/>
          <w:sz w:val="20"/>
          <w:szCs w:val="20"/>
        </w:rPr>
        <w:t>Phoebe Swales</w:t>
      </w:r>
    </w:p>
    <w:p w:rsidR="703203AC" w:rsidP="3066EB3A" w:rsidRDefault="703203AC" w14:paraId="0A624CC6" w14:textId="703F5ACA">
      <w:pPr>
        <w:rPr>
          <w:rFonts w:ascii="Calibri" w:hAnsi="Calibri" w:eastAsia="Calibri" w:cs="Calibri"/>
          <w:sz w:val="20"/>
          <w:szCs w:val="20"/>
        </w:rPr>
      </w:pPr>
      <w:r w:rsidRPr="3066EB3A" w:rsidR="703203AC">
        <w:rPr>
          <w:rFonts w:ascii="Calibri" w:hAnsi="Calibri" w:eastAsia="Calibri" w:cs="Calibri"/>
          <w:sz w:val="20"/>
          <w:szCs w:val="20"/>
        </w:rPr>
        <w:t>2314717</w:t>
      </w:r>
    </w:p>
    <w:p w:rsidR="703203AC" w:rsidP="3066EB3A" w:rsidRDefault="703203AC" w14:paraId="1DDBBC90" w14:textId="025AE840">
      <w:pPr>
        <w:rPr>
          <w:rFonts w:ascii="Calibri" w:hAnsi="Calibri" w:eastAsia="Calibri" w:cs="Calibri"/>
          <w:sz w:val="20"/>
          <w:szCs w:val="20"/>
        </w:rPr>
      </w:pPr>
      <w:r w:rsidRPr="3066EB3A" w:rsidR="703203AC">
        <w:rPr>
          <w:rFonts w:ascii="Calibri" w:hAnsi="Calibri" w:eastAsia="Calibri" w:cs="Calibri"/>
          <w:sz w:val="20"/>
          <w:szCs w:val="20"/>
        </w:rPr>
        <w:t>BA2 Primary Education with QTS</w:t>
      </w:r>
    </w:p>
    <w:p w:rsidR="703203AC" w:rsidP="3066EB3A" w:rsidRDefault="703203AC" w14:paraId="1F0BB462" w14:textId="44AA7AE9">
      <w:pPr>
        <w:rPr>
          <w:rFonts w:ascii="Calibri" w:hAnsi="Calibri" w:eastAsia="Calibri" w:cs="Calibri"/>
          <w:sz w:val="20"/>
          <w:szCs w:val="20"/>
        </w:rPr>
      </w:pPr>
      <w:r w:rsidRPr="3066EB3A" w:rsidR="703203AC">
        <w:rPr>
          <w:rFonts w:ascii="Calibri" w:hAnsi="Calibri" w:eastAsia="Calibri" w:cs="Calibri"/>
          <w:sz w:val="20"/>
          <w:szCs w:val="20"/>
        </w:rPr>
        <w:t>Deepening Practice: Science &amp; Technology</w:t>
      </w:r>
    </w:p>
    <w:p w:rsidR="3066EB3A" w:rsidP="3066EB3A" w:rsidRDefault="3066EB3A" w14:paraId="16AED625" w14:textId="36C3CB69">
      <w:pPr>
        <w:rPr>
          <w:rFonts w:ascii="Calibri" w:hAnsi="Calibri" w:eastAsia="Calibri" w:cs="Calibri"/>
          <w:sz w:val="20"/>
          <w:szCs w:val="20"/>
        </w:rPr>
      </w:pPr>
    </w:p>
    <w:p w:rsidR="3066EB3A" w:rsidP="3066EB3A" w:rsidRDefault="3066EB3A" w14:paraId="6664B65C" w14:textId="550F86B7">
      <w:pPr>
        <w:rPr>
          <w:rFonts w:ascii="Calibri" w:hAnsi="Calibri" w:eastAsia="Calibri" w:cs="Calibri"/>
          <w:sz w:val="20"/>
          <w:szCs w:val="20"/>
        </w:rPr>
      </w:pPr>
    </w:p>
    <w:p w:rsidR="703203AC" w:rsidP="3066EB3A" w:rsidRDefault="703203AC" w14:paraId="7D9AAAC0" w14:textId="65D0EACB">
      <w:pPr>
        <w:rPr>
          <w:rFonts w:ascii="Calibri" w:hAnsi="Calibri" w:eastAsia="Calibri" w:cs="Calibri"/>
          <w:sz w:val="20"/>
          <w:szCs w:val="20"/>
        </w:rPr>
      </w:pPr>
      <w:r w:rsidRPr="3066EB3A" w:rsidR="703203AC">
        <w:rPr>
          <w:rFonts w:ascii="Calibri" w:hAnsi="Calibri" w:eastAsia="Calibri" w:cs="Calibri"/>
          <w:sz w:val="20"/>
          <w:szCs w:val="20"/>
        </w:rPr>
        <w:t xml:space="preserve">Link to Part 2 Presentation: </w:t>
      </w:r>
    </w:p>
    <w:p w:rsidR="48696B2A" w:rsidP="3066EB3A" w:rsidRDefault="48696B2A" w14:paraId="2974CD19" w14:textId="143AD411">
      <w:pPr>
        <w:rPr>
          <w:rFonts w:ascii="Calibri" w:hAnsi="Calibri" w:eastAsia="Calibri" w:cs="Calibri"/>
          <w:sz w:val="20"/>
          <w:szCs w:val="20"/>
        </w:rPr>
      </w:pPr>
      <w:r w:rsidRPr="3066EB3A" w:rsidR="48696B2A">
        <w:rPr>
          <w:rFonts w:ascii="Calibri" w:hAnsi="Calibri" w:eastAsia="Calibri" w:cs="Calibri"/>
          <w:sz w:val="20"/>
          <w:szCs w:val="20"/>
        </w:rPr>
        <w:t xml:space="preserve"> </w:t>
      </w:r>
      <w:hyperlink r:id="R2f181518786a4bc8">
        <w:r w:rsidRPr="3066EB3A" w:rsidR="48696B2A">
          <w:rPr>
            <w:rStyle w:val="Hyperlink"/>
            <w:rFonts w:ascii="Calibri" w:hAnsi="Calibri" w:eastAsia="Calibri" w:cs="Calibri"/>
            <w:noProof w:val="0"/>
            <w:sz w:val="20"/>
            <w:szCs w:val="20"/>
            <w:lang w:val="en-US"/>
          </w:rPr>
          <w:t>ECAD5017 2314717.mov</w:t>
        </w:r>
      </w:hyperlink>
    </w:p>
    <w:p w:rsidR="3066EB3A" w:rsidP="3066EB3A" w:rsidRDefault="3066EB3A" w14:paraId="3778A9FB" w14:textId="00C52BD5">
      <w:pPr>
        <w:rPr>
          <w:rFonts w:ascii="Calibri" w:hAnsi="Calibri" w:eastAsia="Calibri" w:cs="Calibri"/>
          <w:sz w:val="20"/>
          <w:szCs w:val="20"/>
        </w:rPr>
      </w:pPr>
    </w:p>
    <w:p w:rsidR="3066EB3A" w:rsidP="3066EB3A" w:rsidRDefault="3066EB3A" w14:paraId="429F5C18" w14:textId="036C0243">
      <w:pPr>
        <w:rPr>
          <w:rFonts w:ascii="Calibri" w:hAnsi="Calibri" w:eastAsia="Calibri" w:cs="Calibri"/>
          <w:sz w:val="20"/>
          <w:szCs w:val="20"/>
        </w:rPr>
      </w:pPr>
    </w:p>
    <w:p w:rsidR="3066EB3A" w:rsidP="3066EB3A" w:rsidRDefault="3066EB3A" w14:paraId="0B81DBB3" w14:textId="6187609B">
      <w:pPr>
        <w:rPr>
          <w:rFonts w:ascii="Calibri" w:hAnsi="Calibri" w:eastAsia="Calibri" w:cs="Calibri"/>
          <w:sz w:val="20"/>
          <w:szCs w:val="20"/>
        </w:rPr>
      </w:pPr>
    </w:p>
    <w:p w:rsidR="3066EB3A" w:rsidP="3066EB3A" w:rsidRDefault="3066EB3A" w14:paraId="10191C05" w14:textId="5415CD13">
      <w:pPr>
        <w:rPr>
          <w:rFonts w:ascii="Calibri" w:hAnsi="Calibri" w:eastAsia="Calibri" w:cs="Calibri"/>
          <w:sz w:val="20"/>
          <w:szCs w:val="20"/>
        </w:rPr>
      </w:pPr>
    </w:p>
    <w:p w:rsidR="3066EB3A" w:rsidP="3066EB3A" w:rsidRDefault="3066EB3A" w14:paraId="45EB0552" w14:textId="708965BE">
      <w:pPr>
        <w:rPr>
          <w:rFonts w:ascii="Calibri" w:hAnsi="Calibri" w:eastAsia="Calibri" w:cs="Calibri"/>
          <w:sz w:val="20"/>
          <w:szCs w:val="20"/>
        </w:rPr>
      </w:pPr>
    </w:p>
    <w:p w:rsidR="3066EB3A" w:rsidP="3066EB3A" w:rsidRDefault="3066EB3A" w14:paraId="7864C66A" w14:textId="2D3E72CB">
      <w:pPr>
        <w:rPr>
          <w:rFonts w:ascii="Calibri" w:hAnsi="Calibri" w:eastAsia="Calibri" w:cs="Calibri"/>
          <w:sz w:val="20"/>
          <w:szCs w:val="20"/>
        </w:rPr>
      </w:pPr>
    </w:p>
    <w:p w:rsidR="3066EB3A" w:rsidP="3066EB3A" w:rsidRDefault="3066EB3A" w14:paraId="648A33AC" w14:textId="2889EEBC">
      <w:pPr>
        <w:rPr>
          <w:rFonts w:ascii="Calibri" w:hAnsi="Calibri" w:eastAsia="Calibri" w:cs="Calibri"/>
          <w:sz w:val="20"/>
          <w:szCs w:val="20"/>
        </w:rPr>
      </w:pPr>
    </w:p>
    <w:p w:rsidR="3066EB3A" w:rsidP="3066EB3A" w:rsidRDefault="3066EB3A" w14:paraId="298F17DD" w14:textId="0C489579">
      <w:pPr>
        <w:rPr>
          <w:rFonts w:ascii="Calibri" w:hAnsi="Calibri" w:eastAsia="Calibri" w:cs="Calibri"/>
          <w:sz w:val="20"/>
          <w:szCs w:val="20"/>
        </w:rPr>
      </w:pPr>
    </w:p>
    <w:p w:rsidR="3066EB3A" w:rsidP="3066EB3A" w:rsidRDefault="3066EB3A" w14:paraId="12C4AE23" w14:textId="4689A573">
      <w:pPr>
        <w:rPr>
          <w:rFonts w:ascii="Calibri" w:hAnsi="Calibri" w:eastAsia="Calibri" w:cs="Calibri"/>
          <w:sz w:val="20"/>
          <w:szCs w:val="20"/>
        </w:rPr>
      </w:pPr>
    </w:p>
    <w:p w:rsidR="3066EB3A" w:rsidP="3066EB3A" w:rsidRDefault="3066EB3A" w14:paraId="69C20BEA" w14:textId="1E687FF2">
      <w:pPr>
        <w:rPr>
          <w:rFonts w:ascii="Calibri" w:hAnsi="Calibri" w:eastAsia="Calibri" w:cs="Calibri"/>
          <w:sz w:val="20"/>
          <w:szCs w:val="20"/>
        </w:rPr>
      </w:pPr>
    </w:p>
    <w:p w:rsidR="3066EB3A" w:rsidP="3066EB3A" w:rsidRDefault="3066EB3A" w14:paraId="38139711" w14:textId="19D355FF">
      <w:pPr>
        <w:rPr>
          <w:rFonts w:ascii="Calibri" w:hAnsi="Calibri" w:eastAsia="Calibri" w:cs="Calibri"/>
          <w:sz w:val="20"/>
          <w:szCs w:val="20"/>
        </w:rPr>
      </w:pPr>
    </w:p>
    <w:p w:rsidR="3066EB3A" w:rsidP="3066EB3A" w:rsidRDefault="3066EB3A" w14:paraId="7E24DA3A" w14:textId="04CB6B9D">
      <w:pPr>
        <w:rPr>
          <w:rFonts w:ascii="Calibri" w:hAnsi="Calibri" w:eastAsia="Calibri" w:cs="Calibri"/>
          <w:sz w:val="20"/>
          <w:szCs w:val="20"/>
        </w:rPr>
      </w:pPr>
    </w:p>
    <w:p w:rsidR="3066EB3A" w:rsidP="3066EB3A" w:rsidRDefault="3066EB3A" w14:paraId="1670DA95" w14:textId="050231BE">
      <w:pPr>
        <w:rPr>
          <w:rFonts w:ascii="Calibri" w:hAnsi="Calibri" w:eastAsia="Calibri" w:cs="Calibri"/>
          <w:sz w:val="20"/>
          <w:szCs w:val="20"/>
        </w:rPr>
      </w:pPr>
    </w:p>
    <w:p w:rsidR="3066EB3A" w:rsidP="3066EB3A" w:rsidRDefault="3066EB3A" w14:paraId="5FBF69E9" w14:textId="060BDDE4">
      <w:pPr>
        <w:rPr>
          <w:rFonts w:ascii="Calibri" w:hAnsi="Calibri" w:eastAsia="Calibri" w:cs="Calibri"/>
          <w:sz w:val="20"/>
          <w:szCs w:val="20"/>
        </w:rPr>
      </w:pPr>
    </w:p>
    <w:p w:rsidR="3066EB3A" w:rsidP="3066EB3A" w:rsidRDefault="3066EB3A" w14:paraId="30955AF5" w14:textId="6F2BFD9B">
      <w:pPr>
        <w:rPr>
          <w:rFonts w:ascii="Calibri" w:hAnsi="Calibri" w:eastAsia="Calibri" w:cs="Calibri"/>
          <w:sz w:val="20"/>
          <w:szCs w:val="20"/>
        </w:rPr>
      </w:pPr>
    </w:p>
    <w:p w:rsidR="3066EB3A" w:rsidP="3066EB3A" w:rsidRDefault="3066EB3A" w14:paraId="76A8F49E" w14:textId="335392B6">
      <w:pPr>
        <w:rPr>
          <w:rFonts w:ascii="Calibri" w:hAnsi="Calibri" w:eastAsia="Calibri" w:cs="Calibri"/>
          <w:sz w:val="20"/>
          <w:szCs w:val="20"/>
        </w:rPr>
      </w:pPr>
    </w:p>
    <w:p w:rsidR="3066EB3A" w:rsidP="3066EB3A" w:rsidRDefault="3066EB3A" w14:paraId="3274A0E1" w14:textId="7244052F">
      <w:pPr>
        <w:rPr>
          <w:rFonts w:ascii="Calibri" w:hAnsi="Calibri" w:eastAsia="Calibri" w:cs="Calibri"/>
          <w:sz w:val="20"/>
          <w:szCs w:val="20"/>
        </w:rPr>
      </w:pPr>
    </w:p>
    <w:p w:rsidR="3066EB3A" w:rsidP="3066EB3A" w:rsidRDefault="3066EB3A" w14:paraId="28C739B1" w14:textId="686AE4E2">
      <w:pPr>
        <w:rPr>
          <w:rFonts w:ascii="Calibri" w:hAnsi="Calibri" w:eastAsia="Calibri" w:cs="Calibri"/>
          <w:sz w:val="20"/>
          <w:szCs w:val="20"/>
        </w:rPr>
      </w:pPr>
    </w:p>
    <w:p w:rsidR="3066EB3A" w:rsidP="3066EB3A" w:rsidRDefault="3066EB3A" w14:paraId="4EE05526" w14:textId="50B3D8EB">
      <w:pPr>
        <w:rPr>
          <w:rFonts w:ascii="Calibri" w:hAnsi="Calibri" w:eastAsia="Calibri" w:cs="Calibri"/>
          <w:sz w:val="20"/>
          <w:szCs w:val="20"/>
        </w:rPr>
      </w:pPr>
    </w:p>
    <w:p w:rsidR="3066EB3A" w:rsidP="3066EB3A" w:rsidRDefault="3066EB3A" w14:paraId="31E25A6D" w14:textId="178D9BE1">
      <w:pPr>
        <w:rPr>
          <w:rFonts w:ascii="Calibri" w:hAnsi="Calibri" w:eastAsia="Calibri" w:cs="Calibri"/>
          <w:sz w:val="20"/>
          <w:szCs w:val="20"/>
        </w:rPr>
      </w:pPr>
    </w:p>
    <w:p w:rsidR="3066EB3A" w:rsidP="3066EB3A" w:rsidRDefault="3066EB3A" w14:paraId="4B55D72D" w14:textId="55CD259C">
      <w:pPr>
        <w:rPr>
          <w:rFonts w:ascii="Calibri" w:hAnsi="Calibri" w:eastAsia="Calibri" w:cs="Calibri"/>
          <w:sz w:val="20"/>
          <w:szCs w:val="20"/>
        </w:rPr>
      </w:pPr>
    </w:p>
    <w:p w:rsidR="703203AC" w:rsidP="3066EB3A" w:rsidRDefault="703203AC" w14:paraId="038EA93C" w14:textId="6BD90DB4">
      <w:pPr>
        <w:rPr>
          <w:rFonts w:ascii="Calibri" w:hAnsi="Calibri" w:eastAsia="Calibri" w:cs="Calibri"/>
          <w:sz w:val="20"/>
          <w:szCs w:val="20"/>
          <w:u w:val="single"/>
        </w:rPr>
      </w:pPr>
      <w:r w:rsidRPr="3066EB3A" w:rsidR="703203AC">
        <w:rPr>
          <w:rFonts w:ascii="Calibri" w:hAnsi="Calibri" w:eastAsia="Calibri" w:cs="Calibri"/>
          <w:sz w:val="20"/>
          <w:szCs w:val="20"/>
          <w:u w:val="single"/>
        </w:rPr>
        <w:t>Reference List</w:t>
      </w:r>
    </w:p>
    <w:p w:rsidR="703203AC" w:rsidP="3066EB3A" w:rsidRDefault="703203AC" w14:paraId="4505DFC4" w14:textId="2C0B6F7A">
      <w:pPr>
        <w:pStyle w:val="ListParagraph"/>
        <w:numPr>
          <w:ilvl w:val="0"/>
          <w:numId w:val="1"/>
        </w:numPr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B2C30"/>
          <w:sz w:val="20"/>
          <w:szCs w:val="20"/>
          <w:lang w:val="en-US"/>
        </w:rPr>
      </w:pPr>
      <w:r w:rsidRPr="3066EB3A" w:rsidR="703203AC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B2C30"/>
          <w:sz w:val="20"/>
          <w:szCs w:val="20"/>
          <w:lang w:val="en-US"/>
        </w:rPr>
        <w:t xml:space="preserve">Bartos, S.A. &amp; Lederman, N.G., 2014. </w:t>
      </w:r>
      <w:r w:rsidRPr="3066EB3A" w:rsidR="703203AC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2B2C30"/>
          <w:sz w:val="20"/>
          <w:szCs w:val="20"/>
          <w:lang w:val="en-US"/>
        </w:rPr>
        <w:t>Teachers’ knowledge structures for nature of science and scientific inquiry: Conceptions and classroom practice</w:t>
      </w:r>
      <w:r w:rsidRPr="3066EB3A" w:rsidR="703203AC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B2C30"/>
          <w:sz w:val="20"/>
          <w:szCs w:val="20"/>
          <w:lang w:val="en-US"/>
        </w:rPr>
        <w:t>. Journal of Research in Science Teaching, 51(9), pp.1150–1184.</w:t>
      </w:r>
    </w:p>
    <w:p w:rsidR="703203AC" w:rsidP="3066EB3A" w:rsidRDefault="703203AC" w14:paraId="51C2CFEA" w14:textId="316C8E58">
      <w:pPr>
        <w:pStyle w:val="ListParagraph"/>
        <w:numPr>
          <w:ilvl w:val="0"/>
          <w:numId w:val="1"/>
        </w:numPr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B2C30"/>
          <w:sz w:val="20"/>
          <w:szCs w:val="20"/>
          <w:lang w:val="en-US"/>
        </w:rPr>
      </w:pPr>
      <w:r w:rsidRPr="3066EB3A" w:rsidR="703203AC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B2C30"/>
          <w:sz w:val="20"/>
          <w:szCs w:val="20"/>
          <w:lang w:val="en-US"/>
        </w:rPr>
        <w:t xml:space="preserve">Bitmoji (2025) Bitmoji Stickers. Available at: </w:t>
      </w:r>
      <w:hyperlink r:id="R0825c2615afd4a95">
        <w:r w:rsidRPr="3066EB3A" w:rsidR="703203AC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noProof w:val="0"/>
            <w:color w:val="2B2C30"/>
            <w:sz w:val="20"/>
            <w:szCs w:val="20"/>
            <w:lang w:val="en-US"/>
          </w:rPr>
          <w:t>https://www.bitmoji.com/stickers/</w:t>
        </w:r>
      </w:hyperlink>
      <w:r w:rsidRPr="3066EB3A" w:rsidR="703203AC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B2C30"/>
          <w:sz w:val="20"/>
          <w:szCs w:val="20"/>
          <w:lang w:val="en-US"/>
        </w:rPr>
        <w:t xml:space="preserve"> (Accessed: 14 May 2025).</w:t>
      </w:r>
    </w:p>
    <w:p w:rsidR="703203AC" w:rsidP="3066EB3A" w:rsidRDefault="703203AC" w14:paraId="4A97EAFE" w14:textId="546472FC">
      <w:pPr>
        <w:pStyle w:val="ListParagraph"/>
        <w:numPr>
          <w:ilvl w:val="0"/>
          <w:numId w:val="1"/>
        </w:numPr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B2C30"/>
          <w:sz w:val="20"/>
          <w:szCs w:val="20"/>
          <w:lang w:val="en-US"/>
        </w:rPr>
      </w:pPr>
      <w:r w:rsidRPr="3066EB3A" w:rsidR="703203AC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B2C30"/>
          <w:sz w:val="20"/>
          <w:szCs w:val="20"/>
          <w:lang w:val="en-US"/>
        </w:rPr>
        <w:t xml:space="preserve">Black, P. and Wiliam, D. (1998) 'Assessment and Classroom Learning', </w:t>
      </w:r>
      <w:r w:rsidRPr="3066EB3A" w:rsidR="703203AC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2B2C30"/>
          <w:sz w:val="20"/>
          <w:szCs w:val="20"/>
          <w:lang w:val="en-US"/>
        </w:rPr>
        <w:t>Assessment in Education: Principles, Policy &amp; Practice</w:t>
      </w:r>
      <w:r w:rsidRPr="3066EB3A" w:rsidR="703203AC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B2C30"/>
          <w:sz w:val="20"/>
          <w:szCs w:val="20"/>
          <w:lang w:val="en-US"/>
        </w:rPr>
        <w:t xml:space="preserve">, 5(1), pp. 7-74. </w:t>
      </w:r>
    </w:p>
    <w:p w:rsidR="703203AC" w:rsidP="3066EB3A" w:rsidRDefault="703203AC" w14:paraId="5E623AC0" w14:textId="05CD68E0">
      <w:pPr>
        <w:pStyle w:val="ListParagraph"/>
        <w:numPr>
          <w:ilvl w:val="0"/>
          <w:numId w:val="1"/>
        </w:numPr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B2C30"/>
          <w:sz w:val="20"/>
          <w:szCs w:val="20"/>
          <w:lang w:val="en-US"/>
        </w:rPr>
      </w:pPr>
      <w:r w:rsidRPr="3066EB3A" w:rsidR="703203AC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B2C30"/>
          <w:sz w:val="20"/>
          <w:szCs w:val="20"/>
          <w:lang w:val="en-US"/>
        </w:rPr>
        <w:t>Black, P. and Wiliam, D., 2009. Developing the theory of formative assessment. Educational Assessment, Evaluation and Accountability, 21(1), pp.5–31.</w:t>
      </w:r>
    </w:p>
    <w:p w:rsidR="703203AC" w:rsidP="3066EB3A" w:rsidRDefault="703203AC" w14:paraId="6E36EA4A" w14:textId="28B57072">
      <w:pPr>
        <w:pStyle w:val="ListParagraph"/>
        <w:numPr>
          <w:ilvl w:val="0"/>
          <w:numId w:val="1"/>
        </w:numPr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B2C30"/>
          <w:sz w:val="20"/>
          <w:szCs w:val="20"/>
          <w:lang w:val="en-US"/>
        </w:rPr>
      </w:pPr>
      <w:r w:rsidRPr="3066EB3A" w:rsidR="703203AC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B2C30"/>
          <w:sz w:val="20"/>
          <w:szCs w:val="20"/>
          <w:lang w:val="en-US"/>
        </w:rPr>
        <w:t xml:space="preserve">British Science Association (2023) CREST Awards: Discovery Level. Available at: </w:t>
      </w:r>
      <w:hyperlink r:id="R4b4978f7c46f49e5">
        <w:r w:rsidRPr="3066EB3A" w:rsidR="703203AC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noProof w:val="0"/>
            <w:sz w:val="20"/>
            <w:szCs w:val="20"/>
            <w:lang w:val="en-US"/>
          </w:rPr>
          <w:t>https://www.crestawards.org/what-is-crest/discovery-award</w:t>
        </w:r>
      </w:hyperlink>
      <w:r w:rsidRPr="3066EB3A" w:rsidR="703203AC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B2C30"/>
          <w:sz w:val="20"/>
          <w:szCs w:val="20"/>
          <w:lang w:val="en-US"/>
        </w:rPr>
        <w:t xml:space="preserve"> (Accessed: 14 May 2025).</w:t>
      </w:r>
    </w:p>
    <w:p w:rsidR="703203AC" w:rsidP="3066EB3A" w:rsidRDefault="703203AC" w14:paraId="3DCF2D8A" w14:textId="7B34748D">
      <w:pPr>
        <w:pStyle w:val="ListParagraph"/>
        <w:numPr>
          <w:ilvl w:val="0"/>
          <w:numId w:val="1"/>
        </w:numPr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B2C30"/>
          <w:sz w:val="20"/>
          <w:szCs w:val="20"/>
          <w:lang w:val="en-US"/>
        </w:rPr>
      </w:pPr>
      <w:r w:rsidRPr="3066EB3A" w:rsidR="703203AC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B2C30"/>
          <w:sz w:val="20"/>
          <w:szCs w:val="20"/>
          <w:lang w:val="en-US"/>
        </w:rPr>
        <w:t xml:space="preserve">Bruner, J.S., 1966. </w:t>
      </w:r>
      <w:r w:rsidRPr="3066EB3A" w:rsidR="703203AC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2B2C30"/>
          <w:sz w:val="20"/>
          <w:szCs w:val="20"/>
          <w:lang w:val="en-US"/>
        </w:rPr>
        <w:t>Toward a Theory of Instruction</w:t>
      </w:r>
      <w:r w:rsidRPr="3066EB3A" w:rsidR="703203AC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B2C30"/>
          <w:sz w:val="20"/>
          <w:szCs w:val="20"/>
          <w:lang w:val="en-US"/>
        </w:rPr>
        <w:t>. Cambridge, MA: Harvard University Press.</w:t>
      </w:r>
    </w:p>
    <w:p w:rsidR="703203AC" w:rsidP="3066EB3A" w:rsidRDefault="703203AC" w14:paraId="3AFF78A5" w14:textId="1519D0E2">
      <w:pPr>
        <w:pStyle w:val="ListParagraph"/>
        <w:numPr>
          <w:ilvl w:val="0"/>
          <w:numId w:val="1"/>
        </w:numPr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B2C30"/>
          <w:sz w:val="20"/>
          <w:szCs w:val="20"/>
          <w:lang w:val="en-US"/>
        </w:rPr>
      </w:pPr>
      <w:r w:rsidRPr="3066EB3A" w:rsidR="703203AC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B2C30"/>
          <w:sz w:val="20"/>
          <w:szCs w:val="20"/>
          <w:lang w:val="en-US"/>
        </w:rPr>
        <w:t xml:space="preserve">CLEAPSS, 2022. </w:t>
      </w:r>
      <w:r w:rsidRPr="3066EB3A" w:rsidR="703203AC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2B2C30"/>
          <w:sz w:val="20"/>
          <w:szCs w:val="20"/>
          <w:lang w:val="en-US"/>
        </w:rPr>
        <w:t>Hazardous Chemicals: Guidance for Primary Schools</w:t>
      </w:r>
      <w:r w:rsidRPr="3066EB3A" w:rsidR="703203AC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B2C30"/>
          <w:sz w:val="20"/>
          <w:szCs w:val="20"/>
          <w:lang w:val="en-US"/>
        </w:rPr>
        <w:t xml:space="preserve">. CLEAPSS. </w:t>
      </w:r>
    </w:p>
    <w:p w:rsidR="703203AC" w:rsidP="3066EB3A" w:rsidRDefault="703203AC" w14:paraId="14284003" w14:textId="728B442B">
      <w:pPr>
        <w:pStyle w:val="ListParagraph"/>
        <w:numPr>
          <w:ilvl w:val="0"/>
          <w:numId w:val="1"/>
        </w:numPr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B2C30"/>
          <w:sz w:val="20"/>
          <w:szCs w:val="20"/>
          <w:lang w:val="en-US"/>
        </w:rPr>
      </w:pPr>
      <w:r w:rsidRPr="3066EB3A" w:rsidR="703203AC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B2C30"/>
          <w:sz w:val="20"/>
          <w:szCs w:val="20"/>
          <w:lang w:val="en-US"/>
        </w:rPr>
        <w:t xml:space="preserve">CREST (2024) Guidance for Educators: Discovery Award. British Science Association. Available at: </w:t>
      </w:r>
      <w:hyperlink r:id="R34cebe3f1f624706">
        <w:r w:rsidRPr="3066EB3A" w:rsidR="703203AC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noProof w:val="0"/>
            <w:color w:val="2B2C30"/>
            <w:sz w:val="20"/>
            <w:szCs w:val="20"/>
            <w:lang w:val="en-US"/>
          </w:rPr>
          <w:t>https://www.crestawards.org</w:t>
        </w:r>
      </w:hyperlink>
      <w:r w:rsidRPr="3066EB3A" w:rsidR="703203AC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B2C30"/>
          <w:sz w:val="20"/>
          <w:szCs w:val="20"/>
          <w:lang w:val="en-US"/>
        </w:rPr>
        <w:t xml:space="preserve"> (Accessed: 14 May 2025).</w:t>
      </w:r>
    </w:p>
    <w:p w:rsidR="703203AC" w:rsidP="3066EB3A" w:rsidRDefault="703203AC" w14:paraId="633EFF78" w14:textId="6EF8DD9A">
      <w:pPr>
        <w:pStyle w:val="ListParagraph"/>
        <w:numPr>
          <w:ilvl w:val="0"/>
          <w:numId w:val="1"/>
        </w:numPr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B2C30"/>
          <w:sz w:val="20"/>
          <w:szCs w:val="20"/>
          <w:lang w:val="en-US"/>
        </w:rPr>
      </w:pPr>
      <w:r w:rsidRPr="3066EB3A" w:rsidR="703203AC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B2C30"/>
          <w:sz w:val="20"/>
          <w:szCs w:val="20"/>
          <w:lang w:val="en-US"/>
        </w:rPr>
        <w:t xml:space="preserve">Dewey, J., 1938. </w:t>
      </w:r>
      <w:r w:rsidRPr="3066EB3A" w:rsidR="703203AC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2B2C30"/>
          <w:sz w:val="20"/>
          <w:szCs w:val="20"/>
          <w:lang w:val="en-US"/>
        </w:rPr>
        <w:t>Experience and Education</w:t>
      </w:r>
      <w:r w:rsidRPr="3066EB3A" w:rsidR="703203AC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B2C30"/>
          <w:sz w:val="20"/>
          <w:szCs w:val="20"/>
          <w:lang w:val="en-US"/>
        </w:rPr>
        <w:t xml:space="preserve">. New York: Macmillan. </w:t>
      </w:r>
    </w:p>
    <w:p w:rsidR="703203AC" w:rsidP="3066EB3A" w:rsidRDefault="703203AC" w14:paraId="0CE78FE6" w14:textId="2D9B752A">
      <w:pPr>
        <w:pStyle w:val="ListParagraph"/>
        <w:numPr>
          <w:ilvl w:val="0"/>
          <w:numId w:val="1"/>
        </w:numPr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B2C30"/>
          <w:sz w:val="20"/>
          <w:szCs w:val="20"/>
          <w:lang w:val="en-US"/>
        </w:rPr>
      </w:pPr>
      <w:r w:rsidRPr="3066EB3A" w:rsidR="703203AC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B2C30"/>
          <w:sz w:val="20"/>
          <w:szCs w:val="20"/>
          <w:lang w:val="en-US"/>
        </w:rPr>
        <w:t xml:space="preserve">Donaldson, G., 2015. </w:t>
      </w:r>
      <w:r w:rsidRPr="3066EB3A" w:rsidR="703203AC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2B2C30"/>
          <w:sz w:val="20"/>
          <w:szCs w:val="20"/>
          <w:lang w:val="en-US"/>
        </w:rPr>
        <w:t>Successful Futures: Independent Review of Curriculum and Assessment Arrangements in Wales</w:t>
      </w:r>
      <w:r w:rsidRPr="3066EB3A" w:rsidR="703203AC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B2C30"/>
          <w:sz w:val="20"/>
          <w:szCs w:val="20"/>
          <w:lang w:val="en-US"/>
        </w:rPr>
        <w:t>. Welsh Government.</w:t>
      </w:r>
    </w:p>
    <w:p w:rsidR="703203AC" w:rsidP="3066EB3A" w:rsidRDefault="703203AC" w14:paraId="7D88A0B5" w14:textId="54B73540">
      <w:pPr>
        <w:pStyle w:val="ListParagraph"/>
        <w:numPr>
          <w:ilvl w:val="0"/>
          <w:numId w:val="1"/>
        </w:numPr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B2C30"/>
          <w:sz w:val="20"/>
          <w:szCs w:val="20"/>
          <w:lang w:val="en-US"/>
        </w:rPr>
      </w:pPr>
      <w:r w:rsidRPr="3066EB3A" w:rsidR="703203AC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B2C30"/>
          <w:sz w:val="20"/>
          <w:szCs w:val="20"/>
          <w:lang w:val="en-US"/>
        </w:rPr>
        <w:t xml:space="preserve">Fisher, D. and Frey, N. (2007) </w:t>
      </w:r>
      <w:r w:rsidRPr="3066EB3A" w:rsidR="703203AC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2B2C30"/>
          <w:sz w:val="20"/>
          <w:szCs w:val="20"/>
          <w:lang w:val="en-US"/>
        </w:rPr>
        <w:t>Checking for Understanding: Formative Assessment Techniques for Your Classroom</w:t>
      </w:r>
      <w:r w:rsidRPr="3066EB3A" w:rsidR="703203AC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B2C30"/>
          <w:sz w:val="20"/>
          <w:szCs w:val="20"/>
          <w:lang w:val="en-US"/>
        </w:rPr>
        <w:t xml:space="preserve">. Alexandria, VA: ASCD. </w:t>
      </w:r>
    </w:p>
    <w:p w:rsidR="703203AC" w:rsidP="3066EB3A" w:rsidRDefault="703203AC" w14:paraId="7C1D58FD" w14:textId="20BA3D97">
      <w:pPr>
        <w:pStyle w:val="ListParagraph"/>
        <w:numPr>
          <w:ilvl w:val="0"/>
          <w:numId w:val="1"/>
        </w:numPr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B2C30"/>
          <w:sz w:val="20"/>
          <w:szCs w:val="20"/>
          <w:lang w:val="en-US"/>
        </w:rPr>
      </w:pPr>
      <w:r w:rsidRPr="3066EB3A" w:rsidR="703203AC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B2C30"/>
          <w:sz w:val="20"/>
          <w:szCs w:val="20"/>
          <w:lang w:val="en-US"/>
        </w:rPr>
        <w:t>Harlen, W., 2015. Working with Big Ideas of Science Education. Trieste: IAP.</w:t>
      </w:r>
    </w:p>
    <w:p w:rsidR="703203AC" w:rsidP="3066EB3A" w:rsidRDefault="703203AC" w14:paraId="7BD232BA" w14:textId="784E92B7">
      <w:pPr>
        <w:pStyle w:val="ListParagraph"/>
        <w:numPr>
          <w:ilvl w:val="0"/>
          <w:numId w:val="1"/>
        </w:numPr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B2C30"/>
          <w:sz w:val="20"/>
          <w:szCs w:val="20"/>
          <w:lang w:val="en-US"/>
        </w:rPr>
      </w:pPr>
      <w:r w:rsidRPr="3066EB3A" w:rsidR="703203AC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B2C30"/>
          <w:sz w:val="20"/>
          <w:szCs w:val="20"/>
          <w:lang w:val="en-US"/>
        </w:rPr>
        <w:t>Harlen, W. and Qualter, A., 2018. The Teaching of Science in Primary Schools. 7th ed. Abingdon: Routledge.</w:t>
      </w:r>
    </w:p>
    <w:p w:rsidR="703203AC" w:rsidP="3066EB3A" w:rsidRDefault="703203AC" w14:paraId="52875941" w14:textId="55BC6413">
      <w:pPr>
        <w:pStyle w:val="ListParagraph"/>
        <w:numPr>
          <w:ilvl w:val="0"/>
          <w:numId w:val="1"/>
        </w:numPr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B2C30"/>
          <w:sz w:val="20"/>
          <w:szCs w:val="20"/>
          <w:lang w:val="en-US"/>
        </w:rPr>
      </w:pPr>
      <w:r w:rsidRPr="3066EB3A" w:rsidR="703203AC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B2C30"/>
          <w:sz w:val="20"/>
          <w:szCs w:val="20"/>
          <w:lang w:val="en-US"/>
        </w:rPr>
        <w:t xml:space="preserve">Hmelo-Silver, C.E., Duncan, R.G. and Chinn, C.A., 2007. </w:t>
      </w:r>
      <w:r w:rsidRPr="3066EB3A" w:rsidR="703203AC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2B2C30"/>
          <w:sz w:val="20"/>
          <w:szCs w:val="20"/>
          <w:lang w:val="en-US"/>
        </w:rPr>
        <w:t>Scaffolding and achievement in problem-based and inquiry learning: A response to Kirschner, Sweller, and Clark (2006)</w:t>
      </w:r>
      <w:r w:rsidRPr="3066EB3A" w:rsidR="703203AC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B2C30"/>
          <w:sz w:val="20"/>
          <w:szCs w:val="20"/>
          <w:lang w:val="en-US"/>
        </w:rPr>
        <w:t xml:space="preserve">. </w:t>
      </w:r>
      <w:r w:rsidRPr="3066EB3A" w:rsidR="703203AC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2B2C30"/>
          <w:sz w:val="20"/>
          <w:szCs w:val="20"/>
          <w:lang w:val="en-US"/>
        </w:rPr>
        <w:t>Educational Psychologist</w:t>
      </w:r>
      <w:r w:rsidRPr="3066EB3A" w:rsidR="703203AC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B2C30"/>
          <w:sz w:val="20"/>
          <w:szCs w:val="20"/>
          <w:lang w:val="en-US"/>
        </w:rPr>
        <w:t>, 42(2), pp.99–107.</w:t>
      </w:r>
    </w:p>
    <w:p w:rsidR="703203AC" w:rsidP="3066EB3A" w:rsidRDefault="703203AC" w14:paraId="3B59C8C5" w14:textId="638CD22E">
      <w:pPr>
        <w:pStyle w:val="ListParagraph"/>
        <w:numPr>
          <w:ilvl w:val="0"/>
          <w:numId w:val="1"/>
        </w:numPr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B2C30"/>
          <w:sz w:val="20"/>
          <w:szCs w:val="20"/>
          <w:lang w:val="en-US"/>
        </w:rPr>
      </w:pPr>
      <w:r w:rsidRPr="3066EB3A" w:rsidR="703203AC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B2C30"/>
          <w:sz w:val="20"/>
          <w:szCs w:val="20"/>
          <w:lang w:val="en-US"/>
        </w:rPr>
        <w:t xml:space="preserve">Lave, J. and Wenger, E., 1991. </w:t>
      </w:r>
      <w:r w:rsidRPr="3066EB3A" w:rsidR="703203AC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2B2C30"/>
          <w:sz w:val="20"/>
          <w:szCs w:val="20"/>
          <w:lang w:val="en-US"/>
        </w:rPr>
        <w:t>Situated Learning: Legitimate Peripheral Participation</w:t>
      </w:r>
      <w:r w:rsidRPr="3066EB3A" w:rsidR="703203AC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B2C30"/>
          <w:sz w:val="20"/>
          <w:szCs w:val="20"/>
          <w:lang w:val="en-US"/>
        </w:rPr>
        <w:t>. Cambridge: Cambridge University Press.</w:t>
      </w:r>
    </w:p>
    <w:p w:rsidR="703203AC" w:rsidP="3066EB3A" w:rsidRDefault="703203AC" w14:paraId="2BAD0A75" w14:textId="2042BA3C">
      <w:pPr>
        <w:pStyle w:val="ListParagraph"/>
        <w:numPr>
          <w:ilvl w:val="0"/>
          <w:numId w:val="1"/>
        </w:numPr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B2C30"/>
          <w:sz w:val="20"/>
          <w:szCs w:val="20"/>
          <w:lang w:val="en-US"/>
        </w:rPr>
      </w:pPr>
      <w:r w:rsidRPr="3066EB3A" w:rsidR="703203AC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B2C30"/>
          <w:sz w:val="20"/>
          <w:szCs w:val="20"/>
          <w:lang w:val="en-US"/>
        </w:rPr>
        <w:t xml:space="preserve">Piaget, J., 1952. </w:t>
      </w:r>
      <w:r w:rsidRPr="3066EB3A" w:rsidR="703203AC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2B2C30"/>
          <w:sz w:val="20"/>
          <w:szCs w:val="20"/>
          <w:lang w:val="en-US"/>
        </w:rPr>
        <w:t>The Origins of Intelligence in Children</w:t>
      </w:r>
      <w:r w:rsidRPr="3066EB3A" w:rsidR="703203AC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B2C30"/>
          <w:sz w:val="20"/>
          <w:szCs w:val="20"/>
          <w:lang w:val="en-US"/>
        </w:rPr>
        <w:t>. New York: International Universities Press.</w:t>
      </w:r>
    </w:p>
    <w:p w:rsidR="703203AC" w:rsidP="3066EB3A" w:rsidRDefault="703203AC" w14:paraId="3F52D550" w14:textId="34B5B569">
      <w:pPr>
        <w:pStyle w:val="ListParagraph"/>
        <w:numPr>
          <w:ilvl w:val="0"/>
          <w:numId w:val="1"/>
        </w:numPr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B2C30"/>
          <w:sz w:val="20"/>
          <w:szCs w:val="20"/>
          <w:lang w:val="en-US"/>
        </w:rPr>
      </w:pPr>
      <w:r w:rsidRPr="3066EB3A" w:rsidR="703203AC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B2C30"/>
          <w:sz w:val="20"/>
          <w:szCs w:val="20"/>
          <w:lang w:val="en-US"/>
        </w:rPr>
        <w:t>Tomlinson, C.A., 2014. The Differentiated Classroom: Responding to the Needs of All Learners. 2nd ed. Alexandria, VA: ASCD.</w:t>
      </w:r>
    </w:p>
    <w:p w:rsidR="703203AC" w:rsidP="3066EB3A" w:rsidRDefault="703203AC" w14:paraId="198FB8A4" w14:textId="4043FDF0">
      <w:pPr>
        <w:pStyle w:val="ListParagraph"/>
        <w:numPr>
          <w:ilvl w:val="0"/>
          <w:numId w:val="1"/>
        </w:numPr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B2C30"/>
          <w:sz w:val="20"/>
          <w:szCs w:val="20"/>
          <w:lang w:val="en-US"/>
        </w:rPr>
      </w:pPr>
      <w:r w:rsidRPr="3066EB3A" w:rsidR="703203AC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B2C30"/>
          <w:sz w:val="20"/>
          <w:szCs w:val="20"/>
          <w:lang w:val="en-US"/>
        </w:rPr>
        <w:t>Vygotsky, L.S., 1978. Mind in Society: The Development of Higher Psychological Processes. Cambridge, MA: Harvard University Press.</w:t>
      </w:r>
    </w:p>
    <w:p w:rsidR="703203AC" w:rsidP="3066EB3A" w:rsidRDefault="703203AC" w14:paraId="10BEAFDF" w14:textId="20CD6299">
      <w:pPr>
        <w:pStyle w:val="ListParagraph"/>
        <w:numPr>
          <w:ilvl w:val="0"/>
          <w:numId w:val="1"/>
        </w:numPr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B2C30"/>
          <w:sz w:val="20"/>
          <w:szCs w:val="20"/>
          <w:lang w:val="en-US"/>
        </w:rPr>
      </w:pPr>
      <w:r w:rsidRPr="3066EB3A" w:rsidR="703203AC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B2C30"/>
          <w:sz w:val="20"/>
          <w:szCs w:val="20"/>
          <w:lang w:val="en-US"/>
        </w:rPr>
        <w:t xml:space="preserve">Welsh Government. (2017). Professional standards for teaching and leadership. [online] Available at: </w:t>
      </w:r>
      <w:hyperlink r:id="R1408b53aec2d4251">
        <w:r w:rsidRPr="3066EB3A" w:rsidR="703203AC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noProof w:val="0"/>
            <w:sz w:val="20"/>
            <w:szCs w:val="20"/>
            <w:lang w:val="en-US"/>
          </w:rPr>
          <w:t>https://hwb.gov.wales/professional-learning</w:t>
        </w:r>
      </w:hyperlink>
      <w:r w:rsidRPr="3066EB3A" w:rsidR="703203AC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B2C30"/>
          <w:sz w:val="20"/>
          <w:szCs w:val="20"/>
          <w:lang w:val="en-US"/>
        </w:rPr>
        <w:t xml:space="preserve"> [Accessed 14 May 2025].</w:t>
      </w:r>
    </w:p>
    <w:p w:rsidR="703203AC" w:rsidP="3066EB3A" w:rsidRDefault="703203AC" w14:paraId="0543DDD3" w14:textId="6BFAF703">
      <w:pPr>
        <w:pStyle w:val="ListParagraph"/>
        <w:numPr>
          <w:ilvl w:val="0"/>
          <w:numId w:val="1"/>
        </w:numPr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B2C30"/>
          <w:sz w:val="20"/>
          <w:szCs w:val="20"/>
          <w:lang w:val="en-US"/>
        </w:rPr>
      </w:pPr>
      <w:r w:rsidRPr="3066EB3A" w:rsidR="703203AC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B2C30"/>
          <w:sz w:val="20"/>
          <w:szCs w:val="20"/>
          <w:lang w:val="en-US"/>
        </w:rPr>
        <w:t xml:space="preserve">Welsh Government (2022) Curriculum for Wales: Guidance and Progression Code. Available at: </w:t>
      </w:r>
      <w:hyperlink r:id="R7a51c8304ab34147">
        <w:r w:rsidRPr="3066EB3A" w:rsidR="703203AC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noProof w:val="0"/>
            <w:sz w:val="20"/>
            <w:szCs w:val="20"/>
            <w:lang w:val="en-US"/>
          </w:rPr>
          <w:t>https://www.gov.wales/curriculum-wales-guidance</w:t>
        </w:r>
      </w:hyperlink>
      <w:r w:rsidRPr="3066EB3A" w:rsidR="703203AC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B2C30"/>
          <w:sz w:val="20"/>
          <w:szCs w:val="20"/>
          <w:lang w:val="en-US"/>
        </w:rPr>
        <w:t xml:space="preserve"> (Accessed: 14 May 2025).</w:t>
      </w:r>
    </w:p>
    <w:p w:rsidR="703203AC" w:rsidP="3066EB3A" w:rsidRDefault="703203AC" w14:paraId="7A6149E4" w14:textId="4678DA9A">
      <w:pPr>
        <w:pStyle w:val="ListParagraph"/>
        <w:numPr>
          <w:ilvl w:val="0"/>
          <w:numId w:val="1"/>
        </w:numPr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B2C30"/>
          <w:sz w:val="20"/>
          <w:szCs w:val="20"/>
          <w:lang w:val="en-US"/>
        </w:rPr>
      </w:pPr>
      <w:r w:rsidRPr="3066EB3A" w:rsidR="703203AC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B2C30"/>
          <w:sz w:val="20"/>
          <w:szCs w:val="20"/>
          <w:lang w:val="en-US"/>
        </w:rPr>
        <w:t xml:space="preserve">Welsh Government. (2022). Curriculum for Wales: Guidance. [online] Available at: </w:t>
      </w:r>
      <w:hyperlink r:id="R16275e9738e64060">
        <w:r w:rsidRPr="3066EB3A" w:rsidR="703203AC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noProof w:val="0"/>
            <w:sz w:val="20"/>
            <w:szCs w:val="20"/>
            <w:lang w:val="en-US"/>
          </w:rPr>
          <w:t>https://hwb.gov.wales/curriculum-for-wales/</w:t>
        </w:r>
      </w:hyperlink>
      <w:r w:rsidRPr="3066EB3A" w:rsidR="703203AC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B2C30"/>
          <w:sz w:val="20"/>
          <w:szCs w:val="20"/>
          <w:lang w:val="en-US"/>
        </w:rPr>
        <w:t xml:space="preserve"> [Accessed 14 May 2025].</w:t>
      </w:r>
    </w:p>
    <w:p w:rsidR="703203AC" w:rsidP="3066EB3A" w:rsidRDefault="703203AC" w14:paraId="0162D714" w14:textId="62B16D75">
      <w:pPr>
        <w:pStyle w:val="ListParagraph"/>
        <w:numPr>
          <w:ilvl w:val="0"/>
          <w:numId w:val="1"/>
        </w:numPr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B2C30"/>
          <w:sz w:val="20"/>
          <w:szCs w:val="20"/>
          <w:lang w:val="en-US"/>
        </w:rPr>
      </w:pPr>
      <w:r w:rsidRPr="3066EB3A" w:rsidR="703203AC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B2C30"/>
          <w:sz w:val="20"/>
          <w:szCs w:val="20"/>
          <w:lang w:val="en-US"/>
        </w:rPr>
        <w:t xml:space="preserve">Welsh Government (2022) Curriculum for Wales: Science and Technology Area of Learning and Experience. Available at: </w:t>
      </w:r>
      <w:hyperlink r:id="R2ea6a6c2f64e4b50">
        <w:r w:rsidRPr="3066EB3A" w:rsidR="703203AC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noProof w:val="0"/>
            <w:sz w:val="20"/>
            <w:szCs w:val="20"/>
            <w:lang w:val="en-US"/>
          </w:rPr>
          <w:t>https://hwb.gov.wales/curriculum-for-wales/science-and-technology</w:t>
        </w:r>
      </w:hyperlink>
      <w:r w:rsidRPr="3066EB3A" w:rsidR="703203AC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B2C30"/>
          <w:sz w:val="20"/>
          <w:szCs w:val="20"/>
          <w:lang w:val="en-US"/>
        </w:rPr>
        <w:t xml:space="preserve"> (Accessed: 14 May 2025).</w:t>
      </w:r>
    </w:p>
    <w:p w:rsidR="3066EB3A" w:rsidP="3066EB3A" w:rsidRDefault="3066EB3A" w14:paraId="4A10D137" w14:textId="364BDCA5">
      <w:pPr>
        <w:pStyle w:val="ListParagraph"/>
        <w:spacing w:before="0" w:beforeAutospacing="off" w:after="0" w:afterAutospacing="off"/>
        <w:ind w:left="720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B2C30"/>
          <w:sz w:val="20"/>
          <w:szCs w:val="20"/>
          <w:lang w:val="en-US"/>
        </w:rPr>
      </w:pPr>
    </w:p>
    <w:p w:rsidR="3066EB3A" w:rsidP="3066EB3A" w:rsidRDefault="3066EB3A" w14:paraId="6A53E76B" w14:textId="0A6BFDB9">
      <w:pPr>
        <w:pStyle w:val="ListParagraph"/>
        <w:spacing w:before="0" w:beforeAutospacing="off" w:after="0" w:afterAutospacing="off"/>
        <w:ind w:left="720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B2C30"/>
          <w:sz w:val="20"/>
          <w:szCs w:val="20"/>
          <w:lang w:val="en-US"/>
        </w:rPr>
      </w:pPr>
    </w:p>
    <w:p w:rsidR="3066EB3A" w:rsidP="3066EB3A" w:rsidRDefault="3066EB3A" w14:paraId="1D689C5E" w14:textId="5F4C32D8">
      <w:pPr>
        <w:pStyle w:val="Normal"/>
        <w:spacing w:before="0" w:beforeAutospacing="off" w:after="0" w:afterAutospacing="off"/>
        <w:ind w:left="720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B2C30"/>
          <w:sz w:val="20"/>
          <w:szCs w:val="20"/>
          <w:lang w:val="en-US"/>
        </w:rPr>
      </w:pPr>
    </w:p>
    <w:p w:rsidR="703203AC" w:rsidP="3066EB3A" w:rsidRDefault="703203AC" w14:paraId="757E3841" w14:textId="666D456A">
      <w:pPr>
        <w:pStyle w:val="Normal"/>
        <w:spacing w:before="0" w:beforeAutospacing="off" w:after="0" w:afterAutospacing="off"/>
        <w:ind w:left="0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B2C30"/>
          <w:sz w:val="20"/>
          <w:szCs w:val="20"/>
          <w:u w:val="single"/>
          <w:lang w:val="en-US"/>
        </w:rPr>
      </w:pPr>
      <w:r w:rsidRPr="3066EB3A" w:rsidR="703203AC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B2C30"/>
          <w:sz w:val="20"/>
          <w:szCs w:val="20"/>
          <w:u w:val="single"/>
          <w:lang w:val="en-US"/>
        </w:rPr>
        <w:t>Appendix</w:t>
      </w:r>
    </w:p>
    <w:p w:rsidR="3066EB3A" w:rsidP="3066EB3A" w:rsidRDefault="3066EB3A" w14:paraId="7DC9E317" w14:textId="31EAFCB3">
      <w:pPr>
        <w:pStyle w:val="Normal"/>
        <w:spacing w:before="0" w:beforeAutospacing="off" w:after="0" w:afterAutospacing="off"/>
        <w:ind w:left="0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B2C30"/>
          <w:sz w:val="20"/>
          <w:szCs w:val="20"/>
          <w:u w:val="single"/>
          <w:lang w:val="en-US"/>
        </w:rPr>
      </w:pPr>
    </w:p>
    <w:p w:rsidR="703203AC" w:rsidP="3066EB3A" w:rsidRDefault="703203AC" w14:paraId="46C78CA6" w14:textId="76B6FD91">
      <w:pPr>
        <w:pStyle w:val="Normal"/>
        <w:spacing w:before="0" w:beforeAutospacing="off" w:after="0" w:afterAutospacing="off"/>
        <w:ind w:left="0"/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2B2C30"/>
          <w:sz w:val="20"/>
          <w:szCs w:val="20"/>
          <w:u w:val="none"/>
          <w:lang w:val="en-US"/>
        </w:rPr>
      </w:pPr>
      <w:r w:rsidRPr="3066EB3A" w:rsidR="703203AC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2B2C30"/>
          <w:sz w:val="20"/>
          <w:szCs w:val="20"/>
          <w:u w:val="none"/>
          <w:lang w:val="en-US"/>
        </w:rPr>
        <w:t>Appendix 1 – Copy of Risk Assessment (Slide 15)</w:t>
      </w:r>
    </w:p>
    <w:p w:rsidR="3066EB3A" w:rsidP="3066EB3A" w:rsidRDefault="3066EB3A" w14:paraId="5480E40F" w14:textId="46E114A2">
      <w:pPr>
        <w:pStyle w:val="Normal"/>
        <w:spacing w:before="0" w:beforeAutospacing="off" w:after="0" w:afterAutospacing="off"/>
        <w:ind w:left="0"/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2B2C30"/>
          <w:sz w:val="20"/>
          <w:szCs w:val="20"/>
          <w:u w:val="none"/>
          <w:lang w:val="en-US"/>
        </w:rPr>
      </w:pPr>
    </w:p>
    <w:p w:rsidR="3066EB3A" w:rsidP="3066EB3A" w:rsidRDefault="3066EB3A" w14:paraId="33701FBA" w14:textId="4DDD501F">
      <w:pPr>
        <w:pStyle w:val="Normal"/>
        <w:spacing w:before="0" w:beforeAutospacing="off" w:after="0" w:afterAutospacing="off"/>
        <w:ind w:left="0"/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2B2C30"/>
          <w:sz w:val="20"/>
          <w:szCs w:val="20"/>
          <w:u w:val="none"/>
          <w:lang w:val="en-US"/>
        </w:rPr>
      </w:pPr>
    </w:p>
    <w:p w:rsidR="703203AC" w:rsidP="3066EB3A" w:rsidRDefault="703203AC" w14:paraId="5FCB7CF3" w14:textId="0C5296F6">
      <w:pPr>
        <w:rPr>
          <w:rFonts w:ascii="Calibri" w:hAnsi="Calibri" w:eastAsia="Calibri" w:cs="Calibri"/>
          <w:sz w:val="20"/>
          <w:szCs w:val="20"/>
        </w:rPr>
      </w:pPr>
      <w:r w:rsidR="703203AC">
        <w:drawing>
          <wp:inline wp14:editId="501C0DEF" wp14:anchorId="5313F39C">
            <wp:extent cx="6248400" cy="3524738"/>
            <wp:effectExtent l="0" t="0" r="0" b="0"/>
            <wp:docPr id="136019948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9d4426621de4af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248400" cy="35247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5845a74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06207A8"/>
    <w:rsid w:val="0C4C942D"/>
    <w:rsid w:val="138087A5"/>
    <w:rsid w:val="3066EB3A"/>
    <w:rsid w:val="406207A8"/>
    <w:rsid w:val="444DA232"/>
    <w:rsid w:val="48696B2A"/>
    <w:rsid w:val="4FBEEC9F"/>
    <w:rsid w:val="65C4C25E"/>
    <w:rsid w:val="6D2A1C20"/>
    <w:rsid w:val="703203AC"/>
    <w:rsid w:val="752BE2B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6207A8"/>
  <w15:chartTrackingRefBased/>
  <w15:docId w15:val="{FEEA94B0-4066-4519-A80B-6713E35AD3D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3066EB3A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3066EB3A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uowtsd-my.sharepoint.com/:v:/g/personal/2314717_student_uwtsd_ac_uk/EZ0Lh_7-FrdHttUSTThW5MMBa3hA_42nSv8fzhUXstOYng?nav=eyJyZWZlcnJhbEluZm8iOnsicmVmZXJyYWxBcHAiOiJPbmVEcml2ZUZvckJ1c2luZXNzIiwicmVmZXJyYWxBcHBQbGF0Zm9ybSI6IldlYiIsInJlZmVycmFsTW9kZSI6InZpZXciLCJyZWZlcnJhbFZpZXciOiJNeUZpbGVzTGlua0NvcHkifX0&amp;e=eb9VSC" TargetMode="External" Id="R2f181518786a4bc8" /><Relationship Type="http://schemas.openxmlformats.org/officeDocument/2006/relationships/hyperlink" Target="https://www.bitmoji.com/stickers/" TargetMode="External" Id="R0825c2615afd4a95" /><Relationship Type="http://schemas.openxmlformats.org/officeDocument/2006/relationships/hyperlink" Target="https://www.crestawards.org/what-is-crest/discovery-award" TargetMode="External" Id="R4b4978f7c46f49e5" /><Relationship Type="http://schemas.openxmlformats.org/officeDocument/2006/relationships/hyperlink" Target="https://www.crestawards.org/" TargetMode="External" Id="R34cebe3f1f624706" /><Relationship Type="http://schemas.openxmlformats.org/officeDocument/2006/relationships/hyperlink" Target="https://hwb.gov.wales/professional-learning" TargetMode="External" Id="R1408b53aec2d4251" /><Relationship Type="http://schemas.openxmlformats.org/officeDocument/2006/relationships/hyperlink" Target="https://www.gov.wales/curriculum-wales-guidance" TargetMode="External" Id="R7a51c8304ab34147" /><Relationship Type="http://schemas.openxmlformats.org/officeDocument/2006/relationships/hyperlink" Target="https://hwb.gov.wales/curriculum-for-wales/" TargetMode="External" Id="R16275e9738e64060" /><Relationship Type="http://schemas.openxmlformats.org/officeDocument/2006/relationships/hyperlink" Target="https://hwb.gov.wales/curriculum-for-wales/science-and-technology" TargetMode="External" Id="R2ea6a6c2f64e4b50" /><Relationship Type="http://schemas.openxmlformats.org/officeDocument/2006/relationships/image" Target="/media/image.png" Id="R19d4426621de4af5" /><Relationship Type="http://schemas.openxmlformats.org/officeDocument/2006/relationships/numbering" Target="numbering.xml" Id="Rcfdbb9a7d1c3444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2025-05-15T10:12:27.0557903Z</dcterms:created>
  <dcterms:modified xsi:type="dcterms:W3CDTF">2025-05-15T11:03:47.1595731Z</dcterms:modified>
  <dc:creator>Phoebe Swales (2314717)</dc:creator>
  <lastModifiedBy>Phoebe Swales (2314717)</lastModifiedBy>
</coreProperties>
</file>