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11CF16" w14:textId="77777777" w:rsidR="0015360A" w:rsidRPr="00B065FE" w:rsidRDefault="0015360A" w:rsidP="0015360A">
      <w:pPr>
        <w:rPr>
          <w:rFonts w:ascii="Arial" w:hAnsi="Arial" w:cs="Arial"/>
          <w:b/>
          <w:bCs/>
        </w:rPr>
      </w:pPr>
      <w:r w:rsidRPr="00B065FE">
        <w:rPr>
          <w:rFonts w:ascii="Arial" w:hAnsi="Arial" w:cs="Arial"/>
          <w:b/>
          <w:bCs/>
        </w:rPr>
        <w:t>Academic Skills (HPFY3010).</w:t>
      </w:r>
    </w:p>
    <w:p w14:paraId="4177193B" w14:textId="2F6D5D62" w:rsidR="00E32735" w:rsidRDefault="0015360A" w:rsidP="0015360A">
      <w:pPr>
        <w:rPr>
          <w:rFonts w:ascii="Arial" w:hAnsi="Arial" w:cs="Arial"/>
          <w:b/>
          <w:bCs/>
        </w:rPr>
      </w:pPr>
      <w:r w:rsidRPr="00B065FE">
        <w:rPr>
          <w:rFonts w:ascii="Arial" w:hAnsi="Arial" w:cs="Arial"/>
          <w:b/>
          <w:bCs/>
        </w:rPr>
        <w:t>Assignment 3: Primary source analysis.</w:t>
      </w:r>
    </w:p>
    <w:p w14:paraId="6E4D18F7" w14:textId="1FEFAA7B" w:rsidR="00EA63C8" w:rsidRPr="00B065FE" w:rsidRDefault="00EA63C8" w:rsidP="0015360A">
      <w:pPr>
        <w:rPr>
          <w:rFonts w:ascii="Arial" w:hAnsi="Arial" w:cs="Arial"/>
          <w:b/>
          <w:bCs/>
        </w:rPr>
      </w:pPr>
      <w:r w:rsidRPr="00EA63C8">
        <w:rPr>
          <w:rFonts w:ascii="Arial" w:hAnsi="Arial" w:cs="Arial"/>
          <w:b/>
          <w:bCs/>
        </w:rPr>
        <w:t>I confirm that I have not presented any AI generated text as my own work. I confirm I have copies of my drafts, notes, and other resources I used before, and after the use of AI tools which I may be asked to provide in evidence.</w:t>
      </w:r>
    </w:p>
    <w:p w14:paraId="1FE06C8E" w14:textId="126373F3" w:rsidR="007514B5" w:rsidRPr="00446083" w:rsidRDefault="00B065FE" w:rsidP="007514B5">
      <w:pPr>
        <w:pStyle w:val="NormalWeb"/>
        <w:spacing w:after="0"/>
        <w:rPr>
          <w:rFonts w:ascii="Arial" w:eastAsia="Calibri" w:hAnsi="Arial" w:cs="Arial"/>
          <w:color w:val="111111"/>
          <w:sz w:val="22"/>
          <w:szCs w:val="22"/>
          <w:lang w:eastAsia="en-GB"/>
        </w:rPr>
      </w:pPr>
      <w:r w:rsidRPr="00B065FE">
        <w:rPr>
          <w:rFonts w:ascii="Arial" w:eastAsia="Calibri" w:hAnsi="Arial" w:cs="Arial"/>
          <w:b/>
          <w:bCs/>
          <w:color w:val="111111"/>
          <w:sz w:val="22"/>
          <w:szCs w:val="22"/>
          <w:lang w:eastAsia="en-GB"/>
        </w:rPr>
        <w:t xml:space="preserve">Using </w:t>
      </w:r>
      <w:r w:rsidR="00446083">
        <w:rPr>
          <w:rFonts w:ascii="Arial" w:eastAsia="Calibri" w:hAnsi="Arial" w:cs="Arial"/>
          <w:b/>
          <w:bCs/>
          <w:color w:val="111111"/>
          <w:sz w:val="22"/>
          <w:szCs w:val="22"/>
          <w:lang w:eastAsia="en-GB"/>
        </w:rPr>
        <w:t>e</w:t>
      </w:r>
      <w:r w:rsidR="00446083" w:rsidRPr="00446083">
        <w:rPr>
          <w:rFonts w:ascii="Arial" w:eastAsia="Calibri" w:hAnsi="Arial" w:cs="Arial"/>
          <w:b/>
          <w:bCs/>
          <w:color w:val="111111"/>
          <w:sz w:val="22"/>
          <w:szCs w:val="22"/>
          <w:lang w:eastAsia="en-GB"/>
        </w:rPr>
        <w:t xml:space="preserve">yewitness </w:t>
      </w:r>
      <w:r w:rsidR="00446083">
        <w:rPr>
          <w:rFonts w:ascii="Arial" w:eastAsia="Calibri" w:hAnsi="Arial" w:cs="Arial"/>
          <w:b/>
          <w:bCs/>
          <w:color w:val="111111"/>
          <w:sz w:val="22"/>
          <w:szCs w:val="22"/>
          <w:lang w:eastAsia="en-GB"/>
        </w:rPr>
        <w:t>r</w:t>
      </w:r>
      <w:r w:rsidR="00446083" w:rsidRPr="00446083">
        <w:rPr>
          <w:rFonts w:ascii="Arial" w:eastAsia="Calibri" w:hAnsi="Arial" w:cs="Arial"/>
          <w:b/>
          <w:bCs/>
          <w:color w:val="111111"/>
          <w:sz w:val="22"/>
          <w:szCs w:val="22"/>
          <w:lang w:eastAsia="en-GB"/>
        </w:rPr>
        <w:t>eport by Hermann Hoth</w:t>
      </w:r>
      <w:r w:rsidR="00446083">
        <w:rPr>
          <w:rFonts w:ascii="Arial" w:eastAsia="Calibri" w:hAnsi="Arial" w:cs="Arial"/>
          <w:b/>
          <w:bCs/>
          <w:color w:val="111111"/>
          <w:sz w:val="22"/>
          <w:szCs w:val="22"/>
          <w:lang w:eastAsia="en-GB"/>
        </w:rPr>
        <w:t>,</w:t>
      </w:r>
      <w:r w:rsidR="00446083" w:rsidRPr="00446083">
        <w:rPr>
          <w:rFonts w:ascii="Arial" w:eastAsia="Calibri" w:hAnsi="Arial" w:cs="Arial"/>
          <w:b/>
          <w:bCs/>
          <w:color w:val="111111"/>
          <w:sz w:val="22"/>
          <w:szCs w:val="22"/>
          <w:lang w:eastAsia="en-GB"/>
        </w:rPr>
        <w:t xml:space="preserve"> a </w:t>
      </w:r>
      <w:r w:rsidRPr="00B065FE">
        <w:rPr>
          <w:rFonts w:ascii="Arial" w:eastAsia="Calibri" w:hAnsi="Arial" w:cs="Arial"/>
          <w:b/>
          <w:bCs/>
          <w:color w:val="111111"/>
          <w:sz w:val="22"/>
          <w:szCs w:val="22"/>
          <w:lang w:eastAsia="en-GB"/>
        </w:rPr>
        <w:t>German Commander</w:t>
      </w:r>
      <w:r w:rsidR="00853AFC">
        <w:rPr>
          <w:rFonts w:ascii="Arial" w:eastAsia="Calibri" w:hAnsi="Arial" w:cs="Arial"/>
          <w:b/>
          <w:bCs/>
          <w:color w:val="111111"/>
          <w:sz w:val="22"/>
          <w:szCs w:val="22"/>
          <w:lang w:eastAsia="en-GB"/>
        </w:rPr>
        <w:t>.</w:t>
      </w:r>
      <w:r w:rsidR="003B3BD6" w:rsidRPr="00446083">
        <w:rPr>
          <w:rFonts w:ascii="Arial" w:eastAsia="Calibri" w:hAnsi="Arial" w:cs="Arial"/>
          <w:b/>
          <w:bCs/>
          <w:color w:val="111111"/>
          <w:sz w:val="22"/>
          <w:szCs w:val="22"/>
          <w:lang w:eastAsia="en-GB"/>
        </w:rPr>
        <w:t xml:space="preserve"> Generaloberst Hermann Hoth</w:t>
      </w:r>
      <w:r w:rsidR="00853AFC">
        <w:rPr>
          <w:rFonts w:ascii="Arial" w:eastAsia="Calibri" w:hAnsi="Arial" w:cs="Arial"/>
          <w:b/>
          <w:bCs/>
          <w:color w:val="111111"/>
          <w:sz w:val="22"/>
          <w:szCs w:val="22"/>
          <w:lang w:eastAsia="en-GB"/>
        </w:rPr>
        <w:t>’s</w:t>
      </w:r>
      <w:r w:rsidR="003B3BD6" w:rsidRPr="00446083">
        <w:rPr>
          <w:rFonts w:ascii="Arial" w:eastAsia="Calibri" w:hAnsi="Arial" w:cs="Arial"/>
          <w:b/>
          <w:bCs/>
          <w:color w:val="111111"/>
          <w:sz w:val="22"/>
          <w:szCs w:val="22"/>
          <w:lang w:eastAsia="en-GB"/>
        </w:rPr>
        <w:t xml:space="preserve"> (Colonel General Hermann Hoth)</w:t>
      </w:r>
      <w:r w:rsidRPr="00B065FE">
        <w:rPr>
          <w:rFonts w:ascii="Arial" w:eastAsia="Calibri" w:hAnsi="Arial" w:cs="Arial"/>
          <w:b/>
          <w:bCs/>
          <w:color w:val="111111"/>
          <w:sz w:val="22"/>
          <w:szCs w:val="22"/>
          <w:lang w:eastAsia="en-GB"/>
        </w:rPr>
        <w:t xml:space="preserve"> </w:t>
      </w:r>
      <w:r w:rsidR="00853AFC">
        <w:rPr>
          <w:rFonts w:ascii="Arial" w:eastAsia="Calibri" w:hAnsi="Arial" w:cs="Arial"/>
          <w:b/>
          <w:bCs/>
          <w:color w:val="111111"/>
          <w:sz w:val="22"/>
          <w:szCs w:val="22"/>
          <w:lang w:eastAsia="en-GB"/>
        </w:rPr>
        <w:t>a</w:t>
      </w:r>
      <w:r w:rsidRPr="00B065FE">
        <w:rPr>
          <w:rFonts w:ascii="Arial" w:eastAsia="Calibri" w:hAnsi="Arial" w:cs="Arial"/>
          <w:b/>
          <w:bCs/>
          <w:color w:val="111111"/>
          <w:sz w:val="22"/>
          <w:szCs w:val="22"/>
          <w:lang w:eastAsia="en-GB"/>
        </w:rPr>
        <w:t xml:space="preserve">ccount from S.H. Newton’s </w:t>
      </w:r>
      <w:r w:rsidRPr="00B065FE">
        <w:rPr>
          <w:rFonts w:ascii="Arial" w:eastAsia="Calibri" w:hAnsi="Arial" w:cs="Arial"/>
          <w:b/>
          <w:bCs/>
          <w:i/>
          <w:iCs/>
          <w:color w:val="111111"/>
          <w:sz w:val="22"/>
          <w:szCs w:val="22"/>
          <w:lang w:eastAsia="en-GB"/>
        </w:rPr>
        <w:t>Kursk: The German View - Eyewitness Reports of Operation Citadel</w:t>
      </w:r>
      <w:r w:rsidR="00446083" w:rsidRPr="00446083">
        <w:rPr>
          <w:rFonts w:ascii="Arial" w:eastAsia="Calibri" w:hAnsi="Arial" w:cs="Arial"/>
          <w:b/>
          <w:bCs/>
          <w:i/>
          <w:iCs/>
          <w:color w:val="111111"/>
          <w:sz w:val="22"/>
          <w:szCs w:val="22"/>
          <w:lang w:eastAsia="en-GB"/>
        </w:rPr>
        <w:t>.</w:t>
      </w:r>
    </w:p>
    <w:p w14:paraId="3A7EBB68" w14:textId="77777777" w:rsidR="005044AF" w:rsidRPr="00B065FE" w:rsidRDefault="005044AF" w:rsidP="00B065FE">
      <w:pPr>
        <w:spacing w:after="0" w:line="240" w:lineRule="auto"/>
        <w:rPr>
          <w:rFonts w:ascii="Arial" w:eastAsia="Calibri" w:hAnsi="Arial" w:cs="Arial"/>
          <w:lang w:eastAsia="en-GB"/>
        </w:rPr>
      </w:pPr>
    </w:p>
    <w:p w14:paraId="17CEDB3E" w14:textId="1E867E70" w:rsidR="00B065FE" w:rsidRPr="00B065FE" w:rsidRDefault="00B065FE" w:rsidP="00B065FE">
      <w:pPr>
        <w:spacing w:after="0" w:line="240" w:lineRule="auto"/>
        <w:rPr>
          <w:rFonts w:ascii="Arial" w:eastAsia="Calibri" w:hAnsi="Arial" w:cs="Arial"/>
          <w:color w:val="111111"/>
          <w:lang w:eastAsia="en-GB"/>
        </w:rPr>
      </w:pPr>
      <w:r w:rsidRPr="00B065FE">
        <w:rPr>
          <w:rFonts w:ascii="Arial" w:eastAsia="Calibri" w:hAnsi="Arial" w:cs="Arial"/>
          <w:b/>
          <w:bCs/>
          <w:color w:val="111111"/>
          <w:lang w:eastAsia="en-GB"/>
        </w:rPr>
        <w:t>Introduction</w:t>
      </w:r>
      <w:r w:rsidR="003B698B">
        <w:rPr>
          <w:rFonts w:ascii="Arial" w:eastAsia="Calibri" w:hAnsi="Arial" w:cs="Arial"/>
          <w:b/>
          <w:bCs/>
          <w:color w:val="111111"/>
          <w:lang w:eastAsia="en-GB"/>
        </w:rPr>
        <w:t>.</w:t>
      </w:r>
    </w:p>
    <w:p w14:paraId="75BD9E61" w14:textId="77777777" w:rsidR="00B065FE" w:rsidRPr="00B065FE" w:rsidRDefault="00B065FE" w:rsidP="00B065FE">
      <w:pPr>
        <w:spacing w:after="0" w:line="240" w:lineRule="auto"/>
        <w:rPr>
          <w:rFonts w:ascii="Arial" w:eastAsia="Calibri" w:hAnsi="Arial" w:cs="Arial"/>
          <w:color w:val="111111"/>
          <w:lang w:eastAsia="en-GB"/>
        </w:rPr>
      </w:pPr>
    </w:p>
    <w:p w14:paraId="0671ECAC" w14:textId="77777777" w:rsidR="00B065FE" w:rsidRDefault="00B065FE" w:rsidP="00B065FE">
      <w:pPr>
        <w:spacing w:after="0" w:line="240" w:lineRule="auto"/>
        <w:rPr>
          <w:rFonts w:ascii="Arial" w:eastAsia="Calibri" w:hAnsi="Arial" w:cs="Arial"/>
          <w:color w:val="111111"/>
          <w:lang w:eastAsia="en-GB"/>
        </w:rPr>
      </w:pPr>
      <w:r w:rsidRPr="00B065FE">
        <w:rPr>
          <w:rFonts w:ascii="Arial" w:eastAsia="Calibri" w:hAnsi="Arial" w:cs="Arial"/>
          <w:color w:val="111111"/>
          <w:lang w:eastAsia="en-GB"/>
        </w:rPr>
        <w:t xml:space="preserve">The Battle of Kursk, fought in July 1943, was a decisive confrontation on the Eastern Front during World War II. As one of the largest tank battles in history, it marked a turning point, cementing the Soviet Union’s strategic dominance. First-hand accounts by German commanders offer unique perspectives on this event, one of which is General Hermann Hoth’s analysis of Operation Citadel, compiled in S.H. Newton’s </w:t>
      </w:r>
      <w:r w:rsidRPr="00B065FE">
        <w:rPr>
          <w:rFonts w:ascii="Arial" w:eastAsia="Calibri" w:hAnsi="Arial" w:cs="Arial"/>
          <w:i/>
          <w:iCs/>
          <w:color w:val="111111"/>
          <w:lang w:eastAsia="en-GB"/>
        </w:rPr>
        <w:t>Kursk: The German View</w:t>
      </w:r>
      <w:r w:rsidRPr="00B065FE">
        <w:rPr>
          <w:rFonts w:ascii="Arial" w:eastAsia="Calibri" w:hAnsi="Arial" w:cs="Arial"/>
          <w:color w:val="111111"/>
          <w:lang w:eastAsia="en-GB"/>
        </w:rPr>
        <w:t>. This essay explores Hoth’s account as a primary source, examining its context, content, and value for understanding the battle.</w:t>
      </w:r>
    </w:p>
    <w:p w14:paraId="63AD5C67" w14:textId="77777777" w:rsidR="002174B6" w:rsidRDefault="002174B6" w:rsidP="00B065FE">
      <w:pPr>
        <w:spacing w:after="0" w:line="240" w:lineRule="auto"/>
        <w:rPr>
          <w:rFonts w:ascii="Arial" w:eastAsia="Calibri" w:hAnsi="Arial" w:cs="Arial"/>
          <w:color w:val="111111"/>
          <w:lang w:eastAsia="en-GB"/>
        </w:rPr>
      </w:pPr>
    </w:p>
    <w:p w14:paraId="4A7DAC1C" w14:textId="2DA4F7E9" w:rsidR="002174B6" w:rsidRPr="00B065FE" w:rsidRDefault="002174B6" w:rsidP="00B065FE">
      <w:pPr>
        <w:spacing w:after="0" w:line="240" w:lineRule="auto"/>
        <w:rPr>
          <w:rFonts w:ascii="Arial" w:eastAsia="Calibri" w:hAnsi="Arial" w:cs="Arial"/>
          <w:color w:val="111111"/>
          <w:lang w:eastAsia="en-GB"/>
        </w:rPr>
      </w:pPr>
      <w:r w:rsidRPr="002174B6">
        <w:rPr>
          <w:rFonts w:ascii="Arial" w:eastAsia="Calibri" w:hAnsi="Arial" w:cs="Arial"/>
          <w:color w:val="111111"/>
          <w:lang w:eastAsia="en-GB"/>
        </w:rPr>
        <w:t xml:space="preserve">The relevance of studying the Battle of Kursk extends beyond its historical significance. The ongoing war in Ukraine has revived interest in the Eastern Front of World War II, with many drawing parallels between historical and contemporary conflicts in the region. The Kursk campaign demonstrated the importance of </w:t>
      </w:r>
      <w:r w:rsidR="004727B0" w:rsidRPr="002174B6">
        <w:rPr>
          <w:rFonts w:ascii="Arial" w:eastAsia="Calibri" w:hAnsi="Arial" w:cs="Arial"/>
          <w:color w:val="111111"/>
          <w:lang w:eastAsia="en-GB"/>
        </w:rPr>
        <w:t>defen</w:t>
      </w:r>
      <w:r w:rsidR="004727B0">
        <w:rPr>
          <w:rFonts w:ascii="Arial" w:eastAsia="Calibri" w:hAnsi="Arial" w:cs="Arial"/>
          <w:color w:val="111111"/>
          <w:lang w:eastAsia="en-GB"/>
        </w:rPr>
        <w:t>s</w:t>
      </w:r>
      <w:r w:rsidR="004727B0" w:rsidRPr="002174B6">
        <w:rPr>
          <w:rFonts w:ascii="Arial" w:eastAsia="Calibri" w:hAnsi="Arial" w:cs="Arial"/>
          <w:color w:val="111111"/>
          <w:lang w:eastAsia="en-GB"/>
        </w:rPr>
        <w:t>ive</w:t>
      </w:r>
      <w:r w:rsidRPr="002174B6">
        <w:rPr>
          <w:rFonts w:ascii="Arial" w:eastAsia="Calibri" w:hAnsi="Arial" w:cs="Arial"/>
          <w:color w:val="111111"/>
          <w:lang w:eastAsia="en-GB"/>
        </w:rPr>
        <w:t xml:space="preserve"> fortifications, the effective use of combined arms, and the critical role of logistics in warfare—concepts that remain highly relevant in modern military strategy. The current conflict also highlights the </w:t>
      </w:r>
      <w:r w:rsidR="006075D2" w:rsidRPr="002174B6">
        <w:rPr>
          <w:rFonts w:ascii="Arial" w:eastAsia="Calibri" w:hAnsi="Arial" w:cs="Arial"/>
          <w:color w:val="111111"/>
          <w:lang w:eastAsia="en-GB"/>
        </w:rPr>
        <w:t>legacy</w:t>
      </w:r>
      <w:r w:rsidRPr="002174B6">
        <w:rPr>
          <w:rFonts w:ascii="Arial" w:eastAsia="Calibri" w:hAnsi="Arial" w:cs="Arial"/>
          <w:color w:val="111111"/>
          <w:lang w:eastAsia="en-GB"/>
        </w:rPr>
        <w:t xml:space="preserve"> of Soviet military doctrine, which was shaped by battles such as Kursk. By examining Hoth’s account, we can better understand the strategic dynamics of large-scale mechanized warfare and how these lessons continue to inform military operations today.</w:t>
      </w:r>
    </w:p>
    <w:p w14:paraId="5B9138A8" w14:textId="77777777" w:rsidR="00B065FE" w:rsidRDefault="00B065FE" w:rsidP="00B065FE">
      <w:pPr>
        <w:spacing w:after="0" w:line="240" w:lineRule="auto"/>
        <w:rPr>
          <w:rFonts w:ascii="Arial" w:eastAsia="Calibri" w:hAnsi="Arial" w:cs="Arial"/>
          <w:lang w:eastAsia="en-GB"/>
        </w:rPr>
      </w:pPr>
    </w:p>
    <w:p w14:paraId="3A913647" w14:textId="77777777" w:rsidR="005044AF" w:rsidRPr="00B065FE" w:rsidRDefault="005044AF" w:rsidP="00B065FE">
      <w:pPr>
        <w:spacing w:after="0" w:line="240" w:lineRule="auto"/>
        <w:rPr>
          <w:rFonts w:ascii="Arial" w:eastAsia="Calibri" w:hAnsi="Arial" w:cs="Arial"/>
          <w:lang w:eastAsia="en-GB"/>
        </w:rPr>
      </w:pPr>
    </w:p>
    <w:p w14:paraId="6D376B62" w14:textId="28AD5366" w:rsidR="00B065FE" w:rsidRPr="00B065FE" w:rsidRDefault="00B065FE" w:rsidP="00B065FE">
      <w:pPr>
        <w:spacing w:after="0" w:line="240" w:lineRule="auto"/>
        <w:rPr>
          <w:rFonts w:ascii="Arial" w:eastAsia="Calibri" w:hAnsi="Arial" w:cs="Arial"/>
          <w:color w:val="111111"/>
          <w:lang w:eastAsia="en-GB"/>
        </w:rPr>
      </w:pPr>
      <w:r w:rsidRPr="00B065FE">
        <w:rPr>
          <w:rFonts w:ascii="Arial" w:eastAsia="Calibri" w:hAnsi="Arial" w:cs="Arial"/>
          <w:b/>
          <w:bCs/>
          <w:color w:val="111111"/>
          <w:lang w:eastAsia="en-GB"/>
        </w:rPr>
        <w:t>Background of the Document</w:t>
      </w:r>
      <w:r w:rsidR="003B698B">
        <w:rPr>
          <w:rFonts w:ascii="Arial" w:eastAsia="Calibri" w:hAnsi="Arial" w:cs="Arial"/>
          <w:b/>
          <w:bCs/>
          <w:color w:val="111111"/>
          <w:lang w:eastAsia="en-GB"/>
        </w:rPr>
        <w:t>.</w:t>
      </w:r>
    </w:p>
    <w:p w14:paraId="021F6D17" w14:textId="77777777" w:rsidR="00B065FE" w:rsidRPr="00B065FE" w:rsidRDefault="00B065FE" w:rsidP="00B065FE">
      <w:pPr>
        <w:spacing w:after="0" w:line="240" w:lineRule="auto"/>
        <w:rPr>
          <w:rFonts w:ascii="Arial" w:eastAsia="Calibri" w:hAnsi="Arial" w:cs="Arial"/>
          <w:color w:val="111111"/>
          <w:lang w:eastAsia="en-GB"/>
        </w:rPr>
      </w:pPr>
    </w:p>
    <w:p w14:paraId="0AA8C0C8" w14:textId="41453751" w:rsidR="00B065FE" w:rsidRPr="00B065FE" w:rsidRDefault="00B065FE" w:rsidP="00B065FE">
      <w:pPr>
        <w:spacing w:after="0" w:line="240" w:lineRule="auto"/>
        <w:rPr>
          <w:rFonts w:ascii="Arial" w:eastAsia="Calibri" w:hAnsi="Arial" w:cs="Arial"/>
          <w:color w:val="111111"/>
          <w:lang w:eastAsia="en-GB"/>
        </w:rPr>
      </w:pPr>
      <w:r w:rsidRPr="00B065FE">
        <w:rPr>
          <w:rFonts w:ascii="Arial" w:eastAsia="Calibri" w:hAnsi="Arial" w:cs="Arial"/>
          <w:color w:val="111111"/>
          <w:lang w:eastAsia="en-GB"/>
        </w:rPr>
        <w:t>The selected account was authored by General Hermann Hoth, commander of the 4th Panzer Army, responsible for the southern pincer of Operation Citadel. Hoth was an influential figure in German military strategy, renowned for his expertise in armoured warfare. The document was produced post-war, likely influenced by the desire of many German officers to defend their wartime actions and reputations. During this period, narratives like Hoth’s aimed to explain failures, sometimes by emphasizing external factors such as Soviet superiority or political interference from Hitler.</w:t>
      </w:r>
    </w:p>
    <w:p w14:paraId="06F87FB2" w14:textId="77777777" w:rsidR="00B065FE" w:rsidRPr="00B065FE" w:rsidRDefault="00B065FE" w:rsidP="00B065FE">
      <w:pPr>
        <w:spacing w:after="0" w:line="240" w:lineRule="auto"/>
        <w:rPr>
          <w:rFonts w:ascii="Arial" w:eastAsia="Calibri" w:hAnsi="Arial" w:cs="Arial"/>
          <w:color w:val="111111"/>
          <w:lang w:eastAsia="en-GB"/>
        </w:rPr>
      </w:pPr>
    </w:p>
    <w:p w14:paraId="06477B44" w14:textId="77777777" w:rsidR="00B065FE" w:rsidRPr="00B065FE" w:rsidRDefault="00B065FE" w:rsidP="00B065FE">
      <w:pPr>
        <w:spacing w:after="0" w:line="240" w:lineRule="auto"/>
        <w:rPr>
          <w:rFonts w:ascii="Arial" w:eastAsia="Calibri" w:hAnsi="Arial" w:cs="Arial"/>
          <w:color w:val="111111"/>
          <w:lang w:eastAsia="en-GB"/>
        </w:rPr>
      </w:pPr>
      <w:r w:rsidRPr="00B065FE">
        <w:rPr>
          <w:rFonts w:ascii="Arial" w:eastAsia="Calibri" w:hAnsi="Arial" w:cs="Arial"/>
          <w:color w:val="111111"/>
          <w:lang w:eastAsia="en-GB"/>
        </w:rPr>
        <w:t>The timing of the account’s publication in Newton’s 2002 compilation is significant. By this point, Western historians were reevaluating the Eastern Front, and German perspectives offered insights into Wehrmacht operations. Hoth’s intended audience likely included military historians, analysts, and enthusiasts, many of whom sought detailed tactical and operational insights. His portrayal of events reflects a dual aim: to document the operational challenges faced by German forces and to rationalize the failure at Kursk by highlighting external obstacles.</w:t>
      </w:r>
    </w:p>
    <w:p w14:paraId="7F509F58" w14:textId="77777777" w:rsidR="00B065FE" w:rsidRDefault="00B065FE" w:rsidP="00B065FE">
      <w:pPr>
        <w:spacing w:after="0" w:line="240" w:lineRule="auto"/>
        <w:rPr>
          <w:rFonts w:ascii="Arial" w:eastAsia="Calibri" w:hAnsi="Arial" w:cs="Arial"/>
          <w:lang w:eastAsia="en-GB"/>
        </w:rPr>
      </w:pPr>
    </w:p>
    <w:p w14:paraId="6519D0BE" w14:textId="77777777" w:rsidR="005044AF" w:rsidRPr="00B065FE" w:rsidRDefault="005044AF" w:rsidP="00B065FE">
      <w:pPr>
        <w:spacing w:after="0" w:line="240" w:lineRule="auto"/>
        <w:rPr>
          <w:rFonts w:ascii="Arial" w:eastAsia="Calibri" w:hAnsi="Arial" w:cs="Arial"/>
          <w:lang w:eastAsia="en-GB"/>
        </w:rPr>
      </w:pPr>
    </w:p>
    <w:p w14:paraId="52FDDC62" w14:textId="1C653930" w:rsidR="00B065FE" w:rsidRPr="00B065FE" w:rsidRDefault="00B065FE" w:rsidP="00B065FE">
      <w:pPr>
        <w:spacing w:after="0" w:line="240" w:lineRule="auto"/>
        <w:rPr>
          <w:rFonts w:ascii="Arial" w:eastAsia="Calibri" w:hAnsi="Arial" w:cs="Arial"/>
          <w:color w:val="111111"/>
          <w:lang w:eastAsia="en-GB"/>
        </w:rPr>
      </w:pPr>
      <w:r w:rsidRPr="00B065FE">
        <w:rPr>
          <w:rFonts w:ascii="Arial" w:eastAsia="Calibri" w:hAnsi="Arial" w:cs="Arial"/>
          <w:b/>
          <w:bCs/>
          <w:color w:val="111111"/>
          <w:lang w:eastAsia="en-GB"/>
        </w:rPr>
        <w:t>Context of the Time</w:t>
      </w:r>
      <w:r w:rsidR="003B698B">
        <w:rPr>
          <w:rFonts w:ascii="Arial" w:eastAsia="Calibri" w:hAnsi="Arial" w:cs="Arial"/>
          <w:b/>
          <w:bCs/>
          <w:color w:val="111111"/>
          <w:lang w:eastAsia="en-GB"/>
        </w:rPr>
        <w:t>.</w:t>
      </w:r>
    </w:p>
    <w:p w14:paraId="6FFC7C08" w14:textId="77777777" w:rsidR="00B065FE" w:rsidRPr="00B065FE" w:rsidRDefault="00B065FE" w:rsidP="00B065FE">
      <w:pPr>
        <w:spacing w:after="0" w:line="240" w:lineRule="auto"/>
        <w:rPr>
          <w:rFonts w:ascii="Arial" w:eastAsia="Calibri" w:hAnsi="Arial" w:cs="Arial"/>
          <w:color w:val="111111"/>
          <w:lang w:eastAsia="en-GB"/>
        </w:rPr>
      </w:pPr>
    </w:p>
    <w:p w14:paraId="442F3658" w14:textId="57D2CCBB" w:rsidR="00B065FE" w:rsidRPr="00B065FE" w:rsidRDefault="00B065FE" w:rsidP="00B065FE">
      <w:pPr>
        <w:spacing w:after="0" w:line="240" w:lineRule="auto"/>
        <w:rPr>
          <w:rFonts w:ascii="Arial" w:eastAsia="Calibri" w:hAnsi="Arial" w:cs="Arial"/>
          <w:color w:val="111111"/>
          <w:lang w:eastAsia="en-GB"/>
        </w:rPr>
      </w:pPr>
      <w:r w:rsidRPr="00B065FE">
        <w:rPr>
          <w:rFonts w:ascii="Arial" w:eastAsia="Calibri" w:hAnsi="Arial" w:cs="Arial"/>
          <w:color w:val="111111"/>
          <w:lang w:eastAsia="en-GB"/>
        </w:rPr>
        <w:lastRenderedPageBreak/>
        <w:t>Operation Citadel was a critical moment in 1943. Following the catastrophic defeat at Stalingrad, German forces sought to regain the initiative by targeting the Soviet salient at Kursk. Delays in launching the offensive until July enabled the Soviets to fortify their defences, creating a layered system of trenches, minefields, and artillery positions. Hoth’s account reflects this strategic context, particularly the challenges posed by Soviet preparations.</w:t>
      </w:r>
    </w:p>
    <w:p w14:paraId="6244961F" w14:textId="77777777" w:rsidR="00B065FE" w:rsidRPr="00B065FE" w:rsidRDefault="00B065FE" w:rsidP="00B065FE">
      <w:pPr>
        <w:spacing w:after="0" w:line="240" w:lineRule="auto"/>
        <w:rPr>
          <w:rFonts w:ascii="Arial" w:eastAsia="Calibri" w:hAnsi="Arial" w:cs="Arial"/>
          <w:color w:val="111111"/>
          <w:lang w:eastAsia="en-GB"/>
        </w:rPr>
      </w:pPr>
    </w:p>
    <w:p w14:paraId="7C402063" w14:textId="77777777" w:rsidR="00B065FE" w:rsidRPr="00B065FE" w:rsidRDefault="00B065FE" w:rsidP="00B065FE">
      <w:pPr>
        <w:spacing w:after="0" w:line="240" w:lineRule="auto"/>
        <w:rPr>
          <w:rFonts w:ascii="Arial" w:eastAsia="Calibri" w:hAnsi="Arial" w:cs="Arial"/>
          <w:color w:val="111111"/>
          <w:lang w:eastAsia="en-GB"/>
        </w:rPr>
      </w:pPr>
      <w:r w:rsidRPr="00B065FE">
        <w:rPr>
          <w:rFonts w:ascii="Arial" w:eastAsia="Calibri" w:hAnsi="Arial" w:cs="Arial"/>
          <w:color w:val="111111"/>
          <w:lang w:eastAsia="en-GB"/>
        </w:rPr>
        <w:t xml:space="preserve">He stated, </w:t>
      </w:r>
      <w:r w:rsidRPr="00B065FE">
        <w:rPr>
          <w:rFonts w:ascii="Arial" w:eastAsia="Calibri" w:hAnsi="Arial" w:cs="Arial"/>
          <w:i/>
          <w:iCs/>
          <w:color w:val="111111"/>
          <w:lang w:eastAsia="en-GB"/>
        </w:rPr>
        <w:t>“Operation Citadel was carefully prepared, but the delay gave the Soviets time to transform the salient into a fortress”</w:t>
      </w:r>
      <w:r w:rsidRPr="00B065FE">
        <w:rPr>
          <w:rFonts w:ascii="Arial" w:eastAsia="Calibri" w:hAnsi="Arial" w:cs="Arial"/>
          <w:color w:val="111111"/>
          <w:lang w:eastAsia="en-GB"/>
        </w:rPr>
        <w:t xml:space="preserve"> (Newton, 2002, p. 96). This emphasizes the impact of timing and preparation on the battle’s outcome. The account also reflects the post-war context in which German officers sought to frame their narratives for Western audiences during the Cold War, often portraying the Wehrmacht as distinct from the Nazi regime and attributing their defeats to external factors.</w:t>
      </w:r>
    </w:p>
    <w:p w14:paraId="43278334" w14:textId="77777777" w:rsidR="00B065FE" w:rsidRDefault="00B065FE" w:rsidP="00B065FE">
      <w:pPr>
        <w:spacing w:after="0" w:line="240" w:lineRule="auto"/>
        <w:rPr>
          <w:rFonts w:ascii="Arial" w:eastAsia="Calibri" w:hAnsi="Arial" w:cs="Arial"/>
          <w:lang w:eastAsia="en-GB"/>
        </w:rPr>
      </w:pPr>
    </w:p>
    <w:p w14:paraId="3B78E6B9" w14:textId="77777777" w:rsidR="005044AF" w:rsidRPr="00B065FE" w:rsidRDefault="005044AF" w:rsidP="00B065FE">
      <w:pPr>
        <w:spacing w:after="0" w:line="240" w:lineRule="auto"/>
        <w:rPr>
          <w:rFonts w:ascii="Arial" w:eastAsia="Calibri" w:hAnsi="Arial" w:cs="Arial"/>
          <w:lang w:eastAsia="en-GB"/>
        </w:rPr>
      </w:pPr>
    </w:p>
    <w:p w14:paraId="5DE14ADD" w14:textId="724FA4B3" w:rsidR="00B065FE" w:rsidRPr="00B065FE" w:rsidRDefault="00B065FE" w:rsidP="00B065FE">
      <w:pPr>
        <w:spacing w:after="0" w:line="240" w:lineRule="auto"/>
        <w:rPr>
          <w:rFonts w:ascii="Arial" w:eastAsia="Calibri" w:hAnsi="Arial" w:cs="Arial"/>
          <w:color w:val="111111"/>
          <w:lang w:eastAsia="en-GB"/>
        </w:rPr>
      </w:pPr>
      <w:r w:rsidRPr="00B065FE">
        <w:rPr>
          <w:rFonts w:ascii="Arial" w:eastAsia="Calibri" w:hAnsi="Arial" w:cs="Arial"/>
          <w:b/>
          <w:bCs/>
          <w:color w:val="111111"/>
          <w:lang w:eastAsia="en-GB"/>
        </w:rPr>
        <w:t>Analysis of Content</w:t>
      </w:r>
      <w:r w:rsidR="003B698B">
        <w:rPr>
          <w:rFonts w:ascii="Arial" w:eastAsia="Calibri" w:hAnsi="Arial" w:cs="Arial"/>
          <w:b/>
          <w:bCs/>
          <w:color w:val="111111"/>
          <w:lang w:eastAsia="en-GB"/>
        </w:rPr>
        <w:t>.</w:t>
      </w:r>
    </w:p>
    <w:p w14:paraId="2701EC7C" w14:textId="77777777" w:rsidR="00B065FE" w:rsidRPr="00B065FE" w:rsidRDefault="00B065FE" w:rsidP="00B065FE">
      <w:pPr>
        <w:spacing w:after="0" w:line="240" w:lineRule="auto"/>
        <w:rPr>
          <w:rFonts w:ascii="Arial" w:eastAsia="Calibri" w:hAnsi="Arial" w:cs="Arial"/>
          <w:color w:val="111111"/>
          <w:lang w:eastAsia="en-GB"/>
        </w:rPr>
      </w:pPr>
    </w:p>
    <w:p w14:paraId="0FDA0F9E" w14:textId="70CAEA2F" w:rsidR="00B065FE" w:rsidRPr="00B065FE" w:rsidRDefault="00B065FE" w:rsidP="00B065FE">
      <w:pPr>
        <w:spacing w:after="0" w:line="240" w:lineRule="auto"/>
        <w:rPr>
          <w:rFonts w:ascii="Arial" w:eastAsia="Calibri" w:hAnsi="Arial" w:cs="Arial"/>
          <w:color w:val="111111"/>
          <w:lang w:eastAsia="en-GB"/>
        </w:rPr>
      </w:pPr>
      <w:r w:rsidRPr="00B065FE">
        <w:rPr>
          <w:rFonts w:ascii="Arial" w:eastAsia="Calibri" w:hAnsi="Arial" w:cs="Arial"/>
          <w:b/>
          <w:bCs/>
          <w:color w:val="111111"/>
          <w:lang w:eastAsia="en-GB"/>
        </w:rPr>
        <w:t>Key Themes and Ideas</w:t>
      </w:r>
      <w:r w:rsidR="003B698B">
        <w:rPr>
          <w:rFonts w:ascii="Arial" w:eastAsia="Calibri" w:hAnsi="Arial" w:cs="Arial"/>
          <w:b/>
          <w:bCs/>
          <w:color w:val="111111"/>
          <w:lang w:eastAsia="en-GB"/>
        </w:rPr>
        <w:t>.</w:t>
      </w:r>
    </w:p>
    <w:p w14:paraId="3B95C736" w14:textId="4A27B801" w:rsidR="00B065FE" w:rsidRPr="00B065FE" w:rsidRDefault="00B065FE" w:rsidP="00B065FE">
      <w:pPr>
        <w:spacing w:after="0" w:line="240" w:lineRule="auto"/>
        <w:rPr>
          <w:rFonts w:ascii="Arial" w:eastAsia="Calibri" w:hAnsi="Arial" w:cs="Arial"/>
          <w:color w:val="111111"/>
          <w:lang w:eastAsia="en-GB"/>
        </w:rPr>
      </w:pPr>
    </w:p>
    <w:p w14:paraId="7C083FE6" w14:textId="7C84CDFF" w:rsidR="00B065FE" w:rsidRPr="00B065FE" w:rsidRDefault="00B065FE" w:rsidP="00B065FE">
      <w:pPr>
        <w:spacing w:after="0" w:line="240" w:lineRule="auto"/>
        <w:rPr>
          <w:rFonts w:ascii="Arial" w:eastAsia="Calibri" w:hAnsi="Arial" w:cs="Arial"/>
          <w:color w:val="111111"/>
          <w:lang w:eastAsia="en-GB"/>
        </w:rPr>
      </w:pPr>
      <w:r w:rsidRPr="00B065FE">
        <w:rPr>
          <w:rFonts w:ascii="Arial" w:eastAsia="Calibri" w:hAnsi="Arial" w:cs="Arial"/>
          <w:color w:val="111111"/>
          <w:lang w:eastAsia="en-GB"/>
        </w:rPr>
        <w:t xml:space="preserve">Hoth’s account focuses on </w:t>
      </w:r>
      <w:r w:rsidR="007F7983">
        <w:rPr>
          <w:rFonts w:ascii="Arial" w:eastAsia="Calibri" w:hAnsi="Arial" w:cs="Arial"/>
          <w:color w:val="111111"/>
          <w:lang w:eastAsia="en-GB"/>
        </w:rPr>
        <w:t>these</w:t>
      </w:r>
      <w:r w:rsidRPr="00B065FE">
        <w:rPr>
          <w:rFonts w:ascii="Arial" w:eastAsia="Calibri" w:hAnsi="Arial" w:cs="Arial"/>
          <w:color w:val="111111"/>
          <w:lang w:eastAsia="en-GB"/>
        </w:rPr>
        <w:t xml:space="preserve"> central themes:</w:t>
      </w:r>
    </w:p>
    <w:p w14:paraId="6388603A" w14:textId="76EDB178" w:rsidR="00B065FE" w:rsidRPr="00345446" w:rsidRDefault="00B065FE" w:rsidP="00345446">
      <w:pPr>
        <w:spacing w:before="180" w:after="0" w:line="240" w:lineRule="auto"/>
        <w:rPr>
          <w:rFonts w:ascii="Arial" w:eastAsia="Calibri" w:hAnsi="Arial" w:cs="Arial"/>
          <w:color w:val="111111"/>
          <w:lang w:eastAsia="en-GB"/>
        </w:rPr>
      </w:pPr>
      <w:r w:rsidRPr="00345446">
        <w:rPr>
          <w:rFonts w:ascii="Arial" w:eastAsia="Calibri" w:hAnsi="Arial" w:cs="Arial"/>
          <w:b/>
          <w:bCs/>
          <w:color w:val="111111"/>
          <w:lang w:eastAsia="en-GB"/>
        </w:rPr>
        <w:t>Operational Challenges</w:t>
      </w:r>
      <w:r w:rsidRPr="00345446">
        <w:rPr>
          <w:rFonts w:ascii="Arial" w:eastAsia="Calibri" w:hAnsi="Arial" w:cs="Arial"/>
          <w:color w:val="111111"/>
          <w:lang w:eastAsia="en-GB"/>
        </w:rPr>
        <w:t xml:space="preserve">: He provides detailed descriptions of the difficulties faced by German forces, including navigating extensive Soviet defences. </w:t>
      </w:r>
      <w:r w:rsidRPr="00345446">
        <w:rPr>
          <w:rFonts w:ascii="Arial" w:eastAsia="Calibri" w:hAnsi="Arial" w:cs="Arial"/>
          <w:i/>
          <w:iCs/>
          <w:color w:val="111111"/>
          <w:lang w:eastAsia="en-GB"/>
        </w:rPr>
        <w:t>“Progress was measured in meters, not kilometres, as the terrain and enemy resistance sapped the strength of our forces”</w:t>
      </w:r>
      <w:r w:rsidRPr="00345446">
        <w:rPr>
          <w:rFonts w:ascii="Arial" w:eastAsia="Calibri" w:hAnsi="Arial" w:cs="Arial"/>
          <w:color w:val="111111"/>
          <w:lang w:eastAsia="en-GB"/>
        </w:rPr>
        <w:t xml:space="preserve"> (Newton, 2002, p. 102).</w:t>
      </w:r>
    </w:p>
    <w:p w14:paraId="01E06CB6" w14:textId="325B9F00" w:rsidR="00B065FE" w:rsidRPr="00345446" w:rsidRDefault="00B065FE" w:rsidP="00345446">
      <w:pPr>
        <w:spacing w:before="180" w:after="0" w:line="240" w:lineRule="auto"/>
        <w:rPr>
          <w:rFonts w:ascii="Arial" w:eastAsia="Calibri" w:hAnsi="Arial" w:cs="Arial"/>
          <w:color w:val="111111"/>
          <w:lang w:eastAsia="en-GB"/>
        </w:rPr>
      </w:pPr>
      <w:r w:rsidRPr="00345446">
        <w:rPr>
          <w:rFonts w:ascii="Arial" w:eastAsia="Calibri" w:hAnsi="Arial" w:cs="Arial"/>
          <w:b/>
          <w:bCs/>
          <w:color w:val="111111"/>
          <w:lang w:eastAsia="en-GB"/>
        </w:rPr>
        <w:t>Technological and Tactical Aspects</w:t>
      </w:r>
      <w:r w:rsidRPr="00345446">
        <w:rPr>
          <w:rFonts w:ascii="Arial" w:eastAsia="Calibri" w:hAnsi="Arial" w:cs="Arial"/>
          <w:color w:val="111111"/>
          <w:lang w:eastAsia="en-GB"/>
        </w:rPr>
        <w:t xml:space="preserve">: Hoth discusses the strengths and limitations of German armoured vehicles, such as the Tiger and Panther tanks. While effective in isolated engagements, they struggled against the coordinated Soviet defences. He remarked, </w:t>
      </w:r>
      <w:r w:rsidRPr="00345446">
        <w:rPr>
          <w:rFonts w:ascii="Arial" w:eastAsia="Calibri" w:hAnsi="Arial" w:cs="Arial"/>
          <w:i/>
          <w:iCs/>
          <w:color w:val="111111"/>
          <w:lang w:eastAsia="en-GB"/>
        </w:rPr>
        <w:t>“The Tigers performed well under fire but were vulnerable when isolated or bogged down in the dense terrain”</w:t>
      </w:r>
      <w:r w:rsidRPr="00345446">
        <w:rPr>
          <w:rFonts w:ascii="Arial" w:eastAsia="Calibri" w:hAnsi="Arial" w:cs="Arial"/>
          <w:color w:val="111111"/>
          <w:lang w:eastAsia="en-GB"/>
        </w:rPr>
        <w:t xml:space="preserve"> (Newton, 2002, p. 104).</w:t>
      </w:r>
    </w:p>
    <w:p w14:paraId="19B73B37" w14:textId="2FF7A956" w:rsidR="00B065FE" w:rsidRPr="00345446" w:rsidRDefault="00B065FE" w:rsidP="00345446">
      <w:pPr>
        <w:spacing w:before="180" w:after="0" w:line="240" w:lineRule="auto"/>
        <w:rPr>
          <w:rFonts w:ascii="Arial" w:eastAsia="Calibri" w:hAnsi="Arial" w:cs="Arial"/>
          <w:color w:val="111111"/>
          <w:lang w:eastAsia="en-GB"/>
        </w:rPr>
      </w:pPr>
      <w:r w:rsidRPr="00345446">
        <w:rPr>
          <w:rFonts w:ascii="Arial" w:eastAsia="Calibri" w:hAnsi="Arial" w:cs="Arial"/>
          <w:b/>
          <w:bCs/>
          <w:color w:val="111111"/>
          <w:lang w:eastAsia="en-GB"/>
        </w:rPr>
        <w:t>Soviet Resistance</w:t>
      </w:r>
      <w:r w:rsidRPr="00345446">
        <w:rPr>
          <w:rFonts w:ascii="Arial" w:eastAsia="Calibri" w:hAnsi="Arial" w:cs="Arial"/>
          <w:color w:val="111111"/>
          <w:lang w:eastAsia="en-GB"/>
        </w:rPr>
        <w:t>: The account highlights the discipline, ingenuity, and tenacity of Soviet forces, illustrating how their defensive strategy ultimately neutralized Germany’s technological advantage.</w:t>
      </w:r>
    </w:p>
    <w:p w14:paraId="25677032" w14:textId="17408766" w:rsidR="00B065FE" w:rsidRPr="00345446" w:rsidRDefault="00B065FE" w:rsidP="00345446">
      <w:pPr>
        <w:spacing w:before="180" w:after="0" w:line="240" w:lineRule="auto"/>
        <w:rPr>
          <w:rFonts w:ascii="Arial" w:eastAsia="Calibri" w:hAnsi="Arial" w:cs="Arial"/>
          <w:color w:val="111111"/>
          <w:lang w:eastAsia="en-GB"/>
        </w:rPr>
      </w:pPr>
      <w:r w:rsidRPr="00345446">
        <w:rPr>
          <w:rFonts w:ascii="Arial" w:eastAsia="Calibri" w:hAnsi="Arial" w:cs="Arial"/>
          <w:b/>
          <w:bCs/>
          <w:color w:val="111111"/>
          <w:lang w:eastAsia="en-GB"/>
        </w:rPr>
        <w:t>Leadership and Decision-Making</w:t>
      </w:r>
      <w:r w:rsidRPr="00345446">
        <w:rPr>
          <w:rFonts w:ascii="Arial" w:eastAsia="Calibri" w:hAnsi="Arial" w:cs="Arial"/>
          <w:color w:val="111111"/>
          <w:lang w:eastAsia="en-GB"/>
        </w:rPr>
        <w:t>: Hoth critiques Hitler’s direct intervention, particularly the</w:t>
      </w:r>
      <w:r w:rsidR="00345446" w:rsidRPr="00345446">
        <w:rPr>
          <w:rFonts w:ascii="Arial" w:eastAsia="Calibri" w:hAnsi="Arial" w:cs="Arial"/>
          <w:color w:val="111111"/>
          <w:lang w:eastAsia="en-GB"/>
        </w:rPr>
        <w:t xml:space="preserve"> </w:t>
      </w:r>
      <w:r w:rsidRPr="00345446">
        <w:rPr>
          <w:rFonts w:ascii="Arial" w:eastAsia="Calibri" w:hAnsi="Arial" w:cs="Arial"/>
          <w:color w:val="111111"/>
          <w:lang w:eastAsia="en-GB"/>
        </w:rPr>
        <w:t xml:space="preserve">decision to prematurely shift resources to other fronts. He reflects, </w:t>
      </w:r>
      <w:r w:rsidRPr="00345446">
        <w:rPr>
          <w:rFonts w:ascii="Arial" w:eastAsia="Calibri" w:hAnsi="Arial" w:cs="Arial"/>
          <w:i/>
          <w:iCs/>
          <w:color w:val="111111"/>
          <w:lang w:eastAsia="en-GB"/>
        </w:rPr>
        <w:t>“Had we been allowed to continue our momentum, a breakthrough might have been possible”</w:t>
      </w:r>
      <w:r w:rsidRPr="00345446">
        <w:rPr>
          <w:rFonts w:ascii="Arial" w:eastAsia="Calibri" w:hAnsi="Arial" w:cs="Arial"/>
          <w:color w:val="111111"/>
          <w:lang w:eastAsia="en-GB"/>
        </w:rPr>
        <w:t xml:space="preserve"> (Newton, 2002, p. 107).</w:t>
      </w:r>
    </w:p>
    <w:p w14:paraId="0C47F606" w14:textId="77777777" w:rsidR="00B065FE" w:rsidRPr="00B065FE" w:rsidRDefault="00B065FE" w:rsidP="00B065FE">
      <w:pPr>
        <w:spacing w:before="180" w:after="0" w:line="240" w:lineRule="auto"/>
        <w:ind w:left="345" w:hanging="345"/>
        <w:rPr>
          <w:rFonts w:ascii="Arial" w:eastAsia="Calibri" w:hAnsi="Arial" w:cs="Arial"/>
          <w:color w:val="111111"/>
          <w:lang w:eastAsia="en-GB"/>
        </w:rPr>
      </w:pPr>
    </w:p>
    <w:p w14:paraId="3FB5FF13" w14:textId="3386F586" w:rsidR="00B065FE" w:rsidRPr="00B065FE" w:rsidRDefault="00B065FE" w:rsidP="00B065FE">
      <w:pPr>
        <w:spacing w:after="0" w:line="240" w:lineRule="auto"/>
        <w:rPr>
          <w:rFonts w:ascii="Arial" w:eastAsia="Calibri" w:hAnsi="Arial" w:cs="Arial"/>
          <w:color w:val="111111"/>
          <w:lang w:eastAsia="en-GB"/>
        </w:rPr>
      </w:pPr>
      <w:r w:rsidRPr="00B065FE">
        <w:rPr>
          <w:rFonts w:ascii="Arial" w:eastAsia="Calibri" w:hAnsi="Arial" w:cs="Arial"/>
          <w:b/>
          <w:bCs/>
          <w:color w:val="111111"/>
          <w:lang w:eastAsia="en-GB"/>
        </w:rPr>
        <w:t>Language and Imagery</w:t>
      </w:r>
      <w:r w:rsidR="003B698B">
        <w:rPr>
          <w:rFonts w:ascii="Arial" w:eastAsia="Calibri" w:hAnsi="Arial" w:cs="Arial"/>
          <w:b/>
          <w:bCs/>
          <w:color w:val="111111"/>
          <w:lang w:eastAsia="en-GB"/>
        </w:rPr>
        <w:t>.</w:t>
      </w:r>
    </w:p>
    <w:p w14:paraId="44074CE6" w14:textId="77777777" w:rsidR="00B065FE" w:rsidRPr="00B065FE" w:rsidRDefault="00B065FE" w:rsidP="00B065FE">
      <w:pPr>
        <w:spacing w:after="0" w:line="240" w:lineRule="auto"/>
        <w:rPr>
          <w:rFonts w:ascii="Arial" w:eastAsia="Calibri" w:hAnsi="Arial" w:cs="Arial"/>
          <w:color w:val="111111"/>
          <w:lang w:eastAsia="en-GB"/>
        </w:rPr>
      </w:pPr>
    </w:p>
    <w:p w14:paraId="671DFAF4" w14:textId="77777777" w:rsidR="00B065FE" w:rsidRPr="00B065FE" w:rsidRDefault="00B065FE" w:rsidP="00B065FE">
      <w:pPr>
        <w:spacing w:after="0" w:line="240" w:lineRule="auto"/>
        <w:rPr>
          <w:rFonts w:ascii="Arial" w:eastAsia="Calibri" w:hAnsi="Arial" w:cs="Arial"/>
          <w:color w:val="111111"/>
          <w:lang w:eastAsia="en-GB"/>
        </w:rPr>
      </w:pPr>
      <w:r w:rsidRPr="00B065FE">
        <w:rPr>
          <w:rFonts w:ascii="Arial" w:eastAsia="Calibri" w:hAnsi="Arial" w:cs="Arial"/>
          <w:color w:val="111111"/>
          <w:lang w:eastAsia="en-GB"/>
        </w:rPr>
        <w:t xml:space="preserve">The language in Hoth’s account is formal and analytical, reflecting his military background. He avoids emotive language, focusing instead on operational details and tactical analysis. However, vivid imagery occasionally punctuates his narrative, such as his description of the battlefield as </w:t>
      </w:r>
      <w:r w:rsidRPr="00B065FE">
        <w:rPr>
          <w:rFonts w:ascii="Arial" w:eastAsia="Calibri" w:hAnsi="Arial" w:cs="Arial"/>
          <w:i/>
          <w:iCs/>
          <w:color w:val="111111"/>
          <w:lang w:eastAsia="en-GB"/>
        </w:rPr>
        <w:t>“a graveyard of tanks, scattered across the steppe like broken toys”</w:t>
      </w:r>
      <w:r w:rsidRPr="00B065FE">
        <w:rPr>
          <w:rFonts w:ascii="Arial" w:eastAsia="Calibri" w:hAnsi="Arial" w:cs="Arial"/>
          <w:color w:val="111111"/>
          <w:lang w:eastAsia="en-GB"/>
        </w:rPr>
        <w:t xml:space="preserve"> (Newton, 2002, p. 108). Such moments underscore the scale and intensity of the conflict.</w:t>
      </w:r>
    </w:p>
    <w:p w14:paraId="043155F6" w14:textId="77777777" w:rsidR="00B065FE" w:rsidRDefault="00B065FE" w:rsidP="00B065FE">
      <w:pPr>
        <w:spacing w:after="0" w:line="240" w:lineRule="auto"/>
        <w:rPr>
          <w:rFonts w:ascii="Arial" w:eastAsia="Calibri" w:hAnsi="Arial" w:cs="Arial"/>
          <w:lang w:eastAsia="en-GB"/>
        </w:rPr>
      </w:pPr>
    </w:p>
    <w:p w14:paraId="58A3C9ED" w14:textId="77777777" w:rsidR="003B698B" w:rsidRPr="00B065FE" w:rsidRDefault="003B698B" w:rsidP="00B065FE">
      <w:pPr>
        <w:spacing w:after="0" w:line="240" w:lineRule="auto"/>
        <w:rPr>
          <w:rFonts w:ascii="Arial" w:eastAsia="Calibri" w:hAnsi="Arial" w:cs="Arial"/>
          <w:lang w:eastAsia="en-GB"/>
        </w:rPr>
      </w:pPr>
    </w:p>
    <w:p w14:paraId="73BB6062" w14:textId="5B85F79C" w:rsidR="00B065FE" w:rsidRPr="00B065FE" w:rsidRDefault="00B065FE" w:rsidP="00B065FE">
      <w:pPr>
        <w:spacing w:after="0" w:line="240" w:lineRule="auto"/>
        <w:rPr>
          <w:rFonts w:ascii="Arial" w:eastAsia="Calibri" w:hAnsi="Arial" w:cs="Arial"/>
          <w:color w:val="111111"/>
          <w:lang w:eastAsia="en-GB"/>
        </w:rPr>
      </w:pPr>
      <w:r w:rsidRPr="00B065FE">
        <w:rPr>
          <w:rFonts w:ascii="Arial" w:eastAsia="Calibri" w:hAnsi="Arial" w:cs="Arial"/>
          <w:b/>
          <w:bCs/>
          <w:color w:val="111111"/>
          <w:lang w:eastAsia="en-GB"/>
        </w:rPr>
        <w:t>Strengths and Limitations</w:t>
      </w:r>
      <w:r w:rsidR="003B698B">
        <w:rPr>
          <w:rFonts w:ascii="Arial" w:eastAsia="Calibri" w:hAnsi="Arial" w:cs="Arial"/>
          <w:b/>
          <w:bCs/>
          <w:color w:val="111111"/>
          <w:lang w:eastAsia="en-GB"/>
        </w:rPr>
        <w:t>.</w:t>
      </w:r>
    </w:p>
    <w:p w14:paraId="766D7B45" w14:textId="77777777" w:rsidR="00B065FE" w:rsidRPr="00B065FE" w:rsidRDefault="00B065FE" w:rsidP="00B065FE">
      <w:pPr>
        <w:spacing w:after="0" w:line="240" w:lineRule="auto"/>
        <w:rPr>
          <w:rFonts w:ascii="Arial" w:eastAsia="Calibri" w:hAnsi="Arial" w:cs="Arial"/>
          <w:color w:val="111111"/>
          <w:lang w:eastAsia="en-GB"/>
        </w:rPr>
      </w:pPr>
    </w:p>
    <w:p w14:paraId="7E5D1584" w14:textId="3D790506" w:rsidR="00B065FE" w:rsidRPr="00B065FE" w:rsidRDefault="00B065FE" w:rsidP="00B065FE">
      <w:pPr>
        <w:spacing w:after="0" w:line="240" w:lineRule="auto"/>
        <w:rPr>
          <w:rFonts w:ascii="Arial" w:eastAsia="Calibri" w:hAnsi="Arial" w:cs="Arial"/>
          <w:color w:val="111111"/>
          <w:lang w:eastAsia="en-GB"/>
        </w:rPr>
      </w:pPr>
      <w:r w:rsidRPr="00B065FE">
        <w:rPr>
          <w:rFonts w:ascii="Arial" w:eastAsia="Calibri" w:hAnsi="Arial" w:cs="Arial"/>
          <w:b/>
          <w:bCs/>
          <w:color w:val="111111"/>
          <w:lang w:eastAsia="en-GB"/>
        </w:rPr>
        <w:t>Strengths</w:t>
      </w:r>
      <w:r w:rsidR="003B698B">
        <w:rPr>
          <w:rFonts w:ascii="Arial" w:eastAsia="Calibri" w:hAnsi="Arial" w:cs="Arial"/>
          <w:b/>
          <w:bCs/>
          <w:color w:val="111111"/>
          <w:lang w:eastAsia="en-GB"/>
        </w:rPr>
        <w:t>.</w:t>
      </w:r>
    </w:p>
    <w:p w14:paraId="540F6CD3" w14:textId="083F5790" w:rsidR="00B065FE" w:rsidRPr="00345446" w:rsidRDefault="00B065FE" w:rsidP="00345446">
      <w:pPr>
        <w:spacing w:before="180" w:after="0" w:line="240" w:lineRule="auto"/>
        <w:rPr>
          <w:rFonts w:ascii="Arial" w:eastAsia="Calibri" w:hAnsi="Arial" w:cs="Arial"/>
          <w:color w:val="111111"/>
          <w:lang w:eastAsia="en-GB"/>
        </w:rPr>
      </w:pPr>
      <w:r w:rsidRPr="00345446">
        <w:rPr>
          <w:rFonts w:ascii="Arial" w:eastAsia="Calibri" w:hAnsi="Arial" w:cs="Arial"/>
          <w:b/>
          <w:bCs/>
          <w:color w:val="111111"/>
          <w:lang w:eastAsia="en-GB"/>
        </w:rPr>
        <w:t>First-Hand Perspective</w:t>
      </w:r>
      <w:r w:rsidRPr="00345446">
        <w:rPr>
          <w:rFonts w:ascii="Arial" w:eastAsia="Calibri" w:hAnsi="Arial" w:cs="Arial"/>
          <w:color w:val="111111"/>
          <w:lang w:eastAsia="en-GB"/>
        </w:rPr>
        <w:t>: Hoth’s position as a senior commander provides unique insights into German planning and execution during the battle.</w:t>
      </w:r>
    </w:p>
    <w:p w14:paraId="6ECECEDD" w14:textId="6B54CBDB" w:rsidR="00B065FE" w:rsidRPr="00372FEB" w:rsidRDefault="00B065FE" w:rsidP="00372FEB">
      <w:pPr>
        <w:spacing w:before="180" w:after="0" w:line="240" w:lineRule="auto"/>
        <w:rPr>
          <w:rFonts w:ascii="Arial" w:eastAsia="Calibri" w:hAnsi="Arial" w:cs="Arial"/>
          <w:color w:val="111111"/>
          <w:lang w:eastAsia="en-GB"/>
        </w:rPr>
      </w:pPr>
      <w:r w:rsidRPr="00372FEB">
        <w:rPr>
          <w:rFonts w:ascii="Arial" w:eastAsia="Calibri" w:hAnsi="Arial" w:cs="Arial"/>
          <w:b/>
          <w:bCs/>
          <w:color w:val="111111"/>
          <w:lang w:eastAsia="en-GB"/>
        </w:rPr>
        <w:lastRenderedPageBreak/>
        <w:t>Operational Detail</w:t>
      </w:r>
      <w:r w:rsidRPr="00372FEB">
        <w:rPr>
          <w:rFonts w:ascii="Arial" w:eastAsia="Calibri" w:hAnsi="Arial" w:cs="Arial"/>
          <w:color w:val="111111"/>
          <w:lang w:eastAsia="en-GB"/>
        </w:rPr>
        <w:t>: The account offers valuable information on tactics, logistics, and technological challenges.</w:t>
      </w:r>
    </w:p>
    <w:p w14:paraId="0EE2E9ED" w14:textId="07867D7A" w:rsidR="00B065FE" w:rsidRPr="00372FEB" w:rsidRDefault="00B065FE" w:rsidP="00372FEB">
      <w:pPr>
        <w:spacing w:before="180" w:after="0" w:line="240" w:lineRule="auto"/>
        <w:rPr>
          <w:rFonts w:ascii="Arial" w:eastAsia="Calibri" w:hAnsi="Arial" w:cs="Arial"/>
          <w:color w:val="111111"/>
          <w:lang w:eastAsia="en-GB"/>
        </w:rPr>
      </w:pPr>
      <w:r w:rsidRPr="00372FEB">
        <w:rPr>
          <w:rFonts w:ascii="Arial" w:eastAsia="Calibri" w:hAnsi="Arial" w:cs="Arial"/>
          <w:b/>
          <w:bCs/>
          <w:color w:val="111111"/>
          <w:lang w:eastAsia="en-GB"/>
        </w:rPr>
        <w:t>Historical Value</w:t>
      </w:r>
      <w:r w:rsidRPr="00372FEB">
        <w:rPr>
          <w:rFonts w:ascii="Arial" w:eastAsia="Calibri" w:hAnsi="Arial" w:cs="Arial"/>
          <w:color w:val="111111"/>
          <w:lang w:eastAsia="en-GB"/>
        </w:rPr>
        <w:t>: As a primary source, the document complements broader historical analyses, offering a detailed view of events from the German perspective.</w:t>
      </w:r>
    </w:p>
    <w:p w14:paraId="3234E378" w14:textId="77777777" w:rsidR="00B065FE" w:rsidRPr="00B065FE" w:rsidRDefault="00B065FE" w:rsidP="00B065FE">
      <w:pPr>
        <w:spacing w:before="180" w:after="0" w:line="240" w:lineRule="auto"/>
        <w:ind w:left="345" w:hanging="345"/>
        <w:rPr>
          <w:rFonts w:ascii="Arial" w:eastAsia="Calibri" w:hAnsi="Arial" w:cs="Arial"/>
          <w:color w:val="111111"/>
          <w:lang w:eastAsia="en-GB"/>
        </w:rPr>
      </w:pPr>
    </w:p>
    <w:p w14:paraId="5A29513B" w14:textId="33063922" w:rsidR="00B065FE" w:rsidRPr="00B065FE" w:rsidRDefault="00B065FE" w:rsidP="00B065FE">
      <w:pPr>
        <w:spacing w:after="0" w:line="240" w:lineRule="auto"/>
        <w:rPr>
          <w:rFonts w:ascii="Arial" w:eastAsia="Calibri" w:hAnsi="Arial" w:cs="Arial"/>
          <w:color w:val="111111"/>
          <w:lang w:eastAsia="en-GB"/>
        </w:rPr>
      </w:pPr>
      <w:r w:rsidRPr="00B065FE">
        <w:rPr>
          <w:rFonts w:ascii="Arial" w:eastAsia="Calibri" w:hAnsi="Arial" w:cs="Arial"/>
          <w:b/>
          <w:bCs/>
          <w:color w:val="111111"/>
          <w:lang w:eastAsia="en-GB"/>
        </w:rPr>
        <w:t>Limitations</w:t>
      </w:r>
      <w:r w:rsidR="003B698B">
        <w:rPr>
          <w:rFonts w:ascii="Arial" w:eastAsia="Calibri" w:hAnsi="Arial" w:cs="Arial"/>
          <w:b/>
          <w:bCs/>
          <w:color w:val="111111"/>
          <w:lang w:eastAsia="en-GB"/>
        </w:rPr>
        <w:t>.</w:t>
      </w:r>
    </w:p>
    <w:p w14:paraId="7E1E351F" w14:textId="6B7D00E1" w:rsidR="00B065FE" w:rsidRPr="00372FEB" w:rsidRDefault="00B065FE" w:rsidP="00372FEB">
      <w:pPr>
        <w:spacing w:before="180" w:after="0" w:line="240" w:lineRule="auto"/>
        <w:rPr>
          <w:rFonts w:ascii="Arial" w:eastAsia="Calibri" w:hAnsi="Arial" w:cs="Arial"/>
          <w:color w:val="111111"/>
          <w:lang w:eastAsia="en-GB"/>
        </w:rPr>
      </w:pPr>
      <w:r w:rsidRPr="00372FEB">
        <w:rPr>
          <w:rFonts w:ascii="Arial" w:eastAsia="Calibri" w:hAnsi="Arial" w:cs="Arial"/>
          <w:b/>
          <w:bCs/>
          <w:color w:val="111111"/>
          <w:lang w:eastAsia="en-GB"/>
        </w:rPr>
        <w:t>Post-War Bias</w:t>
      </w:r>
      <w:r w:rsidRPr="00372FEB">
        <w:rPr>
          <w:rFonts w:ascii="Arial" w:eastAsia="Calibri" w:hAnsi="Arial" w:cs="Arial"/>
          <w:color w:val="111111"/>
          <w:lang w:eastAsia="en-GB"/>
        </w:rPr>
        <w:t>: Written after Germany’s defeat, the account is shaped by Hoth’s desire to justify his actions and rationalize the failure at Kursk.</w:t>
      </w:r>
    </w:p>
    <w:p w14:paraId="67E8EDA8" w14:textId="75798323" w:rsidR="00B065FE" w:rsidRPr="00372FEB" w:rsidRDefault="00B065FE" w:rsidP="00372FEB">
      <w:pPr>
        <w:spacing w:before="180" w:after="0" w:line="240" w:lineRule="auto"/>
        <w:rPr>
          <w:rFonts w:ascii="Arial" w:eastAsia="Calibri" w:hAnsi="Arial" w:cs="Arial"/>
          <w:color w:val="111111"/>
          <w:lang w:eastAsia="en-GB"/>
        </w:rPr>
      </w:pPr>
      <w:r w:rsidRPr="00372FEB">
        <w:rPr>
          <w:rFonts w:ascii="Arial" w:eastAsia="Calibri" w:hAnsi="Arial" w:cs="Arial"/>
          <w:b/>
          <w:bCs/>
          <w:color w:val="111111"/>
          <w:lang w:eastAsia="en-GB"/>
        </w:rPr>
        <w:t>Selective Focus</w:t>
      </w:r>
      <w:r w:rsidRPr="00372FEB">
        <w:rPr>
          <w:rFonts w:ascii="Arial" w:eastAsia="Calibri" w:hAnsi="Arial" w:cs="Arial"/>
          <w:color w:val="111111"/>
          <w:lang w:eastAsia="en-GB"/>
        </w:rPr>
        <w:t>: The narrative prioritizes German experiences, providing limited insight into Soviet strategy or the broader strategic implications of the battle.</w:t>
      </w:r>
    </w:p>
    <w:p w14:paraId="6DF2288F" w14:textId="34B3AEB7" w:rsidR="00B065FE" w:rsidRPr="00372FEB" w:rsidRDefault="00B065FE" w:rsidP="00372FEB">
      <w:pPr>
        <w:spacing w:before="180" w:after="0" w:line="240" w:lineRule="auto"/>
        <w:rPr>
          <w:rFonts w:ascii="Arial" w:eastAsia="Calibri" w:hAnsi="Arial" w:cs="Arial"/>
          <w:color w:val="111111"/>
          <w:lang w:eastAsia="en-GB"/>
        </w:rPr>
      </w:pPr>
      <w:r w:rsidRPr="00372FEB">
        <w:rPr>
          <w:rFonts w:ascii="Arial" w:eastAsia="Calibri" w:hAnsi="Arial" w:cs="Arial"/>
          <w:b/>
          <w:bCs/>
          <w:color w:val="111111"/>
          <w:lang w:eastAsia="en-GB"/>
        </w:rPr>
        <w:t>Lack of Context</w:t>
      </w:r>
      <w:r w:rsidRPr="00372FEB">
        <w:rPr>
          <w:rFonts w:ascii="Arial" w:eastAsia="Calibri" w:hAnsi="Arial" w:cs="Arial"/>
          <w:color w:val="111111"/>
          <w:lang w:eastAsia="en-GB"/>
        </w:rPr>
        <w:t>: While rich in tactical detail, the account often neglects the wider strategic and political factors that influenced the outcome of the battle.</w:t>
      </w:r>
    </w:p>
    <w:p w14:paraId="7E0AF0AE" w14:textId="77777777" w:rsidR="00B065FE" w:rsidRPr="00B065FE" w:rsidRDefault="00B065FE" w:rsidP="00B065FE">
      <w:pPr>
        <w:spacing w:before="180" w:after="0" w:line="240" w:lineRule="auto"/>
        <w:ind w:left="345" w:hanging="345"/>
        <w:rPr>
          <w:rFonts w:ascii="Arial" w:eastAsia="Calibri" w:hAnsi="Arial" w:cs="Arial"/>
          <w:lang w:eastAsia="en-GB"/>
        </w:rPr>
      </w:pPr>
    </w:p>
    <w:p w14:paraId="04C0316F" w14:textId="10CA9908" w:rsidR="00B065FE" w:rsidRPr="00B065FE" w:rsidRDefault="00B065FE" w:rsidP="00B065FE">
      <w:pPr>
        <w:spacing w:after="0" w:line="240" w:lineRule="auto"/>
        <w:rPr>
          <w:rFonts w:ascii="Arial" w:eastAsia="Calibri" w:hAnsi="Arial" w:cs="Arial"/>
          <w:color w:val="111111"/>
          <w:lang w:eastAsia="en-GB"/>
        </w:rPr>
      </w:pPr>
      <w:r w:rsidRPr="00B065FE">
        <w:rPr>
          <w:rFonts w:ascii="Arial" w:eastAsia="Calibri" w:hAnsi="Arial" w:cs="Arial"/>
          <w:b/>
          <w:bCs/>
          <w:color w:val="111111"/>
          <w:lang w:eastAsia="en-GB"/>
        </w:rPr>
        <w:t>What the Source Reveals About the Battle of Kursk</w:t>
      </w:r>
      <w:r w:rsidR="003B698B">
        <w:rPr>
          <w:rFonts w:ascii="Arial" w:eastAsia="Calibri" w:hAnsi="Arial" w:cs="Arial"/>
          <w:b/>
          <w:bCs/>
          <w:color w:val="111111"/>
          <w:lang w:eastAsia="en-GB"/>
        </w:rPr>
        <w:t>.</w:t>
      </w:r>
    </w:p>
    <w:p w14:paraId="5C352A4B" w14:textId="77777777" w:rsidR="00B065FE" w:rsidRPr="00B065FE" w:rsidRDefault="00B065FE" w:rsidP="00B065FE">
      <w:pPr>
        <w:spacing w:after="0" w:line="240" w:lineRule="auto"/>
        <w:rPr>
          <w:rFonts w:ascii="Arial" w:eastAsia="Calibri" w:hAnsi="Arial" w:cs="Arial"/>
          <w:color w:val="111111"/>
          <w:lang w:eastAsia="en-GB"/>
        </w:rPr>
      </w:pPr>
    </w:p>
    <w:p w14:paraId="7EA45735" w14:textId="5C9233EB" w:rsidR="00B065FE" w:rsidRPr="00B065FE" w:rsidRDefault="00B065FE" w:rsidP="00B065FE">
      <w:pPr>
        <w:spacing w:after="0" w:line="240" w:lineRule="auto"/>
        <w:rPr>
          <w:rFonts w:ascii="Arial" w:eastAsia="Calibri" w:hAnsi="Arial" w:cs="Arial"/>
          <w:color w:val="111111"/>
          <w:lang w:eastAsia="en-GB"/>
        </w:rPr>
      </w:pPr>
      <w:r w:rsidRPr="00B065FE">
        <w:rPr>
          <w:rFonts w:ascii="Arial" w:eastAsia="Calibri" w:hAnsi="Arial" w:cs="Arial"/>
          <w:color w:val="111111"/>
          <w:lang w:eastAsia="en-GB"/>
        </w:rPr>
        <w:t>Hoth’s account illuminates critical aspects of the Battle of Kursk</w:t>
      </w:r>
      <w:r w:rsidR="003B698B">
        <w:rPr>
          <w:rFonts w:ascii="Arial" w:eastAsia="Calibri" w:hAnsi="Arial" w:cs="Arial"/>
          <w:color w:val="111111"/>
          <w:lang w:eastAsia="en-GB"/>
        </w:rPr>
        <w:t xml:space="preserve"> 1943</w:t>
      </w:r>
      <w:r w:rsidRPr="00B065FE">
        <w:rPr>
          <w:rFonts w:ascii="Arial" w:eastAsia="Calibri" w:hAnsi="Arial" w:cs="Arial"/>
          <w:color w:val="111111"/>
          <w:lang w:eastAsia="en-GB"/>
        </w:rPr>
        <w:t>:</w:t>
      </w:r>
    </w:p>
    <w:p w14:paraId="01B295E7" w14:textId="7E0D9A6E" w:rsidR="00B065FE" w:rsidRPr="00372FEB" w:rsidRDefault="00B065FE" w:rsidP="00372FEB">
      <w:pPr>
        <w:spacing w:before="180" w:after="0" w:line="240" w:lineRule="auto"/>
        <w:rPr>
          <w:rFonts w:ascii="Arial" w:eastAsia="Calibri" w:hAnsi="Arial" w:cs="Arial"/>
          <w:color w:val="111111"/>
          <w:lang w:eastAsia="en-GB"/>
        </w:rPr>
      </w:pPr>
      <w:r w:rsidRPr="00372FEB">
        <w:rPr>
          <w:rFonts w:ascii="Arial" w:eastAsia="Calibri" w:hAnsi="Arial" w:cs="Arial"/>
          <w:b/>
          <w:bCs/>
          <w:color w:val="111111"/>
          <w:lang w:eastAsia="en-GB"/>
        </w:rPr>
        <w:t>The Complexity of Modern Warfare</w:t>
      </w:r>
      <w:r w:rsidRPr="00372FEB">
        <w:rPr>
          <w:rFonts w:ascii="Arial" w:eastAsia="Calibri" w:hAnsi="Arial" w:cs="Arial"/>
          <w:color w:val="111111"/>
          <w:lang w:eastAsia="en-GB"/>
        </w:rPr>
        <w:t>: His descriptions of logistical and operational challenges highlight the intricacies of large-scale mechanized conflict.</w:t>
      </w:r>
    </w:p>
    <w:p w14:paraId="3B2D65F5" w14:textId="358D7389" w:rsidR="00B065FE" w:rsidRPr="00372FEB" w:rsidRDefault="00B065FE" w:rsidP="00372FEB">
      <w:pPr>
        <w:spacing w:before="180" w:after="0" w:line="240" w:lineRule="auto"/>
        <w:rPr>
          <w:rFonts w:ascii="Arial" w:eastAsia="Calibri" w:hAnsi="Arial" w:cs="Arial"/>
          <w:color w:val="111111"/>
          <w:lang w:eastAsia="en-GB"/>
        </w:rPr>
      </w:pPr>
      <w:r w:rsidRPr="00372FEB">
        <w:rPr>
          <w:rFonts w:ascii="Arial" w:eastAsia="Calibri" w:hAnsi="Arial" w:cs="Arial"/>
          <w:b/>
          <w:bCs/>
          <w:color w:val="111111"/>
          <w:lang w:eastAsia="en-GB"/>
        </w:rPr>
        <w:t>The Role of Technology</w:t>
      </w:r>
      <w:r w:rsidRPr="00372FEB">
        <w:rPr>
          <w:rFonts w:ascii="Arial" w:eastAsia="Calibri" w:hAnsi="Arial" w:cs="Arial"/>
          <w:color w:val="111111"/>
          <w:lang w:eastAsia="en-GB"/>
        </w:rPr>
        <w:t>: The performance of German tanks, as described by Hoth, underscores the evolving nature of armoured warfare and its limitations against well-prepared defences.</w:t>
      </w:r>
    </w:p>
    <w:p w14:paraId="57AD33D5" w14:textId="43F1A9B6" w:rsidR="00B065FE" w:rsidRPr="00372FEB" w:rsidRDefault="00B065FE" w:rsidP="00372FEB">
      <w:pPr>
        <w:spacing w:before="180" w:after="0" w:line="240" w:lineRule="auto"/>
        <w:rPr>
          <w:rFonts w:ascii="Arial" w:eastAsia="Calibri" w:hAnsi="Arial" w:cs="Arial"/>
          <w:color w:val="111111"/>
          <w:lang w:eastAsia="en-GB"/>
        </w:rPr>
      </w:pPr>
      <w:r w:rsidRPr="00372FEB">
        <w:rPr>
          <w:rFonts w:ascii="Arial" w:eastAsia="Calibri" w:hAnsi="Arial" w:cs="Arial"/>
          <w:b/>
          <w:bCs/>
          <w:color w:val="111111"/>
          <w:lang w:eastAsia="en-GB"/>
        </w:rPr>
        <w:t>The Effectiveness of Defensive Strategy</w:t>
      </w:r>
      <w:r w:rsidRPr="00372FEB">
        <w:rPr>
          <w:rFonts w:ascii="Arial" w:eastAsia="Calibri" w:hAnsi="Arial" w:cs="Arial"/>
          <w:color w:val="111111"/>
          <w:lang w:eastAsia="en-GB"/>
        </w:rPr>
        <w:t>: Soviet success at Kursk demonstrated the value of deeply layered defences, marking a shift in the dynamics of the Eastern Front.</w:t>
      </w:r>
    </w:p>
    <w:p w14:paraId="2AAA5C54" w14:textId="6242A985" w:rsidR="00B065FE" w:rsidRPr="00372FEB" w:rsidRDefault="00B065FE" w:rsidP="00372FEB">
      <w:pPr>
        <w:spacing w:before="180" w:after="0" w:line="240" w:lineRule="auto"/>
        <w:rPr>
          <w:rFonts w:ascii="Arial" w:eastAsia="Calibri" w:hAnsi="Arial" w:cs="Arial"/>
          <w:color w:val="111111"/>
          <w:lang w:eastAsia="en-GB"/>
        </w:rPr>
      </w:pPr>
      <w:r w:rsidRPr="00372FEB">
        <w:rPr>
          <w:rFonts w:ascii="Arial" w:eastAsia="Calibri" w:hAnsi="Arial" w:cs="Arial"/>
          <w:b/>
          <w:bCs/>
          <w:color w:val="111111"/>
          <w:lang w:eastAsia="en-GB"/>
        </w:rPr>
        <w:t>Leadership Tensions</w:t>
      </w:r>
      <w:r w:rsidRPr="00372FEB">
        <w:rPr>
          <w:rFonts w:ascii="Arial" w:eastAsia="Calibri" w:hAnsi="Arial" w:cs="Arial"/>
          <w:color w:val="111111"/>
          <w:lang w:eastAsia="en-GB"/>
        </w:rPr>
        <w:t>: Hoth’s critique of Hitler’s interference reflects broader issues within the German command structure, which often undermined operational effectiveness.</w:t>
      </w:r>
    </w:p>
    <w:p w14:paraId="64A4D635" w14:textId="77777777" w:rsidR="00B065FE" w:rsidRPr="00B065FE" w:rsidRDefault="00B065FE" w:rsidP="00B065FE">
      <w:pPr>
        <w:spacing w:before="180" w:after="0" w:line="240" w:lineRule="auto"/>
        <w:ind w:left="345" w:hanging="345"/>
        <w:rPr>
          <w:rFonts w:ascii="Arial" w:eastAsia="Calibri" w:hAnsi="Arial" w:cs="Arial"/>
          <w:lang w:eastAsia="en-GB"/>
        </w:rPr>
      </w:pPr>
    </w:p>
    <w:p w14:paraId="76796F52" w14:textId="60065D20" w:rsidR="00DD2317" w:rsidRDefault="00B065FE" w:rsidP="00DD2317">
      <w:pPr>
        <w:spacing w:after="0" w:line="240" w:lineRule="auto"/>
        <w:rPr>
          <w:rFonts w:ascii="Arial" w:eastAsia="Calibri" w:hAnsi="Arial" w:cs="Arial"/>
          <w:color w:val="111111"/>
          <w:lang w:eastAsia="en-GB"/>
        </w:rPr>
      </w:pPr>
      <w:r w:rsidRPr="00B065FE">
        <w:rPr>
          <w:rFonts w:ascii="Arial" w:eastAsia="Calibri" w:hAnsi="Arial" w:cs="Arial"/>
          <w:b/>
          <w:bCs/>
          <w:color w:val="111111"/>
          <w:lang w:eastAsia="en-GB"/>
        </w:rPr>
        <w:t>Conclusion</w:t>
      </w:r>
    </w:p>
    <w:p w14:paraId="0BB025C2" w14:textId="77777777" w:rsidR="00DD2317" w:rsidRPr="00DD2317" w:rsidRDefault="00DD2317" w:rsidP="00DD2317">
      <w:pPr>
        <w:spacing w:after="0" w:line="240" w:lineRule="auto"/>
        <w:rPr>
          <w:rFonts w:ascii="Arial" w:eastAsia="Calibri" w:hAnsi="Arial" w:cs="Arial"/>
          <w:color w:val="111111"/>
          <w:lang w:eastAsia="en-GB"/>
        </w:rPr>
      </w:pPr>
    </w:p>
    <w:p w14:paraId="40905CF3" w14:textId="3E9C5FCB" w:rsidR="00DD2317" w:rsidRPr="00DD2317" w:rsidRDefault="00DD2317" w:rsidP="00DD2317">
      <w:pPr>
        <w:rPr>
          <w:rFonts w:ascii="Arial" w:eastAsia="Calibri" w:hAnsi="Arial" w:cs="Arial"/>
          <w:lang w:eastAsia="en-GB"/>
        </w:rPr>
      </w:pPr>
      <w:r w:rsidRPr="00DD2317">
        <w:rPr>
          <w:rFonts w:ascii="Arial" w:eastAsia="Calibri" w:hAnsi="Arial" w:cs="Arial"/>
          <w:lang w:eastAsia="en-GB"/>
        </w:rPr>
        <w:t>Hoth’s account, as presented in Newton’s Kursk: The German View, is a valuable primary source for studying the Battle of Kursk. It provides detailed insights into German operations, challenges, and leadership dynamics while highlighting the broader complexities of the Eastern Front. However, its post-war context and inherent biases necessitate careful critical analysis. While it enriches our understanding of the battle, it must be complemented with Soviet accounts and broader historical perspectives for a more balanced interpretation.</w:t>
      </w:r>
    </w:p>
    <w:p w14:paraId="40EFD5E2" w14:textId="1D9B6A2D" w:rsidR="00B065FE" w:rsidRDefault="00DD2317" w:rsidP="00DD2317">
      <w:pPr>
        <w:rPr>
          <w:rFonts w:ascii="Arial" w:eastAsia="Calibri" w:hAnsi="Arial" w:cs="Arial"/>
          <w:lang w:eastAsia="en-GB"/>
        </w:rPr>
      </w:pPr>
      <w:r w:rsidRPr="00DD2317">
        <w:rPr>
          <w:rFonts w:ascii="Arial" w:eastAsia="Calibri" w:hAnsi="Arial" w:cs="Arial"/>
          <w:lang w:eastAsia="en-GB"/>
        </w:rPr>
        <w:t>The operational and strategic lessons from Kursk also resonate today, particularly in the context of the war in Ukraine. The conflict demonstrates the enduring importance of many principles observed during Kursk, such as the role of defensive fortifications, combined arms operations, and the impact of logistics on military success. Just as Kursk signalled a turning point in the Second World War, understanding its dynamics provides valuable insights into the broader strategic importance of the Eastern European theatre. Studying this battle not only sheds light on the past but also informs contemporary military and geopolitical analyses, making it profoundly relevant to current global events.</w:t>
      </w:r>
      <w:r w:rsidR="00B065FE">
        <w:rPr>
          <w:rFonts w:ascii="Arial" w:eastAsia="Calibri" w:hAnsi="Arial" w:cs="Arial"/>
          <w:lang w:eastAsia="en-GB"/>
        </w:rPr>
        <w:br w:type="page"/>
      </w:r>
    </w:p>
    <w:p w14:paraId="4BED1ABD" w14:textId="77777777" w:rsidR="00B065FE" w:rsidRPr="00B065FE" w:rsidRDefault="00B065FE" w:rsidP="00B065FE">
      <w:pPr>
        <w:spacing w:after="0" w:line="240" w:lineRule="auto"/>
        <w:jc w:val="center"/>
        <w:rPr>
          <w:rFonts w:ascii="Arial" w:eastAsia="Calibri" w:hAnsi="Arial" w:cs="Arial"/>
          <w:color w:val="111111"/>
          <w:lang w:eastAsia="en-GB"/>
        </w:rPr>
      </w:pPr>
      <w:r w:rsidRPr="00B065FE">
        <w:rPr>
          <w:rFonts w:ascii="Arial" w:eastAsia="Calibri" w:hAnsi="Arial" w:cs="Arial"/>
          <w:b/>
          <w:bCs/>
          <w:color w:val="111111"/>
          <w:lang w:eastAsia="en-GB"/>
        </w:rPr>
        <w:lastRenderedPageBreak/>
        <w:t>Bibliography</w:t>
      </w:r>
    </w:p>
    <w:p w14:paraId="6227A41E" w14:textId="77777777" w:rsidR="00B065FE" w:rsidRPr="00B065FE" w:rsidRDefault="00B065FE" w:rsidP="00B065FE">
      <w:pPr>
        <w:spacing w:after="0" w:line="240" w:lineRule="auto"/>
        <w:rPr>
          <w:rFonts w:ascii="Arial" w:eastAsia="Calibri" w:hAnsi="Arial" w:cs="Arial"/>
          <w:color w:val="111111"/>
          <w:lang w:eastAsia="en-GB"/>
        </w:rPr>
      </w:pPr>
    </w:p>
    <w:p w14:paraId="25CFFC79" w14:textId="77777777" w:rsidR="00B065FE" w:rsidRPr="00B065FE" w:rsidRDefault="00B065FE" w:rsidP="00B065FE">
      <w:pPr>
        <w:spacing w:after="0" w:line="240" w:lineRule="auto"/>
        <w:rPr>
          <w:rFonts w:ascii="Arial" w:eastAsia="Calibri" w:hAnsi="Arial" w:cs="Arial"/>
          <w:color w:val="111111"/>
          <w:lang w:eastAsia="en-GB"/>
        </w:rPr>
      </w:pPr>
      <w:r w:rsidRPr="00B065FE">
        <w:rPr>
          <w:rFonts w:ascii="Arial" w:eastAsia="Calibri" w:hAnsi="Arial" w:cs="Arial"/>
          <w:color w:val="111111"/>
          <w:lang w:eastAsia="en-GB"/>
        </w:rPr>
        <w:t xml:space="preserve">Newton, S.H. (2002) </w:t>
      </w:r>
      <w:r w:rsidRPr="00B065FE">
        <w:rPr>
          <w:rFonts w:ascii="Arial" w:eastAsia="Calibri" w:hAnsi="Arial" w:cs="Arial"/>
          <w:i/>
          <w:iCs/>
          <w:color w:val="111111"/>
          <w:lang w:eastAsia="en-GB"/>
        </w:rPr>
        <w:t>Kursk: The German View - Eyewitness Reports of Operation Citadel by the German Commanders</w:t>
      </w:r>
      <w:r w:rsidRPr="00B065FE">
        <w:rPr>
          <w:rFonts w:ascii="Arial" w:eastAsia="Calibri" w:hAnsi="Arial" w:cs="Arial"/>
          <w:color w:val="111111"/>
          <w:lang w:eastAsia="en-GB"/>
        </w:rPr>
        <w:t>. Cambridge, MA: Da Capo Press.</w:t>
      </w:r>
    </w:p>
    <w:p w14:paraId="2D43EF34" w14:textId="77777777" w:rsidR="00813E7D" w:rsidRPr="00B065FE" w:rsidRDefault="00813E7D" w:rsidP="0015360A">
      <w:pPr>
        <w:rPr>
          <w:rFonts w:ascii="Arial" w:hAnsi="Arial" w:cs="Arial"/>
          <w:b/>
          <w:bCs/>
        </w:rPr>
      </w:pPr>
    </w:p>
    <w:sectPr w:rsidR="00813E7D" w:rsidRPr="00B065F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E80B59" w14:textId="77777777" w:rsidR="0015360A" w:rsidRDefault="0015360A" w:rsidP="0015360A">
      <w:pPr>
        <w:spacing w:after="0" w:line="240" w:lineRule="auto"/>
      </w:pPr>
      <w:r>
        <w:separator/>
      </w:r>
    </w:p>
  </w:endnote>
  <w:endnote w:type="continuationSeparator" w:id="0">
    <w:p w14:paraId="22D357F6" w14:textId="77777777" w:rsidR="0015360A" w:rsidRDefault="0015360A" w:rsidP="001536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6354D0" w14:textId="4A922987" w:rsidR="0015360A" w:rsidRDefault="0015360A">
    <w:pPr>
      <w:pStyle w:val="Footer"/>
    </w:pPr>
    <w:r w:rsidRPr="0015360A">
      <w:t>Academic Skills (HPFY3010).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42B7A6" w14:textId="77777777" w:rsidR="0015360A" w:rsidRDefault="0015360A" w:rsidP="0015360A">
      <w:pPr>
        <w:spacing w:after="0" w:line="240" w:lineRule="auto"/>
      </w:pPr>
      <w:r>
        <w:separator/>
      </w:r>
    </w:p>
  </w:footnote>
  <w:footnote w:type="continuationSeparator" w:id="0">
    <w:p w14:paraId="608FC4AD" w14:textId="77777777" w:rsidR="0015360A" w:rsidRDefault="0015360A" w:rsidP="001536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0660702"/>
      <w:docPartObj>
        <w:docPartGallery w:val="Page Numbers (Top of Page)"/>
        <w:docPartUnique/>
      </w:docPartObj>
    </w:sdtPr>
    <w:sdtEndPr>
      <w:rPr>
        <w:noProof/>
      </w:rPr>
    </w:sdtEndPr>
    <w:sdtContent>
      <w:p w14:paraId="38DB4D48" w14:textId="75990212" w:rsidR="0015360A" w:rsidRDefault="0015360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7496097" w14:textId="75F6D775" w:rsidR="0015360A" w:rsidRDefault="0015360A" w:rsidP="0015360A">
    <w:pPr>
      <w:pStyle w:val="Header"/>
      <w:ind w:firstLine="720"/>
    </w:pPr>
    <w:r w:rsidRPr="0015360A">
      <w:t>Callum Carter 2404122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893396"/>
    <w:multiLevelType w:val="hybridMultilevel"/>
    <w:tmpl w:val="EF02D0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E0187A"/>
    <w:multiLevelType w:val="hybridMultilevel"/>
    <w:tmpl w:val="5E8C86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6C594E"/>
    <w:multiLevelType w:val="hybridMultilevel"/>
    <w:tmpl w:val="B9C0B0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CC5748"/>
    <w:multiLevelType w:val="hybridMultilevel"/>
    <w:tmpl w:val="61A461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8530C1"/>
    <w:multiLevelType w:val="hybridMultilevel"/>
    <w:tmpl w:val="1A9E8C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FE6087"/>
    <w:multiLevelType w:val="hybridMultilevel"/>
    <w:tmpl w:val="E6E6C4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401AAC"/>
    <w:multiLevelType w:val="hybridMultilevel"/>
    <w:tmpl w:val="DC02E2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D3409A4"/>
    <w:multiLevelType w:val="hybridMultilevel"/>
    <w:tmpl w:val="A66E6F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8451417">
    <w:abstractNumId w:val="5"/>
  </w:num>
  <w:num w:numId="2" w16cid:durableId="1757746463">
    <w:abstractNumId w:val="0"/>
  </w:num>
  <w:num w:numId="3" w16cid:durableId="977761136">
    <w:abstractNumId w:val="4"/>
  </w:num>
  <w:num w:numId="4" w16cid:durableId="1029329946">
    <w:abstractNumId w:val="2"/>
  </w:num>
  <w:num w:numId="5" w16cid:durableId="2127963910">
    <w:abstractNumId w:val="7"/>
  </w:num>
  <w:num w:numId="6" w16cid:durableId="217935577">
    <w:abstractNumId w:val="3"/>
  </w:num>
  <w:num w:numId="7" w16cid:durableId="107435321">
    <w:abstractNumId w:val="1"/>
  </w:num>
  <w:num w:numId="8" w16cid:durableId="19588710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60A"/>
    <w:rsid w:val="000A4AC8"/>
    <w:rsid w:val="0015360A"/>
    <w:rsid w:val="002174B6"/>
    <w:rsid w:val="0022502C"/>
    <w:rsid w:val="00345446"/>
    <w:rsid w:val="00372FEB"/>
    <w:rsid w:val="003B3BD6"/>
    <w:rsid w:val="003B698B"/>
    <w:rsid w:val="00446083"/>
    <w:rsid w:val="004727B0"/>
    <w:rsid w:val="005044AF"/>
    <w:rsid w:val="006075D2"/>
    <w:rsid w:val="007303DD"/>
    <w:rsid w:val="007514B5"/>
    <w:rsid w:val="0078778E"/>
    <w:rsid w:val="007F7983"/>
    <w:rsid w:val="00813E7D"/>
    <w:rsid w:val="00853AFC"/>
    <w:rsid w:val="008E667A"/>
    <w:rsid w:val="009B20B0"/>
    <w:rsid w:val="00AD2815"/>
    <w:rsid w:val="00B065FE"/>
    <w:rsid w:val="00B14D60"/>
    <w:rsid w:val="00B33F7E"/>
    <w:rsid w:val="00D439DB"/>
    <w:rsid w:val="00DD2317"/>
    <w:rsid w:val="00E172A4"/>
    <w:rsid w:val="00E32735"/>
    <w:rsid w:val="00EA63C8"/>
    <w:rsid w:val="00F63A72"/>
    <w:rsid w:val="00FB10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C942E"/>
  <w15:chartTrackingRefBased/>
  <w15:docId w15:val="{39CE38F5-AA6C-4E44-9E77-CC24CAFE6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36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360A"/>
  </w:style>
  <w:style w:type="paragraph" w:styleId="Footer">
    <w:name w:val="footer"/>
    <w:basedOn w:val="Normal"/>
    <w:link w:val="FooterChar"/>
    <w:uiPriority w:val="99"/>
    <w:unhideWhenUsed/>
    <w:rsid w:val="001536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360A"/>
  </w:style>
  <w:style w:type="paragraph" w:styleId="NormalWeb">
    <w:name w:val="Normal (Web)"/>
    <w:basedOn w:val="Normal"/>
    <w:uiPriority w:val="99"/>
    <w:semiHidden/>
    <w:unhideWhenUsed/>
    <w:rsid w:val="007514B5"/>
    <w:rPr>
      <w:rFonts w:ascii="Times New Roman" w:hAnsi="Times New Roman" w:cs="Times New Roman"/>
      <w:sz w:val="24"/>
      <w:szCs w:val="24"/>
    </w:rPr>
  </w:style>
  <w:style w:type="paragraph" w:styleId="ListParagraph">
    <w:name w:val="List Paragraph"/>
    <w:basedOn w:val="Normal"/>
    <w:uiPriority w:val="34"/>
    <w:qFormat/>
    <w:rsid w:val="003454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4882201">
      <w:bodyDiv w:val="1"/>
      <w:marLeft w:val="0"/>
      <w:marRight w:val="0"/>
      <w:marTop w:val="0"/>
      <w:marBottom w:val="0"/>
      <w:divBdr>
        <w:top w:val="none" w:sz="0" w:space="0" w:color="auto"/>
        <w:left w:val="none" w:sz="0" w:space="0" w:color="auto"/>
        <w:bottom w:val="none" w:sz="0" w:space="0" w:color="auto"/>
        <w:right w:val="none" w:sz="0" w:space="0" w:color="auto"/>
      </w:divBdr>
    </w:div>
    <w:div w:id="1945764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1330</Words>
  <Characters>7586</Characters>
  <Application>Microsoft Office Word</Application>
  <DocSecurity>0</DocSecurity>
  <Lines>63</Lines>
  <Paragraphs>17</Paragraphs>
  <ScaleCrop>false</ScaleCrop>
  <Company/>
  <LinksUpToDate>false</LinksUpToDate>
  <CharactersWithSpaces>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Carter, Callum LCpl</dc:creator>
  <cp:keywords/>
  <dc:description/>
  <cp:lastModifiedBy>Callum Carter (2404122)</cp:lastModifiedBy>
  <cp:revision>2</cp:revision>
  <dcterms:created xsi:type="dcterms:W3CDTF">2024-12-04T12:59:00Z</dcterms:created>
  <dcterms:modified xsi:type="dcterms:W3CDTF">2024-12-04T12:59:00Z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2024-11-19T13:38:09Z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293b68cb-d15b-495d-a612-e8a3cb626d8e</vt:lpwstr>
  </property>
  <property fmtid="{D5CDD505-2E9C-101B-9397-08002B2CF9AE}" pid="8" name="MSIP_Label_8e28611e-2819-430a-bdf7-3581be6cbbdd_ContentBits">
    <vt:lpwstr>0</vt:lpwstr>
  </property>
</Properties>
</file>