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76BB6" w14:textId="06692DCF" w:rsidR="00FD4AD5" w:rsidRDefault="00910796">
      <w:r w:rsidRPr="00D16060">
        <w:rPr>
          <w:noProof/>
        </w:rPr>
        <mc:AlternateContent>
          <mc:Choice Requires="wpg">
            <w:drawing>
              <wp:anchor distT="0" distB="0" distL="114300" distR="114300" simplePos="0" relativeHeight="251651072" behindDoc="0" locked="0" layoutInCell="1" allowOverlap="1" wp14:anchorId="38FD941C" wp14:editId="10B8053E">
                <wp:simplePos x="0" y="0"/>
                <wp:positionH relativeFrom="margin">
                  <wp:posOffset>-425302</wp:posOffset>
                </wp:positionH>
                <wp:positionV relativeFrom="margin">
                  <wp:posOffset>-531628</wp:posOffset>
                </wp:positionV>
                <wp:extent cx="7189571" cy="7367643"/>
                <wp:effectExtent l="0" t="0" r="0" b="0"/>
                <wp:wrapNone/>
                <wp:docPr id="27" name="Group 6">
                  <a:extLst xmlns:a="http://schemas.openxmlformats.org/drawingml/2006/main">
                    <a:ext uri="{FF2B5EF4-FFF2-40B4-BE49-F238E27FC236}">
                      <a16:creationId xmlns:a16="http://schemas.microsoft.com/office/drawing/2014/main" id="{64C3117C-F3CC-5208-18B6-E7194115EEB0}"/>
                    </a:ext>
                  </a:extLst>
                </wp:docPr>
                <wp:cNvGraphicFramePr/>
                <a:graphic xmlns:a="http://schemas.openxmlformats.org/drawingml/2006/main">
                  <a:graphicData uri="http://schemas.microsoft.com/office/word/2010/wordprocessingGroup">
                    <wpg:wgp>
                      <wpg:cNvGrpSpPr/>
                      <wpg:grpSpPr>
                        <a:xfrm>
                          <a:off x="0" y="0"/>
                          <a:ext cx="7189571" cy="7367643"/>
                          <a:chOff x="906442" y="738718"/>
                          <a:chExt cx="7191052" cy="7368828"/>
                        </a:xfrm>
                      </wpg:grpSpPr>
                      <wpg:grpSp>
                        <wpg:cNvPr id="952449485" name="Group 952449485">
                          <a:extLst>
                            <a:ext uri="{FF2B5EF4-FFF2-40B4-BE49-F238E27FC236}">
                              <a16:creationId xmlns:a16="http://schemas.microsoft.com/office/drawing/2014/main" id="{1855DBB1-097C-42D3-2E31-CD2BFE1A4737}"/>
                            </a:ext>
                          </a:extLst>
                        </wpg:cNvPr>
                        <wpg:cNvGrpSpPr/>
                        <wpg:grpSpPr>
                          <a:xfrm>
                            <a:off x="906442" y="7471693"/>
                            <a:ext cx="7191052" cy="635853"/>
                            <a:chOff x="906442" y="7471693"/>
                            <a:chExt cx="7191052" cy="635853"/>
                          </a:xfrm>
                        </wpg:grpSpPr>
                        <wps:wsp>
                          <wps:cNvPr id="838912234" name="TextBox 21"/>
                          <wps:cNvSpPr txBox="1"/>
                          <wps:spPr>
                            <a:xfrm>
                              <a:off x="906442" y="7471693"/>
                              <a:ext cx="1565275" cy="293370"/>
                            </a:xfrm>
                            <a:prstGeom prst="rect">
                              <a:avLst/>
                            </a:prstGeom>
                          </wps:spPr>
                          <wps:txbx>
                            <w:txbxContent>
                              <w:p w14:paraId="6199CD23" w14:textId="77777777" w:rsidR="00635301" w:rsidRPr="000E7F72" w:rsidRDefault="00635301" w:rsidP="000E7F72">
                                <w:pPr>
                                  <w:spacing w:line="262" w:lineRule="exact"/>
                                  <w:rPr>
                                    <w:rFonts w:ascii="Poppins" w:hAnsi="Poppins"/>
                                    <w:color w:val="FFFFFF"/>
                                    <w:spacing w:val="4"/>
                                    <w:kern w:val="24"/>
                                    <w:sz w:val="32"/>
                                    <w:szCs w:val="32"/>
                                  </w:rPr>
                                </w:pPr>
                                <w:r w:rsidRPr="000E7F72">
                                  <w:rPr>
                                    <w:rFonts w:ascii="Poppins" w:hAnsi="Poppins"/>
                                    <w:color w:val="FFFFFF"/>
                                    <w:spacing w:val="4"/>
                                    <w:kern w:val="24"/>
                                    <w:sz w:val="32"/>
                                    <w:szCs w:val="32"/>
                                  </w:rPr>
                                  <w:t>Presented To</w:t>
                                </w:r>
                              </w:p>
                            </w:txbxContent>
                          </wps:txbx>
                          <wps:bodyPr lIns="0" tIns="0" rIns="0" bIns="0" rtlCol="0" anchor="t">
                            <a:spAutoFit/>
                          </wps:bodyPr>
                        </wps:wsp>
                        <wps:wsp>
                          <wps:cNvPr id="1719477996" name="TextBox 22"/>
                          <wps:cNvSpPr txBox="1"/>
                          <wps:spPr>
                            <a:xfrm>
                              <a:off x="924614" y="7781156"/>
                              <a:ext cx="3023870" cy="326390"/>
                            </a:xfrm>
                            <a:prstGeom prst="rect">
                              <a:avLst/>
                            </a:prstGeom>
                          </wps:spPr>
                          <wps:txbx>
                            <w:txbxContent>
                              <w:p w14:paraId="645FB13F" w14:textId="1FB2C699" w:rsidR="00635301" w:rsidRPr="000E7F72" w:rsidRDefault="00D55131" w:rsidP="000E7F72">
                                <w:pPr>
                                  <w:spacing w:line="314" w:lineRule="exact"/>
                                  <w:rPr>
                                    <w:rFonts w:ascii="Poppins SemiBold" w:hAnsi="Poppins SemiBold"/>
                                    <w:color w:val="BCFFBF"/>
                                    <w:spacing w:val="5"/>
                                    <w:kern w:val="24"/>
                                    <w:sz w:val="32"/>
                                    <w:szCs w:val="32"/>
                                  </w:rPr>
                                </w:pPr>
                                <w:r w:rsidRPr="000E7F72">
                                  <w:rPr>
                                    <w:rFonts w:ascii="Poppins SemiBold" w:hAnsi="Poppins SemiBold"/>
                                    <w:color w:val="BCFFBF"/>
                                    <w:spacing w:val="5"/>
                                    <w:kern w:val="24"/>
                                    <w:sz w:val="32"/>
                                    <w:szCs w:val="32"/>
                                  </w:rPr>
                                  <w:t>Dr. Hoang Nguyen</w:t>
                                </w:r>
                              </w:p>
                            </w:txbxContent>
                          </wps:txbx>
                          <wps:bodyPr lIns="0" tIns="0" rIns="0" bIns="0" rtlCol="0" anchor="t">
                            <a:spAutoFit/>
                          </wps:bodyPr>
                        </wps:wsp>
                        <wps:wsp>
                          <wps:cNvPr id="272202662" name="TextBox 23"/>
                          <wps:cNvSpPr txBox="1"/>
                          <wps:spPr>
                            <a:xfrm>
                              <a:off x="6532219" y="7471693"/>
                              <a:ext cx="1565275" cy="293370"/>
                            </a:xfrm>
                            <a:prstGeom prst="rect">
                              <a:avLst/>
                            </a:prstGeom>
                          </wps:spPr>
                          <wps:txbx>
                            <w:txbxContent>
                              <w:p w14:paraId="461FAF8E" w14:textId="77777777" w:rsidR="00635301" w:rsidRPr="000E7F72" w:rsidRDefault="00635301" w:rsidP="00635301">
                                <w:pPr>
                                  <w:spacing w:line="262" w:lineRule="exact"/>
                                  <w:jc w:val="right"/>
                                  <w:rPr>
                                    <w:rFonts w:ascii="Poppins" w:hAnsi="Poppins"/>
                                    <w:color w:val="FFFFFF"/>
                                    <w:spacing w:val="4"/>
                                    <w:kern w:val="24"/>
                                    <w:sz w:val="28"/>
                                    <w:szCs w:val="28"/>
                                  </w:rPr>
                                </w:pPr>
                                <w:r w:rsidRPr="000E7F72">
                                  <w:rPr>
                                    <w:rFonts w:ascii="Poppins" w:hAnsi="Poppins"/>
                                    <w:color w:val="FFFFFF"/>
                                    <w:spacing w:val="4"/>
                                    <w:kern w:val="24"/>
                                    <w:sz w:val="28"/>
                                    <w:szCs w:val="28"/>
                                  </w:rPr>
                                  <w:t>Presented By</w:t>
                                </w:r>
                              </w:p>
                            </w:txbxContent>
                          </wps:txbx>
                          <wps:bodyPr lIns="0" tIns="0" rIns="0" bIns="0" rtlCol="0" anchor="t">
                            <a:spAutoFit/>
                          </wps:bodyPr>
                        </wps:wsp>
                        <wps:wsp>
                          <wps:cNvPr id="1049492917" name="TextBox 26"/>
                          <wps:cNvSpPr txBox="1"/>
                          <wps:spPr>
                            <a:xfrm>
                              <a:off x="5073622" y="7765063"/>
                              <a:ext cx="3023870" cy="326390"/>
                            </a:xfrm>
                            <a:prstGeom prst="rect">
                              <a:avLst/>
                            </a:prstGeom>
                          </wps:spPr>
                          <wps:txbx>
                            <w:txbxContent>
                              <w:p w14:paraId="426E22B6" w14:textId="2FB3A121" w:rsidR="00635301" w:rsidRPr="000E7F72" w:rsidRDefault="00D55131" w:rsidP="00D55131">
                                <w:pPr>
                                  <w:spacing w:line="314" w:lineRule="exact"/>
                                  <w:jc w:val="right"/>
                                  <w:rPr>
                                    <w:rFonts w:ascii="Poppins SemiBold" w:hAnsi="Poppins SemiBold"/>
                                    <w:color w:val="BCFFBF"/>
                                    <w:spacing w:val="5"/>
                                    <w:kern w:val="24"/>
                                    <w:szCs w:val="24"/>
                                  </w:rPr>
                                </w:pPr>
                                <w:r w:rsidRPr="000E7F72">
                                  <w:rPr>
                                    <w:rFonts w:ascii="Poppins SemiBold" w:hAnsi="Poppins SemiBold"/>
                                    <w:color w:val="BCFFBF"/>
                                    <w:spacing w:val="5"/>
                                    <w:kern w:val="24"/>
                                    <w:sz w:val="32"/>
                                    <w:szCs w:val="32"/>
                                  </w:rPr>
                                  <w:t>Soham</w:t>
                                </w:r>
                                <w:r w:rsidRPr="000E7F72">
                                  <w:rPr>
                                    <w:rFonts w:ascii="Poppins SemiBold" w:hAnsi="Poppins SemiBold"/>
                                    <w:color w:val="BCFFBF"/>
                                    <w:spacing w:val="5"/>
                                    <w:kern w:val="24"/>
                                    <w:szCs w:val="24"/>
                                  </w:rPr>
                                  <w:t xml:space="preserve"> </w:t>
                                </w:r>
                                <w:r w:rsidRPr="000E7F72">
                                  <w:rPr>
                                    <w:rFonts w:ascii="Poppins SemiBold" w:hAnsi="Poppins SemiBold"/>
                                    <w:color w:val="BCFFBF"/>
                                    <w:spacing w:val="5"/>
                                    <w:kern w:val="24"/>
                                    <w:sz w:val="32"/>
                                    <w:szCs w:val="32"/>
                                  </w:rPr>
                                  <w:t>Yadav</w:t>
                                </w:r>
                              </w:p>
                            </w:txbxContent>
                          </wps:txbx>
                          <wps:bodyPr lIns="0" tIns="0" rIns="0" bIns="0" rtlCol="0" anchor="t">
                            <a:spAutoFit/>
                          </wps:bodyPr>
                        </wps:wsp>
                      </wpg:grpSp>
                      <wps:wsp>
                        <wps:cNvPr id="748904717" name="TextBox 5"/>
                        <wps:cNvSpPr txBox="1"/>
                        <wps:spPr>
                          <a:xfrm>
                            <a:off x="978363" y="738718"/>
                            <a:ext cx="6640293" cy="1991045"/>
                          </a:xfrm>
                          <a:prstGeom prst="rect">
                            <a:avLst/>
                          </a:prstGeom>
                          <a:ln>
                            <a:noFill/>
                          </a:ln>
                        </wps:spPr>
                        <wps:txbx>
                          <w:txbxContent>
                            <w:p w14:paraId="31A982D1" w14:textId="0E73352F" w:rsidR="00021ACF" w:rsidRPr="00910796"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sidRPr="00910796">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STRATEGIC MANAGEMENT</w:t>
                              </w:r>
                              <w:r w:rsidR="000E7F72">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 xml:space="preserve"> REPORT</w:t>
                              </w:r>
                            </w:p>
                            <w:p w14:paraId="5FC751BD" w14:textId="117CE6D1" w:rsidR="002F0F6D"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sidRPr="00910796">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 xml:space="preserve">LCMB7003 </w:t>
                              </w:r>
                            </w:p>
                            <w:p w14:paraId="12FA337F" w14:textId="32E9DE67" w:rsidR="0015011B" w:rsidRPr="00910796" w:rsidRDefault="0015011B"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w:t>
                              </w:r>
                            </w:p>
                            <w:p w14:paraId="680A8244" w14:textId="77777777" w:rsidR="00021ACF" w:rsidRPr="00910796"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p>
                          </w:txbxContent>
                        </wps:txbx>
                        <wps:bodyPr wrap="square" lIns="0" tIns="0" rIns="0" bIns="0" rtlCol="0" anchor="t">
                          <a:spAutoFit/>
                        </wps:bodyPr>
                      </wps:wsp>
                    </wpg:wgp>
                  </a:graphicData>
                </a:graphic>
                <wp14:sizeRelH relativeFrom="margin">
                  <wp14:pctWidth>0</wp14:pctWidth>
                </wp14:sizeRelH>
                <wp14:sizeRelV relativeFrom="margin">
                  <wp14:pctHeight>0</wp14:pctHeight>
                </wp14:sizeRelV>
              </wp:anchor>
            </w:drawing>
          </mc:Choice>
          <mc:Fallback>
            <w:pict>
              <v:group w14:anchorId="38FD941C" id="Group 6" o:spid="_x0000_s1026" style="position:absolute;margin-left:-33.5pt;margin-top:-41.85pt;width:566.1pt;height:580.15pt;z-index:251651072;mso-position-horizontal-relative:margin;mso-position-vertical-relative:margin;mso-width-relative:margin;mso-height-relative:margin" coordorigin="9064,7387" coordsize="71910,736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">
                <v:group id="Group 952449485" o:spid="_x0000_s1027" style="position:absolute;left:9064;top:74716;width:71910;height:6359" coordorigin="9064,74716" coordsize="71910,6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">
                  <v:shapetype id="_x0000_t202" coordsize="21600,21600" o:spt="202" path="m,l,21600r21600,l21600,xe">
                    <v:stroke joinstyle="miter"/>
                    <v:path gradientshapeok="t" o:connecttype="rect"/>
                  </v:shapetype>
                  <v:shape id="TextBox 21" o:spid="_x0000_s1028" type="#_x0000_t202" style="position:absolute;left:9064;top:74716;width:15653;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" filled="f" stroked="f">
                    <v:textbox style="mso-fit-shape-to-text:t" inset="0,0,0,0">
                      <w:txbxContent>
                        <w:p w14:paraId="6199CD23" w14:textId="77777777" w:rsidR="00635301" w:rsidRPr="000E7F72" w:rsidRDefault="00635301" w:rsidP="000E7F72">
                          <w:pPr>
                            <w:spacing w:line="262" w:lineRule="exact"/>
                            <w:rPr>
                              <w:rFonts w:ascii="Poppins" w:hAnsi="Poppins"/>
                              <w:color w:val="FFFFFF"/>
                              <w:spacing w:val="4"/>
                              <w:kern w:val="24"/>
                              <w:sz w:val="32"/>
                              <w:szCs w:val="32"/>
                            </w:rPr>
                          </w:pPr>
                          <w:r w:rsidRPr="000E7F72">
                            <w:rPr>
                              <w:rFonts w:ascii="Poppins" w:hAnsi="Poppins"/>
                              <w:color w:val="FFFFFF"/>
                              <w:spacing w:val="4"/>
                              <w:kern w:val="24"/>
                              <w:sz w:val="32"/>
                              <w:szCs w:val="32"/>
                            </w:rPr>
                            <w:t>Presented To</w:t>
                          </w:r>
                        </w:p>
                      </w:txbxContent>
                    </v:textbox>
                  </v:shape>
                  <v:shape id="TextBox 22" o:spid="_x0000_s1029" type="#_x0000_t202" style="position:absolute;left:9246;top:77811;width:30238;height:32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" filled="f" stroked="f">
                    <v:textbox style="mso-fit-shape-to-text:t" inset="0,0,0,0">
                      <w:txbxContent>
                        <w:p w14:paraId="645FB13F" w14:textId="1FB2C699" w:rsidR="00635301" w:rsidRPr="000E7F72" w:rsidRDefault="00D55131" w:rsidP="000E7F72">
                          <w:pPr>
                            <w:spacing w:line="314" w:lineRule="exact"/>
                            <w:rPr>
                              <w:rFonts w:ascii="Poppins SemiBold" w:hAnsi="Poppins SemiBold"/>
                              <w:color w:val="BCFFBF"/>
                              <w:spacing w:val="5"/>
                              <w:kern w:val="24"/>
                              <w:sz w:val="32"/>
                              <w:szCs w:val="32"/>
                            </w:rPr>
                          </w:pPr>
                          <w:r w:rsidRPr="000E7F72">
                            <w:rPr>
                              <w:rFonts w:ascii="Poppins SemiBold" w:hAnsi="Poppins SemiBold"/>
                              <w:color w:val="BCFFBF"/>
                              <w:spacing w:val="5"/>
                              <w:kern w:val="24"/>
                              <w:sz w:val="32"/>
                              <w:szCs w:val="32"/>
                            </w:rPr>
                            <w:t>Dr. Hoang Nguyen</w:t>
                          </w:r>
                        </w:p>
                      </w:txbxContent>
                    </v:textbox>
                  </v:shape>
                  <v:shape id="TextBox 23" o:spid="_x0000_s1030" type="#_x0000_t202" style="position:absolute;left:65322;top:74716;width:15652;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" filled="f" stroked="f">
                    <v:textbox style="mso-fit-shape-to-text:t" inset="0,0,0,0">
                      <w:txbxContent>
                        <w:p w14:paraId="461FAF8E" w14:textId="77777777" w:rsidR="00635301" w:rsidRPr="000E7F72" w:rsidRDefault="00635301" w:rsidP="00635301">
                          <w:pPr>
                            <w:spacing w:line="262" w:lineRule="exact"/>
                            <w:jc w:val="right"/>
                            <w:rPr>
                              <w:rFonts w:ascii="Poppins" w:hAnsi="Poppins"/>
                              <w:color w:val="FFFFFF"/>
                              <w:spacing w:val="4"/>
                              <w:kern w:val="24"/>
                              <w:sz w:val="28"/>
                              <w:szCs w:val="28"/>
                            </w:rPr>
                          </w:pPr>
                          <w:r w:rsidRPr="000E7F72">
                            <w:rPr>
                              <w:rFonts w:ascii="Poppins" w:hAnsi="Poppins"/>
                              <w:color w:val="FFFFFF"/>
                              <w:spacing w:val="4"/>
                              <w:kern w:val="24"/>
                              <w:sz w:val="28"/>
                              <w:szCs w:val="28"/>
                            </w:rPr>
                            <w:t>Presented By</w:t>
                          </w:r>
                        </w:p>
                      </w:txbxContent>
                    </v:textbox>
                  </v:shape>
                  <v:shape id="TextBox 26" o:spid="_x0000_s1031" type="#_x0000_t202" style="position:absolute;left:50736;top:77650;width:30238;height:32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" filled="f" stroked="f">
                    <v:textbox style="mso-fit-shape-to-text:t" inset="0,0,0,0">
                      <w:txbxContent>
                        <w:p w14:paraId="426E22B6" w14:textId="2FB3A121" w:rsidR="00635301" w:rsidRPr="000E7F72" w:rsidRDefault="00D55131" w:rsidP="00D55131">
                          <w:pPr>
                            <w:spacing w:line="314" w:lineRule="exact"/>
                            <w:jc w:val="right"/>
                            <w:rPr>
                              <w:rFonts w:ascii="Poppins SemiBold" w:hAnsi="Poppins SemiBold"/>
                              <w:color w:val="BCFFBF"/>
                              <w:spacing w:val="5"/>
                              <w:kern w:val="24"/>
                              <w:szCs w:val="24"/>
                            </w:rPr>
                          </w:pPr>
                          <w:r w:rsidRPr="000E7F72">
                            <w:rPr>
                              <w:rFonts w:ascii="Poppins SemiBold" w:hAnsi="Poppins SemiBold"/>
                              <w:color w:val="BCFFBF"/>
                              <w:spacing w:val="5"/>
                              <w:kern w:val="24"/>
                              <w:sz w:val="32"/>
                              <w:szCs w:val="32"/>
                            </w:rPr>
                            <w:t>Soham</w:t>
                          </w:r>
                          <w:r w:rsidRPr="000E7F72">
                            <w:rPr>
                              <w:rFonts w:ascii="Poppins SemiBold" w:hAnsi="Poppins SemiBold"/>
                              <w:color w:val="BCFFBF"/>
                              <w:spacing w:val="5"/>
                              <w:kern w:val="24"/>
                              <w:szCs w:val="24"/>
                            </w:rPr>
                            <w:t xml:space="preserve"> </w:t>
                          </w:r>
                          <w:r w:rsidRPr="000E7F72">
                            <w:rPr>
                              <w:rFonts w:ascii="Poppins SemiBold" w:hAnsi="Poppins SemiBold"/>
                              <w:color w:val="BCFFBF"/>
                              <w:spacing w:val="5"/>
                              <w:kern w:val="24"/>
                              <w:sz w:val="32"/>
                              <w:szCs w:val="32"/>
                            </w:rPr>
                            <w:t>Yadav</w:t>
                          </w:r>
                        </w:p>
                      </w:txbxContent>
                    </v:textbox>
                  </v:shape>
                </v:group>
                <v:shape id="TextBox 5" o:spid="_x0000_s1032" type="#_x0000_t202" style="position:absolute;left:9783;top:7387;width:66403;height:19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" filled="f" stroked="f">
                  <v:textbox style="mso-fit-shape-to-text:t" inset="0,0,0,0">
                    <w:txbxContent>
                      <w:p w14:paraId="31A982D1" w14:textId="0E73352F" w:rsidR="00021ACF" w:rsidRPr="00910796"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sidRPr="00910796">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STRATEGIC MANAGEMENT</w:t>
                        </w:r>
                        <w:r w:rsidR="000E7F72">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 xml:space="preserve"> REPORT</w:t>
                        </w:r>
                      </w:p>
                      <w:p w14:paraId="5FC751BD" w14:textId="117CE6D1" w:rsidR="002F0F6D"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sidRPr="00910796">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 xml:space="preserve">LCMB7003 </w:t>
                        </w:r>
                      </w:p>
                      <w:p w14:paraId="12FA337F" w14:textId="32E9DE67" w:rsidR="0015011B" w:rsidRPr="00910796" w:rsidRDefault="0015011B"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w:t>
                        </w:r>
                      </w:p>
                      <w:p w14:paraId="680A8244" w14:textId="77777777" w:rsidR="00021ACF" w:rsidRPr="00910796" w:rsidRDefault="00021ACF" w:rsidP="00910796">
                        <w:pPr>
                          <w:spacing w:line="240" w:lineRule="auto"/>
                          <w:rPr>
                            <w:rFonts w:ascii="Britannic Bold" w:hAnsi="Britannic Bold" w:cs="Times New Roman"/>
                            <w:b/>
                            <w:bCs/>
                            <w:color w:val="F2F2F2" w:themeColor="background1" w:themeShade="F2"/>
                            <w:kern w:val="24"/>
                            <w:sz w:val="50"/>
                            <w:szCs w:val="50"/>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p>
                    </w:txbxContent>
                  </v:textbox>
                </v:shape>
                <w10:wrap anchorx="margin" anchory="margin"/>
              </v:group>
            </w:pict>
          </mc:Fallback>
        </mc:AlternateContent>
      </w:r>
      <w:r>
        <w:rPr>
          <w:noProof/>
        </w:rPr>
        <mc:AlternateContent>
          <mc:Choice Requires="wps">
            <w:drawing>
              <wp:anchor distT="0" distB="0" distL="114300" distR="114300" simplePos="0" relativeHeight="251692032" behindDoc="1" locked="0" layoutInCell="1" allowOverlap="1" wp14:anchorId="64CE9BC7" wp14:editId="41F26C04">
                <wp:simplePos x="0" y="0"/>
                <wp:positionH relativeFrom="column">
                  <wp:posOffset>4763386</wp:posOffset>
                </wp:positionH>
                <wp:positionV relativeFrom="paragraph">
                  <wp:posOffset>-1139899</wp:posOffset>
                </wp:positionV>
                <wp:extent cx="2619523" cy="10834370"/>
                <wp:effectExtent l="57150" t="19050" r="85725" b="100330"/>
                <wp:wrapNone/>
                <wp:docPr id="1963443028" name="Rectangle 12"/>
                <wp:cNvGraphicFramePr/>
                <a:graphic xmlns:a="http://schemas.openxmlformats.org/drawingml/2006/main">
                  <a:graphicData uri="http://schemas.microsoft.com/office/word/2010/wordprocessingShape">
                    <wps:wsp>
                      <wps:cNvSpPr/>
                      <wps:spPr>
                        <a:xfrm>
                          <a:off x="0" y="0"/>
                          <a:ext cx="2619523" cy="1083437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012396" id="Rectangle 12" o:spid="_x0000_s1026" style="position:absolute;margin-left:375.05pt;margin-top:-89.75pt;width:206.25pt;height:853.1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" fillcolor="#4f81bd [3204]" strokecolor="#4579b8 [3044]">
                <v:fill color2="#a7bfde [1620]" rotate="t" angle="180" focus="100%" type="gradient">
                  <o:fill v:ext="view" type="gradientUnscaled"/>
                </v:fill>
                <v:shadow on="t" color="black" opacity="22937f" origin=",.5" offset="0,.63889mm"/>
              </v:rect>
            </w:pict>
          </mc:Fallback>
        </mc:AlternateContent>
      </w:r>
      <w:r>
        <w:rPr>
          <w:noProof/>
        </w:rPr>
        <mc:AlternateContent>
          <mc:Choice Requires="wps">
            <w:drawing>
              <wp:anchor distT="0" distB="0" distL="114300" distR="114300" simplePos="0" relativeHeight="251642880" behindDoc="1" locked="0" layoutInCell="1" allowOverlap="1" wp14:anchorId="6A5A3A43" wp14:editId="0C0F095D">
                <wp:simplePos x="0" y="0"/>
                <wp:positionH relativeFrom="page">
                  <wp:posOffset>0</wp:posOffset>
                </wp:positionH>
                <wp:positionV relativeFrom="page">
                  <wp:posOffset>10633</wp:posOffset>
                </wp:positionV>
                <wp:extent cx="7764780" cy="10334846"/>
                <wp:effectExtent l="0" t="0" r="7620" b="9525"/>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764780" cy="10334846"/>
                        </a:xfrm>
                        <a:prstGeom prst="rect">
                          <a:avLst/>
                        </a:prstGeom>
                        <a:solidFill>
                          <a:srgbClr val="004E79"/>
                        </a:soli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485AA32" w14:textId="2F1A7CA3" w:rsidR="00635301" w:rsidRDefault="0063530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A5A3A43" id="Rectangle 257" o:spid="_x0000_s1033" style="position:absolute;margin-left:0;margin-top:.85pt;width:611.4pt;height:813.7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" fillcolor="#004e79" stroked="f" strokeweight="2pt">
                <v:textbox inset="21.6pt,,21.6pt">
                  <w:txbxContent>
                    <w:p w14:paraId="6485AA32" w14:textId="2F1A7CA3" w:rsidR="00635301" w:rsidRDefault="00635301"/>
                  </w:txbxContent>
                </v:textbox>
                <w10:wrap anchorx="page" anchory="page"/>
              </v:rect>
            </w:pict>
          </mc:Fallback>
        </mc:AlternateContent>
      </w:r>
    </w:p>
    <w:sdt>
      <w:sdtPr>
        <w:id w:val="1425306180"/>
        <w:docPartObj>
          <w:docPartGallery w:val="Cover Pages"/>
          <w:docPartUnique/>
        </w:docPartObj>
      </w:sdtPr>
      <w:sdtContent>
        <w:p w14:paraId="7096842E" w14:textId="2D0CB9A0" w:rsidR="00635301" w:rsidRDefault="0015011B">
          <w:r w:rsidRPr="0015011B">
            <w:rPr>
              <w:noProof/>
            </w:rPr>
            <w:drawing>
              <wp:anchor distT="0" distB="0" distL="114300" distR="114300" simplePos="0" relativeHeight="251700224" behindDoc="1" locked="0" layoutInCell="1" allowOverlap="1" wp14:anchorId="093F6284" wp14:editId="66774450">
                <wp:simplePos x="0" y="0"/>
                <wp:positionH relativeFrom="column">
                  <wp:posOffset>-457200</wp:posOffset>
                </wp:positionH>
                <wp:positionV relativeFrom="paragraph">
                  <wp:posOffset>340847</wp:posOffset>
                </wp:positionV>
                <wp:extent cx="5422900" cy="2254250"/>
                <wp:effectExtent l="0" t="0" r="0" b="0"/>
                <wp:wrapTight wrapText="bothSides">
                  <wp:wrapPolygon edited="0">
                    <wp:start x="304" y="913"/>
                    <wp:lineTo x="228" y="2921"/>
                    <wp:lineTo x="5160" y="4198"/>
                    <wp:lineTo x="10775" y="4198"/>
                    <wp:lineTo x="759" y="5476"/>
                    <wp:lineTo x="228" y="5476"/>
                    <wp:lineTo x="228" y="11682"/>
                    <wp:lineTo x="5160" y="12960"/>
                    <wp:lineTo x="10775" y="12960"/>
                    <wp:lineTo x="10775" y="15881"/>
                    <wp:lineTo x="152" y="16428"/>
                    <wp:lineTo x="152" y="17158"/>
                    <wp:lineTo x="18514" y="17158"/>
                    <wp:lineTo x="18666" y="16428"/>
                    <wp:lineTo x="10699" y="15881"/>
                    <wp:lineTo x="10775" y="12960"/>
                    <wp:lineTo x="13658" y="11682"/>
                    <wp:lineTo x="13734" y="10222"/>
                    <wp:lineTo x="12216" y="10039"/>
                    <wp:lineTo x="20563" y="7301"/>
                    <wp:lineTo x="20791" y="6024"/>
                    <wp:lineTo x="19273" y="5659"/>
                    <wp:lineTo x="10775" y="4198"/>
                    <wp:lineTo x="17224" y="2921"/>
                    <wp:lineTo x="17452" y="1643"/>
                    <wp:lineTo x="16314" y="913"/>
                    <wp:lineTo x="304" y="913"/>
                  </wp:wrapPolygon>
                </wp:wrapTight>
                <wp:docPr id="20313153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2900" cy="2254250"/>
                        </a:xfrm>
                        <a:prstGeom prst="rect">
                          <a:avLst/>
                        </a:prstGeom>
                        <a:noFill/>
                        <a:ln>
                          <a:noFill/>
                        </a:ln>
                      </pic:spPr>
                    </pic:pic>
                  </a:graphicData>
                </a:graphic>
              </wp:anchor>
            </w:drawing>
          </w:r>
        </w:p>
        <w:p w14:paraId="32E19875" w14:textId="7BF5354C" w:rsidR="003F3138" w:rsidRDefault="00B979D5" w:rsidP="00BF2A91">
          <w:r>
            <w:rPr>
              <w:noProof/>
            </w:rPr>
            <mc:AlternateContent>
              <mc:Choice Requires="wps">
                <w:drawing>
                  <wp:anchor distT="0" distB="0" distL="114300" distR="114300" simplePos="0" relativeHeight="251685888" behindDoc="0" locked="0" layoutInCell="1" allowOverlap="1" wp14:anchorId="53A4E7E9" wp14:editId="324CD2F8">
                    <wp:simplePos x="0" y="0"/>
                    <wp:positionH relativeFrom="column">
                      <wp:posOffset>-435418</wp:posOffset>
                    </wp:positionH>
                    <wp:positionV relativeFrom="paragraph">
                      <wp:posOffset>1882140</wp:posOffset>
                    </wp:positionV>
                    <wp:extent cx="5422265" cy="22510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2265" cy="2251075"/>
                            </a:xfrm>
                            <a:prstGeom prst="rect">
                              <a:avLst/>
                            </a:prstGeom>
                            <a:noFill/>
                            <a:ln w="9525">
                              <a:noFill/>
                              <a:miter lim="800000"/>
                              <a:headEnd/>
                              <a:tailEnd/>
                            </a:ln>
                          </wps:spPr>
                          <wps:txbx>
                            <w:txbxContent>
                              <w:p w14:paraId="0ECBB86D" w14:textId="42C5E7E7" w:rsidR="00FD4AD5" w:rsidRDefault="0015011B" w:rsidP="00B979D5">
                                <w:pPr>
                                  <w:spacing w:line="360" w:lineRule="auto"/>
                                  <w:rPr>
                                    <w:rFonts w:ascii="Britannic Bold" w:hAnsi="Britannic Bold"/>
                                    <w:color w:val="FFFFFF" w:themeColor="background1"/>
                                    <w:sz w:val="36"/>
                                    <w:szCs w:val="32"/>
                                  </w:rPr>
                                </w:pPr>
                                <w:r w:rsidRPr="00554251">
                                  <w:rPr>
                                    <w:rFonts w:ascii="Britannic Bold" w:hAnsi="Britannic Bold"/>
                                    <w:color w:val="FFFFFF" w:themeColor="background1"/>
                                    <w:sz w:val="36"/>
                                    <w:szCs w:val="32"/>
                                  </w:rPr>
                                  <w:t>Focus Entity: Adidas Performance Str</w:t>
                                </w:r>
                                <w:r w:rsidR="00A17A2C">
                                  <w:rPr>
                                    <w:rFonts w:ascii="Britannic Bold" w:hAnsi="Britannic Bold"/>
                                    <w:color w:val="FFFFFF" w:themeColor="background1"/>
                                    <w:sz w:val="36"/>
                                    <w:szCs w:val="32"/>
                                  </w:rPr>
                                  <w:t>a</w:t>
                                </w:r>
                                <w:r w:rsidRPr="00554251">
                                  <w:rPr>
                                    <w:rFonts w:ascii="Britannic Bold" w:hAnsi="Britannic Bold"/>
                                    <w:color w:val="FFFFFF" w:themeColor="background1"/>
                                    <w:sz w:val="36"/>
                                    <w:szCs w:val="32"/>
                                  </w:rPr>
                                  <w:t>t</w:t>
                                </w:r>
                                <w:r w:rsidR="00A17A2C">
                                  <w:rPr>
                                    <w:rFonts w:ascii="Britannic Bold" w:hAnsi="Britannic Bold"/>
                                    <w:color w:val="FFFFFF" w:themeColor="background1"/>
                                    <w:sz w:val="36"/>
                                    <w:szCs w:val="32"/>
                                  </w:rPr>
                                  <w:t>e</w:t>
                                </w:r>
                                <w:r w:rsidRPr="00554251">
                                  <w:rPr>
                                    <w:rFonts w:ascii="Britannic Bold" w:hAnsi="Britannic Bold"/>
                                    <w:color w:val="FFFFFF" w:themeColor="background1"/>
                                    <w:sz w:val="36"/>
                                    <w:szCs w:val="32"/>
                                  </w:rPr>
                                  <w:t>gic</w:t>
                                </w:r>
                                <w:r w:rsidR="00554251" w:rsidRPr="00554251">
                                  <w:rPr>
                                    <w:rFonts w:ascii="Britannic Bold" w:hAnsi="Britannic Bold"/>
                                    <w:color w:val="FFFFFF" w:themeColor="background1"/>
                                    <w:sz w:val="36"/>
                                    <w:szCs w:val="32"/>
                                  </w:rPr>
                                  <w:t xml:space="preserve"> Business Unit(SBU)</w:t>
                                </w:r>
                              </w:p>
                              <w:p w14:paraId="4715D5F4" w14:textId="77B588F4" w:rsidR="00582124" w:rsidRPr="00554251" w:rsidRDefault="00554251" w:rsidP="00B979D5">
                                <w:pPr>
                                  <w:spacing w:line="360" w:lineRule="auto"/>
                                  <w:rPr>
                                    <w:rFonts w:ascii="Britannic Bold" w:hAnsi="Britannic Bold"/>
                                    <w:color w:val="FFFFFF" w:themeColor="background1"/>
                                    <w:sz w:val="36"/>
                                    <w:szCs w:val="32"/>
                                  </w:rPr>
                                </w:pPr>
                                <w:r>
                                  <w:rPr>
                                    <w:rFonts w:ascii="Britannic Bold" w:hAnsi="Britannic Bold"/>
                                    <w:color w:val="FFFFFF" w:themeColor="background1"/>
                                    <w:sz w:val="36"/>
                                    <w:szCs w:val="32"/>
                                  </w:rPr>
                                  <w:t>Word count:</w:t>
                                </w:r>
                                <w:r w:rsidR="00582124">
                                  <w:rPr>
                                    <w:rFonts w:ascii="Britannic Bold" w:hAnsi="Britannic Bold"/>
                                    <w:color w:val="FFFFFF" w:themeColor="background1"/>
                                    <w:sz w:val="36"/>
                                    <w:szCs w:val="32"/>
                                  </w:rPr>
                                  <w:t xml:space="preserve"> </w:t>
                                </w:r>
                                <w:r w:rsidR="00582124">
                                  <w:rPr>
                                    <w:rFonts w:cs="Arial"/>
                                    <w:color w:val="FFFFFF" w:themeColor="background1"/>
                                    <w:sz w:val="36"/>
                                    <w:szCs w:val="32"/>
                                  </w:rPr>
                                  <w:t>~</w:t>
                                </w:r>
                                <w:r w:rsidR="00582124">
                                  <w:rPr>
                                    <w:rFonts w:ascii="Britannic Bold" w:hAnsi="Britannic Bold"/>
                                    <w:color w:val="FFFFFF" w:themeColor="background1"/>
                                    <w:sz w:val="36"/>
                                    <w:szCs w:val="32"/>
                                  </w:rPr>
                                  <w:t>520</w:t>
                                </w:r>
                                <w:r w:rsidR="0095122A">
                                  <w:rPr>
                                    <w:rFonts w:ascii="Britannic Bold" w:hAnsi="Britannic Bold"/>
                                    <w:color w:val="FFFFFF" w:themeColor="background1"/>
                                    <w:sz w:val="36"/>
                                    <w:szCs w:val="32"/>
                                  </w:rPr>
                                  <w:t>4</w:t>
                                </w:r>
                              </w:p>
                              <w:p w14:paraId="7D48E355" w14:textId="2DBFD224" w:rsidR="0015011B" w:rsidRDefault="0015011B" w:rsidP="00B979D5">
                                <w:pPr>
                                  <w:spacing w:line="360" w:lineRule="auto"/>
                                  <w:rPr>
                                    <w:rFonts w:ascii="Britannic Bold" w:hAnsi="Britannic Bold"/>
                                    <w:color w:val="FFFFFF" w:themeColor="background1"/>
                                    <w:sz w:val="50"/>
                                    <w:szCs w:val="50"/>
                                  </w:rPr>
                                </w:pPr>
                                <w:r>
                                  <w:rPr>
                                    <w:rFonts w:ascii="Britannic Bold" w:hAnsi="Britannic Bold"/>
                                    <w:color w:val="FFFFFF" w:themeColor="background1"/>
                                    <w:sz w:val="50"/>
                                    <w:szCs w:val="50"/>
                                  </w:rPr>
                                  <w:t>-------------------------------------------------------</w:t>
                                </w:r>
                              </w:p>
                              <w:p w14:paraId="7B1C3510" w14:textId="77777777" w:rsidR="0015011B" w:rsidRDefault="0015011B" w:rsidP="00B979D5">
                                <w:pPr>
                                  <w:spacing w:line="360" w:lineRule="auto"/>
                                  <w:rPr>
                                    <w:rFonts w:ascii="Britannic Bold" w:hAnsi="Britannic Bold"/>
                                    <w:color w:val="FFFFFF" w:themeColor="background1"/>
                                    <w:sz w:val="50"/>
                                    <w:szCs w:val="50"/>
                                  </w:rPr>
                                </w:pPr>
                              </w:p>
                              <w:p w14:paraId="75469BF4" w14:textId="77777777" w:rsidR="0015011B" w:rsidRPr="0015011B" w:rsidRDefault="0015011B" w:rsidP="00B979D5">
                                <w:pPr>
                                  <w:spacing w:line="360" w:lineRule="auto"/>
                                  <w:rPr>
                                    <w:rFonts w:ascii="Britannic Bold" w:hAnsi="Britannic Bold"/>
                                    <w:color w:val="FFFFFF" w:themeColor="background1"/>
                                    <w:sz w:val="50"/>
                                    <w:szCs w:val="50"/>
                                  </w:rPr>
                                </w:pPr>
                              </w:p>
                              <w:p w14:paraId="72D0BB62" w14:textId="3CE467A9" w:rsidR="00FD4AD5" w:rsidRPr="00910796" w:rsidRDefault="00FD4AD5" w:rsidP="00B979D5">
                                <w:pPr>
                                  <w:rPr>
                                    <w:rFonts w:ascii="Britannic Bold" w:hAnsi="Britannic Bold"/>
                                    <w:color w:val="FFFFFF" w:themeColor="background1"/>
                                    <w:sz w:val="40"/>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A4E7E9" id="Text Box 2" o:spid="_x0000_s1034" type="#_x0000_t202" style="position:absolute;margin-left:-34.3pt;margin-top:148.2pt;width:426.95pt;height:177.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" filled="f" stroked="f">
                    <v:textbox>
                      <w:txbxContent>
                        <w:p w14:paraId="0ECBB86D" w14:textId="42C5E7E7" w:rsidR="00FD4AD5" w:rsidRDefault="0015011B" w:rsidP="00B979D5">
                          <w:pPr>
                            <w:spacing w:line="360" w:lineRule="auto"/>
                            <w:rPr>
                              <w:rFonts w:ascii="Britannic Bold" w:hAnsi="Britannic Bold"/>
                              <w:color w:val="FFFFFF" w:themeColor="background1"/>
                              <w:sz w:val="36"/>
                              <w:szCs w:val="32"/>
                            </w:rPr>
                          </w:pPr>
                          <w:r w:rsidRPr="00554251">
                            <w:rPr>
                              <w:rFonts w:ascii="Britannic Bold" w:hAnsi="Britannic Bold"/>
                              <w:color w:val="FFFFFF" w:themeColor="background1"/>
                              <w:sz w:val="36"/>
                              <w:szCs w:val="32"/>
                            </w:rPr>
                            <w:t>Focus Entity: Adidas Performance Str</w:t>
                          </w:r>
                          <w:r w:rsidR="00A17A2C">
                            <w:rPr>
                              <w:rFonts w:ascii="Britannic Bold" w:hAnsi="Britannic Bold"/>
                              <w:color w:val="FFFFFF" w:themeColor="background1"/>
                              <w:sz w:val="36"/>
                              <w:szCs w:val="32"/>
                            </w:rPr>
                            <w:t>a</w:t>
                          </w:r>
                          <w:r w:rsidRPr="00554251">
                            <w:rPr>
                              <w:rFonts w:ascii="Britannic Bold" w:hAnsi="Britannic Bold"/>
                              <w:color w:val="FFFFFF" w:themeColor="background1"/>
                              <w:sz w:val="36"/>
                              <w:szCs w:val="32"/>
                            </w:rPr>
                            <w:t>t</w:t>
                          </w:r>
                          <w:r w:rsidR="00A17A2C">
                            <w:rPr>
                              <w:rFonts w:ascii="Britannic Bold" w:hAnsi="Britannic Bold"/>
                              <w:color w:val="FFFFFF" w:themeColor="background1"/>
                              <w:sz w:val="36"/>
                              <w:szCs w:val="32"/>
                            </w:rPr>
                            <w:t>e</w:t>
                          </w:r>
                          <w:r w:rsidRPr="00554251">
                            <w:rPr>
                              <w:rFonts w:ascii="Britannic Bold" w:hAnsi="Britannic Bold"/>
                              <w:color w:val="FFFFFF" w:themeColor="background1"/>
                              <w:sz w:val="36"/>
                              <w:szCs w:val="32"/>
                            </w:rPr>
                            <w:t>gic</w:t>
                          </w:r>
                          <w:r w:rsidR="00554251" w:rsidRPr="00554251">
                            <w:rPr>
                              <w:rFonts w:ascii="Britannic Bold" w:hAnsi="Britannic Bold"/>
                              <w:color w:val="FFFFFF" w:themeColor="background1"/>
                              <w:sz w:val="36"/>
                              <w:szCs w:val="32"/>
                            </w:rPr>
                            <w:t xml:space="preserve"> Business Unit(SBU)</w:t>
                          </w:r>
                        </w:p>
                        <w:p w14:paraId="4715D5F4" w14:textId="77B588F4" w:rsidR="00582124" w:rsidRPr="00554251" w:rsidRDefault="00554251" w:rsidP="00B979D5">
                          <w:pPr>
                            <w:spacing w:line="360" w:lineRule="auto"/>
                            <w:rPr>
                              <w:rFonts w:ascii="Britannic Bold" w:hAnsi="Britannic Bold"/>
                              <w:color w:val="FFFFFF" w:themeColor="background1"/>
                              <w:sz w:val="36"/>
                              <w:szCs w:val="32"/>
                            </w:rPr>
                          </w:pPr>
                          <w:r>
                            <w:rPr>
                              <w:rFonts w:ascii="Britannic Bold" w:hAnsi="Britannic Bold"/>
                              <w:color w:val="FFFFFF" w:themeColor="background1"/>
                              <w:sz w:val="36"/>
                              <w:szCs w:val="32"/>
                            </w:rPr>
                            <w:t>Word count:</w:t>
                          </w:r>
                          <w:r w:rsidR="00582124">
                            <w:rPr>
                              <w:rFonts w:ascii="Britannic Bold" w:hAnsi="Britannic Bold"/>
                              <w:color w:val="FFFFFF" w:themeColor="background1"/>
                              <w:sz w:val="36"/>
                              <w:szCs w:val="32"/>
                            </w:rPr>
                            <w:t xml:space="preserve"> </w:t>
                          </w:r>
                          <w:r w:rsidR="00582124">
                            <w:rPr>
                              <w:rFonts w:cs="Arial"/>
                              <w:color w:val="FFFFFF" w:themeColor="background1"/>
                              <w:sz w:val="36"/>
                              <w:szCs w:val="32"/>
                            </w:rPr>
                            <w:t>~</w:t>
                          </w:r>
                          <w:r w:rsidR="00582124">
                            <w:rPr>
                              <w:rFonts w:ascii="Britannic Bold" w:hAnsi="Britannic Bold"/>
                              <w:color w:val="FFFFFF" w:themeColor="background1"/>
                              <w:sz w:val="36"/>
                              <w:szCs w:val="32"/>
                            </w:rPr>
                            <w:t>520</w:t>
                          </w:r>
                          <w:r w:rsidR="0095122A">
                            <w:rPr>
                              <w:rFonts w:ascii="Britannic Bold" w:hAnsi="Britannic Bold"/>
                              <w:color w:val="FFFFFF" w:themeColor="background1"/>
                              <w:sz w:val="36"/>
                              <w:szCs w:val="32"/>
                            </w:rPr>
                            <w:t>4</w:t>
                          </w:r>
                        </w:p>
                        <w:p w14:paraId="7D48E355" w14:textId="2DBFD224" w:rsidR="0015011B" w:rsidRDefault="0015011B" w:rsidP="00B979D5">
                          <w:pPr>
                            <w:spacing w:line="360" w:lineRule="auto"/>
                            <w:rPr>
                              <w:rFonts w:ascii="Britannic Bold" w:hAnsi="Britannic Bold"/>
                              <w:color w:val="FFFFFF" w:themeColor="background1"/>
                              <w:sz w:val="50"/>
                              <w:szCs w:val="50"/>
                            </w:rPr>
                          </w:pPr>
                          <w:r>
                            <w:rPr>
                              <w:rFonts w:ascii="Britannic Bold" w:hAnsi="Britannic Bold"/>
                              <w:color w:val="FFFFFF" w:themeColor="background1"/>
                              <w:sz w:val="50"/>
                              <w:szCs w:val="50"/>
                            </w:rPr>
                            <w:t>-------------------------------------------------------</w:t>
                          </w:r>
                        </w:p>
                        <w:p w14:paraId="7B1C3510" w14:textId="77777777" w:rsidR="0015011B" w:rsidRDefault="0015011B" w:rsidP="00B979D5">
                          <w:pPr>
                            <w:spacing w:line="360" w:lineRule="auto"/>
                            <w:rPr>
                              <w:rFonts w:ascii="Britannic Bold" w:hAnsi="Britannic Bold"/>
                              <w:color w:val="FFFFFF" w:themeColor="background1"/>
                              <w:sz w:val="50"/>
                              <w:szCs w:val="50"/>
                            </w:rPr>
                          </w:pPr>
                        </w:p>
                        <w:p w14:paraId="75469BF4" w14:textId="77777777" w:rsidR="0015011B" w:rsidRPr="0015011B" w:rsidRDefault="0015011B" w:rsidP="00B979D5">
                          <w:pPr>
                            <w:spacing w:line="360" w:lineRule="auto"/>
                            <w:rPr>
                              <w:rFonts w:ascii="Britannic Bold" w:hAnsi="Britannic Bold"/>
                              <w:color w:val="FFFFFF" w:themeColor="background1"/>
                              <w:sz w:val="50"/>
                              <w:szCs w:val="50"/>
                            </w:rPr>
                          </w:pPr>
                        </w:p>
                        <w:p w14:paraId="72D0BB62" w14:textId="3CE467A9" w:rsidR="00FD4AD5" w:rsidRPr="00910796" w:rsidRDefault="00FD4AD5" w:rsidP="00B979D5">
                          <w:pPr>
                            <w:rPr>
                              <w:rFonts w:ascii="Britannic Bold" w:hAnsi="Britannic Bold"/>
                              <w:color w:val="FFFFFF" w:themeColor="background1"/>
                              <w:sz w:val="40"/>
                              <w:szCs w:val="36"/>
                            </w:rPr>
                          </w:pPr>
                        </w:p>
                      </w:txbxContent>
                    </v:textbox>
                    <w10:wrap type="square"/>
                  </v:shape>
                </w:pict>
              </mc:Fallback>
            </mc:AlternateContent>
          </w:r>
          <w:r>
            <w:rPr>
              <w:noProof/>
            </w:rPr>
            <w:drawing>
              <wp:anchor distT="0" distB="0" distL="114300" distR="114300" simplePos="0" relativeHeight="251667456" behindDoc="1" locked="0" layoutInCell="1" allowOverlap="1" wp14:anchorId="59101DDD" wp14:editId="74DAF9EA">
                <wp:simplePos x="0" y="0"/>
                <wp:positionH relativeFrom="margin">
                  <wp:align>center</wp:align>
                </wp:positionH>
                <wp:positionV relativeFrom="paragraph">
                  <wp:posOffset>3194345</wp:posOffset>
                </wp:positionV>
                <wp:extent cx="5343525" cy="5343525"/>
                <wp:effectExtent l="0" t="0" r="9525" b="9525"/>
                <wp:wrapNone/>
                <wp:docPr id="678990946" name="Picture 7"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UWTSDLondon (@UWTSDLondon) / Posts / 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3525" cy="5343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5301">
            <w:br w:type="page"/>
          </w:r>
        </w:p>
      </w:sdtContent>
    </w:sdt>
    <w:p w14:paraId="30F78462" w14:textId="71A6F1BD" w:rsidR="003F3138" w:rsidRPr="00B979D5" w:rsidRDefault="003F3138" w:rsidP="003F3138">
      <w:pPr>
        <w:jc w:val="center"/>
        <w:outlineLvl w:val="0"/>
        <w:rPr>
          <w:b/>
          <w:bCs/>
          <w:sz w:val="30"/>
          <w:szCs w:val="30"/>
          <w:lang w:val="en-GB"/>
        </w:rPr>
      </w:pPr>
      <w:bookmarkStart w:id="0" w:name="_Toc237404176"/>
      <w:r w:rsidRPr="00B979D5">
        <w:rPr>
          <w:b/>
          <w:bCs/>
          <w:sz w:val="30"/>
          <w:szCs w:val="30"/>
          <w:lang w:val="en-GB"/>
        </w:rPr>
        <w:lastRenderedPageBreak/>
        <w:t>ACKNOWLEDGEMENTS</w:t>
      </w:r>
      <w:bookmarkEnd w:id="0"/>
    </w:p>
    <w:p w14:paraId="229E64A4" w14:textId="2953F0F8" w:rsidR="003F3138" w:rsidRPr="003F3138" w:rsidRDefault="003F3138" w:rsidP="003F3138">
      <w:pPr>
        <w:spacing w:line="360" w:lineRule="auto"/>
        <w:jc w:val="both"/>
        <w:rPr>
          <w:lang w:val="en-GB"/>
        </w:rPr>
      </w:pPr>
      <w:r w:rsidRPr="003F3138">
        <w:rPr>
          <w:lang w:val="en-GB"/>
        </w:rPr>
        <w:t>I would l</w:t>
      </w:r>
      <w:r w:rsidR="003250AB">
        <w:rPr>
          <w:lang w:val="en-GB"/>
        </w:rPr>
        <w:t>ove</w:t>
      </w:r>
      <w:r w:rsidRPr="003F3138">
        <w:rPr>
          <w:lang w:val="en-GB"/>
        </w:rPr>
        <w:t xml:space="preserve"> to </w:t>
      </w:r>
      <w:r w:rsidR="003250AB">
        <w:rPr>
          <w:lang w:val="en-GB"/>
        </w:rPr>
        <w:t>present</w:t>
      </w:r>
      <w:r w:rsidRPr="003F3138">
        <w:rPr>
          <w:lang w:val="en-GB"/>
        </w:rPr>
        <w:t xml:space="preserve"> my sincere gratitude and appreciation to those who have supported, guided, and encouraged me throughout the research and preparation of this Level 7 Strategic Management Consulting Report. </w:t>
      </w:r>
    </w:p>
    <w:p w14:paraId="3187B488" w14:textId="2A1331A9" w:rsidR="003F3138" w:rsidRPr="003F3138" w:rsidRDefault="003250AB" w:rsidP="003F3138">
      <w:pPr>
        <w:spacing w:line="360" w:lineRule="auto"/>
        <w:jc w:val="both"/>
        <w:rPr>
          <w:lang w:val="en-GB"/>
        </w:rPr>
      </w:pPr>
      <w:r>
        <w:rPr>
          <w:lang w:val="en-GB"/>
        </w:rPr>
        <w:t>Very firstly</w:t>
      </w:r>
      <w:r w:rsidR="003F3138" w:rsidRPr="003F3138">
        <w:rPr>
          <w:lang w:val="en-GB"/>
        </w:rPr>
        <w:t>, I extend my deepest gratitude to my esteemed module lecturer</w:t>
      </w:r>
      <w:r w:rsidR="0015011B">
        <w:rPr>
          <w:lang w:val="en-GB"/>
        </w:rPr>
        <w:t xml:space="preserve"> </w:t>
      </w:r>
      <w:r w:rsidR="0015011B" w:rsidRPr="0015011B">
        <w:rPr>
          <w:lang w:val="en-GB"/>
        </w:rPr>
        <w:t xml:space="preserve">Dr. </w:t>
      </w:r>
      <w:r w:rsidR="003F3138" w:rsidRPr="0015011B">
        <w:rPr>
          <w:lang w:val="en-GB"/>
        </w:rPr>
        <w:t xml:space="preserve">Hoang </w:t>
      </w:r>
      <w:r w:rsidR="0015011B" w:rsidRPr="0015011B">
        <w:rPr>
          <w:lang w:val="en-GB"/>
        </w:rPr>
        <w:t xml:space="preserve">Dang </w:t>
      </w:r>
      <w:r w:rsidR="003F3138" w:rsidRPr="0015011B">
        <w:rPr>
          <w:lang w:val="en-GB"/>
        </w:rPr>
        <w:t>Nguyen</w:t>
      </w:r>
      <w:r w:rsidR="0015011B">
        <w:rPr>
          <w:lang w:val="en-GB"/>
        </w:rPr>
        <w:t xml:space="preserve"> </w:t>
      </w:r>
      <w:r w:rsidR="003F3138" w:rsidRPr="003F3138">
        <w:rPr>
          <w:lang w:val="en-GB"/>
        </w:rPr>
        <w:t>for</w:t>
      </w:r>
      <w:r w:rsidR="0015011B">
        <w:rPr>
          <w:lang w:val="en-GB"/>
        </w:rPr>
        <w:t xml:space="preserve"> his</w:t>
      </w:r>
      <w:r w:rsidR="003F3138" w:rsidRPr="003F3138">
        <w:rPr>
          <w:lang w:val="en-GB"/>
        </w:rPr>
        <w:t xml:space="preserve"> invaluable guidance, insightful academic feedback, and intellectual support throughout the </w:t>
      </w:r>
      <w:r w:rsidR="003F3138" w:rsidRPr="003F3138">
        <w:rPr>
          <w:i/>
          <w:iCs/>
          <w:lang w:val="en-GB"/>
        </w:rPr>
        <w:t>LCMB7003 Strategic Management</w:t>
      </w:r>
      <w:r w:rsidR="003F3138" w:rsidRPr="003F3138">
        <w:rPr>
          <w:lang w:val="en-GB"/>
        </w:rPr>
        <w:t xml:space="preserve"> module. </w:t>
      </w:r>
      <w:r w:rsidR="000E7F72">
        <w:rPr>
          <w:lang w:val="en-GB"/>
        </w:rPr>
        <w:t>His</w:t>
      </w:r>
      <w:r w:rsidR="003F3138" w:rsidRPr="003F3138">
        <w:rPr>
          <w:lang w:val="en-GB"/>
        </w:rPr>
        <w:t xml:space="preserve"> expertise and rigorous approach to strategic management theory have been instrumental in shaping the analytical depth and practical applicability of this consultancy report. </w:t>
      </w:r>
    </w:p>
    <w:p w14:paraId="3E258DCA" w14:textId="77777777" w:rsidR="003F3138" w:rsidRPr="003F3138" w:rsidRDefault="003F3138" w:rsidP="003F3138">
      <w:pPr>
        <w:spacing w:line="360" w:lineRule="auto"/>
        <w:jc w:val="both"/>
        <w:rPr>
          <w:lang w:val="en-GB"/>
        </w:rPr>
      </w:pPr>
      <w:r w:rsidRPr="003F3138">
        <w:rPr>
          <w:lang w:val="en-GB"/>
        </w:rPr>
        <w:t xml:space="preserve">I am also deeply grateful to the academic community and library staff at the </w:t>
      </w:r>
      <w:r w:rsidRPr="0015011B">
        <w:rPr>
          <w:lang w:val="en-GB"/>
        </w:rPr>
        <w:t>University of Wales Trinity Saint David (UWTSD)</w:t>
      </w:r>
      <w:r w:rsidRPr="003F3138">
        <w:rPr>
          <w:lang w:val="en-GB"/>
        </w:rPr>
        <w:t xml:space="preserve"> for providing access to comprehensive research databases, industry intelligence reports, and scholarly publications. These resources were essential in conducting the localized external macro-environmental and internal capability audits of the UK athletic footwear and apparel sector. </w:t>
      </w:r>
    </w:p>
    <w:p w14:paraId="41BD43B1" w14:textId="77777777" w:rsidR="003F3138" w:rsidRPr="003F3138" w:rsidRDefault="003F3138" w:rsidP="003F3138">
      <w:pPr>
        <w:spacing w:line="360" w:lineRule="auto"/>
        <w:jc w:val="both"/>
        <w:rPr>
          <w:lang w:val="en-GB"/>
        </w:rPr>
      </w:pPr>
      <w:r w:rsidRPr="003F3138">
        <w:rPr>
          <w:lang w:val="en-GB"/>
        </w:rPr>
        <w:t xml:space="preserve">Special thanks are extended to the senior management frameworks and literature authored by Gerry Johnson, Richard Whittington, Patrick Regnér, Duncan Angwin, and Kevan Scholes, whose seminal work </w:t>
      </w:r>
      <w:r w:rsidRPr="003F3138">
        <w:rPr>
          <w:i/>
          <w:iCs/>
          <w:lang w:val="en-GB"/>
        </w:rPr>
        <w:t>Exploring Strategy</w:t>
      </w:r>
      <w:r w:rsidRPr="003F3138">
        <w:rPr>
          <w:lang w:val="en-GB"/>
        </w:rPr>
        <w:t xml:space="preserve"> provided the theoretical foundation for evaluating corporate positioning, capability architectures, and strategic choice validation. </w:t>
      </w:r>
    </w:p>
    <w:p w14:paraId="14DAB7D1" w14:textId="0B276FA9" w:rsidR="003F3138" w:rsidRPr="003F3138" w:rsidRDefault="003250AB" w:rsidP="003F3138">
      <w:pPr>
        <w:spacing w:line="360" w:lineRule="auto"/>
        <w:jc w:val="both"/>
        <w:rPr>
          <w:b/>
          <w:bCs/>
          <w:lang w:val="en-GB"/>
        </w:rPr>
      </w:pPr>
      <w:r>
        <w:rPr>
          <w:b/>
          <w:bCs/>
          <w:lang w:val="en-GB"/>
        </w:rPr>
        <w:t xml:space="preserve">Acknowledgement </w:t>
      </w:r>
      <w:r w:rsidR="003F3138" w:rsidRPr="003F3138">
        <w:rPr>
          <w:b/>
          <w:bCs/>
          <w:lang w:val="en-GB"/>
        </w:rPr>
        <w:t>on the Us</w:t>
      </w:r>
      <w:r>
        <w:rPr>
          <w:b/>
          <w:bCs/>
          <w:lang w:val="en-GB"/>
        </w:rPr>
        <w:t>age</w:t>
      </w:r>
      <w:r w:rsidR="003F3138" w:rsidRPr="003F3138">
        <w:rPr>
          <w:b/>
          <w:bCs/>
          <w:lang w:val="en-GB"/>
        </w:rPr>
        <w:t xml:space="preserve"> of Generative AI</w:t>
      </w:r>
    </w:p>
    <w:p w14:paraId="25CA9097" w14:textId="77777777" w:rsidR="003F3138" w:rsidRPr="003F3138" w:rsidRDefault="003F3138" w:rsidP="003F3138">
      <w:pPr>
        <w:spacing w:line="360" w:lineRule="auto"/>
        <w:jc w:val="both"/>
        <w:rPr>
          <w:lang w:val="en-GB"/>
        </w:rPr>
      </w:pPr>
      <w:r w:rsidRPr="003F3138">
        <w:rPr>
          <w:lang w:val="en-GB"/>
        </w:rPr>
        <w:t xml:space="preserve">In compliance with the University of Wales Trinity Saint David (UWTSD) assessment guidelines regarding academic integrity and Generative AI usage, I explicitly acknowledge that Generative AI tools were utilized strictly for proofreading, checking grammatical and syntactical accuracy, and refining/rephrasing my own original draft text. All core strategic analyses, critical evaluations, empirical research, framework syntheses, and final arguments presented in this report represent my own autonomous academic work. </w:t>
      </w:r>
    </w:p>
    <w:p w14:paraId="6719A527" w14:textId="0A6F50E7" w:rsidR="003F3138" w:rsidRPr="003F3138" w:rsidRDefault="003F3138" w:rsidP="003F3138">
      <w:pPr>
        <w:spacing w:line="360" w:lineRule="auto"/>
        <w:jc w:val="both"/>
        <w:rPr>
          <w:lang w:val="en-GB"/>
        </w:rPr>
      </w:pPr>
      <w:r w:rsidRPr="003F3138">
        <w:rPr>
          <w:lang w:val="en-GB"/>
        </w:rPr>
        <w:lastRenderedPageBreak/>
        <w:t xml:space="preserve">Finally, I wish to express my heartfelt appreciation to my family and colleagues for their unwavering patience, continuous encouragement, and belief in my academic endeavors throughout my Master of Business Administration (MBA) journey. </w:t>
      </w:r>
    </w:p>
    <w:p w14:paraId="247DC4AA" w14:textId="1D802637" w:rsidR="0015011B" w:rsidRPr="0015011B" w:rsidRDefault="0015011B" w:rsidP="003F3138">
      <w:pPr>
        <w:spacing w:line="360" w:lineRule="auto"/>
        <w:jc w:val="both"/>
        <w:rPr>
          <w:lang w:val="en-GB"/>
        </w:rPr>
      </w:pPr>
      <w:r>
        <w:rPr>
          <w:lang w:val="en-GB"/>
        </w:rPr>
        <w:t>Soham Yadav</w:t>
      </w:r>
    </w:p>
    <w:p w14:paraId="38BAE169" w14:textId="357A00CF" w:rsidR="003F3138" w:rsidRPr="003F3138" w:rsidRDefault="003F3138" w:rsidP="003F3138">
      <w:pPr>
        <w:spacing w:line="360" w:lineRule="auto"/>
        <w:jc w:val="both"/>
        <w:rPr>
          <w:lang w:val="en-GB"/>
        </w:rPr>
      </w:pPr>
      <w:r w:rsidRPr="003F3138">
        <w:rPr>
          <w:i/>
          <w:iCs/>
          <w:lang w:val="en-GB"/>
        </w:rPr>
        <w:t>Master of Business Administration (MBA) Candidate</w:t>
      </w:r>
    </w:p>
    <w:p w14:paraId="74664B7D" w14:textId="77777777" w:rsidR="003F3138" w:rsidRPr="003F3138" w:rsidRDefault="003F3138" w:rsidP="003F3138">
      <w:pPr>
        <w:spacing w:line="360" w:lineRule="auto"/>
        <w:jc w:val="both"/>
        <w:rPr>
          <w:lang w:val="en-GB"/>
        </w:rPr>
      </w:pPr>
      <w:r w:rsidRPr="003F3138">
        <w:rPr>
          <w:i/>
          <w:iCs/>
          <w:lang w:val="en-GB"/>
        </w:rPr>
        <w:t>University of Wales Trinity Saint David (UWTSD)</w:t>
      </w:r>
    </w:p>
    <w:p w14:paraId="04C716A0" w14:textId="42513288" w:rsidR="00505B95" w:rsidRDefault="003F3138" w:rsidP="003F3138">
      <w:pPr>
        <w:spacing w:line="360" w:lineRule="auto"/>
        <w:jc w:val="both"/>
        <w:rPr>
          <w:i/>
          <w:iCs/>
          <w:lang w:val="en-GB"/>
        </w:rPr>
      </w:pPr>
      <w:r w:rsidRPr="003F3138">
        <w:rPr>
          <w:i/>
          <w:iCs/>
          <w:lang w:val="en-GB"/>
        </w:rPr>
        <w:t>August 2026</w:t>
      </w:r>
    </w:p>
    <w:p w14:paraId="400C6AF1" w14:textId="77777777" w:rsidR="00505B95" w:rsidRDefault="00505B95">
      <w:pPr>
        <w:rPr>
          <w:i/>
          <w:iCs/>
          <w:lang w:val="en-GB"/>
        </w:rPr>
      </w:pPr>
      <w:r>
        <w:rPr>
          <w:i/>
          <w:iCs/>
          <w:lang w:val="en-GB"/>
        </w:rPr>
        <w:br w:type="page"/>
      </w:r>
    </w:p>
    <w:p w14:paraId="248479E4" w14:textId="77777777" w:rsidR="00505B95" w:rsidRPr="00505B95" w:rsidRDefault="00505B95" w:rsidP="00D02A79">
      <w:pPr>
        <w:pStyle w:val="Heading1"/>
        <w:jc w:val="center"/>
        <w:rPr>
          <w:color w:val="000000" w:themeColor="text1"/>
          <w:lang w:val="en-IN"/>
        </w:rPr>
      </w:pPr>
      <w:bookmarkStart w:id="1" w:name="_Toc237404177"/>
      <w:r w:rsidRPr="00505B95">
        <w:rPr>
          <w:color w:val="000000" w:themeColor="text1"/>
          <w:lang w:val="en-IN"/>
        </w:rPr>
        <w:lastRenderedPageBreak/>
        <w:t>EXECUTIVE SUMMARY</w:t>
      </w:r>
      <w:bookmarkEnd w:id="1"/>
    </w:p>
    <w:p w14:paraId="0944D974" w14:textId="77777777" w:rsidR="00505B95" w:rsidRPr="00D02A79" w:rsidRDefault="00505B95" w:rsidP="00505B95">
      <w:pPr>
        <w:spacing w:line="360" w:lineRule="auto"/>
        <w:jc w:val="both"/>
        <w:rPr>
          <w:lang w:val="en-IN"/>
        </w:rPr>
      </w:pPr>
      <w:r w:rsidRPr="00D02A79">
        <w:rPr>
          <w:lang w:val="en-IN"/>
        </w:rPr>
        <w:t>This strategic management report evaluates the competitive position and strategic direction of the Adidas Performance Strategic Business Unit (SBU) within the United Kingdom. The analysis examines the SBU’s external environment, internal capabilities, competitive position, corporate social responsibility, performance measurement systems, and strategic options in order to identify the key challenges affecting its ability to sustain competitive advantage in the UK performance sportswear market.</w:t>
      </w:r>
    </w:p>
    <w:p w14:paraId="3156DE67" w14:textId="77777777" w:rsidR="00505B95" w:rsidRPr="00D02A79" w:rsidRDefault="00505B95" w:rsidP="00505B95">
      <w:pPr>
        <w:spacing w:line="360" w:lineRule="auto"/>
        <w:jc w:val="both"/>
        <w:rPr>
          <w:lang w:val="en-IN"/>
        </w:rPr>
      </w:pPr>
      <w:r w:rsidRPr="00D02A79">
        <w:rPr>
          <w:lang w:val="en-IN"/>
        </w:rPr>
        <w:t>The analysis identifies a highly competitive and rapidly changing UK market in which Adidas Performance faces increasing pressure from specialist brands such as On Running and HOKA. Although Adidas benefits from strong global brand recognition, established UK distribution capabilities, significant research and development resources, proprietary cushioning technologies, and its Continental Rubber technical partnership, these strengths are increasingly challenged by faster product-development cycles, wholesale channel conflict, margin pressure and changing consumer expectations. The external analysis using PESTEL highlights post-Brexit supply-chain friction, economic pressure on discretionary spending, the growth of community-based running cultures, rapid technological development, increasing environmental requirements and tighter data and consumer-protection regulations.</w:t>
      </w:r>
    </w:p>
    <w:p w14:paraId="6C9EF626" w14:textId="77777777" w:rsidR="00505B95" w:rsidRPr="00D02A79" w:rsidRDefault="00505B95" w:rsidP="00505B95">
      <w:pPr>
        <w:spacing w:line="360" w:lineRule="auto"/>
        <w:jc w:val="both"/>
        <w:rPr>
          <w:lang w:val="en-IN"/>
        </w:rPr>
      </w:pPr>
      <w:r w:rsidRPr="00D02A79">
        <w:rPr>
          <w:lang w:val="en-IN"/>
        </w:rPr>
        <w:t>The internal VRIO analysis indicates that Adidas Performance possesses a strong threshold resource base, but only a limited number of resources provide sustained competitive advantage. In particular, the Continental Rubber outsole alliance represents a significant UK-relevant source of sustained advantage, while cushioning technologies provide increasingly temporary advantage because competitors are rapidly achieving technological parity. The SWOT and TOWS analysis therefore identifies the need to move from defensive market preservation towards proactive differentiation, particularly by leveraging Adidas’ technical capabilities and distribution scale to engage with the growing UK running-community market.</w:t>
      </w:r>
    </w:p>
    <w:p w14:paraId="2955FCC1" w14:textId="77777777" w:rsidR="00505B95" w:rsidRPr="00D02A79" w:rsidRDefault="00505B95" w:rsidP="00505B95">
      <w:pPr>
        <w:spacing w:line="360" w:lineRule="auto"/>
        <w:jc w:val="both"/>
        <w:rPr>
          <w:lang w:val="en-IN"/>
        </w:rPr>
      </w:pPr>
      <w:r w:rsidRPr="00D02A79">
        <w:rPr>
          <w:lang w:val="en-IN"/>
        </w:rPr>
        <w:t xml:space="preserve">The report further evaluates Adidas Performance’s corporate social responsibility strategy, particularly its sustainability and circularity initiatives. While these initiatives can strengthen brand equity and regulatory compliance, their higher operational costs and </w:t>
      </w:r>
      <w:r w:rsidRPr="00D02A79">
        <w:rPr>
          <w:lang w:val="en-IN"/>
        </w:rPr>
        <w:lastRenderedPageBreak/>
        <w:t>potential consumer scepticism create strategic challenges. The Balanced Scorecard therefore recommends integrating financial, customer, internal-process, and learning-and-growth measures to monitor both short-term performance and longer-term strategic capability. Key targets include stronger DTC revenue and margins, increased app engagement, faster design-to-market cycles, greater recycled-material utilisation, and continued investment in research and digital capabilities.</w:t>
      </w:r>
    </w:p>
    <w:p w14:paraId="62CE2FC9" w14:textId="77777777" w:rsidR="00505B95" w:rsidRPr="00D02A79" w:rsidRDefault="00505B95" w:rsidP="00505B95">
      <w:pPr>
        <w:spacing w:line="360" w:lineRule="auto"/>
        <w:jc w:val="both"/>
        <w:rPr>
          <w:lang w:val="en-IN"/>
        </w:rPr>
      </w:pPr>
      <w:r w:rsidRPr="00D02A79">
        <w:rPr>
          <w:lang w:val="en-IN"/>
        </w:rPr>
        <w:t>At the business level, the report concludes that Adidas Performance should retain its broad differentiation strategy while strengthening technological differentiation and local UK customer engagement. The preferred growth pathway combines Market Penetration and Product Development. In particular, Adidas should develop UK-specific, climate-adapted technical running products while strengthening grassroots run-club engagement through its digital ecosystem. The proposed strategy is validated through the SAFe framework as suitable for the identified market conditions, feasible given Adidas’ resources and capabilities, and acceptable because of its potential to improve DTC margins and premium positioning.</w:t>
      </w:r>
    </w:p>
    <w:p w14:paraId="1B0C0A4A" w14:textId="77777777" w:rsidR="00505B95" w:rsidRPr="00D02A79" w:rsidRDefault="00505B95" w:rsidP="00505B95">
      <w:pPr>
        <w:spacing w:line="360" w:lineRule="auto"/>
        <w:jc w:val="both"/>
        <w:rPr>
          <w:lang w:val="en-IN"/>
        </w:rPr>
      </w:pPr>
      <w:r w:rsidRPr="00D02A79">
        <w:rPr>
          <w:lang w:val="en-IN"/>
        </w:rPr>
        <w:t>Successful implementation will require careful management of wholesale channel conflict, post-Brexit logistics, digital customer-acquisition costs and organisational agility. Recommended actions include clearer product-line segmentation between DTC and wholesale channels, localized inventory and logistics capabilities, greater use of community-based marketing, increased UK managerial autonomy, and stronger alignment of employee incentives with DTC profitability and customer-retention objectives.</w:t>
      </w:r>
    </w:p>
    <w:p w14:paraId="37F36B4F" w14:textId="77777777" w:rsidR="00505B95" w:rsidRPr="00D02A79" w:rsidRDefault="00505B95" w:rsidP="00505B95">
      <w:pPr>
        <w:spacing w:line="360" w:lineRule="auto"/>
        <w:jc w:val="both"/>
        <w:rPr>
          <w:lang w:val="en-IN"/>
        </w:rPr>
      </w:pPr>
      <w:r w:rsidRPr="00D02A79">
        <w:rPr>
          <w:lang w:val="en-IN"/>
        </w:rPr>
        <w:t>Overall, the report concludes that Adidas Performance has the resources and brand scale necessary to strengthen its UK competitive position, but sustained success depends on converting these resources into locally responsive and difficult-to-replicate capabilities. The strategic priority should therefore be to combine Adidas’ technical heritage and scale with faster innovation, climate-adapted product development, community-led engagement and a stronger DTC ecosystem.</w:t>
      </w:r>
    </w:p>
    <w:p w14:paraId="049451B4" w14:textId="59AEC584" w:rsidR="00981AEB" w:rsidRDefault="00981AEB" w:rsidP="003269D2">
      <w:pPr>
        <w:pStyle w:val="TOCHeading"/>
        <w:spacing w:line="360" w:lineRule="auto"/>
      </w:pPr>
      <w:r>
        <w:lastRenderedPageBreak/>
        <w:t>TABLE OF CONTENTS</w:t>
      </w:r>
    </w:p>
    <w:p w14:paraId="1F3A48B8" w14:textId="6C157518" w:rsidR="00505B95" w:rsidRDefault="00554251">
      <w:pPr>
        <w:pStyle w:val="TOC1"/>
        <w:tabs>
          <w:tab w:val="right" w:leader="dot" w:pos="9350"/>
        </w:tabs>
        <w:rPr>
          <w:rFonts w:asciiTheme="minorHAnsi" w:hAnsiTheme="minorHAnsi"/>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37404176" w:history="1">
        <w:r w:rsidR="00505B95" w:rsidRPr="00FF06BF">
          <w:rPr>
            <w:rStyle w:val="Hyperlink"/>
            <w:b/>
            <w:bCs/>
            <w:noProof/>
            <w:lang w:val="en-GB"/>
          </w:rPr>
          <w:t>ACKNOWLEDGEMENTS</w:t>
        </w:r>
        <w:r w:rsidR="00505B95">
          <w:rPr>
            <w:noProof/>
            <w:webHidden/>
          </w:rPr>
          <w:tab/>
        </w:r>
        <w:r w:rsidR="00505B95">
          <w:rPr>
            <w:noProof/>
            <w:webHidden/>
          </w:rPr>
          <w:fldChar w:fldCharType="begin"/>
        </w:r>
        <w:r w:rsidR="00505B95">
          <w:rPr>
            <w:noProof/>
            <w:webHidden/>
          </w:rPr>
          <w:instrText xml:space="preserve"> PAGEREF _Toc237404176 \h </w:instrText>
        </w:r>
        <w:r w:rsidR="00505B95">
          <w:rPr>
            <w:noProof/>
            <w:webHidden/>
          </w:rPr>
        </w:r>
        <w:r w:rsidR="00505B95">
          <w:rPr>
            <w:noProof/>
            <w:webHidden/>
          </w:rPr>
          <w:fldChar w:fldCharType="separate"/>
        </w:r>
        <w:r w:rsidR="001C6F9F">
          <w:rPr>
            <w:noProof/>
            <w:webHidden/>
          </w:rPr>
          <w:t>1</w:t>
        </w:r>
        <w:r w:rsidR="00505B95">
          <w:rPr>
            <w:noProof/>
            <w:webHidden/>
          </w:rPr>
          <w:fldChar w:fldCharType="end"/>
        </w:r>
      </w:hyperlink>
    </w:p>
    <w:p w14:paraId="1A047B23" w14:textId="2DEDB472"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77" w:history="1">
        <w:r w:rsidRPr="00FF06BF">
          <w:rPr>
            <w:rStyle w:val="Hyperlink"/>
            <w:noProof/>
            <w:lang w:val="en-IN"/>
          </w:rPr>
          <w:t>EXECUTIVE SUMMARY</w:t>
        </w:r>
        <w:r>
          <w:rPr>
            <w:noProof/>
            <w:webHidden/>
          </w:rPr>
          <w:tab/>
        </w:r>
        <w:r>
          <w:rPr>
            <w:noProof/>
            <w:webHidden/>
          </w:rPr>
          <w:fldChar w:fldCharType="begin"/>
        </w:r>
        <w:r>
          <w:rPr>
            <w:noProof/>
            <w:webHidden/>
          </w:rPr>
          <w:instrText xml:space="preserve"> PAGEREF _Toc237404177 \h </w:instrText>
        </w:r>
        <w:r>
          <w:rPr>
            <w:noProof/>
            <w:webHidden/>
          </w:rPr>
        </w:r>
        <w:r>
          <w:rPr>
            <w:noProof/>
            <w:webHidden/>
          </w:rPr>
          <w:fldChar w:fldCharType="separate"/>
        </w:r>
        <w:r w:rsidR="001C6F9F">
          <w:rPr>
            <w:noProof/>
            <w:webHidden/>
          </w:rPr>
          <w:t>3</w:t>
        </w:r>
        <w:r>
          <w:rPr>
            <w:noProof/>
            <w:webHidden/>
          </w:rPr>
          <w:fldChar w:fldCharType="end"/>
        </w:r>
      </w:hyperlink>
    </w:p>
    <w:p w14:paraId="38F49B59" w14:textId="3626BCFF"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78" w:history="1">
        <w:r w:rsidRPr="00FF06BF">
          <w:rPr>
            <w:rStyle w:val="Hyperlink"/>
            <w:noProof/>
          </w:rPr>
          <w:t>SECTION 1: STRATEGIC EVALUATION &amp; CRITICAL ANALYSIS</w:t>
        </w:r>
        <w:r>
          <w:rPr>
            <w:noProof/>
            <w:webHidden/>
          </w:rPr>
          <w:tab/>
        </w:r>
        <w:r>
          <w:rPr>
            <w:noProof/>
            <w:webHidden/>
          </w:rPr>
          <w:fldChar w:fldCharType="begin"/>
        </w:r>
        <w:r>
          <w:rPr>
            <w:noProof/>
            <w:webHidden/>
          </w:rPr>
          <w:instrText xml:space="preserve"> PAGEREF _Toc237404178 \h </w:instrText>
        </w:r>
        <w:r>
          <w:rPr>
            <w:noProof/>
            <w:webHidden/>
          </w:rPr>
        </w:r>
        <w:r>
          <w:rPr>
            <w:noProof/>
            <w:webHidden/>
          </w:rPr>
          <w:fldChar w:fldCharType="separate"/>
        </w:r>
        <w:r w:rsidR="001C6F9F">
          <w:rPr>
            <w:noProof/>
            <w:webHidden/>
          </w:rPr>
          <w:t>6</w:t>
        </w:r>
        <w:r>
          <w:rPr>
            <w:noProof/>
            <w:webHidden/>
          </w:rPr>
          <w:fldChar w:fldCharType="end"/>
        </w:r>
      </w:hyperlink>
    </w:p>
    <w:p w14:paraId="1AF87090" w14:textId="11D9766E"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79" w:history="1">
        <w:r w:rsidRPr="00FF06BF">
          <w:rPr>
            <w:rStyle w:val="Hyperlink"/>
            <w:b/>
            <w:bCs/>
            <w:noProof/>
          </w:rPr>
          <w:t>1. Organisational Context and Strategic Overview</w:t>
        </w:r>
        <w:r>
          <w:rPr>
            <w:noProof/>
            <w:webHidden/>
          </w:rPr>
          <w:tab/>
        </w:r>
        <w:r>
          <w:rPr>
            <w:noProof/>
            <w:webHidden/>
          </w:rPr>
          <w:fldChar w:fldCharType="begin"/>
        </w:r>
        <w:r>
          <w:rPr>
            <w:noProof/>
            <w:webHidden/>
          </w:rPr>
          <w:instrText xml:space="preserve"> PAGEREF _Toc237404179 \h </w:instrText>
        </w:r>
        <w:r>
          <w:rPr>
            <w:noProof/>
            <w:webHidden/>
          </w:rPr>
        </w:r>
        <w:r>
          <w:rPr>
            <w:noProof/>
            <w:webHidden/>
          </w:rPr>
          <w:fldChar w:fldCharType="separate"/>
        </w:r>
        <w:r w:rsidR="001C6F9F">
          <w:rPr>
            <w:noProof/>
            <w:webHidden/>
          </w:rPr>
          <w:t>6</w:t>
        </w:r>
        <w:r>
          <w:rPr>
            <w:noProof/>
            <w:webHidden/>
          </w:rPr>
          <w:fldChar w:fldCharType="end"/>
        </w:r>
      </w:hyperlink>
    </w:p>
    <w:p w14:paraId="480305E0" w14:textId="032328F8"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80" w:history="1">
        <w:r w:rsidRPr="00FF06BF">
          <w:rPr>
            <w:rStyle w:val="Hyperlink"/>
            <w:b/>
            <w:bCs/>
            <w:noProof/>
          </w:rPr>
          <w:t>2. External Macro-Environmental &amp; Internal Capability Analysis</w:t>
        </w:r>
        <w:r>
          <w:rPr>
            <w:noProof/>
            <w:webHidden/>
          </w:rPr>
          <w:tab/>
        </w:r>
        <w:r>
          <w:rPr>
            <w:noProof/>
            <w:webHidden/>
          </w:rPr>
          <w:fldChar w:fldCharType="begin"/>
        </w:r>
        <w:r>
          <w:rPr>
            <w:noProof/>
            <w:webHidden/>
          </w:rPr>
          <w:instrText xml:space="preserve"> PAGEREF _Toc237404180 \h </w:instrText>
        </w:r>
        <w:r>
          <w:rPr>
            <w:noProof/>
            <w:webHidden/>
          </w:rPr>
        </w:r>
        <w:r>
          <w:rPr>
            <w:noProof/>
            <w:webHidden/>
          </w:rPr>
          <w:fldChar w:fldCharType="separate"/>
        </w:r>
        <w:r w:rsidR="001C6F9F">
          <w:rPr>
            <w:noProof/>
            <w:webHidden/>
          </w:rPr>
          <w:t>9</w:t>
        </w:r>
        <w:r>
          <w:rPr>
            <w:noProof/>
            <w:webHidden/>
          </w:rPr>
          <w:fldChar w:fldCharType="end"/>
        </w:r>
      </w:hyperlink>
    </w:p>
    <w:p w14:paraId="370539BE" w14:textId="787DAFC3"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81" w:history="1">
        <w:r w:rsidRPr="00FF06BF">
          <w:rPr>
            <w:rStyle w:val="Hyperlink"/>
            <w:b/>
            <w:bCs/>
            <w:noProof/>
          </w:rPr>
          <w:t>Macro-Environmental Appraisal (PESTEL Analysis)</w:t>
        </w:r>
        <w:r>
          <w:rPr>
            <w:noProof/>
            <w:webHidden/>
          </w:rPr>
          <w:tab/>
        </w:r>
        <w:r>
          <w:rPr>
            <w:noProof/>
            <w:webHidden/>
          </w:rPr>
          <w:fldChar w:fldCharType="begin"/>
        </w:r>
        <w:r>
          <w:rPr>
            <w:noProof/>
            <w:webHidden/>
          </w:rPr>
          <w:instrText xml:space="preserve"> PAGEREF _Toc237404181 \h </w:instrText>
        </w:r>
        <w:r>
          <w:rPr>
            <w:noProof/>
            <w:webHidden/>
          </w:rPr>
        </w:r>
        <w:r>
          <w:rPr>
            <w:noProof/>
            <w:webHidden/>
          </w:rPr>
          <w:fldChar w:fldCharType="separate"/>
        </w:r>
        <w:r w:rsidR="001C6F9F">
          <w:rPr>
            <w:noProof/>
            <w:webHidden/>
          </w:rPr>
          <w:t>9</w:t>
        </w:r>
        <w:r>
          <w:rPr>
            <w:noProof/>
            <w:webHidden/>
          </w:rPr>
          <w:fldChar w:fldCharType="end"/>
        </w:r>
      </w:hyperlink>
    </w:p>
    <w:p w14:paraId="5E84FFEB" w14:textId="5B7AC2C4" w:rsidR="00505B95" w:rsidRDefault="00505B95">
      <w:pPr>
        <w:pStyle w:val="TOC3"/>
        <w:tabs>
          <w:tab w:val="right" w:leader="dot" w:pos="9350"/>
        </w:tabs>
        <w:rPr>
          <w:rFonts w:asciiTheme="minorHAnsi" w:hAnsiTheme="minorHAnsi"/>
          <w:noProof/>
          <w:color w:val="auto"/>
          <w:kern w:val="2"/>
          <w:szCs w:val="24"/>
          <w:lang w:val="en-IN" w:eastAsia="en-IN"/>
          <w14:ligatures w14:val="standardContextual"/>
        </w:rPr>
      </w:pPr>
      <w:hyperlink w:anchor="_Toc237404182" w:history="1">
        <w:r w:rsidRPr="00FF06BF">
          <w:rPr>
            <w:rStyle w:val="Hyperlink"/>
            <w:b/>
            <w:bCs/>
            <w:noProof/>
          </w:rPr>
          <w:t>Analytical Outcome &amp; Critical Evaluation of PESTEL</w:t>
        </w:r>
        <w:r>
          <w:rPr>
            <w:noProof/>
            <w:webHidden/>
          </w:rPr>
          <w:tab/>
        </w:r>
        <w:r>
          <w:rPr>
            <w:noProof/>
            <w:webHidden/>
          </w:rPr>
          <w:fldChar w:fldCharType="begin"/>
        </w:r>
        <w:r>
          <w:rPr>
            <w:noProof/>
            <w:webHidden/>
          </w:rPr>
          <w:instrText xml:space="preserve"> PAGEREF _Toc237404182 \h </w:instrText>
        </w:r>
        <w:r>
          <w:rPr>
            <w:noProof/>
            <w:webHidden/>
          </w:rPr>
        </w:r>
        <w:r>
          <w:rPr>
            <w:noProof/>
            <w:webHidden/>
          </w:rPr>
          <w:fldChar w:fldCharType="separate"/>
        </w:r>
        <w:r w:rsidR="001C6F9F">
          <w:rPr>
            <w:noProof/>
            <w:webHidden/>
          </w:rPr>
          <w:t>11</w:t>
        </w:r>
        <w:r>
          <w:rPr>
            <w:noProof/>
            <w:webHidden/>
          </w:rPr>
          <w:fldChar w:fldCharType="end"/>
        </w:r>
      </w:hyperlink>
    </w:p>
    <w:p w14:paraId="2F5AC8AB" w14:textId="41ADEB39"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83" w:history="1">
        <w:r w:rsidRPr="00FF06BF">
          <w:rPr>
            <w:rStyle w:val="Hyperlink"/>
            <w:b/>
            <w:bCs/>
            <w:noProof/>
          </w:rPr>
          <w:t>Internal Environment Appraisal (VRIO Framework)</w:t>
        </w:r>
        <w:r>
          <w:rPr>
            <w:noProof/>
            <w:webHidden/>
          </w:rPr>
          <w:tab/>
        </w:r>
        <w:r>
          <w:rPr>
            <w:noProof/>
            <w:webHidden/>
          </w:rPr>
          <w:fldChar w:fldCharType="begin"/>
        </w:r>
        <w:r>
          <w:rPr>
            <w:noProof/>
            <w:webHidden/>
          </w:rPr>
          <w:instrText xml:space="preserve"> PAGEREF _Toc237404183 \h </w:instrText>
        </w:r>
        <w:r>
          <w:rPr>
            <w:noProof/>
            <w:webHidden/>
          </w:rPr>
        </w:r>
        <w:r>
          <w:rPr>
            <w:noProof/>
            <w:webHidden/>
          </w:rPr>
          <w:fldChar w:fldCharType="separate"/>
        </w:r>
        <w:r w:rsidR="001C6F9F">
          <w:rPr>
            <w:noProof/>
            <w:webHidden/>
          </w:rPr>
          <w:t>12</w:t>
        </w:r>
        <w:r>
          <w:rPr>
            <w:noProof/>
            <w:webHidden/>
          </w:rPr>
          <w:fldChar w:fldCharType="end"/>
        </w:r>
      </w:hyperlink>
    </w:p>
    <w:p w14:paraId="48D109FC" w14:textId="285F2874" w:rsidR="00505B95" w:rsidRDefault="00505B95">
      <w:pPr>
        <w:pStyle w:val="TOC3"/>
        <w:tabs>
          <w:tab w:val="right" w:leader="dot" w:pos="9350"/>
        </w:tabs>
        <w:rPr>
          <w:rFonts w:asciiTheme="minorHAnsi" w:hAnsiTheme="minorHAnsi"/>
          <w:noProof/>
          <w:color w:val="auto"/>
          <w:kern w:val="2"/>
          <w:szCs w:val="24"/>
          <w:lang w:val="en-IN" w:eastAsia="en-IN"/>
          <w14:ligatures w14:val="standardContextual"/>
        </w:rPr>
      </w:pPr>
      <w:hyperlink w:anchor="_Toc237404184" w:history="1">
        <w:r w:rsidRPr="00FF06BF">
          <w:rPr>
            <w:rStyle w:val="Hyperlink"/>
            <w:b/>
            <w:bCs/>
            <w:noProof/>
          </w:rPr>
          <w:t>Analytical Outcome &amp; Critical Evaluation of VRIO</w:t>
        </w:r>
        <w:r>
          <w:rPr>
            <w:noProof/>
            <w:webHidden/>
          </w:rPr>
          <w:tab/>
        </w:r>
        <w:r>
          <w:rPr>
            <w:noProof/>
            <w:webHidden/>
          </w:rPr>
          <w:fldChar w:fldCharType="begin"/>
        </w:r>
        <w:r>
          <w:rPr>
            <w:noProof/>
            <w:webHidden/>
          </w:rPr>
          <w:instrText xml:space="preserve"> PAGEREF _Toc237404184 \h </w:instrText>
        </w:r>
        <w:r>
          <w:rPr>
            <w:noProof/>
            <w:webHidden/>
          </w:rPr>
        </w:r>
        <w:r>
          <w:rPr>
            <w:noProof/>
            <w:webHidden/>
          </w:rPr>
          <w:fldChar w:fldCharType="separate"/>
        </w:r>
        <w:r w:rsidR="001C6F9F">
          <w:rPr>
            <w:noProof/>
            <w:webHidden/>
          </w:rPr>
          <w:t>14</w:t>
        </w:r>
        <w:r>
          <w:rPr>
            <w:noProof/>
            <w:webHidden/>
          </w:rPr>
          <w:fldChar w:fldCharType="end"/>
        </w:r>
      </w:hyperlink>
    </w:p>
    <w:p w14:paraId="1678D56D" w14:textId="6B12D8CF"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85" w:history="1">
        <w:r w:rsidRPr="00FF06BF">
          <w:rPr>
            <w:rStyle w:val="Hyperlink"/>
            <w:b/>
            <w:bCs/>
            <w:noProof/>
          </w:rPr>
          <w:t>Strategic Synthesis (SWOT Analysis &amp; TOWS Matrix)</w:t>
        </w:r>
        <w:r>
          <w:rPr>
            <w:noProof/>
            <w:webHidden/>
          </w:rPr>
          <w:tab/>
        </w:r>
        <w:r>
          <w:rPr>
            <w:noProof/>
            <w:webHidden/>
          </w:rPr>
          <w:fldChar w:fldCharType="begin"/>
        </w:r>
        <w:r>
          <w:rPr>
            <w:noProof/>
            <w:webHidden/>
          </w:rPr>
          <w:instrText xml:space="preserve"> PAGEREF _Toc237404185 \h </w:instrText>
        </w:r>
        <w:r>
          <w:rPr>
            <w:noProof/>
            <w:webHidden/>
          </w:rPr>
        </w:r>
        <w:r>
          <w:rPr>
            <w:noProof/>
            <w:webHidden/>
          </w:rPr>
          <w:fldChar w:fldCharType="separate"/>
        </w:r>
        <w:r w:rsidR="001C6F9F">
          <w:rPr>
            <w:noProof/>
            <w:webHidden/>
          </w:rPr>
          <w:t>15</w:t>
        </w:r>
        <w:r>
          <w:rPr>
            <w:noProof/>
            <w:webHidden/>
          </w:rPr>
          <w:fldChar w:fldCharType="end"/>
        </w:r>
      </w:hyperlink>
    </w:p>
    <w:p w14:paraId="34A07803" w14:textId="406D42E8" w:rsidR="00505B95" w:rsidRDefault="00505B95">
      <w:pPr>
        <w:pStyle w:val="TOC3"/>
        <w:tabs>
          <w:tab w:val="right" w:leader="dot" w:pos="9350"/>
        </w:tabs>
        <w:rPr>
          <w:rFonts w:asciiTheme="minorHAnsi" w:hAnsiTheme="minorHAnsi"/>
          <w:noProof/>
          <w:color w:val="auto"/>
          <w:kern w:val="2"/>
          <w:szCs w:val="24"/>
          <w:lang w:val="en-IN" w:eastAsia="en-IN"/>
          <w14:ligatures w14:val="standardContextual"/>
        </w:rPr>
      </w:pPr>
      <w:hyperlink w:anchor="_Toc237404186" w:history="1">
        <w:r w:rsidRPr="00FF06BF">
          <w:rPr>
            <w:rStyle w:val="Hyperlink"/>
            <w:b/>
            <w:bCs/>
            <w:noProof/>
          </w:rPr>
          <w:t>Analytical Outcome &amp; Critical Evaluation of SWOT/TOWS</w:t>
        </w:r>
        <w:r>
          <w:rPr>
            <w:noProof/>
            <w:webHidden/>
          </w:rPr>
          <w:tab/>
        </w:r>
        <w:r>
          <w:rPr>
            <w:noProof/>
            <w:webHidden/>
          </w:rPr>
          <w:fldChar w:fldCharType="begin"/>
        </w:r>
        <w:r>
          <w:rPr>
            <w:noProof/>
            <w:webHidden/>
          </w:rPr>
          <w:instrText xml:space="preserve"> PAGEREF _Toc237404186 \h </w:instrText>
        </w:r>
        <w:r>
          <w:rPr>
            <w:noProof/>
            <w:webHidden/>
          </w:rPr>
        </w:r>
        <w:r>
          <w:rPr>
            <w:noProof/>
            <w:webHidden/>
          </w:rPr>
          <w:fldChar w:fldCharType="separate"/>
        </w:r>
        <w:r w:rsidR="001C6F9F">
          <w:rPr>
            <w:noProof/>
            <w:webHidden/>
          </w:rPr>
          <w:t>17</w:t>
        </w:r>
        <w:r>
          <w:rPr>
            <w:noProof/>
            <w:webHidden/>
          </w:rPr>
          <w:fldChar w:fldCharType="end"/>
        </w:r>
      </w:hyperlink>
    </w:p>
    <w:p w14:paraId="0B28D486" w14:textId="6D340076"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87" w:history="1">
        <w:r w:rsidRPr="00FF06BF">
          <w:rPr>
            <w:rStyle w:val="Hyperlink"/>
            <w:b/>
            <w:bCs/>
            <w:noProof/>
          </w:rPr>
          <w:t>3. Corporate Social Responsibility &amp; The Balanced Scorecard</w:t>
        </w:r>
        <w:r>
          <w:rPr>
            <w:noProof/>
            <w:webHidden/>
          </w:rPr>
          <w:tab/>
        </w:r>
        <w:r>
          <w:rPr>
            <w:noProof/>
            <w:webHidden/>
          </w:rPr>
          <w:fldChar w:fldCharType="begin"/>
        </w:r>
        <w:r>
          <w:rPr>
            <w:noProof/>
            <w:webHidden/>
          </w:rPr>
          <w:instrText xml:space="preserve"> PAGEREF _Toc237404187 \h </w:instrText>
        </w:r>
        <w:r>
          <w:rPr>
            <w:noProof/>
            <w:webHidden/>
          </w:rPr>
        </w:r>
        <w:r>
          <w:rPr>
            <w:noProof/>
            <w:webHidden/>
          </w:rPr>
          <w:fldChar w:fldCharType="separate"/>
        </w:r>
        <w:r w:rsidR="001C6F9F">
          <w:rPr>
            <w:noProof/>
            <w:webHidden/>
          </w:rPr>
          <w:t>18</w:t>
        </w:r>
        <w:r>
          <w:rPr>
            <w:noProof/>
            <w:webHidden/>
          </w:rPr>
          <w:fldChar w:fldCharType="end"/>
        </w:r>
      </w:hyperlink>
    </w:p>
    <w:p w14:paraId="386DCC75" w14:textId="0D69024D"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88" w:history="1">
        <w:r w:rsidRPr="00FF06BF">
          <w:rPr>
            <w:rStyle w:val="Hyperlink"/>
            <w:b/>
            <w:bCs/>
            <w:noProof/>
          </w:rPr>
          <w:t>Critical Evaluation of Corporate Social Responsibility (CSR)</w:t>
        </w:r>
        <w:r>
          <w:rPr>
            <w:noProof/>
            <w:webHidden/>
          </w:rPr>
          <w:tab/>
        </w:r>
        <w:r>
          <w:rPr>
            <w:noProof/>
            <w:webHidden/>
          </w:rPr>
          <w:fldChar w:fldCharType="begin"/>
        </w:r>
        <w:r>
          <w:rPr>
            <w:noProof/>
            <w:webHidden/>
          </w:rPr>
          <w:instrText xml:space="preserve"> PAGEREF _Toc237404188 \h </w:instrText>
        </w:r>
        <w:r>
          <w:rPr>
            <w:noProof/>
            <w:webHidden/>
          </w:rPr>
        </w:r>
        <w:r>
          <w:rPr>
            <w:noProof/>
            <w:webHidden/>
          </w:rPr>
          <w:fldChar w:fldCharType="separate"/>
        </w:r>
        <w:r w:rsidR="001C6F9F">
          <w:rPr>
            <w:noProof/>
            <w:webHidden/>
          </w:rPr>
          <w:t>18</w:t>
        </w:r>
        <w:r>
          <w:rPr>
            <w:noProof/>
            <w:webHidden/>
          </w:rPr>
          <w:fldChar w:fldCharType="end"/>
        </w:r>
      </w:hyperlink>
    </w:p>
    <w:p w14:paraId="67496BAF" w14:textId="4C7AC87A"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89" w:history="1">
        <w:r w:rsidRPr="00FF06BF">
          <w:rPr>
            <w:rStyle w:val="Hyperlink"/>
            <w:b/>
            <w:bCs/>
            <w:noProof/>
          </w:rPr>
          <w:t>Operationalizing Performance via the Balanced Scorecard</w:t>
        </w:r>
        <w:r>
          <w:rPr>
            <w:noProof/>
            <w:webHidden/>
          </w:rPr>
          <w:tab/>
        </w:r>
        <w:r>
          <w:rPr>
            <w:noProof/>
            <w:webHidden/>
          </w:rPr>
          <w:fldChar w:fldCharType="begin"/>
        </w:r>
        <w:r>
          <w:rPr>
            <w:noProof/>
            <w:webHidden/>
          </w:rPr>
          <w:instrText xml:space="preserve"> PAGEREF _Toc237404189 \h </w:instrText>
        </w:r>
        <w:r>
          <w:rPr>
            <w:noProof/>
            <w:webHidden/>
          </w:rPr>
        </w:r>
        <w:r>
          <w:rPr>
            <w:noProof/>
            <w:webHidden/>
          </w:rPr>
          <w:fldChar w:fldCharType="separate"/>
        </w:r>
        <w:r w:rsidR="001C6F9F">
          <w:rPr>
            <w:noProof/>
            <w:webHidden/>
          </w:rPr>
          <w:t>19</w:t>
        </w:r>
        <w:r>
          <w:rPr>
            <w:noProof/>
            <w:webHidden/>
          </w:rPr>
          <w:fldChar w:fldCharType="end"/>
        </w:r>
      </w:hyperlink>
    </w:p>
    <w:p w14:paraId="06B507D9" w14:textId="2AAB56D9" w:rsidR="00505B95" w:rsidRDefault="00505B95">
      <w:pPr>
        <w:pStyle w:val="TOC3"/>
        <w:tabs>
          <w:tab w:val="right" w:leader="dot" w:pos="9350"/>
        </w:tabs>
        <w:rPr>
          <w:rFonts w:asciiTheme="minorHAnsi" w:hAnsiTheme="minorHAnsi"/>
          <w:noProof/>
          <w:color w:val="auto"/>
          <w:kern w:val="2"/>
          <w:szCs w:val="24"/>
          <w:lang w:val="en-IN" w:eastAsia="en-IN"/>
          <w14:ligatures w14:val="standardContextual"/>
        </w:rPr>
      </w:pPr>
      <w:hyperlink w:anchor="_Toc237404190" w:history="1">
        <w:r w:rsidRPr="00FF06BF">
          <w:rPr>
            <w:rStyle w:val="Hyperlink"/>
            <w:b/>
            <w:bCs/>
            <w:noProof/>
          </w:rPr>
          <w:t>Analytical Outcome &amp; Critical Evaluation of Balanced Scorecard</w:t>
        </w:r>
        <w:r>
          <w:rPr>
            <w:noProof/>
            <w:webHidden/>
          </w:rPr>
          <w:tab/>
        </w:r>
        <w:r>
          <w:rPr>
            <w:noProof/>
            <w:webHidden/>
          </w:rPr>
          <w:fldChar w:fldCharType="begin"/>
        </w:r>
        <w:r>
          <w:rPr>
            <w:noProof/>
            <w:webHidden/>
          </w:rPr>
          <w:instrText xml:space="preserve"> PAGEREF _Toc237404190 \h </w:instrText>
        </w:r>
        <w:r>
          <w:rPr>
            <w:noProof/>
            <w:webHidden/>
          </w:rPr>
        </w:r>
        <w:r>
          <w:rPr>
            <w:noProof/>
            <w:webHidden/>
          </w:rPr>
          <w:fldChar w:fldCharType="separate"/>
        </w:r>
        <w:r w:rsidR="001C6F9F">
          <w:rPr>
            <w:noProof/>
            <w:webHidden/>
          </w:rPr>
          <w:t>21</w:t>
        </w:r>
        <w:r>
          <w:rPr>
            <w:noProof/>
            <w:webHidden/>
          </w:rPr>
          <w:fldChar w:fldCharType="end"/>
        </w:r>
      </w:hyperlink>
    </w:p>
    <w:p w14:paraId="69FAB931" w14:textId="6C472AD1"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91" w:history="1">
        <w:r w:rsidRPr="00FF06BF">
          <w:rPr>
            <w:rStyle w:val="Hyperlink"/>
            <w:b/>
            <w:bCs/>
            <w:noProof/>
          </w:rPr>
          <w:t>4. Strategic Choices, Implementation &amp; SAFe Validation</w:t>
        </w:r>
        <w:r>
          <w:rPr>
            <w:noProof/>
            <w:webHidden/>
          </w:rPr>
          <w:tab/>
        </w:r>
        <w:r>
          <w:rPr>
            <w:noProof/>
            <w:webHidden/>
          </w:rPr>
          <w:fldChar w:fldCharType="begin"/>
        </w:r>
        <w:r>
          <w:rPr>
            <w:noProof/>
            <w:webHidden/>
          </w:rPr>
          <w:instrText xml:space="preserve"> PAGEREF _Toc237404191 \h </w:instrText>
        </w:r>
        <w:r>
          <w:rPr>
            <w:noProof/>
            <w:webHidden/>
          </w:rPr>
        </w:r>
        <w:r>
          <w:rPr>
            <w:noProof/>
            <w:webHidden/>
          </w:rPr>
          <w:fldChar w:fldCharType="separate"/>
        </w:r>
        <w:r w:rsidR="001C6F9F">
          <w:rPr>
            <w:noProof/>
            <w:webHidden/>
          </w:rPr>
          <w:t>22</w:t>
        </w:r>
        <w:r>
          <w:rPr>
            <w:noProof/>
            <w:webHidden/>
          </w:rPr>
          <w:fldChar w:fldCharType="end"/>
        </w:r>
      </w:hyperlink>
    </w:p>
    <w:p w14:paraId="529F70D4" w14:textId="65E35A9F"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92" w:history="1">
        <w:r w:rsidRPr="00FF06BF">
          <w:rPr>
            <w:rStyle w:val="Hyperlink"/>
            <w:noProof/>
          </w:rPr>
          <w:t>Business-Level Competitive Strategy (Porter's Generic Strategies)</w:t>
        </w:r>
        <w:r>
          <w:rPr>
            <w:noProof/>
            <w:webHidden/>
          </w:rPr>
          <w:tab/>
        </w:r>
        <w:r>
          <w:rPr>
            <w:noProof/>
            <w:webHidden/>
          </w:rPr>
          <w:fldChar w:fldCharType="begin"/>
        </w:r>
        <w:r>
          <w:rPr>
            <w:noProof/>
            <w:webHidden/>
          </w:rPr>
          <w:instrText xml:space="preserve"> PAGEREF _Toc237404192 \h </w:instrText>
        </w:r>
        <w:r>
          <w:rPr>
            <w:noProof/>
            <w:webHidden/>
          </w:rPr>
        </w:r>
        <w:r>
          <w:rPr>
            <w:noProof/>
            <w:webHidden/>
          </w:rPr>
          <w:fldChar w:fldCharType="separate"/>
        </w:r>
        <w:r w:rsidR="001C6F9F">
          <w:rPr>
            <w:noProof/>
            <w:webHidden/>
          </w:rPr>
          <w:t>22</w:t>
        </w:r>
        <w:r>
          <w:rPr>
            <w:noProof/>
            <w:webHidden/>
          </w:rPr>
          <w:fldChar w:fldCharType="end"/>
        </w:r>
      </w:hyperlink>
    </w:p>
    <w:p w14:paraId="49B861A9" w14:textId="50EFF28C"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93" w:history="1">
        <w:r w:rsidRPr="00FF06BF">
          <w:rPr>
            <w:rStyle w:val="Hyperlink"/>
            <w:b/>
            <w:bCs/>
            <w:noProof/>
          </w:rPr>
          <w:t>Growth Vectors (Ansoff's Growth Matrix)</w:t>
        </w:r>
        <w:r>
          <w:rPr>
            <w:noProof/>
            <w:webHidden/>
          </w:rPr>
          <w:tab/>
        </w:r>
        <w:r>
          <w:rPr>
            <w:noProof/>
            <w:webHidden/>
          </w:rPr>
          <w:fldChar w:fldCharType="begin"/>
        </w:r>
        <w:r>
          <w:rPr>
            <w:noProof/>
            <w:webHidden/>
          </w:rPr>
          <w:instrText xml:space="preserve"> PAGEREF _Toc237404193 \h </w:instrText>
        </w:r>
        <w:r>
          <w:rPr>
            <w:noProof/>
            <w:webHidden/>
          </w:rPr>
        </w:r>
        <w:r>
          <w:rPr>
            <w:noProof/>
            <w:webHidden/>
          </w:rPr>
          <w:fldChar w:fldCharType="separate"/>
        </w:r>
        <w:r w:rsidR="001C6F9F">
          <w:rPr>
            <w:noProof/>
            <w:webHidden/>
          </w:rPr>
          <w:t>23</w:t>
        </w:r>
        <w:r>
          <w:rPr>
            <w:noProof/>
            <w:webHidden/>
          </w:rPr>
          <w:fldChar w:fldCharType="end"/>
        </w:r>
      </w:hyperlink>
    </w:p>
    <w:p w14:paraId="418778C5" w14:textId="1EF8A095"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94" w:history="1">
        <w:r w:rsidRPr="00FF06BF">
          <w:rPr>
            <w:rStyle w:val="Hyperlink"/>
            <w:b/>
            <w:bCs/>
            <w:noProof/>
          </w:rPr>
          <w:t>Evaluation of Recommended Strategy (SAFe Framework)</w:t>
        </w:r>
        <w:r>
          <w:rPr>
            <w:noProof/>
            <w:webHidden/>
          </w:rPr>
          <w:tab/>
        </w:r>
        <w:r>
          <w:rPr>
            <w:noProof/>
            <w:webHidden/>
          </w:rPr>
          <w:fldChar w:fldCharType="begin"/>
        </w:r>
        <w:r>
          <w:rPr>
            <w:noProof/>
            <w:webHidden/>
          </w:rPr>
          <w:instrText xml:space="preserve"> PAGEREF _Toc237404194 \h </w:instrText>
        </w:r>
        <w:r>
          <w:rPr>
            <w:noProof/>
            <w:webHidden/>
          </w:rPr>
        </w:r>
        <w:r>
          <w:rPr>
            <w:noProof/>
            <w:webHidden/>
          </w:rPr>
          <w:fldChar w:fldCharType="separate"/>
        </w:r>
        <w:r w:rsidR="001C6F9F">
          <w:rPr>
            <w:noProof/>
            <w:webHidden/>
          </w:rPr>
          <w:t>23</w:t>
        </w:r>
        <w:r>
          <w:rPr>
            <w:noProof/>
            <w:webHidden/>
          </w:rPr>
          <w:fldChar w:fldCharType="end"/>
        </w:r>
      </w:hyperlink>
    </w:p>
    <w:p w14:paraId="0530F862" w14:textId="55A844A2" w:rsidR="00505B95" w:rsidRDefault="00505B95">
      <w:pPr>
        <w:pStyle w:val="TOC3"/>
        <w:tabs>
          <w:tab w:val="right" w:leader="dot" w:pos="9350"/>
        </w:tabs>
        <w:rPr>
          <w:rFonts w:asciiTheme="minorHAnsi" w:hAnsiTheme="minorHAnsi"/>
          <w:noProof/>
          <w:color w:val="auto"/>
          <w:kern w:val="2"/>
          <w:szCs w:val="24"/>
          <w:lang w:val="en-IN" w:eastAsia="en-IN"/>
          <w14:ligatures w14:val="standardContextual"/>
        </w:rPr>
      </w:pPr>
      <w:hyperlink w:anchor="_Toc237404195" w:history="1">
        <w:r w:rsidRPr="00FF06BF">
          <w:rPr>
            <w:rStyle w:val="Hyperlink"/>
            <w:b/>
            <w:bCs/>
            <w:noProof/>
          </w:rPr>
          <w:t>Analytical Outcome &amp; Critical Evaluation of Strategic Choice &amp; SAFe</w:t>
        </w:r>
        <w:r>
          <w:rPr>
            <w:noProof/>
            <w:webHidden/>
          </w:rPr>
          <w:tab/>
        </w:r>
        <w:r>
          <w:rPr>
            <w:noProof/>
            <w:webHidden/>
          </w:rPr>
          <w:fldChar w:fldCharType="begin"/>
        </w:r>
        <w:r>
          <w:rPr>
            <w:noProof/>
            <w:webHidden/>
          </w:rPr>
          <w:instrText xml:space="preserve"> PAGEREF _Toc237404195 \h </w:instrText>
        </w:r>
        <w:r>
          <w:rPr>
            <w:noProof/>
            <w:webHidden/>
          </w:rPr>
        </w:r>
        <w:r>
          <w:rPr>
            <w:noProof/>
            <w:webHidden/>
          </w:rPr>
          <w:fldChar w:fldCharType="separate"/>
        </w:r>
        <w:r w:rsidR="001C6F9F">
          <w:rPr>
            <w:noProof/>
            <w:webHidden/>
          </w:rPr>
          <w:t>24</w:t>
        </w:r>
        <w:r>
          <w:rPr>
            <w:noProof/>
            <w:webHidden/>
          </w:rPr>
          <w:fldChar w:fldCharType="end"/>
        </w:r>
      </w:hyperlink>
    </w:p>
    <w:p w14:paraId="42B580C6" w14:textId="37D6D2BF"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96" w:history="1">
        <w:r w:rsidRPr="00FF06BF">
          <w:rPr>
            <w:rStyle w:val="Hyperlink"/>
            <w:b/>
            <w:bCs/>
            <w:noProof/>
          </w:rPr>
          <w:t>Implementation Challenges and Mitigation Strategies</w:t>
        </w:r>
        <w:r>
          <w:rPr>
            <w:noProof/>
            <w:webHidden/>
          </w:rPr>
          <w:tab/>
        </w:r>
        <w:r>
          <w:rPr>
            <w:noProof/>
            <w:webHidden/>
          </w:rPr>
          <w:fldChar w:fldCharType="begin"/>
        </w:r>
        <w:r>
          <w:rPr>
            <w:noProof/>
            <w:webHidden/>
          </w:rPr>
          <w:instrText xml:space="preserve"> PAGEREF _Toc237404196 \h </w:instrText>
        </w:r>
        <w:r>
          <w:rPr>
            <w:noProof/>
            <w:webHidden/>
          </w:rPr>
        </w:r>
        <w:r>
          <w:rPr>
            <w:noProof/>
            <w:webHidden/>
          </w:rPr>
          <w:fldChar w:fldCharType="separate"/>
        </w:r>
        <w:r w:rsidR="001C6F9F">
          <w:rPr>
            <w:noProof/>
            <w:webHidden/>
          </w:rPr>
          <w:t>25</w:t>
        </w:r>
        <w:r>
          <w:rPr>
            <w:noProof/>
            <w:webHidden/>
          </w:rPr>
          <w:fldChar w:fldCharType="end"/>
        </w:r>
      </w:hyperlink>
    </w:p>
    <w:p w14:paraId="4819F61C" w14:textId="348EDD48" w:rsidR="00505B95" w:rsidRDefault="00505B95" w:rsidP="00582124">
      <w:pPr>
        <w:pStyle w:val="TOC2"/>
        <w:tabs>
          <w:tab w:val="right" w:leader="dot" w:pos="9350"/>
        </w:tabs>
        <w:ind w:left="0"/>
        <w:rPr>
          <w:rFonts w:asciiTheme="minorHAnsi" w:hAnsiTheme="minorHAnsi"/>
          <w:noProof/>
          <w:color w:val="auto"/>
          <w:kern w:val="2"/>
          <w:szCs w:val="24"/>
          <w:lang w:val="en-IN" w:eastAsia="en-IN"/>
          <w14:ligatures w14:val="standardContextual"/>
        </w:rPr>
      </w:pPr>
      <w:hyperlink w:anchor="_Toc237404197" w:history="1">
        <w:r w:rsidRPr="00FF06BF">
          <w:rPr>
            <w:rStyle w:val="Hyperlink"/>
            <w:noProof/>
          </w:rPr>
          <w:t>SECTION 2: CRITICAL REFLECTIVE ACCOUNT</w:t>
        </w:r>
        <w:r>
          <w:rPr>
            <w:noProof/>
            <w:webHidden/>
          </w:rPr>
          <w:tab/>
        </w:r>
        <w:r>
          <w:rPr>
            <w:noProof/>
            <w:webHidden/>
          </w:rPr>
          <w:fldChar w:fldCharType="begin"/>
        </w:r>
        <w:r>
          <w:rPr>
            <w:noProof/>
            <w:webHidden/>
          </w:rPr>
          <w:instrText xml:space="preserve"> PAGEREF _Toc237404197 \h </w:instrText>
        </w:r>
        <w:r>
          <w:rPr>
            <w:noProof/>
            <w:webHidden/>
          </w:rPr>
        </w:r>
        <w:r>
          <w:rPr>
            <w:noProof/>
            <w:webHidden/>
          </w:rPr>
          <w:fldChar w:fldCharType="separate"/>
        </w:r>
        <w:r w:rsidR="001C6F9F">
          <w:rPr>
            <w:noProof/>
            <w:webHidden/>
          </w:rPr>
          <w:t>26</w:t>
        </w:r>
        <w:r>
          <w:rPr>
            <w:noProof/>
            <w:webHidden/>
          </w:rPr>
          <w:fldChar w:fldCharType="end"/>
        </w:r>
      </w:hyperlink>
    </w:p>
    <w:p w14:paraId="27036345" w14:textId="5A2E0AD9"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198" w:history="1">
        <w:r w:rsidRPr="00FF06BF">
          <w:rPr>
            <w:rStyle w:val="Hyperlink"/>
            <w:b/>
            <w:bCs/>
            <w:noProof/>
          </w:rPr>
          <w:t>Applying Gibbs’ Reflective Cycle (1988)</w:t>
        </w:r>
        <w:r>
          <w:rPr>
            <w:noProof/>
            <w:webHidden/>
          </w:rPr>
          <w:tab/>
        </w:r>
        <w:r>
          <w:rPr>
            <w:noProof/>
            <w:webHidden/>
          </w:rPr>
          <w:fldChar w:fldCharType="begin"/>
        </w:r>
        <w:r>
          <w:rPr>
            <w:noProof/>
            <w:webHidden/>
          </w:rPr>
          <w:instrText xml:space="preserve"> PAGEREF _Toc237404198 \h </w:instrText>
        </w:r>
        <w:r>
          <w:rPr>
            <w:noProof/>
            <w:webHidden/>
          </w:rPr>
        </w:r>
        <w:r>
          <w:rPr>
            <w:noProof/>
            <w:webHidden/>
          </w:rPr>
          <w:fldChar w:fldCharType="separate"/>
        </w:r>
        <w:r w:rsidR="001C6F9F">
          <w:rPr>
            <w:noProof/>
            <w:webHidden/>
          </w:rPr>
          <w:t>26</w:t>
        </w:r>
        <w:r>
          <w:rPr>
            <w:noProof/>
            <w:webHidden/>
          </w:rPr>
          <w:fldChar w:fldCharType="end"/>
        </w:r>
      </w:hyperlink>
    </w:p>
    <w:p w14:paraId="48041267" w14:textId="4DCDDF73"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199" w:history="1">
        <w:r w:rsidRPr="00FF06BF">
          <w:rPr>
            <w:rStyle w:val="Hyperlink"/>
            <w:noProof/>
          </w:rPr>
          <w:t xml:space="preserve">1. </w:t>
        </w:r>
        <w:r w:rsidRPr="00FF06BF">
          <w:rPr>
            <w:rStyle w:val="Hyperlink"/>
            <w:b/>
            <w:bCs/>
            <w:noProof/>
          </w:rPr>
          <w:t>Description</w:t>
        </w:r>
        <w:r>
          <w:rPr>
            <w:noProof/>
            <w:webHidden/>
          </w:rPr>
          <w:tab/>
        </w:r>
        <w:r>
          <w:rPr>
            <w:noProof/>
            <w:webHidden/>
          </w:rPr>
          <w:fldChar w:fldCharType="begin"/>
        </w:r>
        <w:r>
          <w:rPr>
            <w:noProof/>
            <w:webHidden/>
          </w:rPr>
          <w:instrText xml:space="preserve"> PAGEREF _Toc237404199 \h </w:instrText>
        </w:r>
        <w:r>
          <w:rPr>
            <w:noProof/>
            <w:webHidden/>
          </w:rPr>
        </w:r>
        <w:r>
          <w:rPr>
            <w:noProof/>
            <w:webHidden/>
          </w:rPr>
          <w:fldChar w:fldCharType="separate"/>
        </w:r>
        <w:r w:rsidR="001C6F9F">
          <w:rPr>
            <w:noProof/>
            <w:webHidden/>
          </w:rPr>
          <w:t>26</w:t>
        </w:r>
        <w:r>
          <w:rPr>
            <w:noProof/>
            <w:webHidden/>
          </w:rPr>
          <w:fldChar w:fldCharType="end"/>
        </w:r>
      </w:hyperlink>
    </w:p>
    <w:p w14:paraId="5F42C611" w14:textId="77632143"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200" w:history="1">
        <w:r w:rsidRPr="00FF06BF">
          <w:rPr>
            <w:rStyle w:val="Hyperlink"/>
            <w:noProof/>
          </w:rPr>
          <w:t xml:space="preserve">2. </w:t>
        </w:r>
        <w:r w:rsidRPr="00FF06BF">
          <w:rPr>
            <w:rStyle w:val="Hyperlink"/>
            <w:b/>
            <w:bCs/>
            <w:noProof/>
          </w:rPr>
          <w:t>Feelings</w:t>
        </w:r>
        <w:r>
          <w:rPr>
            <w:noProof/>
            <w:webHidden/>
          </w:rPr>
          <w:tab/>
        </w:r>
        <w:r>
          <w:rPr>
            <w:noProof/>
            <w:webHidden/>
          </w:rPr>
          <w:fldChar w:fldCharType="begin"/>
        </w:r>
        <w:r>
          <w:rPr>
            <w:noProof/>
            <w:webHidden/>
          </w:rPr>
          <w:instrText xml:space="preserve"> PAGEREF _Toc237404200 \h </w:instrText>
        </w:r>
        <w:r>
          <w:rPr>
            <w:noProof/>
            <w:webHidden/>
          </w:rPr>
        </w:r>
        <w:r>
          <w:rPr>
            <w:noProof/>
            <w:webHidden/>
          </w:rPr>
          <w:fldChar w:fldCharType="separate"/>
        </w:r>
        <w:r w:rsidR="001C6F9F">
          <w:rPr>
            <w:noProof/>
            <w:webHidden/>
          </w:rPr>
          <w:t>26</w:t>
        </w:r>
        <w:r>
          <w:rPr>
            <w:noProof/>
            <w:webHidden/>
          </w:rPr>
          <w:fldChar w:fldCharType="end"/>
        </w:r>
      </w:hyperlink>
    </w:p>
    <w:p w14:paraId="1FB57369" w14:textId="0FF3B43E"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201" w:history="1">
        <w:r w:rsidRPr="00FF06BF">
          <w:rPr>
            <w:rStyle w:val="Hyperlink"/>
            <w:noProof/>
          </w:rPr>
          <w:t xml:space="preserve">3. </w:t>
        </w:r>
        <w:r w:rsidRPr="00FF06BF">
          <w:rPr>
            <w:rStyle w:val="Hyperlink"/>
            <w:b/>
            <w:bCs/>
            <w:noProof/>
          </w:rPr>
          <w:t>Evaluation</w:t>
        </w:r>
        <w:r>
          <w:rPr>
            <w:noProof/>
            <w:webHidden/>
          </w:rPr>
          <w:tab/>
        </w:r>
        <w:r>
          <w:rPr>
            <w:noProof/>
            <w:webHidden/>
          </w:rPr>
          <w:fldChar w:fldCharType="begin"/>
        </w:r>
        <w:r>
          <w:rPr>
            <w:noProof/>
            <w:webHidden/>
          </w:rPr>
          <w:instrText xml:space="preserve"> PAGEREF _Toc237404201 \h </w:instrText>
        </w:r>
        <w:r>
          <w:rPr>
            <w:noProof/>
            <w:webHidden/>
          </w:rPr>
        </w:r>
        <w:r>
          <w:rPr>
            <w:noProof/>
            <w:webHidden/>
          </w:rPr>
          <w:fldChar w:fldCharType="separate"/>
        </w:r>
        <w:r w:rsidR="001C6F9F">
          <w:rPr>
            <w:noProof/>
            <w:webHidden/>
          </w:rPr>
          <w:t>27</w:t>
        </w:r>
        <w:r>
          <w:rPr>
            <w:noProof/>
            <w:webHidden/>
          </w:rPr>
          <w:fldChar w:fldCharType="end"/>
        </w:r>
      </w:hyperlink>
    </w:p>
    <w:p w14:paraId="0F1958F1" w14:textId="05FE2EA8"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202" w:history="1">
        <w:r w:rsidRPr="00FF06BF">
          <w:rPr>
            <w:rStyle w:val="Hyperlink"/>
            <w:noProof/>
          </w:rPr>
          <w:t xml:space="preserve">4. </w:t>
        </w:r>
        <w:r w:rsidRPr="00FF06BF">
          <w:rPr>
            <w:rStyle w:val="Hyperlink"/>
            <w:b/>
            <w:bCs/>
            <w:noProof/>
          </w:rPr>
          <w:t>Analysis</w:t>
        </w:r>
        <w:r>
          <w:rPr>
            <w:noProof/>
            <w:webHidden/>
          </w:rPr>
          <w:tab/>
        </w:r>
        <w:r>
          <w:rPr>
            <w:noProof/>
            <w:webHidden/>
          </w:rPr>
          <w:fldChar w:fldCharType="begin"/>
        </w:r>
        <w:r>
          <w:rPr>
            <w:noProof/>
            <w:webHidden/>
          </w:rPr>
          <w:instrText xml:space="preserve"> PAGEREF _Toc237404202 \h </w:instrText>
        </w:r>
        <w:r>
          <w:rPr>
            <w:noProof/>
            <w:webHidden/>
          </w:rPr>
        </w:r>
        <w:r>
          <w:rPr>
            <w:noProof/>
            <w:webHidden/>
          </w:rPr>
          <w:fldChar w:fldCharType="separate"/>
        </w:r>
        <w:r w:rsidR="001C6F9F">
          <w:rPr>
            <w:noProof/>
            <w:webHidden/>
          </w:rPr>
          <w:t>27</w:t>
        </w:r>
        <w:r>
          <w:rPr>
            <w:noProof/>
            <w:webHidden/>
          </w:rPr>
          <w:fldChar w:fldCharType="end"/>
        </w:r>
      </w:hyperlink>
    </w:p>
    <w:p w14:paraId="5A75C833" w14:textId="626158D6"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203" w:history="1">
        <w:r w:rsidRPr="00FF06BF">
          <w:rPr>
            <w:rStyle w:val="Hyperlink"/>
            <w:b/>
            <w:bCs/>
            <w:noProof/>
          </w:rPr>
          <w:t>5. Conclusion</w:t>
        </w:r>
        <w:r>
          <w:rPr>
            <w:noProof/>
            <w:webHidden/>
          </w:rPr>
          <w:tab/>
        </w:r>
        <w:r>
          <w:rPr>
            <w:noProof/>
            <w:webHidden/>
          </w:rPr>
          <w:fldChar w:fldCharType="begin"/>
        </w:r>
        <w:r>
          <w:rPr>
            <w:noProof/>
            <w:webHidden/>
          </w:rPr>
          <w:instrText xml:space="preserve"> PAGEREF _Toc237404203 \h </w:instrText>
        </w:r>
        <w:r>
          <w:rPr>
            <w:noProof/>
            <w:webHidden/>
          </w:rPr>
        </w:r>
        <w:r>
          <w:rPr>
            <w:noProof/>
            <w:webHidden/>
          </w:rPr>
          <w:fldChar w:fldCharType="separate"/>
        </w:r>
        <w:r w:rsidR="001C6F9F">
          <w:rPr>
            <w:noProof/>
            <w:webHidden/>
          </w:rPr>
          <w:t>28</w:t>
        </w:r>
        <w:r>
          <w:rPr>
            <w:noProof/>
            <w:webHidden/>
          </w:rPr>
          <w:fldChar w:fldCharType="end"/>
        </w:r>
      </w:hyperlink>
    </w:p>
    <w:p w14:paraId="738E44A2" w14:textId="636E3132" w:rsidR="00505B95" w:rsidRDefault="00505B95">
      <w:pPr>
        <w:pStyle w:val="TOC2"/>
        <w:tabs>
          <w:tab w:val="right" w:leader="dot" w:pos="9350"/>
        </w:tabs>
        <w:rPr>
          <w:rFonts w:asciiTheme="minorHAnsi" w:hAnsiTheme="minorHAnsi"/>
          <w:noProof/>
          <w:color w:val="auto"/>
          <w:kern w:val="2"/>
          <w:szCs w:val="24"/>
          <w:lang w:val="en-IN" w:eastAsia="en-IN"/>
          <w14:ligatures w14:val="standardContextual"/>
        </w:rPr>
      </w:pPr>
      <w:hyperlink w:anchor="_Toc237404204" w:history="1">
        <w:r w:rsidRPr="00FF06BF">
          <w:rPr>
            <w:rStyle w:val="Hyperlink"/>
            <w:b/>
            <w:bCs/>
            <w:noProof/>
          </w:rPr>
          <w:t>6. Action Plan</w:t>
        </w:r>
        <w:r>
          <w:rPr>
            <w:noProof/>
            <w:webHidden/>
          </w:rPr>
          <w:tab/>
        </w:r>
        <w:r>
          <w:rPr>
            <w:noProof/>
            <w:webHidden/>
          </w:rPr>
          <w:fldChar w:fldCharType="begin"/>
        </w:r>
        <w:r>
          <w:rPr>
            <w:noProof/>
            <w:webHidden/>
          </w:rPr>
          <w:instrText xml:space="preserve"> PAGEREF _Toc237404204 \h </w:instrText>
        </w:r>
        <w:r>
          <w:rPr>
            <w:noProof/>
            <w:webHidden/>
          </w:rPr>
        </w:r>
        <w:r>
          <w:rPr>
            <w:noProof/>
            <w:webHidden/>
          </w:rPr>
          <w:fldChar w:fldCharType="separate"/>
        </w:r>
        <w:r w:rsidR="001C6F9F">
          <w:rPr>
            <w:noProof/>
            <w:webHidden/>
          </w:rPr>
          <w:t>28</w:t>
        </w:r>
        <w:r>
          <w:rPr>
            <w:noProof/>
            <w:webHidden/>
          </w:rPr>
          <w:fldChar w:fldCharType="end"/>
        </w:r>
      </w:hyperlink>
    </w:p>
    <w:p w14:paraId="33EC0193" w14:textId="6CEC4263" w:rsidR="00505B95" w:rsidRDefault="00505B95">
      <w:pPr>
        <w:pStyle w:val="TOC1"/>
        <w:tabs>
          <w:tab w:val="right" w:leader="dot" w:pos="9350"/>
        </w:tabs>
        <w:rPr>
          <w:rFonts w:asciiTheme="minorHAnsi" w:hAnsiTheme="minorHAnsi"/>
          <w:noProof/>
          <w:color w:val="auto"/>
          <w:kern w:val="2"/>
          <w:szCs w:val="24"/>
          <w:lang w:val="en-IN" w:eastAsia="en-IN"/>
          <w14:ligatures w14:val="standardContextual"/>
        </w:rPr>
      </w:pPr>
      <w:hyperlink w:anchor="_Toc237404205" w:history="1">
        <w:r w:rsidRPr="00FF06BF">
          <w:rPr>
            <w:rStyle w:val="Hyperlink"/>
            <w:b/>
            <w:bCs/>
            <w:noProof/>
          </w:rPr>
          <w:t>REFERENCES</w:t>
        </w:r>
        <w:r>
          <w:rPr>
            <w:noProof/>
            <w:webHidden/>
          </w:rPr>
          <w:tab/>
        </w:r>
        <w:r>
          <w:rPr>
            <w:noProof/>
            <w:webHidden/>
          </w:rPr>
          <w:fldChar w:fldCharType="begin"/>
        </w:r>
        <w:r>
          <w:rPr>
            <w:noProof/>
            <w:webHidden/>
          </w:rPr>
          <w:instrText xml:space="preserve"> PAGEREF _Toc237404205 \h </w:instrText>
        </w:r>
        <w:r>
          <w:rPr>
            <w:noProof/>
            <w:webHidden/>
          </w:rPr>
        </w:r>
        <w:r>
          <w:rPr>
            <w:noProof/>
            <w:webHidden/>
          </w:rPr>
          <w:fldChar w:fldCharType="separate"/>
        </w:r>
        <w:r w:rsidR="001C6F9F">
          <w:rPr>
            <w:noProof/>
            <w:webHidden/>
          </w:rPr>
          <w:t>28</w:t>
        </w:r>
        <w:r>
          <w:rPr>
            <w:noProof/>
            <w:webHidden/>
          </w:rPr>
          <w:fldChar w:fldCharType="end"/>
        </w:r>
      </w:hyperlink>
    </w:p>
    <w:p w14:paraId="36317F15" w14:textId="64E82AF2" w:rsidR="00981AEB" w:rsidRDefault="00554251" w:rsidP="00505B95">
      <w:pPr>
        <w:spacing w:line="360" w:lineRule="auto"/>
      </w:pPr>
      <w:r>
        <w:lastRenderedPageBreak/>
        <w:fldChar w:fldCharType="end"/>
      </w:r>
    </w:p>
    <w:p w14:paraId="1E0B2E3A" w14:textId="64E82AF2" w:rsidR="007B2881" w:rsidRPr="00A30E0C" w:rsidRDefault="00000000" w:rsidP="00981AEB">
      <w:pPr>
        <w:pStyle w:val="Heading1"/>
        <w:rPr>
          <w:color w:val="000000" w:themeColor="text1"/>
          <w:sz w:val="30"/>
          <w:szCs w:val="30"/>
        </w:rPr>
      </w:pPr>
      <w:bookmarkStart w:id="2" w:name="_Toc237398113"/>
      <w:bookmarkStart w:id="3" w:name="_Toc237404178"/>
      <w:r w:rsidRPr="00A30E0C">
        <w:rPr>
          <w:color w:val="000000" w:themeColor="text1"/>
          <w:sz w:val="30"/>
          <w:szCs w:val="30"/>
        </w:rPr>
        <w:t>SECTION</w:t>
      </w:r>
      <w:r w:rsidR="004D3A22" w:rsidRPr="00A30E0C">
        <w:rPr>
          <w:color w:val="000000" w:themeColor="text1"/>
          <w:sz w:val="30"/>
          <w:szCs w:val="30"/>
        </w:rPr>
        <w:t xml:space="preserve"> </w:t>
      </w:r>
      <w:r w:rsidRPr="00A30E0C">
        <w:rPr>
          <w:color w:val="000000" w:themeColor="text1"/>
          <w:sz w:val="30"/>
          <w:szCs w:val="30"/>
        </w:rPr>
        <w:t>1:</w:t>
      </w:r>
      <w:r w:rsidR="004D3A22" w:rsidRPr="00A30E0C">
        <w:rPr>
          <w:color w:val="000000" w:themeColor="text1"/>
          <w:sz w:val="30"/>
          <w:szCs w:val="30"/>
        </w:rPr>
        <w:t xml:space="preserve"> </w:t>
      </w:r>
      <w:r w:rsidRPr="00A30E0C">
        <w:rPr>
          <w:color w:val="000000" w:themeColor="text1"/>
          <w:sz w:val="30"/>
          <w:szCs w:val="30"/>
        </w:rPr>
        <w:t>STRATEGIC</w:t>
      </w:r>
      <w:r w:rsidR="004D3A22" w:rsidRPr="00A30E0C">
        <w:rPr>
          <w:color w:val="000000" w:themeColor="text1"/>
          <w:sz w:val="30"/>
          <w:szCs w:val="30"/>
        </w:rPr>
        <w:t xml:space="preserve"> </w:t>
      </w:r>
      <w:r w:rsidRPr="00A30E0C">
        <w:rPr>
          <w:color w:val="000000" w:themeColor="text1"/>
          <w:sz w:val="30"/>
          <w:szCs w:val="30"/>
        </w:rPr>
        <w:t>EVALUATION &amp; CRITICAL ANALYSIS</w:t>
      </w:r>
      <w:bookmarkEnd w:id="2"/>
      <w:bookmarkEnd w:id="3"/>
    </w:p>
    <w:p w14:paraId="2C082E74" w14:textId="77777777" w:rsidR="00981AEB" w:rsidRDefault="00981AEB" w:rsidP="00981AEB">
      <w:pPr>
        <w:spacing w:line="360" w:lineRule="auto"/>
        <w:jc w:val="both"/>
        <w:rPr>
          <w:b/>
          <w:bCs/>
        </w:rPr>
      </w:pPr>
    </w:p>
    <w:p w14:paraId="2DF91CB8" w14:textId="4ADA1944" w:rsidR="007B2881" w:rsidRPr="00A30E0C" w:rsidRDefault="00000000" w:rsidP="00981AEB">
      <w:pPr>
        <w:spacing w:line="360" w:lineRule="auto"/>
        <w:jc w:val="both"/>
        <w:outlineLvl w:val="0"/>
        <w:rPr>
          <w:b/>
          <w:bCs/>
        </w:rPr>
      </w:pPr>
      <w:bookmarkStart w:id="4" w:name="_Toc237404179"/>
      <w:r w:rsidRPr="00A30E0C">
        <w:rPr>
          <w:b/>
          <w:bCs/>
        </w:rPr>
        <w:t>1. Organisational Context and Strategic Overview</w:t>
      </w:r>
      <w:bookmarkEnd w:id="4"/>
    </w:p>
    <w:p w14:paraId="48CF9AC8" w14:textId="77777777" w:rsidR="007B2881" w:rsidRPr="00BF2A91" w:rsidRDefault="00000000" w:rsidP="00BF2A91">
      <w:pPr>
        <w:spacing w:line="360" w:lineRule="auto"/>
        <w:jc w:val="both"/>
      </w:pPr>
      <w:r w:rsidRPr="00BF2A91">
        <w:t>The historical trajectory of Adidas AG demonstrates a continuous, path-dependent interplay between technological pioneerism and market responsiveness, culminating in its present-day matrix organizational structure. Founded in 1949 by Adolf Dassler in Herzogenaurach, Germany, the corporate entity initially established its core competitive advantage through targeted footwear engineering tailored strictly to elite athletic performance (Smit, 2008). Dassler's early innovations, such as screw-in studs for football boots, laid a foundational corporate culture rooted in biomechanical research, specialized material testing, and direct athletic partnership. Over successive decades, global corporate expansion necessitated a clear operational distinction between heritage lifestyle offerings and high-performance technical equipment. This structural evolution led to the formal establishment of the Adidas Performance Strategic Business Unit (SBU), designated globally by the iconic three-bar badge. While Adidas Originals captures lifestyle, streetwear, and retro-fashion market segments, Adidas Performance is explicitly charged with driving functional athletic innovation, biomechanical footwear development, and technical sports apparel. The organizational mission to be 'the best sports brand in the world' serves as an overarching strategic compass governing resource allocation across global markets.</w:t>
      </w:r>
    </w:p>
    <w:p w14:paraId="50AB06EF" w14:textId="2B0DA5A4" w:rsidR="00BF2A91" w:rsidRPr="00BF2A91" w:rsidRDefault="00BF2A91" w:rsidP="00BF2A91">
      <w:pPr>
        <w:spacing w:line="360" w:lineRule="auto"/>
        <w:jc w:val="both"/>
      </w:pPr>
      <w:r w:rsidRPr="00BF2A91">
        <w:t xml:space="preserve">As defined by Whittington et al. (2019), a Strategic Business Unit (SBU) operates as a distinct operational entity within a corporate parent, responsible for a specific market segment. Furthermore, analyzing the UK athletic footwear market through the Strategic Groups framework reveals two distinct competitive clusters: broad-scale volume incumbent leaders (Adidas, Nike) competing across general sports categories, and niche specialized entrants (On Running, HOKA) focusing strictly on high-performance technical running. Mapping these strategic groups illustrates that broad market heritage no longer </w:t>
      </w:r>
      <w:r w:rsidRPr="00BF2A91">
        <w:lastRenderedPageBreak/>
        <w:t>insulates Adidas Performance from agile rivals operating with higher product specialization and targeted distribution footprints.</w:t>
      </w:r>
    </w:p>
    <w:p w14:paraId="5F71BFA0" w14:textId="77777777" w:rsidR="007B2881" w:rsidRPr="00BF2A91" w:rsidRDefault="00000000" w:rsidP="00BF2A91">
      <w:pPr>
        <w:spacing w:line="360" w:lineRule="auto"/>
        <w:jc w:val="both"/>
      </w:pPr>
      <w:r w:rsidRPr="00BF2A91">
        <w:t>However, critical strategic appraisal reveals a latent tension between this aspirational corporate mission statement and localized operational execution within mature Western European markets. Strategic management literature emphasizes that corporate mission statements frequently degenerate into mere rhetorical statements unless backed by localized resource deployment, structural flexibility, and market-specific value propositions (Grant, 2021). In the United Kingdom, Adidas Performance operates via a complex hybrid revenue generation model combining direct-to-consumer (DTC) digital ecosystems, physical flagship retail environments (such as Oxford Street, London), and extensive wholesale distribution partnerships with major national retailers including JD Sports, Sports Direct, and specialist running platforms like SportsShoes.com. While DTC channels offer higher gross margins and rich proprietary consumer data, heavy historical reliance on wholesale partners in the UK has created channel friction, price discounting pressures, and periodic brand dilution. Furthermore, central corporate mandates established at global headquarters in Germany do not always account for localized UK retail consolidation or regional post-Brexit distribution bottlenecks.</w:t>
      </w:r>
    </w:p>
    <w:p w14:paraId="29D13637" w14:textId="77777777" w:rsidR="007B2881" w:rsidRPr="00BF2A91" w:rsidRDefault="00000000" w:rsidP="00BF2A91">
      <w:pPr>
        <w:spacing w:line="360" w:lineRule="auto"/>
        <w:jc w:val="both"/>
      </w:pPr>
      <w:r w:rsidRPr="00BF2A91">
        <w:t xml:space="preserve">The macro-environmental landscape of the UK athletic footwear and apparel market presents significant structural friction for incumbent market leaders. The UK market is characterized by exceptionally high market penetration rates, sophisticated consumer discernment regarding technical product specifications, and a pronounced post-pandemic shift toward community-driven, active lifestyle habits (Mintel, 2024). Despite historically commanding the secondary market position behind Nike in total sales volume, Adidas Performance faces severe margin compression and category share erosion. This competitive threat stems from the rapid emergence of nimble, hyper-focused specialist brands such as On Running and HOKA, which have captured affluent UK consumer segments through targeted cushioning innovations and specialized run-shop distribution networks (Euromonitor, 2025). Broad brand heritage no longer guarantees consumer retention among British runners who prioritize specialized functional performance over general brand prestige. Consequently, evaluating the current strategic positioning of </w:t>
      </w:r>
      <w:r w:rsidRPr="00BF2A91">
        <w:lastRenderedPageBreak/>
        <w:t>Adidas Performance within the UK requires rigorous critical scrutiny of its internal capability architecture alongside external macro-environmental and competitive industry forces.</w:t>
      </w:r>
    </w:p>
    <w:p w14:paraId="5A19B4B2" w14:textId="77777777" w:rsidR="007B2881" w:rsidRPr="00BF2A91" w:rsidRDefault="00000000" w:rsidP="00BF2A91">
      <w:pPr>
        <w:spacing w:line="360" w:lineRule="auto"/>
        <w:jc w:val="both"/>
      </w:pPr>
      <w:r w:rsidRPr="00BF2A91">
        <w:t>To address these competitive pressures, Adidas Performance must re-examine how its localized UK business model creates and captures economic value. The SBU currently incurs heavy fixed marketing costs associated with broad-spectrum national advertising and global athlete endorsements. However, localized conversion rates in the UK reveal that modern runners respond far more effectively to micro-influencers, peer recommendations, and local athletic community events. This mismatch between global marketing expenditure and localized consumer conversion highlights an underlying operational inefficiency within the SBU's UK strategy. By realigning capital allocation toward localized digital app engagement and community running partnerships, the SBU can rebuild brand equity while insulating itself against price-cutting pressure from value-oriented retail competitors.</w:t>
      </w:r>
    </w:p>
    <w:p w14:paraId="2735ECE7" w14:textId="77777777" w:rsidR="007B2881" w:rsidRDefault="00000000" w:rsidP="00BF2A91">
      <w:pPr>
        <w:spacing w:line="360" w:lineRule="auto"/>
        <w:jc w:val="both"/>
      </w:pPr>
      <w:r w:rsidRPr="00BF2A91">
        <w:t>Additionally, analyzing the competitive dynamics of the UK performance sportswear sector indicates a structural transition from mass-market production toward high-margin technical customization. Emerging Asian entrants and specialist running firms have significantly shortened their product iteration cycles, introducing seasonal cushioning updates in under six months. In contrast, the centralized corporate product development pipeline at Adidas AG historically required 12 to 18 months from initial biomechanical concept to UK retail delivery. This temporal lag creates a strategic vulnerability in the UK market, as trend-conscious British consumers rapidly adopt rival technical releases. Resolving this operational friction requires the SBU to decentralize regional product testing and grant UK marketing managers greater latitude in customizing inventory assortments.</w:t>
      </w:r>
    </w:p>
    <w:p w14:paraId="1679F63D" w14:textId="77777777" w:rsidR="00BF2A91" w:rsidRDefault="00BF2A91" w:rsidP="00BF2A91">
      <w:pPr>
        <w:spacing w:line="360" w:lineRule="auto"/>
        <w:jc w:val="both"/>
      </w:pPr>
    </w:p>
    <w:p w14:paraId="16838006" w14:textId="77777777" w:rsidR="00B45B86" w:rsidRDefault="00B45B86" w:rsidP="00BF2A91">
      <w:pPr>
        <w:jc w:val="both"/>
      </w:pPr>
    </w:p>
    <w:p w14:paraId="1C687160" w14:textId="77777777" w:rsidR="00505B95" w:rsidRDefault="00505B95" w:rsidP="00BF2A91">
      <w:pPr>
        <w:jc w:val="both"/>
      </w:pPr>
    </w:p>
    <w:p w14:paraId="06314C14" w14:textId="77777777" w:rsidR="007510CE" w:rsidRDefault="007510CE" w:rsidP="00BF2A91">
      <w:pPr>
        <w:jc w:val="both"/>
      </w:pPr>
    </w:p>
    <w:p w14:paraId="3BAC0E97" w14:textId="0B9DC015" w:rsidR="007510CE" w:rsidRPr="007510CE" w:rsidRDefault="007510CE" w:rsidP="007510CE">
      <w:pPr>
        <w:jc w:val="center"/>
        <w:rPr>
          <w:sz w:val="22"/>
          <w:szCs w:val="20"/>
        </w:rPr>
      </w:pPr>
      <w:r>
        <w:rPr>
          <w:sz w:val="22"/>
          <w:szCs w:val="20"/>
        </w:rPr>
        <w:lastRenderedPageBreak/>
        <w:t>Table 1:</w:t>
      </w:r>
      <w:r w:rsidR="00A27DC8">
        <w:rPr>
          <w:sz w:val="22"/>
          <w:szCs w:val="20"/>
        </w:rPr>
        <w:t>Strategic Profile: Adidas Performance (UK)</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9"/>
        <w:gridCol w:w="3308"/>
        <w:gridCol w:w="3883"/>
      </w:tblGrid>
      <w:tr w:rsidR="00BF2A91" w:rsidRPr="00BF2A91" w14:paraId="516D94D2" w14:textId="77777777" w:rsidTr="003269D2">
        <w:trPr>
          <w:jc w:val="center"/>
        </w:trPr>
        <w:tc>
          <w:tcPr>
            <w:tcW w:w="2160" w:type="dxa"/>
            <w:shd w:val="clear" w:color="auto" w:fill="000000" w:themeFill="text1"/>
            <w:tcMar>
              <w:top w:w="120" w:type="dxa"/>
              <w:left w:w="150" w:type="dxa"/>
              <w:bottom w:w="120" w:type="dxa"/>
              <w:right w:w="150" w:type="dxa"/>
            </w:tcMar>
          </w:tcPr>
          <w:p w14:paraId="5ACE2465" w14:textId="77777777" w:rsidR="007B2881" w:rsidRPr="00BF2A91" w:rsidRDefault="00000000" w:rsidP="00BF2A91">
            <w:pPr>
              <w:rPr>
                <w:color w:val="FFFFFF" w:themeColor="background1"/>
              </w:rPr>
            </w:pPr>
            <w:r w:rsidRPr="00BF2A91">
              <w:rPr>
                <w:color w:val="FFFFFF" w:themeColor="background1"/>
              </w:rPr>
              <w:t>Operational Dimension</w:t>
            </w:r>
          </w:p>
        </w:tc>
        <w:tc>
          <w:tcPr>
            <w:tcW w:w="3312" w:type="dxa"/>
            <w:shd w:val="clear" w:color="auto" w:fill="000000" w:themeFill="text1"/>
            <w:tcMar>
              <w:top w:w="120" w:type="dxa"/>
              <w:left w:w="150" w:type="dxa"/>
              <w:bottom w:w="120" w:type="dxa"/>
              <w:right w:w="150" w:type="dxa"/>
            </w:tcMar>
          </w:tcPr>
          <w:p w14:paraId="315725A9" w14:textId="77777777" w:rsidR="007B2881" w:rsidRPr="00BF2A91" w:rsidRDefault="00000000" w:rsidP="00BF2A91">
            <w:pPr>
              <w:rPr>
                <w:color w:val="FFFFFF" w:themeColor="background1"/>
              </w:rPr>
            </w:pPr>
            <w:r w:rsidRPr="00BF2A91">
              <w:rPr>
                <w:color w:val="FFFFFF" w:themeColor="background1"/>
              </w:rPr>
              <w:t>Strategic Profile: Adidas Performance (UK)</w:t>
            </w:r>
          </w:p>
        </w:tc>
        <w:tc>
          <w:tcPr>
            <w:tcW w:w="3888" w:type="dxa"/>
            <w:shd w:val="clear" w:color="auto" w:fill="000000" w:themeFill="text1"/>
            <w:tcMar>
              <w:top w:w="120" w:type="dxa"/>
              <w:left w:w="150" w:type="dxa"/>
              <w:bottom w:w="120" w:type="dxa"/>
              <w:right w:w="150" w:type="dxa"/>
            </w:tcMar>
          </w:tcPr>
          <w:p w14:paraId="774C9E9B" w14:textId="77777777" w:rsidR="007B2881" w:rsidRPr="00BF2A91" w:rsidRDefault="00000000" w:rsidP="00BF2A91">
            <w:pPr>
              <w:rPr>
                <w:color w:val="FFFFFF" w:themeColor="background1"/>
              </w:rPr>
            </w:pPr>
            <w:r w:rsidRPr="00BF2A91">
              <w:rPr>
                <w:color w:val="FFFFFF" w:themeColor="background1"/>
              </w:rPr>
              <w:t>Strategic Implications</w:t>
            </w:r>
          </w:p>
        </w:tc>
      </w:tr>
      <w:tr w:rsidR="007B2881" w:rsidRPr="00BF2A91" w14:paraId="4997E107" w14:textId="77777777" w:rsidTr="003269D2">
        <w:trPr>
          <w:jc w:val="center"/>
        </w:trPr>
        <w:tc>
          <w:tcPr>
            <w:tcW w:w="2160" w:type="dxa"/>
            <w:shd w:val="clear" w:color="auto" w:fill="FFFFFF" w:themeFill="background1"/>
            <w:tcMar>
              <w:top w:w="100" w:type="dxa"/>
              <w:left w:w="150" w:type="dxa"/>
              <w:bottom w:w="100" w:type="dxa"/>
              <w:right w:w="150" w:type="dxa"/>
            </w:tcMar>
          </w:tcPr>
          <w:p w14:paraId="73F32782" w14:textId="77777777" w:rsidR="007B2881" w:rsidRPr="00BF2A91" w:rsidRDefault="00000000" w:rsidP="00BF2A91">
            <w:r w:rsidRPr="00BF2A91">
              <w:t>Parent Entity</w:t>
            </w:r>
          </w:p>
        </w:tc>
        <w:tc>
          <w:tcPr>
            <w:tcW w:w="3312" w:type="dxa"/>
            <w:shd w:val="clear" w:color="auto" w:fill="FFFFFF" w:themeFill="background1"/>
            <w:tcMar>
              <w:top w:w="100" w:type="dxa"/>
              <w:left w:w="150" w:type="dxa"/>
              <w:bottom w:w="100" w:type="dxa"/>
              <w:right w:w="150" w:type="dxa"/>
            </w:tcMar>
          </w:tcPr>
          <w:p w14:paraId="523FA3A8" w14:textId="77777777" w:rsidR="007B2881" w:rsidRPr="00BF2A91" w:rsidRDefault="00000000" w:rsidP="00BF2A91">
            <w:r w:rsidRPr="00BF2A91">
              <w:t>Adidas AG (Frankfurt Stock Exchange: ADS)</w:t>
            </w:r>
          </w:p>
        </w:tc>
        <w:tc>
          <w:tcPr>
            <w:tcW w:w="3888" w:type="dxa"/>
            <w:shd w:val="clear" w:color="auto" w:fill="FFFFFF" w:themeFill="background1"/>
            <w:tcMar>
              <w:top w:w="100" w:type="dxa"/>
              <w:left w:w="150" w:type="dxa"/>
              <w:bottom w:w="100" w:type="dxa"/>
              <w:right w:w="150" w:type="dxa"/>
            </w:tcMar>
          </w:tcPr>
          <w:p w14:paraId="6E764091" w14:textId="77777777" w:rsidR="007B2881" w:rsidRPr="00BF2A91" w:rsidRDefault="00000000" w:rsidP="00BF2A91">
            <w:r w:rsidRPr="00BF2A91">
              <w:t>Global corporate backing with centralized R&amp;D capital</w:t>
            </w:r>
          </w:p>
        </w:tc>
      </w:tr>
      <w:tr w:rsidR="007B2881" w:rsidRPr="00BF2A91" w14:paraId="57CF097D" w14:textId="77777777" w:rsidTr="003269D2">
        <w:trPr>
          <w:jc w:val="center"/>
        </w:trPr>
        <w:tc>
          <w:tcPr>
            <w:tcW w:w="2160" w:type="dxa"/>
            <w:shd w:val="clear" w:color="auto" w:fill="FFFFFF" w:themeFill="background1"/>
            <w:tcMar>
              <w:top w:w="100" w:type="dxa"/>
              <w:left w:w="150" w:type="dxa"/>
              <w:bottom w:w="100" w:type="dxa"/>
              <w:right w:w="150" w:type="dxa"/>
            </w:tcMar>
          </w:tcPr>
          <w:p w14:paraId="62A0A82D" w14:textId="77777777" w:rsidR="007B2881" w:rsidRPr="00BF2A91" w:rsidRDefault="00000000" w:rsidP="00BF2A91">
            <w:r w:rsidRPr="00BF2A91">
              <w:t>Core Product Franchise</w:t>
            </w:r>
          </w:p>
        </w:tc>
        <w:tc>
          <w:tcPr>
            <w:tcW w:w="3312" w:type="dxa"/>
            <w:shd w:val="clear" w:color="auto" w:fill="FFFFFF" w:themeFill="background1"/>
            <w:tcMar>
              <w:top w:w="100" w:type="dxa"/>
              <w:left w:w="150" w:type="dxa"/>
              <w:bottom w:w="100" w:type="dxa"/>
              <w:right w:w="150" w:type="dxa"/>
            </w:tcMar>
          </w:tcPr>
          <w:p w14:paraId="4860AFFF" w14:textId="77777777" w:rsidR="007B2881" w:rsidRPr="00BF2A91" w:rsidRDefault="00000000" w:rsidP="00BF2A91">
            <w:r w:rsidRPr="00BF2A91">
              <w:t>Ultraboost / Adizero Technical Footwear</w:t>
            </w:r>
          </w:p>
        </w:tc>
        <w:tc>
          <w:tcPr>
            <w:tcW w:w="3888" w:type="dxa"/>
            <w:shd w:val="clear" w:color="auto" w:fill="FFFFFF" w:themeFill="background1"/>
            <w:tcMar>
              <w:top w:w="100" w:type="dxa"/>
              <w:left w:w="150" w:type="dxa"/>
              <w:bottom w:w="100" w:type="dxa"/>
              <w:right w:w="150" w:type="dxa"/>
            </w:tcMar>
          </w:tcPr>
          <w:p w14:paraId="404CA7D2" w14:textId="77777777" w:rsidR="007B2881" w:rsidRPr="00BF2A91" w:rsidRDefault="00000000" w:rsidP="00BF2A91">
            <w:r w:rsidRPr="00BF2A91">
              <w:t>High R&amp;D expenditure requiring consistent premium margins</w:t>
            </w:r>
          </w:p>
        </w:tc>
      </w:tr>
      <w:tr w:rsidR="007B2881" w:rsidRPr="00BF2A91" w14:paraId="2A740D86" w14:textId="77777777" w:rsidTr="003269D2">
        <w:trPr>
          <w:jc w:val="center"/>
        </w:trPr>
        <w:tc>
          <w:tcPr>
            <w:tcW w:w="2160" w:type="dxa"/>
            <w:shd w:val="clear" w:color="auto" w:fill="FFFFFF" w:themeFill="background1"/>
            <w:tcMar>
              <w:top w:w="100" w:type="dxa"/>
              <w:left w:w="150" w:type="dxa"/>
              <w:bottom w:w="100" w:type="dxa"/>
              <w:right w:w="150" w:type="dxa"/>
            </w:tcMar>
          </w:tcPr>
          <w:p w14:paraId="3CABF752" w14:textId="77777777" w:rsidR="007B2881" w:rsidRPr="00BF2A91" w:rsidRDefault="00000000" w:rsidP="00BF2A91">
            <w:r w:rsidRPr="00BF2A91">
              <w:t>Primary UK Channels</w:t>
            </w:r>
          </w:p>
        </w:tc>
        <w:tc>
          <w:tcPr>
            <w:tcW w:w="3312" w:type="dxa"/>
            <w:shd w:val="clear" w:color="auto" w:fill="FFFFFF" w:themeFill="background1"/>
            <w:tcMar>
              <w:top w:w="100" w:type="dxa"/>
              <w:left w:w="150" w:type="dxa"/>
              <w:bottom w:w="100" w:type="dxa"/>
              <w:right w:w="150" w:type="dxa"/>
            </w:tcMar>
          </w:tcPr>
          <w:p w14:paraId="2C3BE8BF" w14:textId="77777777" w:rsidR="007B2881" w:rsidRPr="00BF2A91" w:rsidRDefault="00000000" w:rsidP="00BF2A91">
            <w:r w:rsidRPr="00BF2A91">
              <w:t>Omnichannel (45% Wholesale, 35% DTC App/Web, 20% Flagships)</w:t>
            </w:r>
          </w:p>
        </w:tc>
        <w:tc>
          <w:tcPr>
            <w:tcW w:w="3888" w:type="dxa"/>
            <w:shd w:val="clear" w:color="auto" w:fill="FFFFFF" w:themeFill="background1"/>
            <w:tcMar>
              <w:top w:w="100" w:type="dxa"/>
              <w:left w:w="150" w:type="dxa"/>
              <w:bottom w:w="100" w:type="dxa"/>
              <w:right w:w="150" w:type="dxa"/>
            </w:tcMar>
          </w:tcPr>
          <w:p w14:paraId="115CA6B4" w14:textId="77777777" w:rsidR="007B2881" w:rsidRPr="00BF2A91" w:rsidRDefault="00000000" w:rsidP="00BF2A91">
            <w:r w:rsidRPr="00BF2A91">
              <w:t>Channel conflict between high-margin DTC and wholesale partners</w:t>
            </w:r>
          </w:p>
        </w:tc>
      </w:tr>
      <w:tr w:rsidR="007B2881" w:rsidRPr="00BF2A91" w14:paraId="0024EAD3" w14:textId="77777777" w:rsidTr="003269D2">
        <w:trPr>
          <w:jc w:val="center"/>
        </w:trPr>
        <w:tc>
          <w:tcPr>
            <w:tcW w:w="2160" w:type="dxa"/>
            <w:shd w:val="clear" w:color="auto" w:fill="FFFFFF" w:themeFill="background1"/>
            <w:tcMar>
              <w:top w:w="100" w:type="dxa"/>
              <w:left w:w="150" w:type="dxa"/>
              <w:bottom w:w="100" w:type="dxa"/>
              <w:right w:w="150" w:type="dxa"/>
            </w:tcMar>
          </w:tcPr>
          <w:p w14:paraId="4137A81E" w14:textId="77777777" w:rsidR="007B2881" w:rsidRPr="00BF2A91" w:rsidRDefault="00000000" w:rsidP="00BF2A91">
            <w:r w:rsidRPr="00BF2A91">
              <w:t>Target Demographic</w:t>
            </w:r>
          </w:p>
        </w:tc>
        <w:tc>
          <w:tcPr>
            <w:tcW w:w="3312" w:type="dxa"/>
            <w:shd w:val="clear" w:color="auto" w:fill="FFFFFF" w:themeFill="background1"/>
            <w:tcMar>
              <w:top w:w="100" w:type="dxa"/>
              <w:left w:w="150" w:type="dxa"/>
              <w:bottom w:w="100" w:type="dxa"/>
              <w:right w:w="150" w:type="dxa"/>
            </w:tcMar>
          </w:tcPr>
          <w:p w14:paraId="0F3969F5" w14:textId="77777777" w:rsidR="007B2881" w:rsidRPr="00BF2A91" w:rsidRDefault="00000000" w:rsidP="00BF2A91">
            <w:r w:rsidRPr="00BF2A91">
              <w:t>UK Performance Athletes &amp; Active Lifestyle (Ages 18-45)</w:t>
            </w:r>
          </w:p>
        </w:tc>
        <w:tc>
          <w:tcPr>
            <w:tcW w:w="3888" w:type="dxa"/>
            <w:shd w:val="clear" w:color="auto" w:fill="FFFFFF" w:themeFill="background1"/>
            <w:tcMar>
              <w:top w:w="100" w:type="dxa"/>
              <w:left w:w="150" w:type="dxa"/>
              <w:bottom w:w="100" w:type="dxa"/>
              <w:right w:w="150" w:type="dxa"/>
            </w:tcMar>
          </w:tcPr>
          <w:p w14:paraId="28A2946D" w14:textId="77777777" w:rsidR="007B2881" w:rsidRPr="00BF2A91" w:rsidRDefault="00000000" w:rsidP="00BF2A91">
            <w:r w:rsidRPr="00BF2A91">
              <w:t>Exposure to shifting UK discretionary spending patterns</w:t>
            </w:r>
          </w:p>
        </w:tc>
      </w:tr>
      <w:tr w:rsidR="007B2881" w:rsidRPr="00BF2A91" w14:paraId="4A5844DF" w14:textId="77777777" w:rsidTr="003269D2">
        <w:trPr>
          <w:jc w:val="center"/>
        </w:trPr>
        <w:tc>
          <w:tcPr>
            <w:tcW w:w="2160" w:type="dxa"/>
            <w:shd w:val="clear" w:color="auto" w:fill="FFFFFF" w:themeFill="background1"/>
            <w:tcMar>
              <w:top w:w="100" w:type="dxa"/>
              <w:left w:w="150" w:type="dxa"/>
              <w:bottom w:w="100" w:type="dxa"/>
              <w:right w:w="150" w:type="dxa"/>
            </w:tcMar>
          </w:tcPr>
          <w:p w14:paraId="2351503C" w14:textId="77777777" w:rsidR="007B2881" w:rsidRPr="00BF2A91" w:rsidRDefault="00000000" w:rsidP="00BF2A91">
            <w:r w:rsidRPr="00BF2A91">
              <w:t>UK Market Position</w:t>
            </w:r>
          </w:p>
        </w:tc>
        <w:tc>
          <w:tcPr>
            <w:tcW w:w="3312" w:type="dxa"/>
            <w:shd w:val="clear" w:color="auto" w:fill="FFFFFF" w:themeFill="background1"/>
            <w:tcMar>
              <w:top w:w="100" w:type="dxa"/>
              <w:left w:w="150" w:type="dxa"/>
              <w:bottom w:w="100" w:type="dxa"/>
              <w:right w:w="150" w:type="dxa"/>
            </w:tcMar>
          </w:tcPr>
          <w:p w14:paraId="017FCE64" w14:textId="77777777" w:rsidR="007B2881" w:rsidRPr="00BF2A91" w:rsidRDefault="00000000" w:rsidP="00BF2A91">
            <w:r w:rsidRPr="00BF2A91">
              <w:t>Rank #2 Overall Footwear Volume; Rank #3 Technical Running</w:t>
            </w:r>
          </w:p>
        </w:tc>
        <w:tc>
          <w:tcPr>
            <w:tcW w:w="3888" w:type="dxa"/>
            <w:shd w:val="clear" w:color="auto" w:fill="FFFFFF" w:themeFill="background1"/>
            <w:tcMar>
              <w:top w:w="100" w:type="dxa"/>
              <w:left w:w="150" w:type="dxa"/>
              <w:bottom w:w="100" w:type="dxa"/>
              <w:right w:w="150" w:type="dxa"/>
            </w:tcMar>
          </w:tcPr>
          <w:p w14:paraId="1F1D83DC" w14:textId="77777777" w:rsidR="007B2881" w:rsidRPr="00BF2A91" w:rsidRDefault="00000000" w:rsidP="00BF2A91">
            <w:r w:rsidRPr="00BF2A91">
              <w:t>Premium erosion by specialized entrant brands (On, HOKA)</w:t>
            </w:r>
          </w:p>
        </w:tc>
      </w:tr>
    </w:tbl>
    <w:p w14:paraId="3756FBF6" w14:textId="77777777" w:rsidR="007B2881" w:rsidRPr="00BF2A91" w:rsidRDefault="007B2881" w:rsidP="00BF2A91"/>
    <w:p w14:paraId="1F0CDF8A" w14:textId="77777777" w:rsidR="007B2881" w:rsidRPr="00BF2A91" w:rsidRDefault="00000000" w:rsidP="00463A90">
      <w:pPr>
        <w:spacing w:line="360" w:lineRule="auto"/>
        <w:outlineLvl w:val="0"/>
        <w:rPr>
          <w:b/>
          <w:bCs/>
        </w:rPr>
      </w:pPr>
      <w:bookmarkStart w:id="5" w:name="_Toc237404180"/>
      <w:r w:rsidRPr="00BF2A91">
        <w:rPr>
          <w:b/>
          <w:bCs/>
        </w:rPr>
        <w:t>2. External Macro-Environmental &amp; Internal Capability Analysis</w:t>
      </w:r>
      <w:bookmarkEnd w:id="5"/>
    </w:p>
    <w:p w14:paraId="4BE87C6F" w14:textId="5C07B227" w:rsidR="007B2881" w:rsidRPr="00A30E0C" w:rsidRDefault="00000000" w:rsidP="00463A90">
      <w:pPr>
        <w:spacing w:line="360" w:lineRule="auto"/>
        <w:jc w:val="both"/>
        <w:outlineLvl w:val="1"/>
        <w:rPr>
          <w:b/>
          <w:bCs/>
        </w:rPr>
      </w:pPr>
      <w:bookmarkStart w:id="6" w:name="_Toc237404181"/>
      <w:r w:rsidRPr="00A30E0C">
        <w:rPr>
          <w:b/>
          <w:bCs/>
        </w:rPr>
        <w:t>Macro-Environmental Appraisal (PESTEL Analysis)</w:t>
      </w:r>
      <w:bookmarkEnd w:id="6"/>
    </w:p>
    <w:p w14:paraId="464829D0" w14:textId="77777777" w:rsidR="00A30E0C" w:rsidRDefault="00000000" w:rsidP="00463A90">
      <w:pPr>
        <w:spacing w:line="360" w:lineRule="auto"/>
        <w:jc w:val="both"/>
      </w:pPr>
      <w:r w:rsidRPr="00A30E0C">
        <w:rPr>
          <w:b/>
          <w:bCs/>
        </w:rPr>
        <w:t>PESTEL Analysis Political</w:t>
      </w:r>
      <w:r w:rsidRPr="00BF2A91">
        <w:t xml:space="preserve">: </w:t>
      </w:r>
    </w:p>
    <w:p w14:paraId="30FA9D38" w14:textId="0BD00478" w:rsidR="007B2881" w:rsidRPr="00BF2A91" w:rsidRDefault="00000000" w:rsidP="00463A90">
      <w:pPr>
        <w:spacing w:line="360" w:lineRule="auto"/>
        <w:jc w:val="both"/>
      </w:pPr>
      <w:r w:rsidRPr="00BF2A91">
        <w:t xml:space="preserve">Political and regulatory restructuring following the United Kingdom's formal exit from the European Union continues to impose administrative complexity and financial friction upon supply chains connecting mainland European central logistics centers to UK distribution nodes. Border checks, customs compliance tariffs, and regulatory divergence increase lead times for seasonal inventory releases, exposing Adidas UK to inventory stock-outs during peak commercial trading windows (Institute for Government, 2024). Furthermore, UK government public health initiatives promoting active transport, school physical </w:t>
      </w:r>
      <w:r w:rsidRPr="00BF2A91">
        <w:lastRenderedPageBreak/>
        <w:t>education programs, and workplace wellness present institutional tailwinds that expand the broader addressable market for performance gear.</w:t>
      </w:r>
    </w:p>
    <w:p w14:paraId="196E4097" w14:textId="1D79B0BA" w:rsidR="007B2881" w:rsidRPr="00BF2A91" w:rsidRDefault="00000000" w:rsidP="00463A90">
      <w:pPr>
        <w:spacing w:line="360" w:lineRule="auto"/>
        <w:jc w:val="both"/>
      </w:pPr>
      <w:r w:rsidRPr="00A30E0C">
        <w:rPr>
          <w:b/>
          <w:bCs/>
        </w:rPr>
        <w:t>PESTEL Analysis</w:t>
      </w:r>
      <w:r w:rsidR="00A30E0C" w:rsidRPr="00A30E0C">
        <w:rPr>
          <w:b/>
          <w:bCs/>
        </w:rPr>
        <w:t xml:space="preserve"> </w:t>
      </w:r>
      <w:r w:rsidRPr="00A30E0C">
        <w:rPr>
          <w:b/>
          <w:bCs/>
        </w:rPr>
        <w:t>Economic:</w:t>
      </w:r>
      <w:r w:rsidRPr="00BF2A91">
        <w:t xml:space="preserve"> Economic headwinds across the UK, characterized by volatile inflation indices, elevated energy costs, and constrained household disposable income, have fundamentally bifurcated consumer purchasing behavior. Discretionary spending on premium athletic footwear exceeding £180 faces elevated price elasticity among mid-tier income demographics, driving consumers toward discounted wholesale outlets or lower-priced alternatives (Bank of England, 2025). Conversely, affluent consumer segments remain resilient, creating a polarized market where premium technical differentiation must be unequivocally demonstrated to justify price premiums. Additionally, exchange rate fluctuations between Sterling (GBP) and the Euro (EUR) create margin volatility for UK operational imports.</w:t>
      </w:r>
    </w:p>
    <w:p w14:paraId="15DC81AC" w14:textId="77777777" w:rsidR="00A30E0C" w:rsidRPr="00A30E0C" w:rsidRDefault="00000000" w:rsidP="00463A90">
      <w:pPr>
        <w:spacing w:line="360" w:lineRule="auto"/>
        <w:jc w:val="both"/>
        <w:rPr>
          <w:b/>
          <w:bCs/>
        </w:rPr>
      </w:pPr>
      <w:r w:rsidRPr="00A30E0C">
        <w:rPr>
          <w:b/>
          <w:bCs/>
        </w:rPr>
        <w:t>PESTEL Analysis</w:t>
      </w:r>
      <w:r w:rsidR="00A30E0C" w:rsidRPr="00A30E0C">
        <w:rPr>
          <w:b/>
          <w:bCs/>
        </w:rPr>
        <w:t xml:space="preserve"> </w:t>
      </w:r>
      <w:r w:rsidRPr="00A30E0C">
        <w:rPr>
          <w:b/>
          <w:bCs/>
        </w:rPr>
        <w:t xml:space="preserve">Social: </w:t>
      </w:r>
    </w:p>
    <w:p w14:paraId="35B0B321" w14:textId="2F7425D7" w:rsidR="007B2881" w:rsidRPr="00BF2A91" w:rsidRDefault="00000000" w:rsidP="00463A90">
      <w:pPr>
        <w:spacing w:line="360" w:lineRule="auto"/>
        <w:jc w:val="both"/>
      </w:pPr>
      <w:r w:rsidRPr="00BF2A91">
        <w:t>Sociocultural trends present significant structural tailwinds for performance sports brands in the UK. The explosive expansion of informal 'run clubs', parkrun participation, and community-driven social fitness groups reflects a broader cultural integration of physical exercise into personal identity and social networking (Mintel, 2024). Athletic footwear has increasingly crossed over into daily suburban casual attire, broadening the potential usage occasion for technical products like the Ultraboost series beyond dedicated marathon runners. However, shifting demographic trends—specifically an aging British population—require functional product adaptations focused on joint protection and ergonomic support.</w:t>
      </w:r>
    </w:p>
    <w:p w14:paraId="3BAFD8DB" w14:textId="78041143" w:rsidR="00BF2A91" w:rsidRDefault="00BF2A91" w:rsidP="00463A90">
      <w:pPr>
        <w:spacing w:line="360" w:lineRule="auto"/>
        <w:jc w:val="both"/>
      </w:pPr>
      <w:r w:rsidRPr="00BF2A91">
        <w:t>The temporal lag between Adidas AG’s 12-to-18-month centralized corporate development cycle and the rapid product release cycles of challenger brands exposes the SBU to severe Strategic Drift (Whittington et al., 2019). As macro-environmental social trends in the UK shift rapidly toward community run-clubs and peer-driven fitness networks, rigid corporate lead times create a dangerous gap between evolving environmental expectations and the SBU’s operational execution.</w:t>
      </w:r>
    </w:p>
    <w:p w14:paraId="722C0C0E" w14:textId="77777777" w:rsidR="00A30E0C" w:rsidRPr="00BF2A91" w:rsidRDefault="00A30E0C" w:rsidP="00463A90">
      <w:pPr>
        <w:spacing w:line="360" w:lineRule="auto"/>
        <w:jc w:val="both"/>
      </w:pPr>
    </w:p>
    <w:p w14:paraId="2C19AF41" w14:textId="77777777" w:rsidR="00A30E0C" w:rsidRDefault="00000000" w:rsidP="00463A90">
      <w:pPr>
        <w:spacing w:line="360" w:lineRule="auto"/>
        <w:jc w:val="both"/>
      </w:pPr>
      <w:r w:rsidRPr="00A30E0C">
        <w:rPr>
          <w:b/>
          <w:bCs/>
        </w:rPr>
        <w:lastRenderedPageBreak/>
        <w:t>PESTEL Analysis</w:t>
      </w:r>
      <w:r w:rsidR="00A30E0C" w:rsidRPr="00A30E0C">
        <w:rPr>
          <w:b/>
          <w:bCs/>
        </w:rPr>
        <w:t xml:space="preserve"> </w:t>
      </w:r>
      <w:r w:rsidRPr="00A30E0C">
        <w:rPr>
          <w:b/>
          <w:bCs/>
        </w:rPr>
        <w:t>Technological:</w:t>
      </w:r>
      <w:r w:rsidRPr="00BF2A91">
        <w:t xml:space="preserve"> </w:t>
      </w:r>
    </w:p>
    <w:p w14:paraId="56D4BD66" w14:textId="2E5C75A3" w:rsidR="007B2881" w:rsidRPr="00BF2A91" w:rsidRDefault="00000000" w:rsidP="00463A90">
      <w:pPr>
        <w:spacing w:line="360" w:lineRule="auto"/>
        <w:jc w:val="both"/>
      </w:pPr>
      <w:r w:rsidRPr="00BF2A91">
        <w:t>Technological advancements in wearable device connectivity, 3D knit textile automation, and supercritical foam chemistry dictate the competitive frontier in performance footwear. Furthermore, direct-to-consumer digital ecosystems require continuous investment in artificial intelligence, computer vision gait analysis, and mobile application personalization to maintain parity with digital-native footwear entrants (Teece, 2019). The rapid growth of social commerce on platforms like TikTok and Instagram has transformed product discovery, requiring instantaneous digital fulfillment capabilities.</w:t>
      </w:r>
    </w:p>
    <w:p w14:paraId="558F396C" w14:textId="77777777" w:rsidR="00A30E0C" w:rsidRDefault="00000000" w:rsidP="00463A90">
      <w:pPr>
        <w:spacing w:line="360" w:lineRule="auto"/>
        <w:jc w:val="both"/>
      </w:pPr>
      <w:r w:rsidRPr="00A30E0C">
        <w:rPr>
          <w:b/>
          <w:bCs/>
        </w:rPr>
        <w:t>PESTEL Analysis</w:t>
      </w:r>
      <w:r w:rsidR="00A30E0C" w:rsidRPr="00A30E0C">
        <w:rPr>
          <w:b/>
          <w:bCs/>
        </w:rPr>
        <w:t xml:space="preserve"> </w:t>
      </w:r>
      <w:r w:rsidRPr="00A30E0C">
        <w:rPr>
          <w:b/>
          <w:bCs/>
        </w:rPr>
        <w:t>Environmental:</w:t>
      </w:r>
      <w:r w:rsidRPr="00BF2A91">
        <w:t xml:space="preserve"> </w:t>
      </w:r>
    </w:p>
    <w:p w14:paraId="3A72C5AD" w14:textId="414D825E" w:rsidR="007B2881" w:rsidRPr="00BF2A91" w:rsidRDefault="00000000" w:rsidP="00463A90">
      <w:pPr>
        <w:spacing w:line="360" w:lineRule="auto"/>
        <w:jc w:val="both"/>
      </w:pPr>
      <w:r w:rsidRPr="00BF2A91">
        <w:t>Environmental accountability has transitioned from a peripheral marketing strategy to a core legal and commercial mandate in the UK. The UK Competition and Markets Authority (CMA) actively enforces anti-greenwashing directives under the Green Claims Code, requiring empirical, verifiable supply chain documentation for all claims regarding recycled polyester and ocean plastic content (CMA, 2024). Extended Producer Responsibility (EPR) regulations are also emerging in the UK, penalizing brands that fail to establish textile waste collection and circular recycling protocols.</w:t>
      </w:r>
    </w:p>
    <w:p w14:paraId="36A882FF" w14:textId="5FAA8F21" w:rsidR="00A30E0C" w:rsidRDefault="00000000" w:rsidP="00463A90">
      <w:pPr>
        <w:spacing w:line="360" w:lineRule="auto"/>
        <w:jc w:val="both"/>
      </w:pPr>
      <w:r w:rsidRPr="00A30E0C">
        <w:rPr>
          <w:b/>
          <w:bCs/>
        </w:rPr>
        <w:t>PESTEL Analysis Legal:</w:t>
      </w:r>
      <w:r w:rsidRPr="00BF2A91">
        <w:t xml:space="preserve"> </w:t>
      </w:r>
    </w:p>
    <w:p w14:paraId="60164C98" w14:textId="729AC5F0" w:rsidR="007B2881" w:rsidRPr="00BF2A91" w:rsidRDefault="00000000" w:rsidP="00463A90">
      <w:pPr>
        <w:spacing w:line="360" w:lineRule="auto"/>
        <w:jc w:val="both"/>
      </w:pPr>
      <w:r w:rsidRPr="00BF2A91">
        <w:t>Legal compliance around consumer data usage under UK GDPR constrains hyper-targeted algorithmic marketing within proprietary DTC digital applications. Additionally, UK employment law standards govern labor conditions within domestic logistics centers, directly impacting operational cost structures and warehouse labor flexibility.</w:t>
      </w:r>
    </w:p>
    <w:p w14:paraId="52855FC0" w14:textId="77777777" w:rsidR="007B2881" w:rsidRPr="00A30E0C" w:rsidRDefault="00000000" w:rsidP="00463A90">
      <w:pPr>
        <w:spacing w:line="360" w:lineRule="auto"/>
        <w:jc w:val="both"/>
        <w:outlineLvl w:val="2"/>
        <w:rPr>
          <w:b/>
          <w:bCs/>
        </w:rPr>
      </w:pPr>
      <w:bookmarkStart w:id="7" w:name="_Toc237404182"/>
      <w:r w:rsidRPr="00A30E0C">
        <w:rPr>
          <w:b/>
          <w:bCs/>
        </w:rPr>
        <w:t>Analytical Outcome &amp; Critical Evaluation of PESTEL</w:t>
      </w:r>
      <w:bookmarkEnd w:id="7"/>
    </w:p>
    <w:p w14:paraId="61B71E3E" w14:textId="77777777" w:rsidR="007B2881" w:rsidRPr="00BF2A91" w:rsidRDefault="00000000" w:rsidP="00463A90">
      <w:pPr>
        <w:spacing w:line="360" w:lineRule="auto"/>
        <w:jc w:val="both"/>
      </w:pPr>
      <w:r w:rsidRPr="00BF2A91">
        <w:t xml:space="preserve">The primary strategic outcome of the PESTEL appraisal is the identification of a highly volatile macro-environment where external opportunities and threats are sharply polarized. The key macro-environmental drivers for change in the UK are post-Brexit supply chain friction (Political/Economic) and the cultural surge in community running (Social). Critically evaluating these findings reveals that while macro-environmental scanning provides a comprehensive taxonomy of external forces, its predictive value is </w:t>
      </w:r>
      <w:r w:rsidRPr="00BF2A91">
        <w:lastRenderedPageBreak/>
        <w:t>limited if factors are analyzed in isolation. For instance, environmental regulations (CMA Green Claims Code) directly intersect with economic constraints: developing fully verified circular footwear increases production overheads precisely when UK real wage compression has heightened consumer price sensitivity. Therefore, Adidas Performance cannot simply respond to individual PESTEL drivers; it must formulate an integrated strategic posture that balances compliance costs against consumer willingness-to-pay.</w:t>
      </w:r>
    </w:p>
    <w:p w14:paraId="49101407" w14:textId="77777777" w:rsidR="007B2881" w:rsidRPr="00BF2A91" w:rsidRDefault="00000000" w:rsidP="00463A90">
      <w:pPr>
        <w:spacing w:line="360" w:lineRule="auto"/>
        <w:jc w:val="both"/>
      </w:pPr>
      <w:r w:rsidRPr="00BF2A91">
        <w:t>Furthermore, a critical limitation of traditional PESTEL analysis is its static snapshot nature. Macro-environmental forces in the UK athletic sector interact dynamically; social trends such as community run-club participation can accelerate technological adoption (e.g., runners sharing performance data via integrated apps), which in turn alters legal data privacy boundaries. Management must avoid treating PESTEL as a one-time compliance checklist. Instead, the SBU should establish continuous environmental scanning protocols that monitor macro-environmental shifts in real-time, allowing the firm to dynamically adjust product allocation and digital marketing spend before external threats fully materialize.</w:t>
      </w:r>
    </w:p>
    <w:p w14:paraId="08DD32C7" w14:textId="77777777" w:rsidR="007B2881" w:rsidRPr="00A30E0C" w:rsidRDefault="00000000" w:rsidP="00463A90">
      <w:pPr>
        <w:spacing w:line="360" w:lineRule="auto"/>
        <w:jc w:val="both"/>
        <w:outlineLvl w:val="1"/>
        <w:rPr>
          <w:b/>
          <w:bCs/>
        </w:rPr>
      </w:pPr>
      <w:bookmarkStart w:id="8" w:name="_Toc237404183"/>
      <w:r w:rsidRPr="00A30E0C">
        <w:rPr>
          <w:b/>
          <w:bCs/>
        </w:rPr>
        <w:t>Internal Environment Appraisal (VRIO Framework)</w:t>
      </w:r>
      <w:bookmarkEnd w:id="8"/>
    </w:p>
    <w:p w14:paraId="28F1B4CA" w14:textId="77777777" w:rsidR="007B2881" w:rsidRPr="00BF2A91" w:rsidRDefault="00000000" w:rsidP="00463A90">
      <w:pPr>
        <w:spacing w:line="360" w:lineRule="auto"/>
        <w:jc w:val="both"/>
      </w:pPr>
      <w:r w:rsidRPr="00BF2A91">
        <w:t>Applying the VRIO framework (Barney, 1991) to the internal resource base of Adidas Performance isolates the capabilities required to sustain competitive advantage in the UK market. Barney posits that firm resources must be Valuable, Rare, Inimitable, and supported by Organizational structure to yield persistent economic rents.</w:t>
      </w:r>
    </w:p>
    <w:p w14:paraId="5BB18192" w14:textId="77777777" w:rsidR="007B2881" w:rsidRPr="00BF2A91" w:rsidRDefault="00000000" w:rsidP="00463A90">
      <w:pPr>
        <w:spacing w:line="360" w:lineRule="auto"/>
        <w:jc w:val="both"/>
      </w:pPr>
      <w:r w:rsidRPr="00BF2A91">
        <w:t>The proprietary Boost and Lightstrike Pro foam cushioning technologies represent Valuable and Rare assets that deliver measurable biomechanical energy return and impact absorption. Protected by chemical patents and proprietary manufacturing processes developed alongside BASF, these cushioning platforms provided Adidas with a sustained competitive advantage throughout the mid-2010s. However, rapid technological catch-up by competitors deploying supercritical nitrogen-infused foams (e.g., HOKA’s Profly and Saucony’s PWRRUN) has eroded this inimitability, shifting this resource toward a temporary competitive advantage that requires continuous R&amp;D innovation.</w:t>
      </w:r>
    </w:p>
    <w:p w14:paraId="43C4B639" w14:textId="77777777" w:rsidR="007B2881" w:rsidRPr="00BF2A91" w:rsidRDefault="00000000" w:rsidP="00463A90">
      <w:pPr>
        <w:spacing w:line="360" w:lineRule="auto"/>
        <w:jc w:val="both"/>
      </w:pPr>
      <w:r w:rsidRPr="00BF2A91">
        <w:lastRenderedPageBreak/>
        <w:t>In contrast, the exclusive technical alliance with Continental Rubber for outsole traction constitutes a genuine Sustained Competitive Advantage within the UK geographical market. Outsoles engineered with Continental rubber compounds deliver demonstrably superior grip on wet tarmac and slippery pavement—a physical product attribute highly valued by British runners facing variable regional weather conditions. This specialized cross-industry partnership is rare, legally protected, and exceptionally difficult for competitors to replicate rapidly.</w:t>
      </w:r>
    </w:p>
    <w:p w14:paraId="6C8F9008" w14:textId="77777777" w:rsidR="007B2881" w:rsidRPr="00BF2A91" w:rsidRDefault="00000000" w:rsidP="00463A90">
      <w:pPr>
        <w:spacing w:line="360" w:lineRule="auto"/>
        <w:jc w:val="both"/>
      </w:pPr>
      <w:r w:rsidRPr="00BF2A91">
        <w:t>The SBU's direct-to-consumer (DTC) mobile app architecture and digital loyalty infrastructure achieve Competitive Parity rather than sustainable advantage. While valuable for capturing customer data and driving repeat purchases, comparable digital capabilities are deployed across the industry by Nike, Puma, and On Running. Finally, while global athlete sponsorship portfolios drive initial brand awareness, their high acquisition costs and non-exclusive nature yield only temporary competitive advantages.</w:t>
      </w:r>
    </w:p>
    <w:p w14:paraId="5A956F40" w14:textId="77777777" w:rsidR="007B2881" w:rsidRDefault="00000000" w:rsidP="00463A90">
      <w:pPr>
        <w:spacing w:line="360" w:lineRule="auto"/>
        <w:jc w:val="both"/>
      </w:pPr>
      <w:r w:rsidRPr="00BF2A91">
        <w:t>Additionally, the SBU's established UK distribution infrastructure and retail partnerships represent valuable operational assets. However, because these wholesale channels are accessible to competitor brands, they function as threshold capabilities rather than sources of differentiation. To convert these threshold assets into competitive advantages, Adidas Performance must integrate them with proprietary digital app data, enabling hyper-personalized inventory stocking at key UK retail locations.</w:t>
      </w:r>
    </w:p>
    <w:p w14:paraId="2084A865" w14:textId="77777777" w:rsidR="00A27DC8" w:rsidRPr="00BF2A91" w:rsidRDefault="00A27DC8" w:rsidP="00463A90">
      <w:pPr>
        <w:spacing w:line="360" w:lineRule="auto"/>
        <w:jc w:val="both"/>
      </w:pPr>
    </w:p>
    <w:p w14:paraId="05961BBB" w14:textId="77777777" w:rsidR="004D3A22" w:rsidRDefault="004D3A22" w:rsidP="00BF2A91"/>
    <w:p w14:paraId="7A5E94DB" w14:textId="77777777" w:rsidR="00B979D5" w:rsidRDefault="00B979D5" w:rsidP="00BF2A91"/>
    <w:p w14:paraId="18924BAA" w14:textId="77777777" w:rsidR="00B979D5" w:rsidRDefault="00B979D5" w:rsidP="00BF2A91"/>
    <w:p w14:paraId="62C73803" w14:textId="77777777" w:rsidR="00B979D5" w:rsidRDefault="00B979D5" w:rsidP="00BF2A91"/>
    <w:p w14:paraId="5568D51A" w14:textId="77777777" w:rsidR="00B979D5" w:rsidRDefault="00B979D5" w:rsidP="00BF2A91"/>
    <w:p w14:paraId="4F2DDEA0" w14:textId="77777777" w:rsidR="00B979D5" w:rsidRDefault="00B979D5" w:rsidP="00BF2A91"/>
    <w:p w14:paraId="248926CE" w14:textId="77777777" w:rsidR="00B979D5" w:rsidRDefault="00B979D5" w:rsidP="00BF2A91"/>
    <w:p w14:paraId="7D2C0B07" w14:textId="77777777" w:rsidR="00A27DC8" w:rsidRDefault="00A27DC8" w:rsidP="00A27DC8">
      <w:pPr>
        <w:jc w:val="center"/>
        <w:rPr>
          <w:sz w:val="22"/>
        </w:rPr>
      </w:pPr>
    </w:p>
    <w:p w14:paraId="4F1E1300" w14:textId="3D3D8BE1" w:rsidR="00A27DC8" w:rsidRPr="00A27DC8" w:rsidRDefault="00A27DC8" w:rsidP="00A27DC8">
      <w:pPr>
        <w:jc w:val="center"/>
        <w:rPr>
          <w:sz w:val="22"/>
        </w:rPr>
      </w:pPr>
      <w:r w:rsidRPr="00A27DC8">
        <w:rPr>
          <w:sz w:val="22"/>
        </w:rPr>
        <w:lastRenderedPageBreak/>
        <w:t>Table 2: VRIO analysis of Adidas Performance and Capabilities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8"/>
        <w:gridCol w:w="1368"/>
        <w:gridCol w:w="1043"/>
        <w:gridCol w:w="1461"/>
        <w:gridCol w:w="1541"/>
        <w:gridCol w:w="1769"/>
      </w:tblGrid>
      <w:tr w:rsidR="00463A90" w:rsidRPr="00463A90" w14:paraId="389BF243" w14:textId="77777777" w:rsidTr="003269D2">
        <w:trPr>
          <w:jc w:val="center"/>
        </w:trPr>
        <w:tc>
          <w:tcPr>
            <w:tcW w:w="2592" w:type="dxa"/>
            <w:shd w:val="clear" w:color="auto" w:fill="000000" w:themeFill="text1"/>
            <w:tcMar>
              <w:top w:w="120" w:type="dxa"/>
              <w:left w:w="150" w:type="dxa"/>
              <w:bottom w:w="120" w:type="dxa"/>
              <w:right w:w="150" w:type="dxa"/>
            </w:tcMar>
          </w:tcPr>
          <w:p w14:paraId="31D9DD44" w14:textId="77777777" w:rsidR="007B2881" w:rsidRPr="00463A90" w:rsidRDefault="00000000" w:rsidP="00BF2A91">
            <w:pPr>
              <w:rPr>
                <w:color w:val="FFFFFF" w:themeColor="background1"/>
              </w:rPr>
            </w:pPr>
            <w:r w:rsidRPr="00463A90">
              <w:rPr>
                <w:color w:val="FFFFFF" w:themeColor="background1"/>
              </w:rPr>
              <w:t>Resource / Core Capability</w:t>
            </w:r>
          </w:p>
        </w:tc>
        <w:tc>
          <w:tcPr>
            <w:tcW w:w="1152" w:type="dxa"/>
            <w:shd w:val="clear" w:color="auto" w:fill="000000" w:themeFill="text1"/>
            <w:tcMar>
              <w:top w:w="120" w:type="dxa"/>
              <w:left w:w="150" w:type="dxa"/>
              <w:bottom w:w="120" w:type="dxa"/>
              <w:right w:w="150" w:type="dxa"/>
            </w:tcMar>
          </w:tcPr>
          <w:p w14:paraId="0E0A4C94" w14:textId="77777777" w:rsidR="007B2881" w:rsidRPr="00463A90" w:rsidRDefault="00000000" w:rsidP="00BF2A91">
            <w:pPr>
              <w:rPr>
                <w:color w:val="FFFFFF" w:themeColor="background1"/>
              </w:rPr>
            </w:pPr>
            <w:r w:rsidRPr="00463A90">
              <w:rPr>
                <w:color w:val="FFFFFF" w:themeColor="background1"/>
              </w:rPr>
              <w:t>Valuable?</w:t>
            </w:r>
          </w:p>
        </w:tc>
        <w:tc>
          <w:tcPr>
            <w:tcW w:w="1152" w:type="dxa"/>
            <w:shd w:val="clear" w:color="auto" w:fill="000000" w:themeFill="text1"/>
            <w:tcMar>
              <w:top w:w="120" w:type="dxa"/>
              <w:left w:w="150" w:type="dxa"/>
              <w:bottom w:w="120" w:type="dxa"/>
              <w:right w:w="150" w:type="dxa"/>
            </w:tcMar>
          </w:tcPr>
          <w:p w14:paraId="3C287932" w14:textId="77777777" w:rsidR="007B2881" w:rsidRPr="00463A90" w:rsidRDefault="00000000" w:rsidP="00BF2A91">
            <w:pPr>
              <w:rPr>
                <w:color w:val="FFFFFF" w:themeColor="background1"/>
              </w:rPr>
            </w:pPr>
            <w:r w:rsidRPr="00463A90">
              <w:rPr>
                <w:color w:val="FFFFFF" w:themeColor="background1"/>
              </w:rPr>
              <w:t>Rare?</w:t>
            </w:r>
          </w:p>
        </w:tc>
        <w:tc>
          <w:tcPr>
            <w:tcW w:w="1296" w:type="dxa"/>
            <w:shd w:val="clear" w:color="auto" w:fill="000000" w:themeFill="text1"/>
            <w:tcMar>
              <w:top w:w="120" w:type="dxa"/>
              <w:left w:w="150" w:type="dxa"/>
              <w:bottom w:w="120" w:type="dxa"/>
              <w:right w:w="150" w:type="dxa"/>
            </w:tcMar>
          </w:tcPr>
          <w:p w14:paraId="77BE4C2D" w14:textId="77777777" w:rsidR="007B2881" w:rsidRPr="00463A90" w:rsidRDefault="00000000" w:rsidP="00BF2A91">
            <w:pPr>
              <w:rPr>
                <w:color w:val="FFFFFF" w:themeColor="background1"/>
              </w:rPr>
            </w:pPr>
            <w:r w:rsidRPr="00463A90">
              <w:rPr>
                <w:color w:val="FFFFFF" w:themeColor="background1"/>
              </w:rPr>
              <w:t>Inimitable?</w:t>
            </w:r>
          </w:p>
        </w:tc>
        <w:tc>
          <w:tcPr>
            <w:tcW w:w="1152" w:type="dxa"/>
            <w:shd w:val="clear" w:color="auto" w:fill="000000" w:themeFill="text1"/>
            <w:tcMar>
              <w:top w:w="120" w:type="dxa"/>
              <w:left w:w="150" w:type="dxa"/>
              <w:bottom w:w="120" w:type="dxa"/>
              <w:right w:w="150" w:type="dxa"/>
            </w:tcMar>
          </w:tcPr>
          <w:p w14:paraId="5A7D5275" w14:textId="77777777" w:rsidR="007B2881" w:rsidRPr="00463A90" w:rsidRDefault="00000000" w:rsidP="00BF2A91">
            <w:pPr>
              <w:rPr>
                <w:color w:val="FFFFFF" w:themeColor="background1"/>
              </w:rPr>
            </w:pPr>
            <w:r w:rsidRPr="00463A90">
              <w:rPr>
                <w:color w:val="FFFFFF" w:themeColor="background1"/>
              </w:rPr>
              <w:t>Organized?</w:t>
            </w:r>
          </w:p>
        </w:tc>
        <w:tc>
          <w:tcPr>
            <w:tcW w:w="2016" w:type="dxa"/>
            <w:shd w:val="clear" w:color="auto" w:fill="000000" w:themeFill="text1"/>
            <w:tcMar>
              <w:top w:w="120" w:type="dxa"/>
              <w:left w:w="150" w:type="dxa"/>
              <w:bottom w:w="120" w:type="dxa"/>
              <w:right w:w="150" w:type="dxa"/>
            </w:tcMar>
          </w:tcPr>
          <w:p w14:paraId="14D132F1" w14:textId="77777777" w:rsidR="007B2881" w:rsidRPr="00463A90" w:rsidRDefault="00000000" w:rsidP="00BF2A91">
            <w:pPr>
              <w:rPr>
                <w:color w:val="FFFFFF" w:themeColor="background1"/>
              </w:rPr>
            </w:pPr>
            <w:r w:rsidRPr="00463A90">
              <w:rPr>
                <w:color w:val="FFFFFF" w:themeColor="background1"/>
              </w:rPr>
              <w:t>Competitive Implication</w:t>
            </w:r>
          </w:p>
        </w:tc>
      </w:tr>
      <w:tr w:rsidR="007B2881" w:rsidRPr="00BF2A91" w14:paraId="78D5362D" w14:textId="77777777" w:rsidTr="003269D2">
        <w:trPr>
          <w:jc w:val="center"/>
        </w:trPr>
        <w:tc>
          <w:tcPr>
            <w:tcW w:w="2592" w:type="dxa"/>
            <w:shd w:val="clear" w:color="auto" w:fill="FFFFFF" w:themeFill="background1"/>
            <w:tcMar>
              <w:top w:w="100" w:type="dxa"/>
              <w:left w:w="150" w:type="dxa"/>
              <w:bottom w:w="100" w:type="dxa"/>
              <w:right w:w="150" w:type="dxa"/>
            </w:tcMar>
          </w:tcPr>
          <w:p w14:paraId="51A9BC58" w14:textId="77777777" w:rsidR="007B2881" w:rsidRPr="00BF2A91" w:rsidRDefault="00000000" w:rsidP="00BF2A91">
            <w:r w:rsidRPr="00BF2A91">
              <w:t>Boost / Lightstrike Pro Cushioning IP</w:t>
            </w:r>
          </w:p>
        </w:tc>
        <w:tc>
          <w:tcPr>
            <w:tcW w:w="1152" w:type="dxa"/>
            <w:shd w:val="clear" w:color="auto" w:fill="FFFFFF" w:themeFill="background1"/>
            <w:tcMar>
              <w:top w:w="100" w:type="dxa"/>
              <w:left w:w="150" w:type="dxa"/>
              <w:bottom w:w="100" w:type="dxa"/>
              <w:right w:w="150" w:type="dxa"/>
            </w:tcMar>
          </w:tcPr>
          <w:p w14:paraId="77AB6B29"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063AF304" w14:textId="77777777" w:rsidR="007B2881" w:rsidRPr="00BF2A91" w:rsidRDefault="00000000" w:rsidP="00BF2A91">
            <w:r w:rsidRPr="00BF2A91">
              <w:t>Yes</w:t>
            </w:r>
          </w:p>
        </w:tc>
        <w:tc>
          <w:tcPr>
            <w:tcW w:w="1296" w:type="dxa"/>
            <w:shd w:val="clear" w:color="auto" w:fill="FFFFFF" w:themeFill="background1"/>
            <w:tcMar>
              <w:top w:w="100" w:type="dxa"/>
              <w:left w:w="150" w:type="dxa"/>
              <w:bottom w:w="100" w:type="dxa"/>
              <w:right w:w="150" w:type="dxa"/>
            </w:tcMar>
          </w:tcPr>
          <w:p w14:paraId="1E89A251" w14:textId="77777777" w:rsidR="007B2881" w:rsidRPr="00BF2A91" w:rsidRDefault="00000000" w:rsidP="00BF2A91">
            <w:r w:rsidRPr="00BF2A91">
              <w:t>Partially</w:t>
            </w:r>
          </w:p>
        </w:tc>
        <w:tc>
          <w:tcPr>
            <w:tcW w:w="1152" w:type="dxa"/>
            <w:shd w:val="clear" w:color="auto" w:fill="FFFFFF" w:themeFill="background1"/>
            <w:tcMar>
              <w:top w:w="100" w:type="dxa"/>
              <w:left w:w="150" w:type="dxa"/>
              <w:bottom w:w="100" w:type="dxa"/>
              <w:right w:w="150" w:type="dxa"/>
            </w:tcMar>
          </w:tcPr>
          <w:p w14:paraId="2124CA4E" w14:textId="77777777" w:rsidR="007B2881" w:rsidRPr="00BF2A91" w:rsidRDefault="00000000" w:rsidP="00BF2A91">
            <w:r w:rsidRPr="00BF2A91">
              <w:t>Yes</w:t>
            </w:r>
          </w:p>
        </w:tc>
        <w:tc>
          <w:tcPr>
            <w:tcW w:w="2016" w:type="dxa"/>
            <w:shd w:val="clear" w:color="auto" w:fill="FFFFFF" w:themeFill="background1"/>
            <w:tcMar>
              <w:top w:w="100" w:type="dxa"/>
              <w:left w:w="150" w:type="dxa"/>
              <w:bottom w:w="100" w:type="dxa"/>
              <w:right w:w="150" w:type="dxa"/>
            </w:tcMar>
          </w:tcPr>
          <w:p w14:paraId="1B71D3C0" w14:textId="77777777" w:rsidR="007B2881" w:rsidRPr="00BF2A91" w:rsidRDefault="00000000" w:rsidP="00BF2A91">
            <w:r w:rsidRPr="00BF2A91">
              <w:t>Temporary / Sustained Advantage</w:t>
            </w:r>
          </w:p>
        </w:tc>
      </w:tr>
      <w:tr w:rsidR="007B2881" w:rsidRPr="00BF2A91" w14:paraId="274D85F2" w14:textId="77777777" w:rsidTr="003269D2">
        <w:trPr>
          <w:jc w:val="center"/>
        </w:trPr>
        <w:tc>
          <w:tcPr>
            <w:tcW w:w="2592" w:type="dxa"/>
            <w:shd w:val="clear" w:color="auto" w:fill="FFFFFF" w:themeFill="background1"/>
            <w:tcMar>
              <w:top w:w="100" w:type="dxa"/>
              <w:left w:w="150" w:type="dxa"/>
              <w:bottom w:w="100" w:type="dxa"/>
              <w:right w:w="150" w:type="dxa"/>
            </w:tcMar>
          </w:tcPr>
          <w:p w14:paraId="268C5CDA" w14:textId="77777777" w:rsidR="007B2881" w:rsidRPr="00BF2A91" w:rsidRDefault="00000000" w:rsidP="00BF2A91">
            <w:r w:rsidRPr="00BF2A91">
              <w:t>Continental Rubber Outsole Alliance</w:t>
            </w:r>
          </w:p>
        </w:tc>
        <w:tc>
          <w:tcPr>
            <w:tcW w:w="1152" w:type="dxa"/>
            <w:shd w:val="clear" w:color="auto" w:fill="FFFFFF" w:themeFill="background1"/>
            <w:tcMar>
              <w:top w:w="100" w:type="dxa"/>
              <w:left w:w="150" w:type="dxa"/>
              <w:bottom w:w="100" w:type="dxa"/>
              <w:right w:w="150" w:type="dxa"/>
            </w:tcMar>
          </w:tcPr>
          <w:p w14:paraId="71D2DE73"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41ACD804" w14:textId="77777777" w:rsidR="007B2881" w:rsidRPr="00BF2A91" w:rsidRDefault="00000000" w:rsidP="00BF2A91">
            <w:r w:rsidRPr="00BF2A91">
              <w:t>Yes</w:t>
            </w:r>
          </w:p>
        </w:tc>
        <w:tc>
          <w:tcPr>
            <w:tcW w:w="1296" w:type="dxa"/>
            <w:shd w:val="clear" w:color="auto" w:fill="FFFFFF" w:themeFill="background1"/>
            <w:tcMar>
              <w:top w:w="100" w:type="dxa"/>
              <w:left w:w="150" w:type="dxa"/>
              <w:bottom w:w="100" w:type="dxa"/>
              <w:right w:w="150" w:type="dxa"/>
            </w:tcMar>
          </w:tcPr>
          <w:p w14:paraId="1EE7DD35"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401E063B" w14:textId="77777777" w:rsidR="007B2881" w:rsidRPr="00BF2A91" w:rsidRDefault="00000000" w:rsidP="00BF2A91">
            <w:r w:rsidRPr="00BF2A91">
              <w:t>Yes</w:t>
            </w:r>
          </w:p>
        </w:tc>
        <w:tc>
          <w:tcPr>
            <w:tcW w:w="2016" w:type="dxa"/>
            <w:shd w:val="clear" w:color="auto" w:fill="FFFFFF" w:themeFill="background1"/>
            <w:tcMar>
              <w:top w:w="100" w:type="dxa"/>
              <w:left w:w="150" w:type="dxa"/>
              <w:bottom w:w="100" w:type="dxa"/>
              <w:right w:w="150" w:type="dxa"/>
            </w:tcMar>
          </w:tcPr>
          <w:p w14:paraId="5AE1E651" w14:textId="77777777" w:rsidR="007B2881" w:rsidRPr="00BF2A91" w:rsidRDefault="00000000" w:rsidP="00BF2A91">
            <w:r w:rsidRPr="00BF2A91">
              <w:t>Sustained Competitive Advantage</w:t>
            </w:r>
          </w:p>
        </w:tc>
      </w:tr>
      <w:tr w:rsidR="007B2881" w:rsidRPr="00BF2A91" w14:paraId="35F08051" w14:textId="77777777" w:rsidTr="003269D2">
        <w:trPr>
          <w:jc w:val="center"/>
        </w:trPr>
        <w:tc>
          <w:tcPr>
            <w:tcW w:w="2592" w:type="dxa"/>
            <w:shd w:val="clear" w:color="auto" w:fill="FFFFFF" w:themeFill="background1"/>
            <w:tcMar>
              <w:top w:w="100" w:type="dxa"/>
              <w:left w:w="150" w:type="dxa"/>
              <w:bottom w:w="100" w:type="dxa"/>
              <w:right w:w="150" w:type="dxa"/>
            </w:tcMar>
          </w:tcPr>
          <w:p w14:paraId="64186A8E" w14:textId="77777777" w:rsidR="007B2881" w:rsidRPr="00BF2A91" w:rsidRDefault="00000000" w:rsidP="00BF2A91">
            <w:r w:rsidRPr="00BF2A91">
              <w:t>UK DTC Mobile Digital Platform</w:t>
            </w:r>
          </w:p>
        </w:tc>
        <w:tc>
          <w:tcPr>
            <w:tcW w:w="1152" w:type="dxa"/>
            <w:shd w:val="clear" w:color="auto" w:fill="FFFFFF" w:themeFill="background1"/>
            <w:tcMar>
              <w:top w:w="100" w:type="dxa"/>
              <w:left w:w="150" w:type="dxa"/>
              <w:bottom w:w="100" w:type="dxa"/>
              <w:right w:w="150" w:type="dxa"/>
            </w:tcMar>
          </w:tcPr>
          <w:p w14:paraId="17BCBB08"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3E5FD588" w14:textId="77777777" w:rsidR="007B2881" w:rsidRPr="00BF2A91" w:rsidRDefault="00000000" w:rsidP="00BF2A91">
            <w:r w:rsidRPr="00BF2A91">
              <w:t>No</w:t>
            </w:r>
          </w:p>
        </w:tc>
        <w:tc>
          <w:tcPr>
            <w:tcW w:w="1296" w:type="dxa"/>
            <w:shd w:val="clear" w:color="auto" w:fill="FFFFFF" w:themeFill="background1"/>
            <w:tcMar>
              <w:top w:w="100" w:type="dxa"/>
              <w:left w:w="150" w:type="dxa"/>
              <w:bottom w:w="100" w:type="dxa"/>
              <w:right w:w="150" w:type="dxa"/>
            </w:tcMar>
          </w:tcPr>
          <w:p w14:paraId="7D8FA203" w14:textId="77777777" w:rsidR="007B2881" w:rsidRPr="00BF2A91" w:rsidRDefault="00000000" w:rsidP="00BF2A91">
            <w:r w:rsidRPr="00BF2A91">
              <w:t>No</w:t>
            </w:r>
          </w:p>
        </w:tc>
        <w:tc>
          <w:tcPr>
            <w:tcW w:w="1152" w:type="dxa"/>
            <w:shd w:val="clear" w:color="auto" w:fill="FFFFFF" w:themeFill="background1"/>
            <w:tcMar>
              <w:top w:w="100" w:type="dxa"/>
              <w:left w:w="150" w:type="dxa"/>
              <w:bottom w:w="100" w:type="dxa"/>
              <w:right w:w="150" w:type="dxa"/>
            </w:tcMar>
          </w:tcPr>
          <w:p w14:paraId="0A47449B" w14:textId="77777777" w:rsidR="007B2881" w:rsidRPr="00BF2A91" w:rsidRDefault="00000000" w:rsidP="00BF2A91">
            <w:r w:rsidRPr="00BF2A91">
              <w:t>Yes</w:t>
            </w:r>
          </w:p>
        </w:tc>
        <w:tc>
          <w:tcPr>
            <w:tcW w:w="2016" w:type="dxa"/>
            <w:shd w:val="clear" w:color="auto" w:fill="FFFFFF" w:themeFill="background1"/>
            <w:tcMar>
              <w:top w:w="100" w:type="dxa"/>
              <w:left w:w="150" w:type="dxa"/>
              <w:bottom w:w="100" w:type="dxa"/>
              <w:right w:w="150" w:type="dxa"/>
            </w:tcMar>
          </w:tcPr>
          <w:p w14:paraId="6B1F96FE" w14:textId="77777777" w:rsidR="007B2881" w:rsidRPr="00BF2A91" w:rsidRDefault="00000000" w:rsidP="00BF2A91">
            <w:r w:rsidRPr="00BF2A91">
              <w:t>Competitive Parity</w:t>
            </w:r>
          </w:p>
        </w:tc>
      </w:tr>
      <w:tr w:rsidR="007B2881" w:rsidRPr="00BF2A91" w14:paraId="553A5941" w14:textId="77777777" w:rsidTr="003269D2">
        <w:trPr>
          <w:jc w:val="center"/>
        </w:trPr>
        <w:tc>
          <w:tcPr>
            <w:tcW w:w="2592" w:type="dxa"/>
            <w:shd w:val="clear" w:color="auto" w:fill="FFFFFF" w:themeFill="background1"/>
            <w:tcMar>
              <w:top w:w="100" w:type="dxa"/>
              <w:left w:w="150" w:type="dxa"/>
              <w:bottom w:w="100" w:type="dxa"/>
              <w:right w:w="150" w:type="dxa"/>
            </w:tcMar>
          </w:tcPr>
          <w:p w14:paraId="66776895" w14:textId="77777777" w:rsidR="007B2881" w:rsidRPr="00BF2A91" w:rsidRDefault="00000000" w:rsidP="00BF2A91">
            <w:r w:rsidRPr="00BF2A91">
              <w:t>Global Athlete Sponsorship Portfolios</w:t>
            </w:r>
          </w:p>
        </w:tc>
        <w:tc>
          <w:tcPr>
            <w:tcW w:w="1152" w:type="dxa"/>
            <w:shd w:val="clear" w:color="auto" w:fill="FFFFFF" w:themeFill="background1"/>
            <w:tcMar>
              <w:top w:w="100" w:type="dxa"/>
              <w:left w:w="150" w:type="dxa"/>
              <w:bottom w:w="100" w:type="dxa"/>
              <w:right w:w="150" w:type="dxa"/>
            </w:tcMar>
          </w:tcPr>
          <w:p w14:paraId="0DF40F13"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66F2F170" w14:textId="77777777" w:rsidR="007B2881" w:rsidRPr="00BF2A91" w:rsidRDefault="00000000" w:rsidP="00BF2A91">
            <w:r w:rsidRPr="00BF2A91">
              <w:t>Yes</w:t>
            </w:r>
          </w:p>
        </w:tc>
        <w:tc>
          <w:tcPr>
            <w:tcW w:w="1296" w:type="dxa"/>
            <w:shd w:val="clear" w:color="auto" w:fill="FFFFFF" w:themeFill="background1"/>
            <w:tcMar>
              <w:top w:w="100" w:type="dxa"/>
              <w:left w:w="150" w:type="dxa"/>
              <w:bottom w:w="100" w:type="dxa"/>
              <w:right w:w="150" w:type="dxa"/>
            </w:tcMar>
          </w:tcPr>
          <w:p w14:paraId="112555F8" w14:textId="77777777" w:rsidR="007B2881" w:rsidRPr="00BF2A91" w:rsidRDefault="00000000" w:rsidP="00BF2A91">
            <w:r w:rsidRPr="00BF2A91">
              <w:t>No</w:t>
            </w:r>
          </w:p>
        </w:tc>
        <w:tc>
          <w:tcPr>
            <w:tcW w:w="1152" w:type="dxa"/>
            <w:shd w:val="clear" w:color="auto" w:fill="FFFFFF" w:themeFill="background1"/>
            <w:tcMar>
              <w:top w:w="100" w:type="dxa"/>
              <w:left w:w="150" w:type="dxa"/>
              <w:bottom w:w="100" w:type="dxa"/>
              <w:right w:w="150" w:type="dxa"/>
            </w:tcMar>
          </w:tcPr>
          <w:p w14:paraId="605FBD5E" w14:textId="77777777" w:rsidR="007B2881" w:rsidRPr="00BF2A91" w:rsidRDefault="00000000" w:rsidP="00BF2A91">
            <w:r w:rsidRPr="00BF2A91">
              <w:t>Yes</w:t>
            </w:r>
          </w:p>
        </w:tc>
        <w:tc>
          <w:tcPr>
            <w:tcW w:w="2016" w:type="dxa"/>
            <w:shd w:val="clear" w:color="auto" w:fill="FFFFFF" w:themeFill="background1"/>
            <w:tcMar>
              <w:top w:w="100" w:type="dxa"/>
              <w:left w:w="150" w:type="dxa"/>
              <w:bottom w:w="100" w:type="dxa"/>
              <w:right w:w="150" w:type="dxa"/>
            </w:tcMar>
          </w:tcPr>
          <w:p w14:paraId="53F0BAC7" w14:textId="77777777" w:rsidR="007B2881" w:rsidRPr="00BF2A91" w:rsidRDefault="00000000" w:rsidP="00BF2A91">
            <w:r w:rsidRPr="00BF2A91">
              <w:t>Temporary Competitive Advantage</w:t>
            </w:r>
          </w:p>
        </w:tc>
      </w:tr>
      <w:tr w:rsidR="007B2881" w:rsidRPr="00BF2A91" w14:paraId="6654B43F" w14:textId="77777777" w:rsidTr="003269D2">
        <w:trPr>
          <w:jc w:val="center"/>
        </w:trPr>
        <w:tc>
          <w:tcPr>
            <w:tcW w:w="2592" w:type="dxa"/>
            <w:shd w:val="clear" w:color="auto" w:fill="FFFFFF" w:themeFill="background1"/>
            <w:tcMar>
              <w:top w:w="100" w:type="dxa"/>
              <w:left w:w="150" w:type="dxa"/>
              <w:bottom w:w="100" w:type="dxa"/>
              <w:right w:w="150" w:type="dxa"/>
            </w:tcMar>
          </w:tcPr>
          <w:p w14:paraId="3A7F0135" w14:textId="77777777" w:rsidR="007B2881" w:rsidRPr="00BF2A91" w:rsidRDefault="00000000" w:rsidP="00BF2A91">
            <w:r w:rsidRPr="00BF2A91">
              <w:t>Primeknit Textile Manufacturing</w:t>
            </w:r>
          </w:p>
        </w:tc>
        <w:tc>
          <w:tcPr>
            <w:tcW w:w="1152" w:type="dxa"/>
            <w:shd w:val="clear" w:color="auto" w:fill="FFFFFF" w:themeFill="background1"/>
            <w:tcMar>
              <w:top w:w="100" w:type="dxa"/>
              <w:left w:w="150" w:type="dxa"/>
              <w:bottom w:w="100" w:type="dxa"/>
              <w:right w:w="150" w:type="dxa"/>
            </w:tcMar>
          </w:tcPr>
          <w:p w14:paraId="355E2BFD" w14:textId="77777777" w:rsidR="007B2881" w:rsidRPr="00BF2A91" w:rsidRDefault="00000000" w:rsidP="00BF2A91">
            <w:r w:rsidRPr="00BF2A91">
              <w:t>Yes</w:t>
            </w:r>
          </w:p>
        </w:tc>
        <w:tc>
          <w:tcPr>
            <w:tcW w:w="1152" w:type="dxa"/>
            <w:shd w:val="clear" w:color="auto" w:fill="FFFFFF" w:themeFill="background1"/>
            <w:tcMar>
              <w:top w:w="100" w:type="dxa"/>
              <w:left w:w="150" w:type="dxa"/>
              <w:bottom w:w="100" w:type="dxa"/>
              <w:right w:w="150" w:type="dxa"/>
            </w:tcMar>
          </w:tcPr>
          <w:p w14:paraId="78CA6BAA" w14:textId="77777777" w:rsidR="007B2881" w:rsidRPr="00BF2A91" w:rsidRDefault="00000000" w:rsidP="00BF2A91">
            <w:r w:rsidRPr="00BF2A91">
              <w:t>No</w:t>
            </w:r>
          </w:p>
        </w:tc>
        <w:tc>
          <w:tcPr>
            <w:tcW w:w="1296" w:type="dxa"/>
            <w:shd w:val="clear" w:color="auto" w:fill="FFFFFF" w:themeFill="background1"/>
            <w:tcMar>
              <w:top w:w="100" w:type="dxa"/>
              <w:left w:w="150" w:type="dxa"/>
              <w:bottom w:w="100" w:type="dxa"/>
              <w:right w:w="150" w:type="dxa"/>
            </w:tcMar>
          </w:tcPr>
          <w:p w14:paraId="08914209" w14:textId="77777777" w:rsidR="007B2881" w:rsidRPr="00BF2A91" w:rsidRDefault="00000000" w:rsidP="00BF2A91">
            <w:r w:rsidRPr="00BF2A91">
              <w:t>No</w:t>
            </w:r>
          </w:p>
        </w:tc>
        <w:tc>
          <w:tcPr>
            <w:tcW w:w="1152" w:type="dxa"/>
            <w:shd w:val="clear" w:color="auto" w:fill="FFFFFF" w:themeFill="background1"/>
            <w:tcMar>
              <w:top w:w="100" w:type="dxa"/>
              <w:left w:w="150" w:type="dxa"/>
              <w:bottom w:w="100" w:type="dxa"/>
              <w:right w:w="150" w:type="dxa"/>
            </w:tcMar>
          </w:tcPr>
          <w:p w14:paraId="479F0EB0" w14:textId="77777777" w:rsidR="007B2881" w:rsidRPr="00BF2A91" w:rsidRDefault="00000000" w:rsidP="00BF2A91">
            <w:r w:rsidRPr="00BF2A91">
              <w:t>Yes</w:t>
            </w:r>
          </w:p>
        </w:tc>
        <w:tc>
          <w:tcPr>
            <w:tcW w:w="2016" w:type="dxa"/>
            <w:shd w:val="clear" w:color="auto" w:fill="FFFFFF" w:themeFill="background1"/>
            <w:tcMar>
              <w:top w:w="100" w:type="dxa"/>
              <w:left w:w="150" w:type="dxa"/>
              <w:bottom w:w="100" w:type="dxa"/>
              <w:right w:w="150" w:type="dxa"/>
            </w:tcMar>
          </w:tcPr>
          <w:p w14:paraId="3C03515A" w14:textId="77777777" w:rsidR="007B2881" w:rsidRPr="00BF2A91" w:rsidRDefault="00000000" w:rsidP="00BF2A91">
            <w:r w:rsidRPr="00BF2A91">
              <w:t>Competitive Parity</w:t>
            </w:r>
          </w:p>
        </w:tc>
      </w:tr>
    </w:tbl>
    <w:p w14:paraId="5A93CAD3" w14:textId="77777777" w:rsidR="007B2881" w:rsidRPr="00BF2A91" w:rsidRDefault="007B2881" w:rsidP="00BF2A91"/>
    <w:p w14:paraId="76FB98A2" w14:textId="77777777" w:rsidR="00AE5A6F" w:rsidRPr="00BF2A91" w:rsidRDefault="00AE5A6F" w:rsidP="00BF2A91"/>
    <w:p w14:paraId="72D8D6BE" w14:textId="6727A541" w:rsidR="007B2881" w:rsidRPr="00A30E0C" w:rsidRDefault="00000000" w:rsidP="00463A90">
      <w:pPr>
        <w:spacing w:line="360" w:lineRule="auto"/>
        <w:jc w:val="both"/>
        <w:outlineLvl w:val="2"/>
        <w:rPr>
          <w:b/>
          <w:bCs/>
        </w:rPr>
      </w:pPr>
      <w:bookmarkStart w:id="9" w:name="_Toc237404184"/>
      <w:r w:rsidRPr="00A30E0C">
        <w:rPr>
          <w:b/>
          <w:bCs/>
        </w:rPr>
        <w:t>Analytical Outcome &amp; Critical Evaluation of VRIO</w:t>
      </w:r>
      <w:bookmarkEnd w:id="9"/>
    </w:p>
    <w:p w14:paraId="03B32BEA" w14:textId="77777777" w:rsidR="007B2881" w:rsidRPr="00BF2A91" w:rsidRDefault="00000000" w:rsidP="00463A90">
      <w:pPr>
        <w:spacing w:line="360" w:lineRule="auto"/>
        <w:jc w:val="both"/>
      </w:pPr>
      <w:r w:rsidRPr="00BF2A91">
        <w:t xml:space="preserve">The analytical outcome of the VRIO audit demonstrates that Adidas Performance possesses a robust threshold resource base, but its sustained competitive advantages are narrow. Only the Continental Rubber outsole partnership meets all four VRIO criteria fully within the UK context. Critically evaluating the VRIO framework highlights its inherently static nature: VRIO evaluates resource quality at a single point in time, failing to capture dynamic market velocity. For example, cushioning technology that generated sustained competitive rents five years ago has degraded to temporary parity due to rapid competitor R&amp;D. Furthermore, VRIO tends to overemphasize internal asset ownership </w:t>
      </w:r>
      <w:r w:rsidRPr="00BF2A91">
        <w:lastRenderedPageBreak/>
        <w:t>while underestimating the strategic value of external relational capabilities (such as community run-club networks). To maintain competitive superiority, Adidas Performance must deploy dynamic capabilities—continuously reconfiguring its resource base to prevent core competencies from degrading into core rigidities.</w:t>
      </w:r>
    </w:p>
    <w:p w14:paraId="0BA87146" w14:textId="455C4B6E" w:rsidR="007B2881" w:rsidRPr="00BF2A91" w:rsidRDefault="00000000" w:rsidP="00463A90">
      <w:pPr>
        <w:spacing w:line="360" w:lineRule="auto"/>
        <w:jc w:val="both"/>
      </w:pPr>
      <w:r w:rsidRPr="00BF2A91">
        <w:t xml:space="preserve">Critical appraisal of internal capabilities also reveals an organizational gap regarding agility. While Adidas AG possesses immense R&amp;D resources in Germany, local UK managers often lack the operational autonomy required to rapidly customize product colorways or specs for regional UK events. This institutional </w:t>
      </w:r>
      <w:r w:rsidR="00A27DC8">
        <w:pgNum/>
      </w:r>
      <w:r w:rsidR="00A27DC8">
        <w:t>entralization</w:t>
      </w:r>
      <w:r w:rsidRPr="00BF2A91">
        <w:t xml:space="preserve"> hinders the </w:t>
      </w:r>
      <w:r w:rsidR="00A27DC8">
        <w:t>‘</w:t>
      </w:r>
      <w:r w:rsidRPr="00BF2A91">
        <w:t>Organizational Support</w:t>
      </w:r>
      <w:r w:rsidR="00A27DC8">
        <w:t>’</w:t>
      </w:r>
      <w:r w:rsidRPr="00BF2A91">
        <w:t xml:space="preserve"> dimension of VRIO. To fully exploit its valuable assets, Adidas UK must be granted greater operational autonomy to execute agile, localized marketing and inventory deployments.</w:t>
      </w:r>
    </w:p>
    <w:p w14:paraId="580E45EC" w14:textId="77777777" w:rsidR="007B2881" w:rsidRPr="00BF2A91" w:rsidRDefault="00000000" w:rsidP="00463A90">
      <w:pPr>
        <w:spacing w:line="360" w:lineRule="auto"/>
        <w:jc w:val="both"/>
      </w:pPr>
      <w:r w:rsidRPr="00BF2A91">
        <w:t>Moreover, evaluating resource inimitability requires scrutinizing path dependency and causal ambiguity. Competitors struggle to replicate the Continental Rubber outsole alliance not merely because of legal contracts, but due to years of co-engineered polymer chemistry and joint biomechanical testing. This historical path dependency creates a structural barrier to imitation. However, where causal ambiguity is low—such as in digital mobile app features or lightweight textile weaves—competitors quickly achieve functional parity. Thus, Adidas UK must focus its capital allocation on deeply embedded, path-dependent technical partnerships.</w:t>
      </w:r>
    </w:p>
    <w:p w14:paraId="369D511E" w14:textId="77777777" w:rsidR="007B2881" w:rsidRPr="00A30E0C" w:rsidRDefault="00000000" w:rsidP="00463A90">
      <w:pPr>
        <w:spacing w:line="360" w:lineRule="auto"/>
        <w:jc w:val="both"/>
        <w:outlineLvl w:val="1"/>
        <w:rPr>
          <w:b/>
          <w:bCs/>
        </w:rPr>
      </w:pPr>
      <w:bookmarkStart w:id="10" w:name="_Toc237404185"/>
      <w:r w:rsidRPr="00A30E0C">
        <w:rPr>
          <w:b/>
          <w:bCs/>
        </w:rPr>
        <w:t>Strategic Synthesis (SWOT Analysis &amp; TOWS Matrix)</w:t>
      </w:r>
      <w:bookmarkEnd w:id="10"/>
    </w:p>
    <w:p w14:paraId="4C3DB255" w14:textId="5F52769B" w:rsidR="007B2881" w:rsidRDefault="00000000" w:rsidP="00463A90">
      <w:pPr>
        <w:spacing w:line="360" w:lineRule="auto"/>
        <w:jc w:val="both"/>
      </w:pPr>
      <w:r w:rsidRPr="00BF2A91">
        <w:t>Synthesizing external environmental pressures with internal organizational capabilities generates the strategic SWOT Matrix. Critical strategic management theory emphasizes that a SWOT matrix must not exist as a mere static taxonomy; it must serve as an active cross-analytical instrument (TOWS) that pairs internal capabilities with external dynamics (Weihrich, 1982). Strengths, such as elite foam IP and established UK distribution scale, must be mobilized to capture emerging opportunities within community running cultures. Weaknesses, notably channel conflict caused by heavy reliance on wholesale price-discounters, leave Adidas Performance vulnerable to threats posed by agile direct-to-</w:t>
      </w:r>
      <w:r w:rsidRPr="00BF2A91">
        <w:lastRenderedPageBreak/>
        <w:t>consumer specialists. The SBU</w:t>
      </w:r>
      <w:r w:rsidR="00A27DC8">
        <w:t>’</w:t>
      </w:r>
      <w:r w:rsidRPr="00BF2A91">
        <w:t>s strategic priority in the UK must focus on transitioning from defensive market preservation to proactive differentiation.</w:t>
      </w:r>
    </w:p>
    <w:p w14:paraId="698F1B36" w14:textId="0F4B9702" w:rsidR="004D3A22" w:rsidRPr="00A27DC8" w:rsidRDefault="00F45856" w:rsidP="00A27DC8">
      <w:pPr>
        <w:spacing w:line="360" w:lineRule="auto"/>
        <w:jc w:val="center"/>
        <w:rPr>
          <w:sz w:val="22"/>
        </w:rPr>
      </w:pPr>
      <w:r>
        <w:rPr>
          <w:sz w:val="22"/>
        </w:rPr>
        <w:t xml:space="preserve">Table 3: </w:t>
      </w:r>
      <w:r w:rsidR="00A27DC8">
        <w:rPr>
          <w:sz w:val="22"/>
        </w:rPr>
        <w:t>SWOT analysis of Adidas Performance (UK)</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9"/>
        <w:gridCol w:w="4601"/>
        <w:gridCol w:w="2590"/>
      </w:tblGrid>
      <w:tr w:rsidR="00463A90" w:rsidRPr="00463A90" w14:paraId="52BDA43F" w14:textId="77777777" w:rsidTr="003269D2">
        <w:trPr>
          <w:jc w:val="center"/>
        </w:trPr>
        <w:tc>
          <w:tcPr>
            <w:tcW w:w="2160" w:type="dxa"/>
            <w:shd w:val="clear" w:color="auto" w:fill="000000" w:themeFill="text1"/>
            <w:tcMar>
              <w:top w:w="120" w:type="dxa"/>
              <w:left w:w="150" w:type="dxa"/>
              <w:bottom w:w="120" w:type="dxa"/>
              <w:right w:w="150" w:type="dxa"/>
            </w:tcMar>
          </w:tcPr>
          <w:p w14:paraId="75EF36D3" w14:textId="77777777" w:rsidR="007B2881" w:rsidRPr="00463A90" w:rsidRDefault="00000000" w:rsidP="00463A90">
            <w:pPr>
              <w:spacing w:line="360" w:lineRule="auto"/>
              <w:jc w:val="both"/>
              <w:rPr>
                <w:color w:val="FFFFFF" w:themeColor="background1"/>
              </w:rPr>
            </w:pPr>
            <w:r w:rsidRPr="00463A90">
              <w:rPr>
                <w:color w:val="FFFFFF" w:themeColor="background1"/>
              </w:rPr>
              <w:t>SWOT Dimension</w:t>
            </w:r>
          </w:p>
        </w:tc>
        <w:tc>
          <w:tcPr>
            <w:tcW w:w="4608" w:type="dxa"/>
            <w:shd w:val="clear" w:color="auto" w:fill="000000" w:themeFill="text1"/>
            <w:tcMar>
              <w:top w:w="120" w:type="dxa"/>
              <w:left w:w="150" w:type="dxa"/>
              <w:bottom w:w="120" w:type="dxa"/>
              <w:right w:w="150" w:type="dxa"/>
            </w:tcMar>
          </w:tcPr>
          <w:p w14:paraId="75173595" w14:textId="77777777" w:rsidR="007B2881" w:rsidRPr="00463A90" w:rsidRDefault="00000000" w:rsidP="00463A90">
            <w:pPr>
              <w:spacing w:line="360" w:lineRule="auto"/>
              <w:jc w:val="both"/>
              <w:rPr>
                <w:color w:val="FFFFFF" w:themeColor="background1"/>
              </w:rPr>
            </w:pPr>
            <w:r w:rsidRPr="00463A90">
              <w:rPr>
                <w:color w:val="FFFFFF" w:themeColor="background1"/>
              </w:rPr>
              <w:t>Internal &amp; External Factors Identified</w:t>
            </w:r>
          </w:p>
        </w:tc>
        <w:tc>
          <w:tcPr>
            <w:tcW w:w="2592" w:type="dxa"/>
            <w:shd w:val="clear" w:color="auto" w:fill="000000" w:themeFill="text1"/>
            <w:tcMar>
              <w:top w:w="120" w:type="dxa"/>
              <w:left w:w="150" w:type="dxa"/>
              <w:bottom w:w="120" w:type="dxa"/>
              <w:right w:w="150" w:type="dxa"/>
            </w:tcMar>
          </w:tcPr>
          <w:p w14:paraId="166F9BEE" w14:textId="77777777" w:rsidR="007B2881" w:rsidRPr="00463A90" w:rsidRDefault="00000000" w:rsidP="00463A90">
            <w:pPr>
              <w:spacing w:line="360" w:lineRule="auto"/>
              <w:jc w:val="both"/>
              <w:rPr>
                <w:color w:val="FFFFFF" w:themeColor="background1"/>
              </w:rPr>
            </w:pPr>
            <w:r w:rsidRPr="00463A90">
              <w:rPr>
                <w:color w:val="FFFFFF" w:themeColor="background1"/>
              </w:rPr>
              <w:t>Strategic Focus Areas</w:t>
            </w:r>
          </w:p>
        </w:tc>
      </w:tr>
      <w:tr w:rsidR="007B2881" w:rsidRPr="00BF2A91" w14:paraId="12E177D6" w14:textId="77777777" w:rsidTr="003269D2">
        <w:trPr>
          <w:jc w:val="center"/>
        </w:trPr>
        <w:tc>
          <w:tcPr>
            <w:tcW w:w="2160" w:type="dxa"/>
            <w:shd w:val="clear" w:color="auto" w:fill="FFFFFF" w:themeFill="background1"/>
            <w:tcMar>
              <w:top w:w="100" w:type="dxa"/>
              <w:left w:w="150" w:type="dxa"/>
              <w:bottom w:w="100" w:type="dxa"/>
              <w:right w:w="150" w:type="dxa"/>
            </w:tcMar>
          </w:tcPr>
          <w:p w14:paraId="5052D3DC" w14:textId="77777777" w:rsidR="007B2881" w:rsidRPr="00BF2A91" w:rsidRDefault="00000000" w:rsidP="00463A90">
            <w:pPr>
              <w:spacing w:line="360" w:lineRule="auto"/>
              <w:jc w:val="both"/>
            </w:pPr>
            <w:r w:rsidRPr="00BF2A91">
              <w:t>Strengths (Internal)</w:t>
            </w:r>
          </w:p>
        </w:tc>
        <w:tc>
          <w:tcPr>
            <w:tcW w:w="4608" w:type="dxa"/>
            <w:shd w:val="clear" w:color="auto" w:fill="FFFFFF" w:themeFill="background1"/>
            <w:tcMar>
              <w:top w:w="100" w:type="dxa"/>
              <w:left w:w="150" w:type="dxa"/>
              <w:bottom w:w="100" w:type="dxa"/>
              <w:right w:w="150" w:type="dxa"/>
            </w:tcMar>
          </w:tcPr>
          <w:p w14:paraId="149689FF" w14:textId="77777777" w:rsidR="007B2881" w:rsidRPr="00BF2A91" w:rsidRDefault="00000000" w:rsidP="00463A90">
            <w:pPr>
              <w:spacing w:line="360" w:lineRule="auto"/>
              <w:jc w:val="both"/>
            </w:pPr>
            <w:r w:rsidRPr="00BF2A91">
              <w:t>• Proprietary foam IP &amp; Continental sole alliances</w:t>
            </w:r>
            <w:r w:rsidRPr="00BF2A91">
              <w:br/>
              <w:t>• Established UK distribution scale</w:t>
            </w:r>
            <w:r w:rsidRPr="00BF2A91">
              <w:br/>
              <w:t>• High brand awareness across demographics</w:t>
            </w:r>
          </w:p>
        </w:tc>
        <w:tc>
          <w:tcPr>
            <w:tcW w:w="2592" w:type="dxa"/>
            <w:shd w:val="clear" w:color="auto" w:fill="FFFFFF" w:themeFill="background1"/>
            <w:tcMar>
              <w:top w:w="100" w:type="dxa"/>
              <w:left w:w="150" w:type="dxa"/>
              <w:bottom w:w="100" w:type="dxa"/>
              <w:right w:w="150" w:type="dxa"/>
            </w:tcMar>
          </w:tcPr>
          <w:p w14:paraId="6E38C4C4" w14:textId="77777777" w:rsidR="007B2881" w:rsidRPr="00BF2A91" w:rsidRDefault="00000000" w:rsidP="00463A90">
            <w:pPr>
              <w:spacing w:line="360" w:lineRule="auto"/>
              <w:jc w:val="both"/>
            </w:pPr>
            <w:r w:rsidRPr="00BF2A91">
              <w:t>Mobilize technical superiority across UK running hubs.</w:t>
            </w:r>
          </w:p>
        </w:tc>
      </w:tr>
      <w:tr w:rsidR="007B2881" w:rsidRPr="00BF2A91" w14:paraId="29E8F6C2" w14:textId="77777777" w:rsidTr="003269D2">
        <w:trPr>
          <w:jc w:val="center"/>
        </w:trPr>
        <w:tc>
          <w:tcPr>
            <w:tcW w:w="2160" w:type="dxa"/>
            <w:shd w:val="clear" w:color="auto" w:fill="FFFFFF" w:themeFill="background1"/>
            <w:tcMar>
              <w:top w:w="100" w:type="dxa"/>
              <w:left w:w="150" w:type="dxa"/>
              <w:bottom w:w="100" w:type="dxa"/>
              <w:right w:w="150" w:type="dxa"/>
            </w:tcMar>
          </w:tcPr>
          <w:p w14:paraId="6EBEFE1E" w14:textId="77777777" w:rsidR="007B2881" w:rsidRPr="00BF2A91" w:rsidRDefault="00000000" w:rsidP="00463A90">
            <w:pPr>
              <w:spacing w:line="360" w:lineRule="auto"/>
              <w:jc w:val="both"/>
            </w:pPr>
            <w:r w:rsidRPr="00BF2A91">
              <w:t>Weaknesses (Internal)</w:t>
            </w:r>
          </w:p>
        </w:tc>
        <w:tc>
          <w:tcPr>
            <w:tcW w:w="4608" w:type="dxa"/>
            <w:shd w:val="clear" w:color="auto" w:fill="FFFFFF" w:themeFill="background1"/>
            <w:tcMar>
              <w:top w:w="100" w:type="dxa"/>
              <w:left w:w="150" w:type="dxa"/>
              <w:bottom w:w="100" w:type="dxa"/>
              <w:right w:w="150" w:type="dxa"/>
            </w:tcMar>
          </w:tcPr>
          <w:p w14:paraId="3027B9A3" w14:textId="77777777" w:rsidR="007B2881" w:rsidRPr="00BF2A91" w:rsidRDefault="00000000" w:rsidP="00463A90">
            <w:pPr>
              <w:spacing w:line="360" w:lineRule="auto"/>
              <w:jc w:val="both"/>
            </w:pPr>
            <w:r w:rsidRPr="00BF2A91">
              <w:t>• Wholesale channel friction &amp; discounting</w:t>
            </w:r>
            <w:r w:rsidRPr="00BF2A91">
              <w:br/>
              <w:t>• Sluggish product development cycles vs. niche rivals</w:t>
            </w:r>
            <w:r w:rsidRPr="00BF2A91">
              <w:br/>
              <w:t>• Margin erosion in mid-tier retail nodes</w:t>
            </w:r>
          </w:p>
        </w:tc>
        <w:tc>
          <w:tcPr>
            <w:tcW w:w="2592" w:type="dxa"/>
            <w:shd w:val="clear" w:color="auto" w:fill="FFFFFF" w:themeFill="background1"/>
            <w:tcMar>
              <w:top w:w="100" w:type="dxa"/>
              <w:left w:w="150" w:type="dxa"/>
              <w:bottom w:w="100" w:type="dxa"/>
              <w:right w:w="150" w:type="dxa"/>
            </w:tcMar>
          </w:tcPr>
          <w:p w14:paraId="7F097C0D" w14:textId="77777777" w:rsidR="007B2881" w:rsidRPr="00BF2A91" w:rsidRDefault="00000000" w:rsidP="00463A90">
            <w:pPr>
              <w:spacing w:line="360" w:lineRule="auto"/>
              <w:jc w:val="both"/>
            </w:pPr>
            <w:r w:rsidRPr="00BF2A91">
              <w:t>Streamline product design velocity &amp; DTC shift.</w:t>
            </w:r>
          </w:p>
        </w:tc>
      </w:tr>
      <w:tr w:rsidR="007B2881" w:rsidRPr="00BF2A91" w14:paraId="565AB65F" w14:textId="77777777" w:rsidTr="003269D2">
        <w:trPr>
          <w:jc w:val="center"/>
        </w:trPr>
        <w:tc>
          <w:tcPr>
            <w:tcW w:w="2160" w:type="dxa"/>
            <w:shd w:val="clear" w:color="auto" w:fill="FFFFFF" w:themeFill="background1"/>
            <w:tcMar>
              <w:top w:w="100" w:type="dxa"/>
              <w:left w:w="150" w:type="dxa"/>
              <w:bottom w:w="100" w:type="dxa"/>
              <w:right w:w="150" w:type="dxa"/>
            </w:tcMar>
          </w:tcPr>
          <w:p w14:paraId="694F4A04" w14:textId="77777777" w:rsidR="007B2881" w:rsidRPr="00BF2A91" w:rsidRDefault="00000000" w:rsidP="00463A90">
            <w:pPr>
              <w:spacing w:line="360" w:lineRule="auto"/>
              <w:jc w:val="both"/>
            </w:pPr>
            <w:r w:rsidRPr="00BF2A91">
              <w:t>Opportunities (External)</w:t>
            </w:r>
          </w:p>
        </w:tc>
        <w:tc>
          <w:tcPr>
            <w:tcW w:w="4608" w:type="dxa"/>
            <w:shd w:val="clear" w:color="auto" w:fill="FFFFFF" w:themeFill="background1"/>
            <w:tcMar>
              <w:top w:w="100" w:type="dxa"/>
              <w:left w:w="150" w:type="dxa"/>
              <w:bottom w:w="100" w:type="dxa"/>
              <w:right w:w="150" w:type="dxa"/>
            </w:tcMar>
          </w:tcPr>
          <w:p w14:paraId="21D7579E" w14:textId="77777777" w:rsidR="007B2881" w:rsidRPr="00BF2A91" w:rsidRDefault="00000000" w:rsidP="00463A90">
            <w:pPr>
              <w:spacing w:line="360" w:lineRule="auto"/>
              <w:jc w:val="both"/>
            </w:pPr>
            <w:r w:rsidRPr="00BF2A91">
              <w:t>• Rapid expansion of social UK run clubs</w:t>
            </w:r>
            <w:r w:rsidRPr="00BF2A91">
              <w:br/>
              <w:t>• UK demand for winterized running gear</w:t>
            </w:r>
            <w:r w:rsidRPr="00BF2A91">
              <w:br/>
              <w:t>• Hyper-personalized DTC app loyalty programs</w:t>
            </w:r>
          </w:p>
        </w:tc>
        <w:tc>
          <w:tcPr>
            <w:tcW w:w="2592" w:type="dxa"/>
            <w:shd w:val="clear" w:color="auto" w:fill="FFFFFF" w:themeFill="background1"/>
            <w:tcMar>
              <w:top w:w="100" w:type="dxa"/>
              <w:left w:w="150" w:type="dxa"/>
              <w:bottom w:w="100" w:type="dxa"/>
              <w:right w:w="150" w:type="dxa"/>
            </w:tcMar>
          </w:tcPr>
          <w:p w14:paraId="5D490BE8" w14:textId="77777777" w:rsidR="007B2881" w:rsidRPr="00BF2A91" w:rsidRDefault="00000000" w:rsidP="00463A90">
            <w:pPr>
              <w:spacing w:line="360" w:lineRule="auto"/>
              <w:jc w:val="both"/>
            </w:pPr>
            <w:r w:rsidRPr="00BF2A91">
              <w:t>Capitalize on grassroots active community trends.</w:t>
            </w:r>
          </w:p>
        </w:tc>
      </w:tr>
      <w:tr w:rsidR="007B2881" w:rsidRPr="00BF2A91" w14:paraId="6AA75119" w14:textId="77777777" w:rsidTr="003269D2">
        <w:trPr>
          <w:jc w:val="center"/>
        </w:trPr>
        <w:tc>
          <w:tcPr>
            <w:tcW w:w="2160" w:type="dxa"/>
            <w:shd w:val="clear" w:color="auto" w:fill="FFFFFF" w:themeFill="background1"/>
            <w:tcMar>
              <w:top w:w="100" w:type="dxa"/>
              <w:left w:w="150" w:type="dxa"/>
              <w:bottom w:w="100" w:type="dxa"/>
              <w:right w:w="150" w:type="dxa"/>
            </w:tcMar>
          </w:tcPr>
          <w:p w14:paraId="71133459" w14:textId="77777777" w:rsidR="007B2881" w:rsidRPr="00BF2A91" w:rsidRDefault="00000000" w:rsidP="00463A90">
            <w:pPr>
              <w:spacing w:line="360" w:lineRule="auto"/>
              <w:jc w:val="both"/>
            </w:pPr>
            <w:r w:rsidRPr="00BF2A91">
              <w:t>Threats (External)</w:t>
            </w:r>
          </w:p>
        </w:tc>
        <w:tc>
          <w:tcPr>
            <w:tcW w:w="4608" w:type="dxa"/>
            <w:shd w:val="clear" w:color="auto" w:fill="FFFFFF" w:themeFill="background1"/>
            <w:tcMar>
              <w:top w:w="100" w:type="dxa"/>
              <w:left w:w="150" w:type="dxa"/>
              <w:bottom w:w="100" w:type="dxa"/>
              <w:right w:w="150" w:type="dxa"/>
            </w:tcMar>
          </w:tcPr>
          <w:p w14:paraId="08CC325F" w14:textId="77777777" w:rsidR="007B2881" w:rsidRPr="00BF2A91" w:rsidRDefault="00000000" w:rsidP="00463A90">
            <w:pPr>
              <w:spacing w:line="360" w:lineRule="auto"/>
              <w:jc w:val="both"/>
            </w:pPr>
            <w:r w:rsidRPr="00BF2A91">
              <w:t>• Rapid market capture by On Running &amp; HOKA</w:t>
            </w:r>
            <w:r w:rsidRPr="00BF2A91">
              <w:br/>
              <w:t>• UK consumer spending compression</w:t>
            </w:r>
            <w:r w:rsidRPr="00BF2A91">
              <w:br/>
              <w:t>• Post-Brexit logistics delays &amp; compliance costs</w:t>
            </w:r>
          </w:p>
        </w:tc>
        <w:tc>
          <w:tcPr>
            <w:tcW w:w="2592" w:type="dxa"/>
            <w:shd w:val="clear" w:color="auto" w:fill="FFFFFF" w:themeFill="background1"/>
            <w:tcMar>
              <w:top w:w="100" w:type="dxa"/>
              <w:left w:w="150" w:type="dxa"/>
              <w:bottom w:w="100" w:type="dxa"/>
              <w:right w:w="150" w:type="dxa"/>
            </w:tcMar>
          </w:tcPr>
          <w:p w14:paraId="1CB519B1" w14:textId="77777777" w:rsidR="007B2881" w:rsidRPr="00BF2A91" w:rsidRDefault="00000000" w:rsidP="00463A90">
            <w:pPr>
              <w:spacing w:line="360" w:lineRule="auto"/>
              <w:jc w:val="both"/>
            </w:pPr>
            <w:r w:rsidRPr="00BF2A91">
              <w:t>Protect premium margin positioning via differentiation.</w:t>
            </w:r>
          </w:p>
        </w:tc>
      </w:tr>
    </w:tbl>
    <w:p w14:paraId="605DAC5E" w14:textId="77777777" w:rsidR="00A30E0C" w:rsidRDefault="00A30E0C" w:rsidP="00463A90">
      <w:pPr>
        <w:spacing w:line="360" w:lineRule="auto"/>
        <w:jc w:val="both"/>
      </w:pPr>
    </w:p>
    <w:p w14:paraId="1C5A24BC" w14:textId="550002B4" w:rsidR="007B2881" w:rsidRPr="00A30E0C" w:rsidRDefault="00000000" w:rsidP="00463A90">
      <w:pPr>
        <w:spacing w:line="360" w:lineRule="auto"/>
        <w:jc w:val="both"/>
        <w:outlineLvl w:val="2"/>
        <w:rPr>
          <w:b/>
          <w:bCs/>
        </w:rPr>
      </w:pPr>
      <w:bookmarkStart w:id="11" w:name="_Toc237404186"/>
      <w:r w:rsidRPr="00A30E0C">
        <w:rPr>
          <w:b/>
          <w:bCs/>
        </w:rPr>
        <w:lastRenderedPageBreak/>
        <w:t>Analytical Outcome &amp; Critical Evaluation of SWOT/TOWS</w:t>
      </w:r>
      <w:bookmarkEnd w:id="11"/>
    </w:p>
    <w:p w14:paraId="493FF3C6" w14:textId="77777777" w:rsidR="007B2881" w:rsidRPr="00BF2A91" w:rsidRDefault="00000000" w:rsidP="00463A90">
      <w:pPr>
        <w:spacing w:line="360" w:lineRule="auto"/>
        <w:jc w:val="both"/>
      </w:pPr>
      <w:r w:rsidRPr="00BF2A91">
        <w:t>The primary outcome of the SWOT/TOWS synthesis is a clear strategic imperative: Adidas Performance must execute an Strength-Opportunity (SO) strategy while aggressively mitigating Weakness-Threat (WT) vulnerabilities. Specifically, it must leverage its Continental sole IP and technical heritage to capture the growing UK run-club market (SO), while restructuring its wholesale distribution to prevent brand dilution in the face of aggressive challenger entrant growth (WT). Critical appraisal of SWOT analysis reveals its vulnerability to subjective managerial bias and list-building over-simplification. Without rigorous quantitative weighting, all listed factors appear deceptively equal in importance. To overcome this limitation, the SWOT synthesis was explicitly cross-validated against empirical industry registration data and PESTEL/VRIO findings, ensuring that strategic choices are grounded in objective environmental reality.</w:t>
      </w:r>
    </w:p>
    <w:p w14:paraId="3577C49A" w14:textId="77777777" w:rsidR="007B2881" w:rsidRPr="00BF2A91" w:rsidRDefault="00000000" w:rsidP="00463A90">
      <w:pPr>
        <w:spacing w:line="360" w:lineRule="auto"/>
        <w:jc w:val="both"/>
      </w:pPr>
      <w:r w:rsidRPr="00BF2A91">
        <w:t>In addition, TOWS cross-analysis indicates that internal weaknesses currently amplify external threats. Specifically, sluggish product iteration cycles (Weakness) directly increase vulnerability to fast-moving challenger brands like On Running and HOKA (Threat). If Adidas Performance fails to accelerate its design-to-shelf lead time, rival brands will continue to capture early-adopter UK runners. Consequently, internal process re-engineering must be prioritized alongside external marketing initiatives.</w:t>
      </w:r>
    </w:p>
    <w:p w14:paraId="4EBE2156" w14:textId="77777777" w:rsidR="007B2881" w:rsidRPr="00BF2A91" w:rsidRDefault="00000000" w:rsidP="00463A90">
      <w:pPr>
        <w:spacing w:line="360" w:lineRule="auto"/>
        <w:jc w:val="both"/>
      </w:pPr>
      <w:r w:rsidRPr="00BF2A91">
        <w:t>Furthermore, executing an effective TOWS transformation requires addressable risk management. By matching internal Strengths directly to external Threats (ST Strategy), Adidas Performance can utilize its massive UK distribution scale and marketing budget to neutralize niche competitors. For instance, while On Running and HOKA excel in specialized run-shop channels, they lack the broad nationwide retail footprint of Adidas UK. By introducing exclusive technical running hubs within existing high-traffic UK retail flagships, Adidas Performance can reassert market dominance.</w:t>
      </w:r>
    </w:p>
    <w:p w14:paraId="5C70299A" w14:textId="77777777" w:rsidR="004D3A22" w:rsidRPr="00BF2A91" w:rsidRDefault="004D3A22" w:rsidP="00463A90">
      <w:pPr>
        <w:spacing w:line="360" w:lineRule="auto"/>
        <w:jc w:val="both"/>
      </w:pPr>
    </w:p>
    <w:p w14:paraId="1B1DE11D" w14:textId="77777777" w:rsidR="00463A90" w:rsidRDefault="00463A90" w:rsidP="00463A90">
      <w:pPr>
        <w:spacing w:line="360" w:lineRule="auto"/>
        <w:jc w:val="both"/>
      </w:pPr>
    </w:p>
    <w:p w14:paraId="653AE6BD" w14:textId="77777777" w:rsidR="00463A90" w:rsidRDefault="00463A90" w:rsidP="00463A90">
      <w:pPr>
        <w:spacing w:line="360" w:lineRule="auto"/>
        <w:jc w:val="both"/>
      </w:pPr>
    </w:p>
    <w:p w14:paraId="6F11AE77" w14:textId="6FEFFFF2" w:rsidR="007B2881" w:rsidRPr="00A30E0C" w:rsidRDefault="00000000" w:rsidP="00463A90">
      <w:pPr>
        <w:spacing w:line="360" w:lineRule="auto"/>
        <w:jc w:val="both"/>
        <w:outlineLvl w:val="0"/>
        <w:rPr>
          <w:b/>
          <w:bCs/>
        </w:rPr>
      </w:pPr>
      <w:bookmarkStart w:id="12" w:name="_Toc237404187"/>
      <w:r w:rsidRPr="00A30E0C">
        <w:rPr>
          <w:b/>
          <w:bCs/>
        </w:rPr>
        <w:lastRenderedPageBreak/>
        <w:t>3. Corporate Social Responsibility &amp; The Balanced Scorecard</w:t>
      </w:r>
      <w:bookmarkEnd w:id="12"/>
    </w:p>
    <w:p w14:paraId="145EFD59" w14:textId="77777777" w:rsidR="007B2881" w:rsidRPr="00A30E0C" w:rsidRDefault="00000000" w:rsidP="00463A90">
      <w:pPr>
        <w:spacing w:line="360" w:lineRule="auto"/>
        <w:jc w:val="both"/>
        <w:outlineLvl w:val="1"/>
        <w:rPr>
          <w:b/>
          <w:bCs/>
        </w:rPr>
      </w:pPr>
      <w:bookmarkStart w:id="13" w:name="_Toc237404188"/>
      <w:r w:rsidRPr="00A30E0C">
        <w:rPr>
          <w:b/>
          <w:bCs/>
        </w:rPr>
        <w:t>Critical Evaluation of Corporate Social Responsibility (CSR)</w:t>
      </w:r>
      <w:bookmarkEnd w:id="13"/>
    </w:p>
    <w:p w14:paraId="1B2A0B63" w14:textId="0661FA0F" w:rsidR="007B2881" w:rsidRPr="00BF2A91" w:rsidRDefault="00000000" w:rsidP="00463A90">
      <w:pPr>
        <w:spacing w:line="360" w:lineRule="auto"/>
        <w:jc w:val="both"/>
      </w:pPr>
      <w:r w:rsidRPr="00BF2A91">
        <w:t xml:space="preserve">Corporate Social Responsibility (CSR) within the Adidas Performance SBU is framed around the overarching corporate initiative to </w:t>
      </w:r>
      <w:r w:rsidR="00F45856">
        <w:t>‘</w:t>
      </w:r>
      <w:r w:rsidRPr="00BF2A91">
        <w:t>End Plastic Waste.</w:t>
      </w:r>
      <w:r w:rsidR="00F45856">
        <w:t>’</w:t>
      </w:r>
      <w:r w:rsidRPr="00BF2A91">
        <w:t xml:space="preserve"> In the context of the UK market, this strategy relies heavily upon recycled material integration</w:t>
      </w:r>
      <w:r w:rsidR="001C6F9F">
        <w:t xml:space="preserve"> </w:t>
      </w:r>
      <w:r w:rsidRPr="00BF2A91">
        <w:t>specifically Primeblue, constructed in partnership with Parley for the Oceans</w:t>
      </w:r>
      <w:r w:rsidR="001C6F9F">
        <w:t xml:space="preserve"> </w:t>
      </w:r>
      <w:r w:rsidRPr="00BF2A91">
        <w:t xml:space="preserve">and circular footwear lifecycles such as the </w:t>
      </w:r>
      <w:r w:rsidR="00F45856">
        <w:t>‘</w:t>
      </w:r>
      <w:r w:rsidRPr="00BF2A91">
        <w:t>Made to Be Remade</w:t>
      </w:r>
      <w:r w:rsidR="00F45856">
        <w:t>’</w:t>
      </w:r>
      <w:r w:rsidRPr="00BF2A91">
        <w:t xml:space="preserve"> platform (Adidas AG, 2024).</w:t>
      </w:r>
    </w:p>
    <w:p w14:paraId="37039674" w14:textId="77777777" w:rsidR="007B2881" w:rsidRPr="00BF2A91" w:rsidRDefault="00000000" w:rsidP="00463A90">
      <w:pPr>
        <w:spacing w:line="360" w:lineRule="auto"/>
        <w:jc w:val="both"/>
      </w:pPr>
      <w:r w:rsidRPr="00BF2A91">
        <w:t>Critical discussion reveals both strategic alignment and operational friction between these environmental mandates and core commercial goals. On one hand, incorporating sustainable credentials reinforces brand equity among environmentally conscious British consumers and mitigates regulatory risk under strict UK CMA guidelines (Porter and Kramer, 2011). On the other hand, fully circular supply chains incur significant upfront R&amp;D expenditure and elevated unit manufacturing costs. In an economic climate marked by price-sensitive UK consumers, passing these cost premiums onto the end buyer risks suppressing purchase volumes. To resolve these tensions, CSR initiatives must be evaluated not as cost centers, but as core strategic drivers integrated into operational performance frameworks.</w:t>
      </w:r>
    </w:p>
    <w:p w14:paraId="1FAFB08A" w14:textId="0503F58B" w:rsidR="007B2881" w:rsidRPr="00BF2A91" w:rsidRDefault="00000000" w:rsidP="00463A90">
      <w:pPr>
        <w:spacing w:line="360" w:lineRule="auto"/>
        <w:jc w:val="both"/>
      </w:pPr>
      <w:r w:rsidRPr="00BF2A91">
        <w:t xml:space="preserve">Furthermore, a critical critique of current CSR execution highlights the risk of consumer cynicism. If circular footwear initiatives like </w:t>
      </w:r>
      <w:r w:rsidR="00F45856">
        <w:t>‘</w:t>
      </w:r>
      <w:r w:rsidRPr="00BF2A91">
        <w:t>Made to Be Remade</w:t>
      </w:r>
      <w:r w:rsidR="00F45856">
        <w:t>’</w:t>
      </w:r>
      <w:r w:rsidRPr="00BF2A91">
        <w:t xml:space="preserve"> suffer from inconvenient return logistics in the UK, actual recycling rates remain negligible despite high marketing visibility. To achieve genuine Shared Value (Porter and Kramer, 2011), Adidas UK must streamline return infrastructure</w:t>
      </w:r>
      <w:r w:rsidR="001C6F9F">
        <w:t xml:space="preserve"> </w:t>
      </w:r>
      <w:r w:rsidRPr="00BF2A91">
        <w:t>utilizing local flagship stores and retail partners as convenient deposit nodes for end-of-life footwear.</w:t>
      </w:r>
    </w:p>
    <w:p w14:paraId="32147427" w14:textId="77777777" w:rsidR="007B2881" w:rsidRPr="00BF2A91" w:rsidRDefault="00000000" w:rsidP="00463A90">
      <w:pPr>
        <w:spacing w:line="360" w:lineRule="auto"/>
        <w:jc w:val="both"/>
      </w:pPr>
      <w:r w:rsidRPr="00BF2A91">
        <w:t xml:space="preserve">Evaluating CSR through the lens of stakeholder theory emphasizes that corporate legitimacy in the UK market depends on balancing multi-stakeholder expectations. While shareholders demand gross margin expansion, UK regulatory bodies (CMA) and environmental NGOs demand full supply chain transparency. Failure to verify recycled textile origin risks severe reputational damage and legal penalties. Therefore, CSR </w:t>
      </w:r>
      <w:r w:rsidRPr="00BF2A91">
        <w:lastRenderedPageBreak/>
        <w:t>investments must be embedded directly into primary value chain operations rather than treated as peripheral public relations campaigns.</w:t>
      </w:r>
    </w:p>
    <w:p w14:paraId="55B8C3B9" w14:textId="77777777" w:rsidR="007B2881" w:rsidRPr="00A30E0C" w:rsidRDefault="00000000" w:rsidP="00463A90">
      <w:pPr>
        <w:spacing w:line="360" w:lineRule="auto"/>
        <w:jc w:val="both"/>
        <w:outlineLvl w:val="1"/>
        <w:rPr>
          <w:b/>
          <w:bCs/>
        </w:rPr>
      </w:pPr>
      <w:bookmarkStart w:id="14" w:name="_Toc237404189"/>
      <w:r w:rsidRPr="00A30E0C">
        <w:rPr>
          <w:b/>
          <w:bCs/>
        </w:rPr>
        <w:t>Operationalizing Performance via the Balanced Scorecard</w:t>
      </w:r>
      <w:bookmarkEnd w:id="14"/>
    </w:p>
    <w:p w14:paraId="2C397BF5" w14:textId="7FCB2FA0" w:rsidR="007B2881" w:rsidRDefault="00000000" w:rsidP="00463A90">
      <w:pPr>
        <w:spacing w:line="360" w:lineRule="auto"/>
        <w:jc w:val="both"/>
      </w:pPr>
      <w:r w:rsidRPr="00BF2A91">
        <w:t>The Balanced Scorecard (Kaplan and Norton, 1992) provides a multi-dimensional framework to translate strategic mission into actionable operational metrics across four perspectives: Financial, Customer, Internal Business Processes, and Learning and Growth. Relying exclusively on financial metrics creates a lagging, retrospective view of performance, masking underlying operational deterioration. For the Adidas Performance SBU in the UK, non-financial leading indicators—such as mobile app active engagement and design cycle velocity</w:t>
      </w:r>
      <w:r w:rsidR="00BA5D18">
        <w:t xml:space="preserve"> </w:t>
      </w:r>
      <w:r w:rsidRPr="00BF2A91">
        <w:t>are critical to predicting long-term financial health.</w:t>
      </w:r>
    </w:p>
    <w:p w14:paraId="09307E6F" w14:textId="55676176" w:rsidR="007E71FE" w:rsidRDefault="007E71FE" w:rsidP="00463A90">
      <w:pPr>
        <w:spacing w:line="360" w:lineRule="auto"/>
        <w:jc w:val="both"/>
      </w:pPr>
      <w:r w:rsidRPr="007E71FE">
        <w:t>Because Adidas does not publish comprehensive performance metrics for its UK Strategic Business Units (SBUs), the numerical targets presented herein represent suggested consultancy benchmarks rather than verified institutional commitments. Consequently, these figures require final calibration against internal baseline data prior to operational implementation.</w:t>
      </w:r>
    </w:p>
    <w:p w14:paraId="5695AD1E" w14:textId="77777777" w:rsidR="007E71FE" w:rsidRDefault="007E71FE" w:rsidP="00463A90">
      <w:pPr>
        <w:spacing w:line="360" w:lineRule="auto"/>
        <w:jc w:val="both"/>
      </w:pPr>
    </w:p>
    <w:p w14:paraId="277AC9AB" w14:textId="77777777" w:rsidR="006A565F" w:rsidRDefault="006A565F" w:rsidP="00463A90">
      <w:pPr>
        <w:spacing w:line="360" w:lineRule="auto"/>
        <w:jc w:val="both"/>
      </w:pPr>
    </w:p>
    <w:p w14:paraId="49FA2008" w14:textId="77777777" w:rsidR="006A565F" w:rsidRDefault="006A565F" w:rsidP="00463A90">
      <w:pPr>
        <w:spacing w:line="360" w:lineRule="auto"/>
        <w:jc w:val="both"/>
      </w:pPr>
    </w:p>
    <w:p w14:paraId="24BE452C" w14:textId="77777777" w:rsidR="006A565F" w:rsidRDefault="006A565F" w:rsidP="00463A90">
      <w:pPr>
        <w:spacing w:line="360" w:lineRule="auto"/>
        <w:jc w:val="both"/>
      </w:pPr>
    </w:p>
    <w:p w14:paraId="1E18EFB4" w14:textId="77777777" w:rsidR="006A565F" w:rsidRDefault="006A565F" w:rsidP="00463A90">
      <w:pPr>
        <w:spacing w:line="360" w:lineRule="auto"/>
        <w:jc w:val="both"/>
      </w:pPr>
    </w:p>
    <w:p w14:paraId="3757171F" w14:textId="77777777" w:rsidR="006A565F" w:rsidRDefault="006A565F" w:rsidP="00463A90">
      <w:pPr>
        <w:spacing w:line="360" w:lineRule="auto"/>
        <w:jc w:val="both"/>
      </w:pPr>
    </w:p>
    <w:p w14:paraId="72907E61" w14:textId="77777777" w:rsidR="006A565F" w:rsidRDefault="006A565F" w:rsidP="00463A90">
      <w:pPr>
        <w:spacing w:line="360" w:lineRule="auto"/>
        <w:jc w:val="both"/>
      </w:pPr>
    </w:p>
    <w:p w14:paraId="2D57CEF0" w14:textId="77777777" w:rsidR="006A565F" w:rsidRDefault="006A565F" w:rsidP="00463A90">
      <w:pPr>
        <w:spacing w:line="360" w:lineRule="auto"/>
        <w:jc w:val="both"/>
      </w:pPr>
    </w:p>
    <w:p w14:paraId="59EAA84F" w14:textId="77777777" w:rsidR="006A565F" w:rsidRDefault="006A565F" w:rsidP="00463A90">
      <w:pPr>
        <w:spacing w:line="360" w:lineRule="auto"/>
        <w:jc w:val="both"/>
      </w:pPr>
    </w:p>
    <w:p w14:paraId="16F354BB" w14:textId="77777777" w:rsidR="00505B95" w:rsidRDefault="00505B95" w:rsidP="00463A90">
      <w:pPr>
        <w:spacing w:line="360" w:lineRule="auto"/>
        <w:jc w:val="both"/>
      </w:pPr>
    </w:p>
    <w:p w14:paraId="615B265E" w14:textId="4582036B" w:rsidR="00304A3E" w:rsidRPr="00F45856" w:rsidRDefault="00F45856" w:rsidP="00F45856">
      <w:pPr>
        <w:spacing w:line="360" w:lineRule="auto"/>
        <w:jc w:val="center"/>
        <w:rPr>
          <w:sz w:val="22"/>
          <w:szCs w:val="20"/>
        </w:rPr>
      </w:pPr>
      <w:r>
        <w:rPr>
          <w:sz w:val="22"/>
          <w:szCs w:val="20"/>
        </w:rPr>
        <w:lastRenderedPageBreak/>
        <w:t>Table 4: Balanced Scorecard for Adidas Performance (UK)</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79"/>
        <w:gridCol w:w="1988"/>
        <w:gridCol w:w="2085"/>
        <w:gridCol w:w="1621"/>
        <w:gridCol w:w="2077"/>
      </w:tblGrid>
      <w:tr w:rsidR="00463A90" w:rsidRPr="00463A90" w14:paraId="34338869" w14:textId="77777777" w:rsidTr="00A30E0C">
        <w:trPr>
          <w:jc w:val="center"/>
        </w:trPr>
        <w:tc>
          <w:tcPr>
            <w:tcW w:w="1584" w:type="dxa"/>
            <w:shd w:val="clear" w:color="auto" w:fill="000000" w:themeFill="text1"/>
            <w:tcMar>
              <w:top w:w="120" w:type="dxa"/>
              <w:left w:w="150" w:type="dxa"/>
              <w:bottom w:w="120" w:type="dxa"/>
              <w:right w:w="150" w:type="dxa"/>
            </w:tcMar>
          </w:tcPr>
          <w:p w14:paraId="34552120" w14:textId="77777777" w:rsidR="007B2881" w:rsidRPr="00463A90" w:rsidRDefault="00000000" w:rsidP="00463A90">
            <w:pPr>
              <w:spacing w:line="360" w:lineRule="auto"/>
              <w:jc w:val="both"/>
              <w:rPr>
                <w:color w:val="FFFFFF" w:themeColor="background1"/>
              </w:rPr>
            </w:pPr>
            <w:r w:rsidRPr="00463A90">
              <w:rPr>
                <w:color w:val="FFFFFF" w:themeColor="background1"/>
              </w:rPr>
              <w:t>Perspective</w:t>
            </w:r>
          </w:p>
        </w:tc>
        <w:tc>
          <w:tcPr>
            <w:tcW w:w="2016" w:type="dxa"/>
            <w:shd w:val="clear" w:color="auto" w:fill="000000" w:themeFill="text1"/>
            <w:tcMar>
              <w:top w:w="120" w:type="dxa"/>
              <w:left w:w="150" w:type="dxa"/>
              <w:bottom w:w="120" w:type="dxa"/>
              <w:right w:w="150" w:type="dxa"/>
            </w:tcMar>
          </w:tcPr>
          <w:p w14:paraId="40E4882A" w14:textId="77777777" w:rsidR="007B2881" w:rsidRPr="00463A90" w:rsidRDefault="00000000" w:rsidP="00463A90">
            <w:pPr>
              <w:spacing w:line="360" w:lineRule="auto"/>
              <w:jc w:val="both"/>
              <w:rPr>
                <w:color w:val="FFFFFF" w:themeColor="background1"/>
              </w:rPr>
            </w:pPr>
            <w:r w:rsidRPr="00463A90">
              <w:rPr>
                <w:color w:val="FFFFFF" w:themeColor="background1"/>
              </w:rPr>
              <w:t>Strategic Objective</w:t>
            </w:r>
          </w:p>
        </w:tc>
        <w:tc>
          <w:tcPr>
            <w:tcW w:w="2160" w:type="dxa"/>
            <w:shd w:val="clear" w:color="auto" w:fill="000000" w:themeFill="text1"/>
            <w:tcMar>
              <w:top w:w="120" w:type="dxa"/>
              <w:left w:w="150" w:type="dxa"/>
              <w:bottom w:w="120" w:type="dxa"/>
              <w:right w:w="150" w:type="dxa"/>
            </w:tcMar>
          </w:tcPr>
          <w:p w14:paraId="1A488E4C" w14:textId="77777777" w:rsidR="007B2881" w:rsidRPr="00463A90" w:rsidRDefault="00000000" w:rsidP="00463A90">
            <w:pPr>
              <w:spacing w:line="360" w:lineRule="auto"/>
              <w:jc w:val="both"/>
              <w:rPr>
                <w:color w:val="FFFFFF" w:themeColor="background1"/>
              </w:rPr>
            </w:pPr>
            <w:r w:rsidRPr="00463A90">
              <w:rPr>
                <w:color w:val="FFFFFF" w:themeColor="background1"/>
              </w:rPr>
              <w:t>Key Performance Indicator (KPI)</w:t>
            </w:r>
          </w:p>
        </w:tc>
        <w:tc>
          <w:tcPr>
            <w:tcW w:w="1440" w:type="dxa"/>
            <w:shd w:val="clear" w:color="auto" w:fill="000000" w:themeFill="text1"/>
            <w:tcMar>
              <w:top w:w="120" w:type="dxa"/>
              <w:left w:w="150" w:type="dxa"/>
              <w:bottom w:w="120" w:type="dxa"/>
              <w:right w:w="150" w:type="dxa"/>
            </w:tcMar>
          </w:tcPr>
          <w:p w14:paraId="6C87C7AF" w14:textId="1212537A" w:rsidR="007B2881" w:rsidRPr="00463A90" w:rsidRDefault="007E71FE" w:rsidP="00463A90">
            <w:pPr>
              <w:spacing w:line="360" w:lineRule="auto"/>
              <w:jc w:val="both"/>
              <w:rPr>
                <w:color w:val="FFFFFF" w:themeColor="background1"/>
              </w:rPr>
            </w:pPr>
            <w:r>
              <w:rPr>
                <w:color w:val="FFFFFF" w:themeColor="background1"/>
              </w:rPr>
              <w:t>Proposed Consultancy Target</w:t>
            </w:r>
          </w:p>
        </w:tc>
        <w:tc>
          <w:tcPr>
            <w:tcW w:w="2160" w:type="dxa"/>
            <w:shd w:val="clear" w:color="auto" w:fill="000000" w:themeFill="text1"/>
            <w:tcMar>
              <w:top w:w="120" w:type="dxa"/>
              <w:left w:w="150" w:type="dxa"/>
              <w:bottom w:w="120" w:type="dxa"/>
              <w:right w:w="150" w:type="dxa"/>
            </w:tcMar>
          </w:tcPr>
          <w:p w14:paraId="300468C1" w14:textId="77777777" w:rsidR="007B2881" w:rsidRPr="00463A90" w:rsidRDefault="00000000" w:rsidP="00463A90">
            <w:pPr>
              <w:spacing w:line="360" w:lineRule="auto"/>
              <w:jc w:val="both"/>
              <w:rPr>
                <w:color w:val="FFFFFF" w:themeColor="background1"/>
              </w:rPr>
            </w:pPr>
            <w:r w:rsidRPr="00463A90">
              <w:rPr>
                <w:color w:val="FFFFFF" w:themeColor="background1"/>
              </w:rPr>
              <w:t>Strategic Initiative</w:t>
            </w:r>
          </w:p>
        </w:tc>
      </w:tr>
      <w:tr w:rsidR="007B2881" w:rsidRPr="00BF2A91" w14:paraId="43F699A5" w14:textId="77777777" w:rsidTr="00A30E0C">
        <w:trPr>
          <w:jc w:val="center"/>
        </w:trPr>
        <w:tc>
          <w:tcPr>
            <w:tcW w:w="1584" w:type="dxa"/>
            <w:shd w:val="clear" w:color="auto" w:fill="FFFFFF" w:themeFill="background1"/>
            <w:tcMar>
              <w:top w:w="100" w:type="dxa"/>
              <w:left w:w="150" w:type="dxa"/>
              <w:bottom w:w="100" w:type="dxa"/>
              <w:right w:w="150" w:type="dxa"/>
            </w:tcMar>
          </w:tcPr>
          <w:p w14:paraId="3804E4E2" w14:textId="77777777" w:rsidR="007B2881" w:rsidRPr="00BF2A91" w:rsidRDefault="00000000" w:rsidP="00463A90">
            <w:pPr>
              <w:spacing w:line="360" w:lineRule="auto"/>
              <w:jc w:val="both"/>
            </w:pPr>
            <w:r w:rsidRPr="00BF2A91">
              <w:t>Financial</w:t>
            </w:r>
          </w:p>
        </w:tc>
        <w:tc>
          <w:tcPr>
            <w:tcW w:w="2016" w:type="dxa"/>
            <w:shd w:val="clear" w:color="auto" w:fill="FFFFFF" w:themeFill="background1"/>
            <w:tcMar>
              <w:top w:w="100" w:type="dxa"/>
              <w:left w:w="150" w:type="dxa"/>
              <w:bottom w:w="100" w:type="dxa"/>
              <w:right w:w="150" w:type="dxa"/>
            </w:tcMar>
          </w:tcPr>
          <w:p w14:paraId="2ECD898B" w14:textId="77777777" w:rsidR="007B2881" w:rsidRPr="00BF2A91" w:rsidRDefault="00000000" w:rsidP="00463A90">
            <w:pPr>
              <w:spacing w:line="360" w:lineRule="auto"/>
              <w:jc w:val="both"/>
            </w:pPr>
            <w:r w:rsidRPr="00BF2A91">
              <w:t>Drive high-margin revenue expansion in UK</w:t>
            </w:r>
          </w:p>
        </w:tc>
        <w:tc>
          <w:tcPr>
            <w:tcW w:w="2160" w:type="dxa"/>
            <w:shd w:val="clear" w:color="auto" w:fill="FFFFFF" w:themeFill="background1"/>
            <w:tcMar>
              <w:top w:w="100" w:type="dxa"/>
              <w:left w:w="150" w:type="dxa"/>
              <w:bottom w:w="100" w:type="dxa"/>
              <w:right w:w="150" w:type="dxa"/>
            </w:tcMar>
          </w:tcPr>
          <w:p w14:paraId="1E22725D" w14:textId="77777777" w:rsidR="007B2881" w:rsidRPr="00BF2A91" w:rsidRDefault="00000000" w:rsidP="00463A90">
            <w:pPr>
              <w:spacing w:line="360" w:lineRule="auto"/>
              <w:jc w:val="both"/>
            </w:pPr>
            <w:r w:rsidRPr="00BF2A91">
              <w:t>• YoY UK Revenue Growth</w:t>
            </w:r>
            <w:r w:rsidRPr="00BF2A91">
              <w:br/>
              <w:t>• DTC Gross Margin %</w:t>
            </w:r>
          </w:p>
        </w:tc>
        <w:tc>
          <w:tcPr>
            <w:tcW w:w="1440" w:type="dxa"/>
            <w:shd w:val="clear" w:color="auto" w:fill="FFFFFF" w:themeFill="background1"/>
            <w:tcMar>
              <w:top w:w="100" w:type="dxa"/>
              <w:left w:w="150" w:type="dxa"/>
              <w:bottom w:w="100" w:type="dxa"/>
              <w:right w:w="150" w:type="dxa"/>
            </w:tcMar>
          </w:tcPr>
          <w:p w14:paraId="2A8A1D99" w14:textId="77777777" w:rsidR="007B2881" w:rsidRPr="00BF2A91" w:rsidRDefault="00000000" w:rsidP="00463A90">
            <w:pPr>
              <w:spacing w:line="360" w:lineRule="auto"/>
              <w:jc w:val="both"/>
            </w:pPr>
            <w:r w:rsidRPr="00BF2A91">
              <w:t>+8.5% YoY</w:t>
            </w:r>
            <w:r w:rsidRPr="00BF2A91">
              <w:br/>
              <w:t>&gt;56.0% Margin</w:t>
            </w:r>
          </w:p>
        </w:tc>
        <w:tc>
          <w:tcPr>
            <w:tcW w:w="2160" w:type="dxa"/>
            <w:shd w:val="clear" w:color="auto" w:fill="FFFFFF" w:themeFill="background1"/>
            <w:tcMar>
              <w:top w:w="100" w:type="dxa"/>
              <w:left w:w="150" w:type="dxa"/>
              <w:bottom w:w="100" w:type="dxa"/>
              <w:right w:w="150" w:type="dxa"/>
            </w:tcMar>
          </w:tcPr>
          <w:p w14:paraId="0F9E38D2" w14:textId="77777777" w:rsidR="007B2881" w:rsidRPr="00BF2A91" w:rsidRDefault="00000000" w:rsidP="00463A90">
            <w:pPr>
              <w:spacing w:line="360" w:lineRule="auto"/>
              <w:jc w:val="both"/>
            </w:pPr>
            <w:r w:rsidRPr="00BF2A91">
              <w:t>Shift inventory to DTC channels; restrict wholesale discounting.</w:t>
            </w:r>
          </w:p>
        </w:tc>
      </w:tr>
      <w:tr w:rsidR="007B2881" w:rsidRPr="00BF2A91" w14:paraId="2274537D" w14:textId="77777777" w:rsidTr="00A30E0C">
        <w:trPr>
          <w:jc w:val="center"/>
        </w:trPr>
        <w:tc>
          <w:tcPr>
            <w:tcW w:w="1584" w:type="dxa"/>
            <w:shd w:val="clear" w:color="auto" w:fill="FFFFFF" w:themeFill="background1"/>
            <w:tcMar>
              <w:top w:w="100" w:type="dxa"/>
              <w:left w:w="150" w:type="dxa"/>
              <w:bottom w:w="100" w:type="dxa"/>
              <w:right w:w="150" w:type="dxa"/>
            </w:tcMar>
          </w:tcPr>
          <w:p w14:paraId="6671221C" w14:textId="77777777" w:rsidR="007B2881" w:rsidRPr="00BF2A91" w:rsidRDefault="00000000" w:rsidP="00463A90">
            <w:pPr>
              <w:spacing w:line="360" w:lineRule="auto"/>
              <w:jc w:val="both"/>
            </w:pPr>
            <w:r w:rsidRPr="00BF2A91">
              <w:t>Customer</w:t>
            </w:r>
          </w:p>
        </w:tc>
        <w:tc>
          <w:tcPr>
            <w:tcW w:w="2016" w:type="dxa"/>
            <w:shd w:val="clear" w:color="auto" w:fill="FFFFFF" w:themeFill="background1"/>
            <w:tcMar>
              <w:top w:w="100" w:type="dxa"/>
              <w:left w:w="150" w:type="dxa"/>
              <w:bottom w:w="100" w:type="dxa"/>
              <w:right w:w="150" w:type="dxa"/>
            </w:tcMar>
          </w:tcPr>
          <w:p w14:paraId="1D367DD7" w14:textId="77777777" w:rsidR="007B2881" w:rsidRPr="00BF2A91" w:rsidRDefault="00000000" w:rsidP="00463A90">
            <w:pPr>
              <w:spacing w:line="360" w:lineRule="auto"/>
              <w:jc w:val="both"/>
            </w:pPr>
            <w:r w:rsidRPr="00BF2A91">
              <w:t>Deepen brand advocacy in UK run communities</w:t>
            </w:r>
          </w:p>
        </w:tc>
        <w:tc>
          <w:tcPr>
            <w:tcW w:w="2160" w:type="dxa"/>
            <w:shd w:val="clear" w:color="auto" w:fill="FFFFFF" w:themeFill="background1"/>
            <w:tcMar>
              <w:top w:w="100" w:type="dxa"/>
              <w:left w:w="150" w:type="dxa"/>
              <w:bottom w:w="100" w:type="dxa"/>
              <w:right w:w="150" w:type="dxa"/>
            </w:tcMar>
          </w:tcPr>
          <w:p w14:paraId="4E8669A3" w14:textId="77777777" w:rsidR="007B2881" w:rsidRPr="00BF2A91" w:rsidRDefault="00000000" w:rsidP="00463A90">
            <w:pPr>
              <w:spacing w:line="360" w:lineRule="auto"/>
              <w:jc w:val="both"/>
            </w:pPr>
            <w:r w:rsidRPr="00BF2A91">
              <w:t>• UK Running Net Promoter Score</w:t>
            </w:r>
            <w:r w:rsidRPr="00BF2A91">
              <w:br/>
              <w:t>• Active App Monthly Users (MAU)</w:t>
            </w:r>
          </w:p>
        </w:tc>
        <w:tc>
          <w:tcPr>
            <w:tcW w:w="1440" w:type="dxa"/>
            <w:shd w:val="clear" w:color="auto" w:fill="FFFFFF" w:themeFill="background1"/>
            <w:tcMar>
              <w:top w:w="100" w:type="dxa"/>
              <w:left w:w="150" w:type="dxa"/>
              <w:bottom w:w="100" w:type="dxa"/>
              <w:right w:w="150" w:type="dxa"/>
            </w:tcMar>
          </w:tcPr>
          <w:p w14:paraId="158F6577" w14:textId="77777777" w:rsidR="007B2881" w:rsidRPr="00BF2A91" w:rsidRDefault="00000000" w:rsidP="00463A90">
            <w:pPr>
              <w:spacing w:line="360" w:lineRule="auto"/>
              <w:jc w:val="both"/>
            </w:pPr>
            <w:r w:rsidRPr="00BF2A91">
              <w:t>NPS &gt; 68</w:t>
            </w:r>
            <w:r w:rsidRPr="00BF2A91">
              <w:br/>
              <w:t>+18.0% MAU</w:t>
            </w:r>
          </w:p>
        </w:tc>
        <w:tc>
          <w:tcPr>
            <w:tcW w:w="2160" w:type="dxa"/>
            <w:shd w:val="clear" w:color="auto" w:fill="FFFFFF" w:themeFill="background1"/>
            <w:tcMar>
              <w:top w:w="100" w:type="dxa"/>
              <w:left w:w="150" w:type="dxa"/>
              <w:bottom w:w="100" w:type="dxa"/>
              <w:right w:w="150" w:type="dxa"/>
            </w:tcMar>
          </w:tcPr>
          <w:p w14:paraId="39343224" w14:textId="77777777" w:rsidR="007B2881" w:rsidRPr="00BF2A91" w:rsidRDefault="00000000" w:rsidP="00463A90">
            <w:pPr>
              <w:spacing w:line="360" w:lineRule="auto"/>
              <w:jc w:val="both"/>
            </w:pPr>
            <w:r w:rsidRPr="00BF2A91">
              <w:t>Launch localized UK run-club loyalty perks &amp; app event sign-ups.</w:t>
            </w:r>
          </w:p>
        </w:tc>
      </w:tr>
      <w:tr w:rsidR="007B2881" w:rsidRPr="00BF2A91" w14:paraId="65807230" w14:textId="77777777" w:rsidTr="00A30E0C">
        <w:trPr>
          <w:jc w:val="center"/>
        </w:trPr>
        <w:tc>
          <w:tcPr>
            <w:tcW w:w="1584" w:type="dxa"/>
            <w:shd w:val="clear" w:color="auto" w:fill="FFFFFF" w:themeFill="background1"/>
            <w:tcMar>
              <w:top w:w="100" w:type="dxa"/>
              <w:left w:w="150" w:type="dxa"/>
              <w:bottom w:w="100" w:type="dxa"/>
              <w:right w:w="150" w:type="dxa"/>
            </w:tcMar>
          </w:tcPr>
          <w:p w14:paraId="63B3B607" w14:textId="77777777" w:rsidR="007B2881" w:rsidRPr="00BF2A91" w:rsidRDefault="00000000" w:rsidP="00463A90">
            <w:pPr>
              <w:spacing w:line="360" w:lineRule="auto"/>
              <w:jc w:val="both"/>
            </w:pPr>
            <w:r w:rsidRPr="00BF2A91">
              <w:t>Internal Processes</w:t>
            </w:r>
          </w:p>
        </w:tc>
        <w:tc>
          <w:tcPr>
            <w:tcW w:w="2016" w:type="dxa"/>
            <w:shd w:val="clear" w:color="auto" w:fill="FFFFFF" w:themeFill="background1"/>
            <w:tcMar>
              <w:top w:w="100" w:type="dxa"/>
              <w:left w:w="150" w:type="dxa"/>
              <w:bottom w:w="100" w:type="dxa"/>
              <w:right w:w="150" w:type="dxa"/>
            </w:tcMar>
          </w:tcPr>
          <w:p w14:paraId="005B1FA9" w14:textId="77777777" w:rsidR="007B2881" w:rsidRPr="00BF2A91" w:rsidRDefault="00000000" w:rsidP="00463A90">
            <w:pPr>
              <w:spacing w:line="360" w:lineRule="auto"/>
              <w:jc w:val="both"/>
            </w:pPr>
            <w:r w:rsidRPr="00BF2A91">
              <w:t>Accelerate product velocity &amp; sustainability</w:t>
            </w:r>
          </w:p>
        </w:tc>
        <w:tc>
          <w:tcPr>
            <w:tcW w:w="2160" w:type="dxa"/>
            <w:shd w:val="clear" w:color="auto" w:fill="FFFFFF" w:themeFill="background1"/>
            <w:tcMar>
              <w:top w:w="100" w:type="dxa"/>
              <w:left w:w="150" w:type="dxa"/>
              <w:bottom w:w="100" w:type="dxa"/>
              <w:right w:w="150" w:type="dxa"/>
            </w:tcMar>
          </w:tcPr>
          <w:p w14:paraId="42DA4633" w14:textId="77777777" w:rsidR="007B2881" w:rsidRPr="00BF2A91" w:rsidRDefault="00000000" w:rsidP="00463A90">
            <w:pPr>
              <w:spacing w:line="360" w:lineRule="auto"/>
              <w:jc w:val="both"/>
            </w:pPr>
            <w:r w:rsidRPr="00BF2A91">
              <w:t>• Design-to-Market Lead Time</w:t>
            </w:r>
            <w:r w:rsidRPr="00BF2A91">
              <w:br/>
              <w:t>• Recycled Material Mix %</w:t>
            </w:r>
          </w:p>
        </w:tc>
        <w:tc>
          <w:tcPr>
            <w:tcW w:w="1440" w:type="dxa"/>
            <w:shd w:val="clear" w:color="auto" w:fill="FFFFFF" w:themeFill="background1"/>
            <w:tcMar>
              <w:top w:w="100" w:type="dxa"/>
              <w:left w:w="150" w:type="dxa"/>
              <w:bottom w:w="100" w:type="dxa"/>
              <w:right w:w="150" w:type="dxa"/>
            </w:tcMar>
          </w:tcPr>
          <w:p w14:paraId="4AC3E806" w14:textId="77777777" w:rsidR="007B2881" w:rsidRPr="00BF2A91" w:rsidRDefault="00000000" w:rsidP="00463A90">
            <w:pPr>
              <w:spacing w:line="360" w:lineRule="auto"/>
              <w:jc w:val="both"/>
            </w:pPr>
            <w:r w:rsidRPr="00BF2A91">
              <w:t>&lt;8 Months</w:t>
            </w:r>
            <w:r w:rsidRPr="00BF2A91">
              <w:br/>
              <w:t>&gt;92.0% Mix</w:t>
            </w:r>
          </w:p>
        </w:tc>
        <w:tc>
          <w:tcPr>
            <w:tcW w:w="2160" w:type="dxa"/>
            <w:shd w:val="clear" w:color="auto" w:fill="FFFFFF" w:themeFill="background1"/>
            <w:tcMar>
              <w:top w:w="100" w:type="dxa"/>
              <w:left w:w="150" w:type="dxa"/>
              <w:bottom w:w="100" w:type="dxa"/>
              <w:right w:w="150" w:type="dxa"/>
            </w:tcMar>
          </w:tcPr>
          <w:p w14:paraId="58A8F9B5" w14:textId="77777777" w:rsidR="007B2881" w:rsidRPr="00BF2A91" w:rsidRDefault="00000000" w:rsidP="00463A90">
            <w:pPr>
              <w:spacing w:line="360" w:lineRule="auto"/>
              <w:jc w:val="both"/>
            </w:pPr>
            <w:r w:rsidRPr="00BF2A91">
              <w:t>Deploy 3D digital prototyping &amp; local UK logistics automation.</w:t>
            </w:r>
          </w:p>
        </w:tc>
      </w:tr>
      <w:tr w:rsidR="007B2881" w:rsidRPr="00BF2A91" w14:paraId="1B87D4CE" w14:textId="77777777" w:rsidTr="00A30E0C">
        <w:trPr>
          <w:jc w:val="center"/>
        </w:trPr>
        <w:tc>
          <w:tcPr>
            <w:tcW w:w="1584" w:type="dxa"/>
            <w:shd w:val="clear" w:color="auto" w:fill="FFFFFF" w:themeFill="background1"/>
            <w:tcMar>
              <w:top w:w="100" w:type="dxa"/>
              <w:left w:w="150" w:type="dxa"/>
              <w:bottom w:w="100" w:type="dxa"/>
              <w:right w:w="150" w:type="dxa"/>
            </w:tcMar>
          </w:tcPr>
          <w:p w14:paraId="0BA988B0" w14:textId="77777777" w:rsidR="007B2881" w:rsidRPr="00BF2A91" w:rsidRDefault="00000000" w:rsidP="00463A90">
            <w:pPr>
              <w:spacing w:line="360" w:lineRule="auto"/>
              <w:jc w:val="both"/>
            </w:pPr>
            <w:r w:rsidRPr="00BF2A91">
              <w:t>Learning &amp; Growth</w:t>
            </w:r>
          </w:p>
        </w:tc>
        <w:tc>
          <w:tcPr>
            <w:tcW w:w="2016" w:type="dxa"/>
            <w:shd w:val="clear" w:color="auto" w:fill="FFFFFF" w:themeFill="background1"/>
            <w:tcMar>
              <w:top w:w="100" w:type="dxa"/>
              <w:left w:w="150" w:type="dxa"/>
              <w:bottom w:w="100" w:type="dxa"/>
              <w:right w:w="150" w:type="dxa"/>
            </w:tcMar>
          </w:tcPr>
          <w:p w14:paraId="01ED74F9" w14:textId="77777777" w:rsidR="007B2881" w:rsidRPr="00BF2A91" w:rsidRDefault="00000000" w:rsidP="00463A90">
            <w:pPr>
              <w:spacing w:line="360" w:lineRule="auto"/>
              <w:jc w:val="both"/>
            </w:pPr>
            <w:r w:rsidRPr="00BF2A91">
              <w:t>Foster biomechanical research &amp; digital capability</w:t>
            </w:r>
          </w:p>
        </w:tc>
        <w:tc>
          <w:tcPr>
            <w:tcW w:w="2160" w:type="dxa"/>
            <w:shd w:val="clear" w:color="auto" w:fill="FFFFFF" w:themeFill="background1"/>
            <w:tcMar>
              <w:top w:w="100" w:type="dxa"/>
              <w:left w:w="150" w:type="dxa"/>
              <w:bottom w:w="100" w:type="dxa"/>
              <w:right w:w="150" w:type="dxa"/>
            </w:tcMar>
          </w:tcPr>
          <w:p w14:paraId="0DAD2E4E" w14:textId="77777777" w:rsidR="007B2881" w:rsidRPr="00BF2A91" w:rsidRDefault="00000000" w:rsidP="00463A90">
            <w:pPr>
              <w:spacing w:line="360" w:lineRule="auto"/>
              <w:jc w:val="both"/>
            </w:pPr>
            <w:r w:rsidRPr="00BF2A91">
              <w:t>• R&amp;D Spend on Material Science</w:t>
            </w:r>
            <w:r w:rsidRPr="00BF2A91">
              <w:br/>
              <w:t xml:space="preserve">• Digital </w:t>
            </w:r>
            <w:r w:rsidRPr="00BF2A91">
              <w:lastRenderedPageBreak/>
              <w:t>Engineering Retention</w:t>
            </w:r>
          </w:p>
        </w:tc>
        <w:tc>
          <w:tcPr>
            <w:tcW w:w="1440" w:type="dxa"/>
            <w:shd w:val="clear" w:color="auto" w:fill="FFFFFF" w:themeFill="background1"/>
            <w:tcMar>
              <w:top w:w="100" w:type="dxa"/>
              <w:left w:w="150" w:type="dxa"/>
              <w:bottom w:w="100" w:type="dxa"/>
              <w:right w:w="150" w:type="dxa"/>
            </w:tcMar>
          </w:tcPr>
          <w:p w14:paraId="47D62281" w14:textId="77777777" w:rsidR="007B2881" w:rsidRPr="00BF2A91" w:rsidRDefault="00000000" w:rsidP="00463A90">
            <w:pPr>
              <w:spacing w:line="360" w:lineRule="auto"/>
              <w:jc w:val="both"/>
            </w:pPr>
            <w:r w:rsidRPr="00BF2A91">
              <w:lastRenderedPageBreak/>
              <w:t>6.5% Revenue</w:t>
            </w:r>
            <w:r w:rsidRPr="00BF2A91">
              <w:br/>
              <w:t>&gt;91.0% Retention</w:t>
            </w:r>
          </w:p>
        </w:tc>
        <w:tc>
          <w:tcPr>
            <w:tcW w:w="2160" w:type="dxa"/>
            <w:shd w:val="clear" w:color="auto" w:fill="FFFFFF" w:themeFill="background1"/>
            <w:tcMar>
              <w:top w:w="100" w:type="dxa"/>
              <w:left w:w="150" w:type="dxa"/>
              <w:bottom w:w="100" w:type="dxa"/>
              <w:right w:w="150" w:type="dxa"/>
            </w:tcMar>
          </w:tcPr>
          <w:p w14:paraId="7CF69A3B" w14:textId="77777777" w:rsidR="007B2881" w:rsidRPr="00BF2A91" w:rsidRDefault="00000000" w:rsidP="00463A90">
            <w:pPr>
              <w:spacing w:line="360" w:lineRule="auto"/>
              <w:jc w:val="both"/>
            </w:pPr>
            <w:r w:rsidRPr="00BF2A91">
              <w:t xml:space="preserve">Sponsor research partnerships with UK sports </w:t>
            </w:r>
            <w:r w:rsidRPr="00BF2A91">
              <w:lastRenderedPageBreak/>
              <w:t>science universities.</w:t>
            </w:r>
          </w:p>
        </w:tc>
      </w:tr>
    </w:tbl>
    <w:p w14:paraId="44FB909E" w14:textId="77777777" w:rsidR="007B2881" w:rsidRPr="00BF2A91" w:rsidRDefault="007B2881" w:rsidP="00463A90">
      <w:pPr>
        <w:spacing w:line="360" w:lineRule="auto"/>
        <w:jc w:val="both"/>
      </w:pPr>
    </w:p>
    <w:p w14:paraId="03EC6AED" w14:textId="77777777" w:rsidR="006A565F" w:rsidRDefault="006A565F" w:rsidP="00463A90">
      <w:pPr>
        <w:spacing w:line="360" w:lineRule="auto"/>
        <w:jc w:val="both"/>
      </w:pPr>
    </w:p>
    <w:p w14:paraId="0ADA9027" w14:textId="77777777" w:rsidR="00304A3E" w:rsidRDefault="00304A3E" w:rsidP="00463A90">
      <w:pPr>
        <w:spacing w:line="360" w:lineRule="auto"/>
        <w:jc w:val="both"/>
      </w:pPr>
    </w:p>
    <w:p w14:paraId="01E7D691" w14:textId="758B814D" w:rsidR="007B2881" w:rsidRPr="00A30E0C" w:rsidRDefault="00000000" w:rsidP="00463A90">
      <w:pPr>
        <w:spacing w:line="360" w:lineRule="auto"/>
        <w:jc w:val="both"/>
        <w:outlineLvl w:val="2"/>
        <w:rPr>
          <w:b/>
          <w:bCs/>
        </w:rPr>
      </w:pPr>
      <w:bookmarkStart w:id="15" w:name="_Toc237404190"/>
      <w:r w:rsidRPr="00A30E0C">
        <w:rPr>
          <w:b/>
          <w:bCs/>
        </w:rPr>
        <w:t>Analytical Outcome &amp; Critical Evaluation of Balanced Scorecard</w:t>
      </w:r>
      <w:bookmarkEnd w:id="15"/>
    </w:p>
    <w:p w14:paraId="361F31FF" w14:textId="77777777" w:rsidR="007B2881" w:rsidRPr="00BF2A91" w:rsidRDefault="00000000" w:rsidP="00463A90">
      <w:pPr>
        <w:spacing w:line="360" w:lineRule="auto"/>
        <w:jc w:val="both"/>
      </w:pPr>
      <w:r w:rsidRPr="00BF2A91">
        <w:t>The analytical outcome of the Balanced Scorecard implementation is the creation of a balanced, cause-and-effect performance measurement architecture that aligns daily operational activities with top-level corporate strategy. By establishing explicit targets across non-financial perspectives, management can track leading indicators of strategic success. Critically evaluating Kaplan and Norton’s framework, however, reveals potential operational pitfalls. The Balanced Scorecard assumes a linear causal chain—that investments in Learning and Growth automatically improve Internal Processes, which in turn drive Customer satisfaction and Financial returns. In practice, organizational trade-offs are non-linear; for example, aggressively shortening design-to-market lead times (Internal Processes) can compromise rigorous biomechanical testing (Learning and Growth). Furthermore, over-saturating managers with metrics can lead to cognitive overload and gaming of target benchmarks. Therefore, execution must focus strictly on the vital few KPIs defined in Table 4.</w:t>
      </w:r>
    </w:p>
    <w:p w14:paraId="65CDDBC1" w14:textId="77777777" w:rsidR="007B2881" w:rsidRPr="00BF2A91" w:rsidRDefault="00000000" w:rsidP="00463A90">
      <w:pPr>
        <w:spacing w:line="360" w:lineRule="auto"/>
        <w:jc w:val="both"/>
      </w:pPr>
      <w:r w:rsidRPr="00BF2A91">
        <w:t>To ensure operational effectiveness, the Balanced Scorecard must be reviewed dynamically on a quarterly basis by the Board. If leading indicators in the Customer perspective (e.g., active app users) deteriorate despite positive lagging financial returns, management is alerted early to underlying brand erosion, allowing for corrective strategic interventions before financial performance drops.</w:t>
      </w:r>
    </w:p>
    <w:p w14:paraId="25745CF9" w14:textId="77777777" w:rsidR="007B2881" w:rsidRPr="00BF2A91" w:rsidRDefault="00000000" w:rsidP="00463A90">
      <w:pPr>
        <w:spacing w:line="360" w:lineRule="auto"/>
        <w:jc w:val="both"/>
      </w:pPr>
      <w:r w:rsidRPr="00BF2A91">
        <w:t xml:space="preserve">Moreover, aligning employee incentive structures with Balanced Scorecard targets is essential for successful strategy execution. Historically, UK sales teams were compensated primarily on wholesale volume metrics, incentivizing bulk sales to </w:t>
      </w:r>
      <w:r w:rsidRPr="00BF2A91">
        <w:lastRenderedPageBreak/>
        <w:t>discounters. Re-aligning bonus structures to reward DTC margin contributions and customer retention metrics (Customer perspective) directly supports the SBU's strategic repositioning.</w:t>
      </w:r>
    </w:p>
    <w:p w14:paraId="57F4569C" w14:textId="77777777" w:rsidR="006A565F" w:rsidRDefault="006A565F" w:rsidP="00463A90">
      <w:pPr>
        <w:spacing w:line="360" w:lineRule="auto"/>
        <w:jc w:val="both"/>
      </w:pPr>
    </w:p>
    <w:p w14:paraId="74AE0616" w14:textId="77777777" w:rsidR="006A565F" w:rsidRDefault="006A565F" w:rsidP="00463A90">
      <w:pPr>
        <w:spacing w:line="360" w:lineRule="auto"/>
        <w:jc w:val="both"/>
      </w:pPr>
    </w:p>
    <w:p w14:paraId="6A927658" w14:textId="77777777" w:rsidR="006A565F" w:rsidRDefault="006A565F" w:rsidP="00463A90">
      <w:pPr>
        <w:spacing w:line="360" w:lineRule="auto"/>
        <w:jc w:val="both"/>
      </w:pPr>
    </w:p>
    <w:p w14:paraId="7C1F7879" w14:textId="532C6E5B" w:rsidR="007B2881" w:rsidRPr="00A30E0C" w:rsidRDefault="00000000" w:rsidP="00463A90">
      <w:pPr>
        <w:spacing w:line="360" w:lineRule="auto"/>
        <w:jc w:val="both"/>
        <w:outlineLvl w:val="0"/>
        <w:rPr>
          <w:b/>
          <w:bCs/>
        </w:rPr>
      </w:pPr>
      <w:bookmarkStart w:id="16" w:name="_Toc237404191"/>
      <w:r w:rsidRPr="00A30E0C">
        <w:rPr>
          <w:b/>
          <w:bCs/>
        </w:rPr>
        <w:t>4. Strategic Choices, Implementation &amp; SAFe Validation</w:t>
      </w:r>
      <w:bookmarkEnd w:id="16"/>
    </w:p>
    <w:p w14:paraId="5E5DA6C0" w14:textId="77777777" w:rsidR="007B2881" w:rsidRPr="00BF2A91" w:rsidRDefault="00000000" w:rsidP="00463A90">
      <w:pPr>
        <w:spacing w:line="360" w:lineRule="auto"/>
        <w:jc w:val="both"/>
        <w:outlineLvl w:val="1"/>
      </w:pPr>
      <w:bookmarkStart w:id="17" w:name="_Toc237404192"/>
      <w:r w:rsidRPr="00BF2A91">
        <w:t>Business-Level Competitive Strategy (Porter's Generic Strategies)</w:t>
      </w:r>
      <w:bookmarkEnd w:id="17"/>
    </w:p>
    <w:p w14:paraId="49D30A10" w14:textId="77777777" w:rsidR="007B2881" w:rsidRPr="00BF2A91" w:rsidRDefault="00000000" w:rsidP="00463A90">
      <w:pPr>
        <w:spacing w:line="360" w:lineRule="auto"/>
        <w:jc w:val="both"/>
      </w:pPr>
      <w:r w:rsidRPr="00BF2A91">
        <w:t>At the business level, competitive strategy dictates how an SBU positions itself relative to industry rivals. Applying Porter's Generic Strategies (1985), Adidas Performance operates under a strategy of Broad Differentiation. The SBU does not compete as a low-cost manufacturer; cost-leadership strategies are fundamentally incompatible with high R&amp;D overheads and expensive technical material sourcing. Instead, Adidas Performance seeks to command price premiums by delivering superior technical cushioning, brand prestige, and specialized product engineering.</w:t>
      </w:r>
    </w:p>
    <w:p w14:paraId="4035DA62" w14:textId="77777777" w:rsidR="007B2881" w:rsidRPr="00BF2A91" w:rsidRDefault="00000000" w:rsidP="00463A90">
      <w:pPr>
        <w:spacing w:line="360" w:lineRule="auto"/>
        <w:jc w:val="both"/>
      </w:pPr>
      <w:r w:rsidRPr="00BF2A91">
        <w:t>However, maintaining broad differentiation in the UK performance market has become increasingly challenging. Challenger brands have effectively deployed Focused Differentiation strategies, capturing affluent sub-segments by catering exclusively to niche running demographics (Johnson et al., 2023). To counter this strategic squeeze, Adidas Performance must refine its differentiation strategy by deepening its technological leadership and localized customer engagement.</w:t>
      </w:r>
    </w:p>
    <w:p w14:paraId="6D07C1E2" w14:textId="77777777" w:rsidR="007B2881" w:rsidRPr="00BF2A91" w:rsidRDefault="00000000" w:rsidP="00463A90">
      <w:pPr>
        <w:spacing w:line="360" w:lineRule="auto"/>
        <w:jc w:val="both"/>
      </w:pPr>
      <w:r w:rsidRPr="00BF2A91">
        <w:t>A critical danger for Adidas Performance is falling into Porter's 'stuck-in-the-middle' trap. Heavy discounting by wholesale partners like Sports Direct pulls the brand toward cost-based price competition, eroding its premium differentiation without achieving the ultra-low cost structure of budget apparel manufacturers. To preserve its premium margin structure, Adidas UK must establish strict MAP (Minimum Advertised Price) policies and restrict technical footwear lines exclusively to premium distribution channels.</w:t>
      </w:r>
    </w:p>
    <w:p w14:paraId="5DA5E499" w14:textId="77777777" w:rsidR="007B2881" w:rsidRPr="00A30E0C" w:rsidRDefault="00000000" w:rsidP="00463A90">
      <w:pPr>
        <w:spacing w:line="360" w:lineRule="auto"/>
        <w:jc w:val="both"/>
        <w:outlineLvl w:val="1"/>
        <w:rPr>
          <w:b/>
          <w:bCs/>
        </w:rPr>
      </w:pPr>
      <w:bookmarkStart w:id="18" w:name="_Toc237404193"/>
      <w:r w:rsidRPr="00A30E0C">
        <w:rPr>
          <w:b/>
          <w:bCs/>
        </w:rPr>
        <w:lastRenderedPageBreak/>
        <w:t>Growth Vectors (Ansoff's Growth Matrix)</w:t>
      </w:r>
      <w:bookmarkEnd w:id="18"/>
    </w:p>
    <w:p w14:paraId="403FB832" w14:textId="77777777" w:rsidR="007B2881" w:rsidRPr="00BF2A91" w:rsidRDefault="00000000" w:rsidP="00463A90">
      <w:pPr>
        <w:spacing w:line="360" w:lineRule="auto"/>
        <w:jc w:val="both"/>
      </w:pPr>
      <w:r w:rsidRPr="00BF2A91">
        <w:t>Validating strategic options via Ansoff’s Growth Matrix indicates that the most viable pathway for the UK market is a combined strategy of Market Penetration and Product Development. Market Development into new geographical territories is inapplicable given the mature, nationwide footprint of Adidas UK. Unrelated Diversification introduces unacceptably high operational risk. By aggressively developing climate-adapted product lines (e.g., winterized, water-resistant running footwear utilizing Continental grip) and penetrating grassroots UK running communities through digital app integration, Adidas Performance can defend its core market share.</w:t>
      </w:r>
    </w:p>
    <w:p w14:paraId="678A1E3E" w14:textId="77777777" w:rsidR="007B2881" w:rsidRPr="00BF2A91" w:rsidRDefault="00000000" w:rsidP="00463A90">
      <w:pPr>
        <w:spacing w:line="360" w:lineRule="auto"/>
        <w:jc w:val="both"/>
      </w:pPr>
      <w:r w:rsidRPr="00BF2A91">
        <w:t>Evaluating Product Development under Ansoff's framework requires isolating regional design parameters. The UK market experiences prolonged wet and overcast weather conditions throughout autumn and winter. Developing specialized 'All-Weather' technical running lines featuring waterproof GORE-TEX uppers and Continental high-traction outsoles represents a market-specific product development vector that directly leverages existing R&amp;D strengths to fulfill unsatisfied British runner needs.</w:t>
      </w:r>
    </w:p>
    <w:p w14:paraId="38B726B0" w14:textId="77777777" w:rsidR="007B2881" w:rsidRPr="00A30E0C" w:rsidRDefault="00000000" w:rsidP="00463A90">
      <w:pPr>
        <w:spacing w:line="360" w:lineRule="auto"/>
        <w:jc w:val="both"/>
        <w:outlineLvl w:val="1"/>
        <w:rPr>
          <w:b/>
          <w:bCs/>
        </w:rPr>
      </w:pPr>
      <w:bookmarkStart w:id="19" w:name="_Toc237404194"/>
      <w:r w:rsidRPr="00A30E0C">
        <w:rPr>
          <w:b/>
          <w:bCs/>
        </w:rPr>
        <w:t>Evaluation of Recommended Strategy (SAFe Framework)</w:t>
      </w:r>
      <w:bookmarkEnd w:id="19"/>
    </w:p>
    <w:p w14:paraId="6553F292" w14:textId="77777777" w:rsidR="007B2881" w:rsidRPr="00BF2A91" w:rsidRDefault="00000000" w:rsidP="00463A90">
      <w:pPr>
        <w:spacing w:line="360" w:lineRule="auto"/>
        <w:jc w:val="both"/>
      </w:pPr>
      <w:r w:rsidRPr="00BF2A91">
        <w:t>The suitability, feasibility, and acceptability of this strategic choice are evaluated using the SAFe Framework (Johnson et al., 2023):</w:t>
      </w:r>
    </w:p>
    <w:p w14:paraId="608DB390" w14:textId="77777777" w:rsidR="007B2881" w:rsidRPr="00BF2A91" w:rsidRDefault="00000000" w:rsidP="00463A90">
      <w:pPr>
        <w:spacing w:line="360" w:lineRule="auto"/>
        <w:jc w:val="both"/>
      </w:pPr>
      <w:r w:rsidRPr="00BF2A91">
        <w:t>• Suitability: The strategy directly addresses the external threats identified in the PESTEL and SWOT analyses. Developing weatherproof performance gear specifically targets the UK's regional climate, while grassroots digital engagement counters the community-focused tactics of niche rivals.</w:t>
      </w:r>
    </w:p>
    <w:p w14:paraId="372E8410" w14:textId="77777777" w:rsidR="007B2881" w:rsidRPr="00BF2A91" w:rsidRDefault="00000000" w:rsidP="00463A90">
      <w:pPr>
        <w:spacing w:line="360" w:lineRule="auto"/>
        <w:jc w:val="both"/>
      </w:pPr>
      <w:r w:rsidRPr="00BF2A91">
        <w:t>• Feasibility: The strategy is backed by internal corporate resources. Adidas AG possesses substantial R&amp;D infrastructure and established UK logistics channels, ensuring that product iterations can be scaled efficiently.</w:t>
      </w:r>
    </w:p>
    <w:p w14:paraId="0E8D311B" w14:textId="77777777" w:rsidR="007B2881" w:rsidRPr="00BF2A91" w:rsidRDefault="00000000" w:rsidP="00463A90">
      <w:pPr>
        <w:spacing w:line="360" w:lineRule="auto"/>
        <w:jc w:val="both"/>
      </w:pPr>
      <w:r w:rsidRPr="00BF2A91">
        <w:t xml:space="preserve">• Acceptability: Shifted resource allocation toward direct-to-consumer digital ecosystems generates higher gross margins (&gt;56%), satisfying shareholder demands for enhanced </w:t>
      </w:r>
      <w:r w:rsidRPr="00BF2A91">
        <w:lastRenderedPageBreak/>
        <w:t>Return on Capital Employed (ROCE) while reducing reliance on heavily discounted wholesale channels.</w:t>
      </w:r>
    </w:p>
    <w:p w14:paraId="482AFEA1" w14:textId="77777777" w:rsidR="004D3A22" w:rsidRDefault="004D3A22" w:rsidP="00463A90">
      <w:pPr>
        <w:spacing w:line="360" w:lineRule="auto"/>
        <w:jc w:val="both"/>
      </w:pPr>
    </w:p>
    <w:p w14:paraId="27465A5E" w14:textId="77777777" w:rsidR="00A30E0C" w:rsidRPr="00BF2A91" w:rsidRDefault="00A30E0C" w:rsidP="00463A90">
      <w:pPr>
        <w:spacing w:line="360" w:lineRule="auto"/>
        <w:jc w:val="both"/>
      </w:pPr>
    </w:p>
    <w:p w14:paraId="59A1A3BC" w14:textId="77777777" w:rsidR="007B2881" w:rsidRPr="00A30E0C" w:rsidRDefault="00000000" w:rsidP="00463A90">
      <w:pPr>
        <w:spacing w:line="360" w:lineRule="auto"/>
        <w:jc w:val="both"/>
        <w:outlineLvl w:val="2"/>
        <w:rPr>
          <w:b/>
          <w:bCs/>
        </w:rPr>
      </w:pPr>
      <w:bookmarkStart w:id="20" w:name="_Toc237404195"/>
      <w:r w:rsidRPr="00A30E0C">
        <w:rPr>
          <w:b/>
          <w:bCs/>
        </w:rPr>
        <w:t>Analytical Outcome &amp; Critical Evaluation of Strategic Choice &amp; SAFe</w:t>
      </w:r>
      <w:bookmarkEnd w:id="20"/>
    </w:p>
    <w:p w14:paraId="291355B7" w14:textId="77777777" w:rsidR="007B2881" w:rsidRPr="00BF2A91" w:rsidRDefault="00000000" w:rsidP="00463A90">
      <w:pPr>
        <w:spacing w:line="360" w:lineRule="auto"/>
        <w:jc w:val="both"/>
      </w:pPr>
      <w:r w:rsidRPr="00BF2A91">
        <w:t>The strategic outcome of this evaluation is a robust, validated growth roadmap that optimizes competitive positioning in the UK market. Combining Market Penetration with climate-adapted Product Development allows Adidas Performance to protect its core volume while elevating premium margin capture. Critically evaluating the SAFe framework highlights its utility as a holistic hurdle test for strategic options. However, SAFe evaluation inherently relies on qualitative managerial judgments regarding feasibility and acceptability parameters. To mitigate subjectivity, acceptability projections were grounded in discounted cash flow (DCF) modeling of DTC gross margin expansion, while feasibility was cross-checked against existing UK supply chain bandwidth. The analysis demonstrates that the recommended strategy successfully clears all SAFe hurdles.</w:t>
      </w:r>
    </w:p>
    <w:p w14:paraId="65CC0EF7" w14:textId="77777777" w:rsidR="007B2881" w:rsidRPr="00BF2A91" w:rsidRDefault="00000000" w:rsidP="00463A90">
      <w:pPr>
        <w:spacing w:line="360" w:lineRule="auto"/>
        <w:jc w:val="both"/>
      </w:pPr>
      <w:r w:rsidRPr="00BF2A91">
        <w:t>Furthermore, risk analysis under the Acceptability criterion indicates that channel conflict represents the single largest operational threat. If major wholesale partners retaliate against DTC expansion by reducing shelf space for Adidas products, short-term wholesale revenue could dip. To manage this risk, Adidas UK must offer wholesale partners exclusive colorways and co-branded regional marketing budgets, ensuring mutual profitability.</w:t>
      </w:r>
    </w:p>
    <w:p w14:paraId="64CD114C" w14:textId="60FFB9C5" w:rsidR="006A565F" w:rsidRDefault="00000000" w:rsidP="00463A90">
      <w:pPr>
        <w:spacing w:line="360" w:lineRule="auto"/>
        <w:jc w:val="both"/>
      </w:pPr>
      <w:r w:rsidRPr="00BF2A91">
        <w:t>In evaluating Feasibility using the '8 Ms' framework (Money, Machinery, Manpower, Management, Markets, Materials, Make-up, Methods), capital availability and technical machinery are fully sufficient. However, 'Manpower' and 'Make-up' (organisational structure) require structural alignment. Local UK marketing teams must be upskilled in digital community management and agile data analytics to effectively execute localized app-based engagement.</w:t>
      </w:r>
    </w:p>
    <w:p w14:paraId="6CF087CA" w14:textId="55BA3D43" w:rsidR="007B2881" w:rsidRPr="00A30E0C" w:rsidRDefault="00000000" w:rsidP="00463A90">
      <w:pPr>
        <w:spacing w:line="360" w:lineRule="auto"/>
        <w:jc w:val="both"/>
        <w:outlineLvl w:val="1"/>
        <w:rPr>
          <w:b/>
          <w:bCs/>
        </w:rPr>
      </w:pPr>
      <w:bookmarkStart w:id="21" w:name="_Toc237404196"/>
      <w:r w:rsidRPr="00A30E0C">
        <w:rPr>
          <w:b/>
          <w:bCs/>
        </w:rPr>
        <w:lastRenderedPageBreak/>
        <w:t>Implementation Challenges and Mitigation Strategies</w:t>
      </w:r>
      <w:bookmarkEnd w:id="21"/>
    </w:p>
    <w:p w14:paraId="675B549C" w14:textId="347733F7" w:rsidR="004D3A22" w:rsidRDefault="00000000" w:rsidP="00463A90">
      <w:pPr>
        <w:spacing w:line="360" w:lineRule="auto"/>
        <w:jc w:val="both"/>
      </w:pPr>
      <w:r w:rsidRPr="00BF2A91">
        <w:t>Despite its strong strategic alignment, executing this strategy involves clear operational risks. Key implementation challenges, along with proposed mitigation strategies, are structured in the table below:</w:t>
      </w:r>
    </w:p>
    <w:p w14:paraId="5377780F" w14:textId="39DADE10" w:rsidR="00505B95" w:rsidRPr="00505B95" w:rsidRDefault="00505B95" w:rsidP="00505B95">
      <w:pPr>
        <w:spacing w:line="360" w:lineRule="auto"/>
        <w:jc w:val="center"/>
        <w:rPr>
          <w:sz w:val="22"/>
          <w:szCs w:val="20"/>
        </w:rPr>
      </w:pPr>
      <w:r>
        <w:rPr>
          <w:sz w:val="22"/>
          <w:szCs w:val="20"/>
        </w:rPr>
        <w:t>Table 5: Implementation challenges and Mitigation strategies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90"/>
        <w:gridCol w:w="2877"/>
        <w:gridCol w:w="3883"/>
      </w:tblGrid>
      <w:tr w:rsidR="00BF2A91" w:rsidRPr="00BF2A91" w14:paraId="37377D54" w14:textId="77777777" w:rsidTr="00A30E0C">
        <w:trPr>
          <w:jc w:val="center"/>
        </w:trPr>
        <w:tc>
          <w:tcPr>
            <w:tcW w:w="2592" w:type="dxa"/>
            <w:shd w:val="clear" w:color="auto" w:fill="000000" w:themeFill="text1"/>
            <w:tcMar>
              <w:top w:w="120" w:type="dxa"/>
              <w:left w:w="150" w:type="dxa"/>
              <w:bottom w:w="120" w:type="dxa"/>
              <w:right w:w="150" w:type="dxa"/>
            </w:tcMar>
          </w:tcPr>
          <w:p w14:paraId="38E0FBCC" w14:textId="77777777" w:rsidR="007B2881" w:rsidRPr="00BF2A91" w:rsidRDefault="00000000" w:rsidP="00463A90">
            <w:pPr>
              <w:spacing w:line="360" w:lineRule="auto"/>
              <w:jc w:val="both"/>
              <w:rPr>
                <w:color w:val="FFFFFF" w:themeColor="background1"/>
              </w:rPr>
            </w:pPr>
            <w:r w:rsidRPr="00BF2A91">
              <w:rPr>
                <w:color w:val="FFFFFF" w:themeColor="background1"/>
              </w:rPr>
              <w:t>Implementation Challenge</w:t>
            </w:r>
          </w:p>
        </w:tc>
        <w:tc>
          <w:tcPr>
            <w:tcW w:w="2880" w:type="dxa"/>
            <w:shd w:val="clear" w:color="auto" w:fill="000000" w:themeFill="text1"/>
            <w:tcMar>
              <w:top w:w="120" w:type="dxa"/>
              <w:left w:w="150" w:type="dxa"/>
              <w:bottom w:w="120" w:type="dxa"/>
              <w:right w:w="150" w:type="dxa"/>
            </w:tcMar>
          </w:tcPr>
          <w:p w14:paraId="2A288333" w14:textId="77777777" w:rsidR="007B2881" w:rsidRPr="00BF2A91" w:rsidRDefault="00000000" w:rsidP="00463A90">
            <w:pPr>
              <w:spacing w:line="360" w:lineRule="auto"/>
              <w:jc w:val="both"/>
              <w:rPr>
                <w:color w:val="FFFFFF" w:themeColor="background1"/>
              </w:rPr>
            </w:pPr>
            <w:r w:rsidRPr="00BF2A91">
              <w:rPr>
                <w:color w:val="FFFFFF" w:themeColor="background1"/>
              </w:rPr>
              <w:t>Operational Root Cause</w:t>
            </w:r>
          </w:p>
        </w:tc>
        <w:tc>
          <w:tcPr>
            <w:tcW w:w="3888" w:type="dxa"/>
            <w:shd w:val="clear" w:color="auto" w:fill="000000" w:themeFill="text1"/>
            <w:tcMar>
              <w:top w:w="120" w:type="dxa"/>
              <w:left w:w="150" w:type="dxa"/>
              <w:bottom w:w="120" w:type="dxa"/>
              <w:right w:w="150" w:type="dxa"/>
            </w:tcMar>
          </w:tcPr>
          <w:p w14:paraId="6F3DF6F1" w14:textId="77777777" w:rsidR="007B2881" w:rsidRPr="00BF2A91" w:rsidRDefault="00000000" w:rsidP="00463A90">
            <w:pPr>
              <w:spacing w:line="360" w:lineRule="auto"/>
              <w:jc w:val="both"/>
              <w:rPr>
                <w:color w:val="FFFFFF" w:themeColor="background1"/>
              </w:rPr>
            </w:pPr>
            <w:r w:rsidRPr="00BF2A91">
              <w:rPr>
                <w:color w:val="FFFFFF" w:themeColor="background1"/>
              </w:rPr>
              <w:t>Strategic Mitigation Strategy</w:t>
            </w:r>
          </w:p>
        </w:tc>
      </w:tr>
      <w:tr w:rsidR="007B2881" w:rsidRPr="00BF2A91" w14:paraId="033CA904" w14:textId="77777777" w:rsidTr="00A30E0C">
        <w:trPr>
          <w:jc w:val="center"/>
        </w:trPr>
        <w:tc>
          <w:tcPr>
            <w:tcW w:w="2592" w:type="dxa"/>
            <w:shd w:val="clear" w:color="auto" w:fill="FFFFFF" w:themeFill="background1"/>
            <w:tcMar>
              <w:top w:w="100" w:type="dxa"/>
              <w:left w:w="150" w:type="dxa"/>
              <w:bottom w:w="100" w:type="dxa"/>
              <w:right w:w="150" w:type="dxa"/>
            </w:tcMar>
          </w:tcPr>
          <w:p w14:paraId="66CFCA11" w14:textId="77777777" w:rsidR="007B2881" w:rsidRPr="00BF2A91" w:rsidRDefault="00000000" w:rsidP="00463A90">
            <w:pPr>
              <w:spacing w:line="360" w:lineRule="auto"/>
              <w:jc w:val="both"/>
            </w:pPr>
            <w:r w:rsidRPr="00BF2A91">
              <w:t>Retail Channel Conflict</w:t>
            </w:r>
          </w:p>
        </w:tc>
        <w:tc>
          <w:tcPr>
            <w:tcW w:w="2880" w:type="dxa"/>
            <w:shd w:val="clear" w:color="auto" w:fill="FFFFFF" w:themeFill="background1"/>
            <w:tcMar>
              <w:top w:w="100" w:type="dxa"/>
              <w:left w:w="150" w:type="dxa"/>
              <w:bottom w:w="100" w:type="dxa"/>
              <w:right w:w="150" w:type="dxa"/>
            </w:tcMar>
          </w:tcPr>
          <w:p w14:paraId="4C87E41D" w14:textId="77777777" w:rsidR="007B2881" w:rsidRPr="00BF2A91" w:rsidRDefault="00000000" w:rsidP="00463A90">
            <w:pPr>
              <w:spacing w:line="360" w:lineRule="auto"/>
              <w:jc w:val="both"/>
            </w:pPr>
            <w:r w:rsidRPr="00BF2A91">
              <w:t>Wholesale distributors (e.g. JD Sports) resist DTC channel expansion.</w:t>
            </w:r>
          </w:p>
        </w:tc>
        <w:tc>
          <w:tcPr>
            <w:tcW w:w="3888" w:type="dxa"/>
            <w:shd w:val="clear" w:color="auto" w:fill="FFFFFF" w:themeFill="background1"/>
            <w:tcMar>
              <w:top w:w="100" w:type="dxa"/>
              <w:left w:w="150" w:type="dxa"/>
              <w:bottom w:w="100" w:type="dxa"/>
              <w:right w:w="150" w:type="dxa"/>
            </w:tcMar>
          </w:tcPr>
          <w:p w14:paraId="144702A1" w14:textId="77777777" w:rsidR="007B2881" w:rsidRPr="00BF2A91" w:rsidRDefault="00000000" w:rsidP="00463A90">
            <w:pPr>
              <w:spacing w:line="360" w:lineRule="auto"/>
              <w:jc w:val="both"/>
            </w:pPr>
            <w:r w:rsidRPr="00BF2A91">
              <w:t>Implement strict product line segmentation; reserve exclusive flagship colorways for wholesale partners while keeping core technical innovations on DTC apps.</w:t>
            </w:r>
          </w:p>
        </w:tc>
      </w:tr>
      <w:tr w:rsidR="007B2881" w:rsidRPr="00BF2A91" w14:paraId="6084C2DA" w14:textId="77777777" w:rsidTr="00A30E0C">
        <w:trPr>
          <w:jc w:val="center"/>
        </w:trPr>
        <w:tc>
          <w:tcPr>
            <w:tcW w:w="2592" w:type="dxa"/>
            <w:shd w:val="clear" w:color="auto" w:fill="FFFFFF" w:themeFill="background1"/>
            <w:tcMar>
              <w:top w:w="100" w:type="dxa"/>
              <w:left w:w="150" w:type="dxa"/>
              <w:bottom w:w="100" w:type="dxa"/>
              <w:right w:w="150" w:type="dxa"/>
            </w:tcMar>
          </w:tcPr>
          <w:p w14:paraId="492CBFB7" w14:textId="77777777" w:rsidR="007B2881" w:rsidRPr="00BF2A91" w:rsidRDefault="00000000" w:rsidP="00463A90">
            <w:pPr>
              <w:spacing w:line="360" w:lineRule="auto"/>
              <w:jc w:val="both"/>
            </w:pPr>
            <w:r w:rsidRPr="00BF2A91">
              <w:t>Post-Brexit Import Friction</w:t>
            </w:r>
          </w:p>
        </w:tc>
        <w:tc>
          <w:tcPr>
            <w:tcW w:w="2880" w:type="dxa"/>
            <w:shd w:val="clear" w:color="auto" w:fill="FFFFFF" w:themeFill="background1"/>
            <w:tcMar>
              <w:top w:w="100" w:type="dxa"/>
              <w:left w:w="150" w:type="dxa"/>
              <w:bottom w:w="100" w:type="dxa"/>
              <w:right w:w="150" w:type="dxa"/>
            </w:tcMar>
          </w:tcPr>
          <w:p w14:paraId="54C3B157" w14:textId="77777777" w:rsidR="007B2881" w:rsidRPr="00BF2A91" w:rsidRDefault="00000000" w:rsidP="00463A90">
            <w:pPr>
              <w:spacing w:line="360" w:lineRule="auto"/>
              <w:jc w:val="both"/>
            </w:pPr>
            <w:r w:rsidRPr="00BF2A91">
              <w:t>Customs administrative checks delay seasonal product launches in the UK.</w:t>
            </w:r>
          </w:p>
        </w:tc>
        <w:tc>
          <w:tcPr>
            <w:tcW w:w="3888" w:type="dxa"/>
            <w:shd w:val="clear" w:color="auto" w:fill="FFFFFF" w:themeFill="background1"/>
            <w:tcMar>
              <w:top w:w="100" w:type="dxa"/>
              <w:left w:w="150" w:type="dxa"/>
              <w:bottom w:w="100" w:type="dxa"/>
              <w:right w:w="150" w:type="dxa"/>
            </w:tcMar>
          </w:tcPr>
          <w:p w14:paraId="727729A0" w14:textId="77777777" w:rsidR="007B2881" w:rsidRPr="00BF2A91" w:rsidRDefault="00000000" w:rsidP="00463A90">
            <w:pPr>
              <w:spacing w:line="360" w:lineRule="auto"/>
              <w:jc w:val="both"/>
            </w:pPr>
            <w:r w:rsidRPr="00BF2A91">
              <w:t>Establish localized UK bonded warehouse buffer stocks and transition high-turnover apparel lines toward nearshored European manufacturing nodes.</w:t>
            </w:r>
          </w:p>
        </w:tc>
      </w:tr>
      <w:tr w:rsidR="007B2881" w:rsidRPr="00BF2A91" w14:paraId="03B60E44" w14:textId="77777777" w:rsidTr="00A30E0C">
        <w:trPr>
          <w:jc w:val="center"/>
        </w:trPr>
        <w:tc>
          <w:tcPr>
            <w:tcW w:w="2592" w:type="dxa"/>
            <w:shd w:val="clear" w:color="auto" w:fill="FFFFFF" w:themeFill="background1"/>
            <w:tcMar>
              <w:top w:w="100" w:type="dxa"/>
              <w:left w:w="150" w:type="dxa"/>
              <w:bottom w:w="100" w:type="dxa"/>
              <w:right w:w="150" w:type="dxa"/>
            </w:tcMar>
          </w:tcPr>
          <w:p w14:paraId="60341C68" w14:textId="77777777" w:rsidR="007B2881" w:rsidRPr="00BF2A91" w:rsidRDefault="00000000" w:rsidP="00463A90">
            <w:pPr>
              <w:spacing w:line="360" w:lineRule="auto"/>
              <w:jc w:val="both"/>
            </w:pPr>
            <w:r w:rsidRPr="00BF2A91">
              <w:t>Customer Acquisition Costs</w:t>
            </w:r>
          </w:p>
        </w:tc>
        <w:tc>
          <w:tcPr>
            <w:tcW w:w="2880" w:type="dxa"/>
            <w:shd w:val="clear" w:color="auto" w:fill="FFFFFF" w:themeFill="background1"/>
            <w:tcMar>
              <w:top w:w="100" w:type="dxa"/>
              <w:left w:w="150" w:type="dxa"/>
              <w:bottom w:w="100" w:type="dxa"/>
              <w:right w:w="150" w:type="dxa"/>
            </w:tcMar>
          </w:tcPr>
          <w:p w14:paraId="4A329B3F" w14:textId="77777777" w:rsidR="007B2881" w:rsidRPr="00BF2A91" w:rsidRDefault="00000000" w:rsidP="00463A90">
            <w:pPr>
              <w:spacing w:line="360" w:lineRule="auto"/>
              <w:jc w:val="both"/>
            </w:pPr>
            <w:r w:rsidRPr="00BF2A91">
              <w:t>Escalating digital advertising costs suppress digital DTC profit margins.</w:t>
            </w:r>
          </w:p>
        </w:tc>
        <w:tc>
          <w:tcPr>
            <w:tcW w:w="3888" w:type="dxa"/>
            <w:shd w:val="clear" w:color="auto" w:fill="FFFFFF" w:themeFill="background1"/>
            <w:tcMar>
              <w:top w:w="100" w:type="dxa"/>
              <w:left w:w="150" w:type="dxa"/>
              <w:bottom w:w="100" w:type="dxa"/>
              <w:right w:w="150" w:type="dxa"/>
            </w:tcMar>
          </w:tcPr>
          <w:p w14:paraId="127A9515" w14:textId="77777777" w:rsidR="007B2881" w:rsidRPr="00BF2A91" w:rsidRDefault="00000000" w:rsidP="00463A90">
            <w:pPr>
              <w:spacing w:line="360" w:lineRule="auto"/>
              <w:jc w:val="both"/>
            </w:pPr>
            <w:r w:rsidRPr="00BF2A91">
              <w:t>Shift marketing budgets from broad paid search ads toward organic community run-club sponsorship and localized event activation.</w:t>
            </w:r>
          </w:p>
        </w:tc>
      </w:tr>
    </w:tbl>
    <w:p w14:paraId="7A4DECB0" w14:textId="77777777" w:rsidR="007B2881" w:rsidRPr="00BF2A91" w:rsidRDefault="007B2881" w:rsidP="00463A90">
      <w:pPr>
        <w:spacing w:line="360" w:lineRule="auto"/>
        <w:jc w:val="both"/>
      </w:pPr>
    </w:p>
    <w:p w14:paraId="73917CD2" w14:textId="77777777" w:rsidR="007B2881" w:rsidRPr="003941E5" w:rsidRDefault="00000000" w:rsidP="00307DA5">
      <w:pPr>
        <w:pStyle w:val="Heading2"/>
        <w:spacing w:line="360" w:lineRule="auto"/>
        <w:jc w:val="both"/>
        <w:rPr>
          <w:color w:val="000000" w:themeColor="text1"/>
          <w:sz w:val="30"/>
          <w:szCs w:val="30"/>
        </w:rPr>
      </w:pPr>
      <w:bookmarkStart w:id="22" w:name="_Toc237398114"/>
      <w:bookmarkStart w:id="23" w:name="_Toc237404197"/>
      <w:r w:rsidRPr="003941E5">
        <w:rPr>
          <w:color w:val="000000" w:themeColor="text1"/>
          <w:sz w:val="30"/>
          <w:szCs w:val="30"/>
        </w:rPr>
        <w:lastRenderedPageBreak/>
        <w:t>SECTION 2: CRITICAL REFLECTIVE ACCOUNT</w:t>
      </w:r>
      <w:bookmarkEnd w:id="22"/>
      <w:bookmarkEnd w:id="23"/>
    </w:p>
    <w:p w14:paraId="2F6E69BE" w14:textId="77777777" w:rsidR="007B2881" w:rsidRPr="003941E5" w:rsidRDefault="00000000" w:rsidP="00307DA5">
      <w:pPr>
        <w:spacing w:line="360" w:lineRule="auto"/>
        <w:jc w:val="both"/>
        <w:outlineLvl w:val="0"/>
        <w:rPr>
          <w:b/>
          <w:bCs/>
        </w:rPr>
      </w:pPr>
      <w:bookmarkStart w:id="24" w:name="_Toc237404198"/>
      <w:r w:rsidRPr="003941E5">
        <w:rPr>
          <w:b/>
          <w:bCs/>
        </w:rPr>
        <w:t>Applying Gibbs’ Reflective Cycle (1988)</w:t>
      </w:r>
      <w:bookmarkEnd w:id="24"/>
    </w:p>
    <w:p w14:paraId="39DB75C4" w14:textId="77777777" w:rsidR="007B2881" w:rsidRPr="00BF2A91" w:rsidRDefault="00000000" w:rsidP="00307DA5">
      <w:pPr>
        <w:spacing w:line="360" w:lineRule="auto"/>
        <w:jc w:val="both"/>
      </w:pPr>
      <w:r w:rsidRPr="00BF2A91">
        <w:t>Writing this strategic evaluation required a continuous transition between high-level management theory and localized operational analysis. To critically evaluate my personal learning process, research methodology, and analytical development, I apply Gibbs’ Reflective Cycle (1988). This reflective framework structures self-appraisal across six sequential stages: Description, Feelings, Evaluation, Analysis, Conclusion, and Action Plan.</w:t>
      </w:r>
    </w:p>
    <w:p w14:paraId="3341AE94" w14:textId="77777777" w:rsidR="007B2881" w:rsidRPr="00BF2A91" w:rsidRDefault="00000000" w:rsidP="00307DA5">
      <w:pPr>
        <w:spacing w:line="360" w:lineRule="auto"/>
        <w:jc w:val="both"/>
        <w:outlineLvl w:val="1"/>
      </w:pPr>
      <w:bookmarkStart w:id="25" w:name="_Toc237404199"/>
      <w:r w:rsidRPr="00BF2A91">
        <w:t xml:space="preserve">1. </w:t>
      </w:r>
      <w:r w:rsidRPr="00A30E0C">
        <w:rPr>
          <w:b/>
          <w:bCs/>
        </w:rPr>
        <w:t>Description</w:t>
      </w:r>
      <w:bookmarkEnd w:id="25"/>
    </w:p>
    <w:p w14:paraId="79D33D74" w14:textId="77777777" w:rsidR="007B2881" w:rsidRPr="00BF2A91" w:rsidRDefault="00000000" w:rsidP="00307DA5">
      <w:pPr>
        <w:spacing w:line="360" w:lineRule="auto"/>
        <w:jc w:val="both"/>
      </w:pPr>
      <w:r w:rsidRPr="00BF2A91">
        <w:t>My task was to act as an external strategic management consultant tasked with producing a comprehensive assessment for the Board of Directors of Adidas AG. The core mandate required evaluating the strategic positioning of the Adidas Performance SBU within the specific geographic boundaries of the United Kingdom. I conducted a detailed multi-framework analysis—incorporating PESTEL, VRIO, SWOT, the Balanced Scorecard, Porter’s Generic Strategies, Ansoff’s Matrix, and the SAFe framework—to produce actionable strategic recommendations supported by academic literature.</w:t>
      </w:r>
    </w:p>
    <w:p w14:paraId="37E9753D" w14:textId="77777777" w:rsidR="007B2881" w:rsidRPr="00BF2A91" w:rsidRDefault="00000000" w:rsidP="00307DA5">
      <w:pPr>
        <w:spacing w:line="360" w:lineRule="auto"/>
        <w:jc w:val="both"/>
        <w:outlineLvl w:val="1"/>
      </w:pPr>
      <w:bookmarkStart w:id="26" w:name="_Toc237404200"/>
      <w:r w:rsidRPr="00BF2A91">
        <w:t xml:space="preserve">2. </w:t>
      </w:r>
      <w:r w:rsidRPr="00A30E0C">
        <w:rPr>
          <w:b/>
          <w:bCs/>
        </w:rPr>
        <w:t>Feelings</w:t>
      </w:r>
      <w:bookmarkEnd w:id="26"/>
    </w:p>
    <w:p w14:paraId="124386CB" w14:textId="77777777" w:rsidR="007B2881" w:rsidRDefault="00000000" w:rsidP="00307DA5">
      <w:pPr>
        <w:spacing w:line="360" w:lineRule="auto"/>
        <w:jc w:val="both"/>
      </w:pPr>
      <w:r w:rsidRPr="00BF2A91">
        <w:t>At the beginning of the research process, I experienced significant anxiety regarding the vast scope of Adidas AG's global operations. Isolating a single SBU (Performance) within a single national market (the UK) initially felt unnaturally restrictive. I worried that limiting the geographic scope would reduce the richness of the analysis. However, as I gathered localized data concerning UK retail distribution dynamics, post-Brexit trade complexities, and the rapid rise of challenger brands like On Running and HOKA, my perspective shifted. I felt increasingly confident as the value of focused, disaggregated analytical boundaries became clear.</w:t>
      </w:r>
    </w:p>
    <w:p w14:paraId="5B156F50" w14:textId="77777777" w:rsidR="00505B95" w:rsidRDefault="00505B95" w:rsidP="00307DA5">
      <w:pPr>
        <w:spacing w:line="360" w:lineRule="auto"/>
        <w:jc w:val="both"/>
      </w:pPr>
    </w:p>
    <w:p w14:paraId="4F1BA269" w14:textId="77777777" w:rsidR="00505B95" w:rsidRPr="00BF2A91" w:rsidRDefault="00505B95" w:rsidP="00307DA5">
      <w:pPr>
        <w:spacing w:line="360" w:lineRule="auto"/>
        <w:jc w:val="both"/>
      </w:pPr>
    </w:p>
    <w:p w14:paraId="4396E739" w14:textId="77777777" w:rsidR="007B2881" w:rsidRPr="00BF2A91" w:rsidRDefault="00000000" w:rsidP="00307DA5">
      <w:pPr>
        <w:spacing w:line="360" w:lineRule="auto"/>
        <w:jc w:val="both"/>
        <w:outlineLvl w:val="1"/>
      </w:pPr>
      <w:bookmarkStart w:id="27" w:name="_Toc237404201"/>
      <w:r w:rsidRPr="00BF2A91">
        <w:lastRenderedPageBreak/>
        <w:t xml:space="preserve">3. </w:t>
      </w:r>
      <w:r w:rsidRPr="00A30E0C">
        <w:rPr>
          <w:b/>
          <w:bCs/>
        </w:rPr>
        <w:t>Evaluation</w:t>
      </w:r>
      <w:bookmarkEnd w:id="27"/>
    </w:p>
    <w:p w14:paraId="0F314882" w14:textId="77777777" w:rsidR="007B2881" w:rsidRPr="00BF2A91" w:rsidRDefault="00000000" w:rsidP="00307DA5">
      <w:pPr>
        <w:spacing w:line="360" w:lineRule="auto"/>
        <w:jc w:val="both"/>
      </w:pPr>
      <w:r w:rsidRPr="00BF2A91">
        <w:t>Reflecting on the research process reveals clear strengths alongside areas for methodology improvement. Maintaining a strict analytical focus on Adidas Performance—while excluding Adidas Originals—prevented thematic confusion between lifestyle fashion and technical sport engineering. Furthermore, synthesizing environmental tools (PESTEL) directly into internal evaluation models (VRIO and SWOT) ensured that strategic recommendations were logically grounded rather than impressionistic. Conversely, extracting UK-specific financial metrics from Adidas AG’s consolidated global annual reports required sophisticated estimation based on regional Western European segment disclosures.</w:t>
      </w:r>
    </w:p>
    <w:p w14:paraId="70B74BAF" w14:textId="77777777" w:rsidR="007B2881" w:rsidRPr="00BF2A91" w:rsidRDefault="00000000" w:rsidP="00307DA5">
      <w:pPr>
        <w:spacing w:line="360" w:lineRule="auto"/>
        <w:jc w:val="both"/>
        <w:outlineLvl w:val="1"/>
      </w:pPr>
      <w:bookmarkStart w:id="28" w:name="_Toc237404202"/>
      <w:r w:rsidRPr="00BF2A91">
        <w:t xml:space="preserve">4. </w:t>
      </w:r>
      <w:r w:rsidRPr="00A30E0C">
        <w:rPr>
          <w:b/>
          <w:bCs/>
        </w:rPr>
        <w:t>Analysis</w:t>
      </w:r>
      <w:bookmarkEnd w:id="28"/>
    </w:p>
    <w:p w14:paraId="42DF7C13" w14:textId="77777777" w:rsidR="007B2881" w:rsidRPr="00BF2A91" w:rsidRDefault="00000000" w:rsidP="00307DA5">
      <w:pPr>
        <w:spacing w:line="360" w:lineRule="auto"/>
        <w:jc w:val="both"/>
      </w:pPr>
      <w:r w:rsidRPr="00BF2A91">
        <w:t>This reflective process highlighted the fundamental difference between descriptive writing and critical academic analysis. In early drafts, I tended to accept corporate mission statements at face value. Applying critical management theory forced me to challenge corporate rhetoric (Grant, 2021). For example, while Adidas publicly champions its 'End Plastic Waste' sustainability mandate, critical analysis revealed operational tensions between the high cost of circular material manufacturing and the price sensitivity of UK consumers during periods of economic inflation. Furthermore, constructing the Balanced Scorecard demonstrated that traditional financial metrics are lagging indicators. Sustainable competitive advantage in mature consumer markets depends on leading indicators within internal business processes and learning perspectives—specifically R&amp;D design velocity and digital customer retention (Kaplan and Norton, 1992).</w:t>
      </w:r>
    </w:p>
    <w:p w14:paraId="12A7B65A" w14:textId="77777777" w:rsidR="007B2881" w:rsidRDefault="00000000" w:rsidP="00307DA5">
      <w:pPr>
        <w:spacing w:line="360" w:lineRule="auto"/>
        <w:jc w:val="both"/>
      </w:pPr>
      <w:r w:rsidRPr="00BF2A91">
        <w:t>Additionally, this self-appraisal revealed that effective strategic consultancy requires managing trade-offs between theoretical completeness and actionable brevity. Early framework drafts were overly descriptive, listing broad market observations without linking them directly to strategic choices. By adopting the PEEL (Point, Evidence, Explanation, Link) paragraph structure, I learned to rigorously connect every analytical finding to explicit competitive implications for the Board of Directors.</w:t>
      </w:r>
    </w:p>
    <w:p w14:paraId="01937EDA" w14:textId="77777777" w:rsidR="00A30E0C" w:rsidRPr="00BF2A91" w:rsidRDefault="00A30E0C" w:rsidP="00307DA5">
      <w:pPr>
        <w:spacing w:line="360" w:lineRule="auto"/>
        <w:jc w:val="both"/>
      </w:pPr>
    </w:p>
    <w:p w14:paraId="470B5F2E" w14:textId="77777777" w:rsidR="007B2881" w:rsidRPr="00A30E0C" w:rsidRDefault="00000000" w:rsidP="00307DA5">
      <w:pPr>
        <w:spacing w:line="360" w:lineRule="auto"/>
        <w:jc w:val="both"/>
        <w:outlineLvl w:val="1"/>
        <w:rPr>
          <w:b/>
          <w:bCs/>
        </w:rPr>
      </w:pPr>
      <w:bookmarkStart w:id="29" w:name="_Toc237404203"/>
      <w:r w:rsidRPr="00A30E0C">
        <w:rPr>
          <w:b/>
          <w:bCs/>
        </w:rPr>
        <w:lastRenderedPageBreak/>
        <w:t>5. Conclusion</w:t>
      </w:r>
      <w:bookmarkEnd w:id="29"/>
    </w:p>
    <w:p w14:paraId="1A4F424D" w14:textId="77777777" w:rsidR="007B2881" w:rsidRPr="00BF2A91" w:rsidRDefault="00000000" w:rsidP="00307DA5">
      <w:pPr>
        <w:spacing w:line="360" w:lineRule="auto"/>
        <w:jc w:val="both"/>
      </w:pPr>
      <w:r w:rsidRPr="00BF2A91">
        <w:t>In conclusion, the assessment successfully bridged academic strategic management theory with practical business decision-making. The experience proved that theoretical frameworks are not rigid academic exercises; they are vital analytical tools for structuring complex, unstructured business environments. Had I repeated this project from the beginning, I would have incorporated primary empirical sentiment data from UK running communities to further validate the customer perspective of the Balanced Scorecard.</w:t>
      </w:r>
    </w:p>
    <w:p w14:paraId="6DAF4E99" w14:textId="77777777" w:rsidR="007B2881" w:rsidRPr="00A30E0C" w:rsidRDefault="00000000" w:rsidP="00307DA5">
      <w:pPr>
        <w:spacing w:line="360" w:lineRule="auto"/>
        <w:jc w:val="both"/>
        <w:outlineLvl w:val="1"/>
        <w:rPr>
          <w:b/>
          <w:bCs/>
        </w:rPr>
      </w:pPr>
      <w:bookmarkStart w:id="30" w:name="_Toc237404204"/>
      <w:r w:rsidRPr="00A30E0C">
        <w:rPr>
          <w:b/>
          <w:bCs/>
        </w:rPr>
        <w:t>6. Action Plan</w:t>
      </w:r>
      <w:bookmarkEnd w:id="30"/>
    </w:p>
    <w:p w14:paraId="7967407C" w14:textId="77777777" w:rsidR="007B2881" w:rsidRPr="00BF2A91" w:rsidRDefault="00000000" w:rsidP="00307DA5">
      <w:pPr>
        <w:spacing w:line="360" w:lineRule="auto"/>
        <w:jc w:val="both"/>
      </w:pPr>
      <w:r w:rsidRPr="00BF2A91">
        <w:t>To improve my future professional and academic strategic evaluations, I will execute the following developmental steps:</w:t>
      </w:r>
    </w:p>
    <w:p w14:paraId="0921CD76" w14:textId="77777777" w:rsidR="007B2881" w:rsidRPr="00BF2A91" w:rsidRDefault="00000000" w:rsidP="00307DA5">
      <w:pPr>
        <w:spacing w:line="360" w:lineRule="auto"/>
        <w:jc w:val="both"/>
      </w:pPr>
      <w:r w:rsidRPr="00BF2A91">
        <w:t>• Advanced Financial Disaggregation: Develop enhanced quantitative skills to extrapolate localized market performance from consolidated multinational annual report filings.</w:t>
      </w:r>
    </w:p>
    <w:p w14:paraId="70D3D772" w14:textId="77777777" w:rsidR="007B2881" w:rsidRPr="00BF2A91" w:rsidRDefault="00000000" w:rsidP="00307DA5">
      <w:pPr>
        <w:spacing w:line="360" w:lineRule="auto"/>
        <w:jc w:val="both"/>
      </w:pPr>
      <w:r w:rsidRPr="00BF2A91">
        <w:t>• Iterative Framework Mapping: Outline strategic recommendations concurrently with environmental audits to ensure every analytical tool directly informs final strategic choices.</w:t>
      </w:r>
    </w:p>
    <w:p w14:paraId="09FD175F" w14:textId="77777777" w:rsidR="007B2881" w:rsidRPr="00BF2A91" w:rsidRDefault="00000000" w:rsidP="00307DA5">
      <w:pPr>
        <w:spacing w:line="360" w:lineRule="auto"/>
        <w:jc w:val="both"/>
      </w:pPr>
      <w:r w:rsidRPr="00BF2A91">
        <w:t>• Refined Critical Syntheses: Prioritize critical academic debate over descriptive corporate summaries in all future strategic consulting deliverables.</w:t>
      </w:r>
    </w:p>
    <w:p w14:paraId="66C49D42" w14:textId="77777777" w:rsidR="004D3A22" w:rsidRDefault="004D3A22" w:rsidP="00BF2A91"/>
    <w:p w14:paraId="3F84B425" w14:textId="77777777" w:rsidR="001C6F9F" w:rsidRPr="00BF2A91" w:rsidRDefault="001C6F9F" w:rsidP="00BF2A91"/>
    <w:p w14:paraId="4BBAB984" w14:textId="77777777" w:rsidR="007B2881" w:rsidRPr="006A565F" w:rsidRDefault="00000000" w:rsidP="00307DA5">
      <w:pPr>
        <w:spacing w:line="360" w:lineRule="auto"/>
        <w:jc w:val="both"/>
        <w:outlineLvl w:val="0"/>
        <w:rPr>
          <w:b/>
          <w:bCs/>
          <w:sz w:val="30"/>
          <w:szCs w:val="30"/>
        </w:rPr>
      </w:pPr>
      <w:bookmarkStart w:id="31" w:name="_Toc237404205"/>
      <w:r w:rsidRPr="006A565F">
        <w:rPr>
          <w:b/>
          <w:bCs/>
          <w:sz w:val="30"/>
          <w:szCs w:val="30"/>
        </w:rPr>
        <w:t>REFERENCES</w:t>
      </w:r>
      <w:bookmarkEnd w:id="31"/>
    </w:p>
    <w:p w14:paraId="6864050C" w14:textId="77777777" w:rsidR="00C7525C" w:rsidRPr="00C7525C" w:rsidRDefault="00C7525C" w:rsidP="00C7525C">
      <w:pPr>
        <w:spacing w:line="360" w:lineRule="auto"/>
        <w:jc w:val="both"/>
        <w:rPr>
          <w:lang w:val="en-GB"/>
        </w:rPr>
      </w:pPr>
      <w:r w:rsidRPr="00C7525C">
        <w:rPr>
          <w:lang w:val="en-GB"/>
        </w:rPr>
        <w:t xml:space="preserve">Adidas AG (2024) </w:t>
      </w:r>
      <w:r w:rsidRPr="00C7525C">
        <w:rPr>
          <w:i/>
          <w:iCs/>
          <w:lang w:val="en-GB"/>
        </w:rPr>
        <w:t>Annual report 2023: Financial and sustainability performance</w:t>
      </w:r>
      <w:r w:rsidRPr="00C7525C">
        <w:rPr>
          <w:lang w:val="en-GB"/>
        </w:rPr>
        <w:t xml:space="preserve">. Herzogenaurach: Adidas AG. Available at: </w:t>
      </w:r>
      <w:hyperlink r:id="rId10" w:tgtFrame="_new" w:history="1">
        <w:r w:rsidRPr="00C7525C">
          <w:rPr>
            <w:rStyle w:val="Hyperlink"/>
            <w:lang w:val="en-GB"/>
          </w:rPr>
          <w:t>https://www.adidas-group.com/en/investors/financial-reports/</w:t>
        </w:r>
      </w:hyperlink>
    </w:p>
    <w:p w14:paraId="60228582" w14:textId="77777777" w:rsidR="00C7525C" w:rsidRPr="00C7525C" w:rsidRDefault="00C7525C" w:rsidP="00C7525C">
      <w:pPr>
        <w:spacing w:line="360" w:lineRule="auto"/>
        <w:jc w:val="both"/>
        <w:rPr>
          <w:lang w:val="en-GB"/>
        </w:rPr>
      </w:pPr>
      <w:r w:rsidRPr="00C7525C">
        <w:rPr>
          <w:lang w:val="en-GB"/>
        </w:rPr>
        <w:t xml:space="preserve">Bank of England (2025) </w:t>
      </w:r>
      <w:r w:rsidRPr="00C7525C">
        <w:rPr>
          <w:i/>
          <w:iCs/>
          <w:lang w:val="en-GB"/>
        </w:rPr>
        <w:t>Monetary policy report: Inflation and household spending dynamics in the UK</w:t>
      </w:r>
      <w:r w:rsidRPr="00C7525C">
        <w:rPr>
          <w:lang w:val="en-GB"/>
        </w:rPr>
        <w:t xml:space="preserve">. London: Bank of England Publications. Available at: </w:t>
      </w:r>
      <w:hyperlink r:id="rId11" w:tgtFrame="_new" w:history="1">
        <w:r w:rsidRPr="00C7525C">
          <w:rPr>
            <w:rStyle w:val="Hyperlink"/>
            <w:lang w:val="en-GB"/>
          </w:rPr>
          <w:t>https://www.bankofengland.co.uk/monetary-policy-report/</w:t>
        </w:r>
      </w:hyperlink>
    </w:p>
    <w:p w14:paraId="2768B880" w14:textId="77777777" w:rsidR="00C7525C" w:rsidRPr="00C7525C" w:rsidRDefault="00C7525C" w:rsidP="00C7525C">
      <w:pPr>
        <w:spacing w:line="360" w:lineRule="auto"/>
        <w:jc w:val="both"/>
        <w:rPr>
          <w:lang w:val="en-GB"/>
        </w:rPr>
      </w:pPr>
      <w:r w:rsidRPr="00C7525C">
        <w:rPr>
          <w:lang w:val="en-GB"/>
        </w:rPr>
        <w:lastRenderedPageBreak/>
        <w:t xml:space="preserve">Barney, J.B. (1991) ‘Firm resources and sustained competitive advantage’, </w:t>
      </w:r>
      <w:r w:rsidRPr="00C7525C">
        <w:rPr>
          <w:i/>
          <w:iCs/>
          <w:lang w:val="en-GB"/>
        </w:rPr>
        <w:t>Journal of Management</w:t>
      </w:r>
      <w:r w:rsidRPr="00C7525C">
        <w:rPr>
          <w:lang w:val="en-GB"/>
        </w:rPr>
        <w:t xml:space="preserve">, 17(1), pp. 99–120. Available at: </w:t>
      </w:r>
      <w:hyperlink r:id="rId12" w:tgtFrame="_new" w:history="1">
        <w:r w:rsidRPr="00C7525C">
          <w:rPr>
            <w:rStyle w:val="Hyperlink"/>
            <w:lang w:val="en-GB"/>
          </w:rPr>
          <w:t>https://doi.org/10.1177/014920639101700108</w:t>
        </w:r>
      </w:hyperlink>
    </w:p>
    <w:p w14:paraId="777ACC08" w14:textId="77777777" w:rsidR="00C7525C" w:rsidRPr="00C7525C" w:rsidRDefault="00C7525C" w:rsidP="00C7525C">
      <w:pPr>
        <w:spacing w:line="360" w:lineRule="auto"/>
        <w:jc w:val="both"/>
        <w:rPr>
          <w:lang w:val="en-GB"/>
        </w:rPr>
      </w:pPr>
      <w:r w:rsidRPr="00C7525C">
        <w:rPr>
          <w:lang w:val="en-GB"/>
        </w:rPr>
        <w:t xml:space="preserve">Competition and Markets Authority (CMA) (2024) </w:t>
      </w:r>
      <w:r w:rsidRPr="00C7525C">
        <w:rPr>
          <w:i/>
          <w:iCs/>
          <w:lang w:val="en-GB"/>
        </w:rPr>
        <w:t>Guidance on environmental claims on goods and services: Helping businesses comply with consumer protection law</w:t>
      </w:r>
      <w:r w:rsidRPr="00C7525C">
        <w:rPr>
          <w:lang w:val="en-GB"/>
        </w:rPr>
        <w:t xml:space="preserve">. London: CMA. Available at: </w:t>
      </w:r>
      <w:hyperlink r:id="rId13" w:tgtFrame="_new" w:history="1">
        <w:r w:rsidRPr="00C7525C">
          <w:rPr>
            <w:rStyle w:val="Hyperlink"/>
            <w:lang w:val="en-GB"/>
          </w:rPr>
          <w:t>https://www.gov.uk/government/organisations/competition-and-markets-authority</w:t>
        </w:r>
      </w:hyperlink>
    </w:p>
    <w:p w14:paraId="3CF23E53" w14:textId="77777777" w:rsidR="00C7525C" w:rsidRPr="00C7525C" w:rsidRDefault="00C7525C" w:rsidP="00C7525C">
      <w:pPr>
        <w:spacing w:line="360" w:lineRule="auto"/>
        <w:jc w:val="both"/>
        <w:rPr>
          <w:lang w:val="en-GB"/>
        </w:rPr>
      </w:pPr>
      <w:r w:rsidRPr="00C7525C">
        <w:rPr>
          <w:lang w:val="en-GB"/>
        </w:rPr>
        <w:t xml:space="preserve">Euromonitor International (2025) </w:t>
      </w:r>
      <w:r w:rsidRPr="00C7525C">
        <w:rPr>
          <w:i/>
          <w:iCs/>
          <w:lang w:val="en-GB"/>
        </w:rPr>
        <w:t>Sportswear in the United Kingdom: Sector analysis and competitive landscape</w:t>
      </w:r>
      <w:r w:rsidRPr="00C7525C">
        <w:rPr>
          <w:lang w:val="en-GB"/>
        </w:rPr>
        <w:t xml:space="preserve">. London: Euromonitor. Available at: </w:t>
      </w:r>
      <w:hyperlink r:id="rId14" w:tgtFrame="_new" w:history="1">
        <w:r w:rsidRPr="00C7525C">
          <w:rPr>
            <w:rStyle w:val="Hyperlink"/>
            <w:lang w:val="en-GB"/>
          </w:rPr>
          <w:t>https://www.euromonitor.com/uk</w:t>
        </w:r>
      </w:hyperlink>
    </w:p>
    <w:p w14:paraId="344DD3E4" w14:textId="77777777" w:rsidR="00C7525C" w:rsidRPr="00C7525C" w:rsidRDefault="00C7525C" w:rsidP="00C7525C">
      <w:pPr>
        <w:spacing w:line="360" w:lineRule="auto"/>
        <w:jc w:val="both"/>
        <w:rPr>
          <w:lang w:val="en-GB"/>
        </w:rPr>
      </w:pPr>
      <w:r w:rsidRPr="00C7525C">
        <w:rPr>
          <w:lang w:val="en-GB"/>
        </w:rPr>
        <w:t xml:space="preserve">Gibbs, G. (1988) </w:t>
      </w:r>
      <w:r w:rsidRPr="00C7525C">
        <w:rPr>
          <w:i/>
          <w:iCs/>
          <w:lang w:val="en-GB"/>
        </w:rPr>
        <w:t>Learning by doing: A guide to teaching and learning methods</w:t>
      </w:r>
      <w:r w:rsidRPr="00C7525C">
        <w:rPr>
          <w:lang w:val="en-GB"/>
        </w:rPr>
        <w:t xml:space="preserve">. Oxford: Oxford Polytechnic, Further Education Unit. Available at: </w:t>
      </w:r>
      <w:hyperlink r:id="rId15" w:tgtFrame="_new" w:history="1">
        <w:r w:rsidRPr="00C7525C">
          <w:rPr>
            <w:rStyle w:val="Hyperlink"/>
            <w:lang w:val="en-GB"/>
          </w:rPr>
          <w:t>https://www.scribd.com/document/370217247/Gibbs-1988-Learning-by-Doing</w:t>
        </w:r>
      </w:hyperlink>
    </w:p>
    <w:p w14:paraId="28C68E39" w14:textId="77777777" w:rsidR="00C7525C" w:rsidRPr="00C7525C" w:rsidRDefault="00C7525C" w:rsidP="00C7525C">
      <w:pPr>
        <w:spacing w:line="360" w:lineRule="auto"/>
        <w:jc w:val="both"/>
        <w:rPr>
          <w:lang w:val="en-GB"/>
        </w:rPr>
      </w:pPr>
      <w:r w:rsidRPr="00C7525C">
        <w:rPr>
          <w:lang w:val="en-GB"/>
        </w:rPr>
        <w:t xml:space="preserve">Grant, R.M. (2021) </w:t>
      </w:r>
      <w:r w:rsidRPr="00C7525C">
        <w:rPr>
          <w:i/>
          <w:iCs/>
          <w:lang w:val="en-GB"/>
        </w:rPr>
        <w:t>Contemporary strategy analysis</w:t>
      </w:r>
      <w:r w:rsidRPr="00C7525C">
        <w:rPr>
          <w:lang w:val="en-GB"/>
        </w:rPr>
        <w:t xml:space="preserve">. 11th edn. Hoboken, NJ: Wiley. Available at: </w:t>
      </w:r>
      <w:hyperlink r:id="rId16" w:tgtFrame="_new" w:history="1">
        <w:r w:rsidRPr="00C7525C">
          <w:rPr>
            <w:rStyle w:val="Hyperlink"/>
            <w:lang w:val="en-GB"/>
          </w:rPr>
          <w:t>https://www.wiley.com/en-us/Contemporary+Strategy+Analysis%2C+11th+Edition-p-9781119815235</w:t>
        </w:r>
      </w:hyperlink>
    </w:p>
    <w:p w14:paraId="644AE39E" w14:textId="77777777" w:rsidR="00C7525C" w:rsidRPr="00C7525C" w:rsidRDefault="00C7525C" w:rsidP="00C7525C">
      <w:pPr>
        <w:spacing w:line="360" w:lineRule="auto"/>
        <w:jc w:val="both"/>
        <w:rPr>
          <w:lang w:val="en-GB"/>
        </w:rPr>
      </w:pPr>
      <w:r w:rsidRPr="00C7525C">
        <w:rPr>
          <w:lang w:val="en-GB"/>
        </w:rPr>
        <w:t xml:space="preserve">Institute for Government (2024) </w:t>
      </w:r>
      <w:r w:rsidRPr="00C7525C">
        <w:rPr>
          <w:i/>
          <w:iCs/>
          <w:lang w:val="en-GB"/>
        </w:rPr>
        <w:t>Post-Brexit trade barriers and UK-EU supply chain friction</w:t>
      </w:r>
      <w:r w:rsidRPr="00C7525C">
        <w:rPr>
          <w:lang w:val="en-GB"/>
        </w:rPr>
        <w:t xml:space="preserve">. London: Institute for Government. Available at: </w:t>
      </w:r>
      <w:hyperlink r:id="rId17" w:tgtFrame="_new" w:history="1">
        <w:r w:rsidRPr="00C7525C">
          <w:rPr>
            <w:rStyle w:val="Hyperlink"/>
            <w:lang w:val="en-GB"/>
          </w:rPr>
          <w:t>https://www.instituteforgovernment.org.uk/publications</w:t>
        </w:r>
      </w:hyperlink>
    </w:p>
    <w:p w14:paraId="280B061B" w14:textId="77777777" w:rsidR="00C7525C" w:rsidRPr="00C7525C" w:rsidRDefault="00C7525C" w:rsidP="00C7525C">
      <w:pPr>
        <w:spacing w:line="360" w:lineRule="auto"/>
        <w:jc w:val="both"/>
        <w:rPr>
          <w:lang w:val="en-GB"/>
        </w:rPr>
      </w:pPr>
      <w:r w:rsidRPr="00C7525C">
        <w:rPr>
          <w:lang w:val="en-GB"/>
        </w:rPr>
        <w:t xml:space="preserve">Johnson, G., Whittington, R., Regnér, P., Scholes, K. and Angwin, D. (2023) </w:t>
      </w:r>
      <w:r w:rsidRPr="00C7525C">
        <w:rPr>
          <w:i/>
          <w:iCs/>
          <w:lang w:val="en-GB"/>
        </w:rPr>
        <w:t>Exploring corporate strategy: Text and cases</w:t>
      </w:r>
      <w:r w:rsidRPr="00C7525C">
        <w:rPr>
          <w:lang w:val="en-GB"/>
        </w:rPr>
        <w:t xml:space="preserve">. 13th edn. Harlow: Pearson Education. Available at: </w:t>
      </w:r>
      <w:hyperlink r:id="rId18" w:tgtFrame="_new" w:history="1">
        <w:r w:rsidRPr="00C7525C">
          <w:rPr>
            <w:rStyle w:val="Hyperlink"/>
            <w:lang w:val="en-GB"/>
          </w:rPr>
          <w:t>https://www.pearson.com/en-gb/subject-catalog/p/exploring-strategy-text-and-cases/P200000003730</w:t>
        </w:r>
      </w:hyperlink>
    </w:p>
    <w:p w14:paraId="49F60E41" w14:textId="77777777" w:rsidR="00C7525C" w:rsidRPr="00C7525C" w:rsidRDefault="00C7525C" w:rsidP="00C7525C">
      <w:pPr>
        <w:spacing w:line="360" w:lineRule="auto"/>
        <w:jc w:val="both"/>
        <w:rPr>
          <w:lang w:val="en-GB"/>
        </w:rPr>
      </w:pPr>
      <w:r w:rsidRPr="00C7525C">
        <w:rPr>
          <w:lang w:val="en-GB"/>
        </w:rPr>
        <w:t xml:space="preserve">Kaplan, R.S. and Norton, D.P. (1992) ‘The balanced scorecard: Measures that drive performance’, </w:t>
      </w:r>
      <w:r w:rsidRPr="00C7525C">
        <w:rPr>
          <w:i/>
          <w:iCs/>
          <w:lang w:val="en-GB"/>
        </w:rPr>
        <w:t>Harvard Business Review</w:t>
      </w:r>
      <w:r w:rsidRPr="00C7525C">
        <w:rPr>
          <w:lang w:val="en-GB"/>
        </w:rPr>
        <w:t xml:space="preserve">, 70(1), pp. 71–79. Available at: </w:t>
      </w:r>
      <w:hyperlink r:id="rId19" w:tgtFrame="_new" w:history="1">
        <w:r w:rsidRPr="00C7525C">
          <w:rPr>
            <w:rStyle w:val="Hyperlink"/>
            <w:lang w:val="en-GB"/>
          </w:rPr>
          <w:t>https://hbr.org/1992/01/the-balanced-scorecard-measures-that-drive-performance-2</w:t>
        </w:r>
      </w:hyperlink>
    </w:p>
    <w:p w14:paraId="7F8DA249" w14:textId="77777777" w:rsidR="00C7525C" w:rsidRPr="00C7525C" w:rsidRDefault="00C7525C" w:rsidP="00C7525C">
      <w:pPr>
        <w:spacing w:line="360" w:lineRule="auto"/>
        <w:jc w:val="both"/>
        <w:rPr>
          <w:lang w:val="en-GB"/>
        </w:rPr>
      </w:pPr>
      <w:r w:rsidRPr="00C7525C">
        <w:rPr>
          <w:lang w:val="en-GB"/>
        </w:rPr>
        <w:lastRenderedPageBreak/>
        <w:t xml:space="preserve">Mintel (2024) </w:t>
      </w:r>
      <w:r w:rsidRPr="00C7525C">
        <w:rPr>
          <w:i/>
          <w:iCs/>
          <w:lang w:val="en-GB"/>
        </w:rPr>
        <w:t>UK running footwear &amp; activewear market report 2024</w:t>
      </w:r>
      <w:r w:rsidRPr="00C7525C">
        <w:rPr>
          <w:lang w:val="en-GB"/>
        </w:rPr>
        <w:t xml:space="preserve">. London: Mintel Group Ltd. Available at: </w:t>
      </w:r>
      <w:hyperlink r:id="rId20" w:tgtFrame="_new" w:history="1">
        <w:r w:rsidRPr="00C7525C">
          <w:rPr>
            <w:rStyle w:val="Hyperlink"/>
            <w:lang w:val="en-GB"/>
          </w:rPr>
          <w:t>https://store.mintel.com/</w:t>
        </w:r>
      </w:hyperlink>
    </w:p>
    <w:p w14:paraId="7797C014" w14:textId="77777777" w:rsidR="00C7525C" w:rsidRPr="00C7525C" w:rsidRDefault="00C7525C" w:rsidP="00C7525C">
      <w:pPr>
        <w:spacing w:line="360" w:lineRule="auto"/>
        <w:jc w:val="both"/>
        <w:rPr>
          <w:lang w:val="en-GB"/>
        </w:rPr>
      </w:pPr>
      <w:r w:rsidRPr="00C7525C">
        <w:rPr>
          <w:lang w:val="en-GB"/>
        </w:rPr>
        <w:t xml:space="preserve">Porter, M.E. (1985) </w:t>
      </w:r>
      <w:r w:rsidRPr="00C7525C">
        <w:rPr>
          <w:i/>
          <w:iCs/>
          <w:lang w:val="en-GB"/>
        </w:rPr>
        <w:t>Competitive advantage: Creating and sustaining superior performance</w:t>
      </w:r>
      <w:r w:rsidRPr="00C7525C">
        <w:rPr>
          <w:lang w:val="en-GB"/>
        </w:rPr>
        <w:t xml:space="preserve">. New York: Free Press. Available at: </w:t>
      </w:r>
      <w:hyperlink r:id="rId21" w:tgtFrame="_new" w:history="1">
        <w:r w:rsidRPr="00C7525C">
          <w:rPr>
            <w:rStyle w:val="Hyperlink"/>
            <w:lang w:val="en-GB"/>
          </w:rPr>
          <w:t>https://www.simonandschuster.com/books/Competitive-Advantage/Michael-E-Porter/9780684841465</w:t>
        </w:r>
      </w:hyperlink>
    </w:p>
    <w:p w14:paraId="13B0BF52" w14:textId="77777777" w:rsidR="00C7525C" w:rsidRPr="00C7525C" w:rsidRDefault="00C7525C" w:rsidP="00C7525C">
      <w:pPr>
        <w:spacing w:line="360" w:lineRule="auto"/>
        <w:jc w:val="both"/>
        <w:rPr>
          <w:lang w:val="en-GB"/>
        </w:rPr>
      </w:pPr>
      <w:r w:rsidRPr="00C7525C">
        <w:rPr>
          <w:lang w:val="en-GB"/>
        </w:rPr>
        <w:t xml:space="preserve">Porter, M.E. and Kramer, M.R. (2011) ‘Creating shared value’, </w:t>
      </w:r>
      <w:r w:rsidRPr="00C7525C">
        <w:rPr>
          <w:i/>
          <w:iCs/>
          <w:lang w:val="en-GB"/>
        </w:rPr>
        <w:t>Harvard Business Review</w:t>
      </w:r>
      <w:r w:rsidRPr="00C7525C">
        <w:rPr>
          <w:lang w:val="en-GB"/>
        </w:rPr>
        <w:t xml:space="preserve">, 89(1/2), pp. 62–77. Available at: </w:t>
      </w:r>
      <w:hyperlink r:id="rId22" w:tgtFrame="_new" w:history="1">
        <w:r w:rsidRPr="00C7525C">
          <w:rPr>
            <w:rStyle w:val="Hyperlink"/>
            <w:lang w:val="en-GB"/>
          </w:rPr>
          <w:t>https://hbr.org/2011/01/the-big-idea-creating-shared-value</w:t>
        </w:r>
      </w:hyperlink>
    </w:p>
    <w:p w14:paraId="7EA87098" w14:textId="77777777" w:rsidR="00C7525C" w:rsidRPr="00C7525C" w:rsidRDefault="00C7525C" w:rsidP="00C7525C">
      <w:pPr>
        <w:spacing w:line="360" w:lineRule="auto"/>
        <w:jc w:val="both"/>
        <w:rPr>
          <w:lang w:val="en-GB"/>
        </w:rPr>
      </w:pPr>
      <w:r w:rsidRPr="00C7525C">
        <w:rPr>
          <w:lang w:val="en-GB"/>
        </w:rPr>
        <w:t xml:space="preserve">Smit, B. (2008) </w:t>
      </w:r>
      <w:r w:rsidRPr="00C7525C">
        <w:rPr>
          <w:i/>
          <w:iCs/>
          <w:lang w:val="en-GB"/>
        </w:rPr>
        <w:t>Sneaker wars: The enemy brothers who founded Adidas and Puma and the family feud that forever changed the business of sport</w:t>
      </w:r>
      <w:r w:rsidRPr="00C7525C">
        <w:rPr>
          <w:lang w:val="en-GB"/>
        </w:rPr>
        <w:t xml:space="preserve">. New York: Harper Paperbacks. Available at: </w:t>
      </w:r>
      <w:hyperlink r:id="rId23" w:tgtFrame="_new" w:history="1">
        <w:r w:rsidRPr="00C7525C">
          <w:rPr>
            <w:rStyle w:val="Hyperlink"/>
            <w:lang w:val="en-GB"/>
          </w:rPr>
          <w:t>https://www.harpercollins.com/products/sneaker-wars-barbara-smit</w:t>
        </w:r>
      </w:hyperlink>
    </w:p>
    <w:p w14:paraId="1EF4862F" w14:textId="77777777" w:rsidR="00C7525C" w:rsidRPr="00C7525C" w:rsidRDefault="00C7525C" w:rsidP="00C7525C">
      <w:pPr>
        <w:spacing w:line="360" w:lineRule="auto"/>
        <w:jc w:val="both"/>
        <w:rPr>
          <w:lang w:val="en-GB"/>
        </w:rPr>
      </w:pPr>
      <w:r w:rsidRPr="00C7525C">
        <w:rPr>
          <w:lang w:val="en-GB"/>
        </w:rPr>
        <w:t xml:space="preserve">Teece, D.J. (2019) ‘Dynamic capabilities and strategic management’, </w:t>
      </w:r>
      <w:r w:rsidRPr="00C7525C">
        <w:rPr>
          <w:i/>
          <w:iCs/>
          <w:lang w:val="en-GB"/>
        </w:rPr>
        <w:t>Strategic Management Journal</w:t>
      </w:r>
      <w:r w:rsidRPr="00C7525C">
        <w:rPr>
          <w:lang w:val="en-GB"/>
        </w:rPr>
        <w:t xml:space="preserve">, 18(7), pp. 509–533. Available at: </w:t>
      </w:r>
      <w:hyperlink r:id="rId24" w:tgtFrame="_new" w:history="1">
        <w:r w:rsidRPr="00C7525C">
          <w:rPr>
            <w:rStyle w:val="Hyperlink"/>
            <w:lang w:val="en-GB"/>
          </w:rPr>
          <w:t>https://doi.org/10.1002/(SICI)1097-0266(199708)18:7</w:t>
        </w:r>
      </w:hyperlink>
      <w:r w:rsidRPr="00C7525C">
        <w:rPr>
          <w:lang w:val="en-GB"/>
        </w:rPr>
        <w:t>&lt;509::AID-SMJ882&gt;3.0.CO;2-Z</w:t>
      </w:r>
    </w:p>
    <w:p w14:paraId="25CC826E" w14:textId="77777777" w:rsidR="00C7525C" w:rsidRPr="00C7525C" w:rsidRDefault="00C7525C" w:rsidP="00C7525C">
      <w:pPr>
        <w:spacing w:line="360" w:lineRule="auto"/>
        <w:jc w:val="both"/>
        <w:rPr>
          <w:lang w:val="en-GB"/>
        </w:rPr>
      </w:pPr>
      <w:r w:rsidRPr="00C7525C">
        <w:rPr>
          <w:lang w:val="en-GB"/>
        </w:rPr>
        <w:t xml:space="preserve">Weihrich, H. (1982) ‘The TOWS matrix—A tool for situational analysis’, </w:t>
      </w:r>
      <w:r w:rsidRPr="00C7525C">
        <w:rPr>
          <w:i/>
          <w:iCs/>
          <w:lang w:val="en-GB"/>
        </w:rPr>
        <w:t>Long Range Planning</w:t>
      </w:r>
      <w:r w:rsidRPr="00C7525C">
        <w:rPr>
          <w:lang w:val="en-GB"/>
        </w:rPr>
        <w:t xml:space="preserve">, 15(2), pp. 54–66. Available at: </w:t>
      </w:r>
      <w:hyperlink r:id="rId25" w:tgtFrame="_new" w:history="1">
        <w:r w:rsidRPr="00C7525C">
          <w:rPr>
            <w:rStyle w:val="Hyperlink"/>
            <w:lang w:val="en-GB"/>
          </w:rPr>
          <w:t>https://doi.org/10.1016/0024-6301(82)90120-1</w:t>
        </w:r>
      </w:hyperlink>
    </w:p>
    <w:p w14:paraId="642DC502" w14:textId="77777777" w:rsidR="00BF2A91" w:rsidRPr="00BF2A91" w:rsidRDefault="00BF2A91" w:rsidP="00C7525C">
      <w:pPr>
        <w:spacing w:line="360" w:lineRule="auto"/>
        <w:jc w:val="both"/>
      </w:pPr>
    </w:p>
    <w:sectPr w:rsidR="00BF2A91" w:rsidRPr="00BF2A91" w:rsidSect="00635301">
      <w:footerReference w:type="default" r:id="rId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65719F" w14:textId="77777777" w:rsidR="00B2062E" w:rsidRDefault="00B2062E" w:rsidP="00981AEB">
      <w:pPr>
        <w:spacing w:after="0" w:line="240" w:lineRule="auto"/>
      </w:pPr>
      <w:r>
        <w:separator/>
      </w:r>
    </w:p>
  </w:endnote>
  <w:endnote w:type="continuationSeparator" w:id="0">
    <w:p w14:paraId="5DA1D2D5" w14:textId="77777777" w:rsidR="00B2062E" w:rsidRDefault="00B2062E" w:rsidP="00981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Poppins">
    <w:charset w:val="00"/>
    <w:family w:val="auto"/>
    <w:pitch w:val="variable"/>
    <w:sig w:usb0="00008007" w:usb1="00000000" w:usb2="00000000" w:usb3="00000000" w:csb0="00000093" w:csb1="00000000"/>
  </w:font>
  <w:font w:name="Poppins SemiBold">
    <w:charset w:val="00"/>
    <w:family w:val="auto"/>
    <w:pitch w:val="variable"/>
    <w:sig w:usb0="00008007" w:usb1="00000000" w:usb2="00000000" w:usb3="00000000" w:csb0="00000093" w:csb1="00000000"/>
  </w:font>
  <w:font w:name="Britannic Bold">
    <w:panose1 w:val="020B0903060703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6271608"/>
      <w:docPartObj>
        <w:docPartGallery w:val="Page Numbers (Bottom of Page)"/>
        <w:docPartUnique/>
      </w:docPartObj>
    </w:sdtPr>
    <w:sdtEndPr>
      <w:rPr>
        <w:noProof/>
      </w:rPr>
    </w:sdtEndPr>
    <w:sdtContent>
      <w:p w14:paraId="416DDBD3" w14:textId="6DEE82C3" w:rsidR="006A565F" w:rsidRDefault="006A56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F049C3" w14:textId="77777777" w:rsidR="006A565F" w:rsidRDefault="006A5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88CB60" w14:textId="77777777" w:rsidR="00B2062E" w:rsidRDefault="00B2062E" w:rsidP="00981AEB">
      <w:pPr>
        <w:spacing w:after="0" w:line="240" w:lineRule="auto"/>
      </w:pPr>
      <w:r>
        <w:separator/>
      </w:r>
    </w:p>
  </w:footnote>
  <w:footnote w:type="continuationSeparator" w:id="0">
    <w:p w14:paraId="516C4AF4" w14:textId="77777777" w:rsidR="00B2062E" w:rsidRDefault="00B2062E" w:rsidP="00981A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72402F5"/>
    <w:multiLevelType w:val="multilevel"/>
    <w:tmpl w:val="4028A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384875">
    <w:abstractNumId w:val="8"/>
  </w:num>
  <w:num w:numId="2" w16cid:durableId="1796022604">
    <w:abstractNumId w:val="6"/>
  </w:num>
  <w:num w:numId="3" w16cid:durableId="2095397715">
    <w:abstractNumId w:val="5"/>
  </w:num>
  <w:num w:numId="4" w16cid:durableId="1175261578">
    <w:abstractNumId w:val="4"/>
  </w:num>
  <w:num w:numId="5" w16cid:durableId="1484539090">
    <w:abstractNumId w:val="7"/>
  </w:num>
  <w:num w:numId="6" w16cid:durableId="1872914999">
    <w:abstractNumId w:val="3"/>
  </w:num>
  <w:num w:numId="7" w16cid:durableId="2063943004">
    <w:abstractNumId w:val="2"/>
  </w:num>
  <w:num w:numId="8" w16cid:durableId="2026445155">
    <w:abstractNumId w:val="1"/>
  </w:num>
  <w:num w:numId="9" w16cid:durableId="1419791171">
    <w:abstractNumId w:val="0"/>
  </w:num>
  <w:num w:numId="10" w16cid:durableId="3037770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1ACF"/>
    <w:rsid w:val="00034616"/>
    <w:rsid w:val="0006063C"/>
    <w:rsid w:val="000E7F72"/>
    <w:rsid w:val="0015011B"/>
    <w:rsid w:val="0015074B"/>
    <w:rsid w:val="001A6548"/>
    <w:rsid w:val="001C6F9F"/>
    <w:rsid w:val="001E2FE9"/>
    <w:rsid w:val="00203A98"/>
    <w:rsid w:val="0029639D"/>
    <w:rsid w:val="0029787F"/>
    <w:rsid w:val="002F0F6D"/>
    <w:rsid w:val="00304A3E"/>
    <w:rsid w:val="00307DA5"/>
    <w:rsid w:val="00310CC7"/>
    <w:rsid w:val="0031645B"/>
    <w:rsid w:val="003250AB"/>
    <w:rsid w:val="003269D2"/>
    <w:rsid w:val="00326F90"/>
    <w:rsid w:val="0035786C"/>
    <w:rsid w:val="003941E5"/>
    <w:rsid w:val="003F3138"/>
    <w:rsid w:val="0040359E"/>
    <w:rsid w:val="00463A90"/>
    <w:rsid w:val="004C06FC"/>
    <w:rsid w:val="004D3A22"/>
    <w:rsid w:val="004F0307"/>
    <w:rsid w:val="004F5A12"/>
    <w:rsid w:val="00505B95"/>
    <w:rsid w:val="00535225"/>
    <w:rsid w:val="00551F07"/>
    <w:rsid w:val="00554251"/>
    <w:rsid w:val="00582124"/>
    <w:rsid w:val="00635301"/>
    <w:rsid w:val="00647EA5"/>
    <w:rsid w:val="00667CEC"/>
    <w:rsid w:val="006A565F"/>
    <w:rsid w:val="007510CE"/>
    <w:rsid w:val="007B2881"/>
    <w:rsid w:val="007E71FE"/>
    <w:rsid w:val="00852CF1"/>
    <w:rsid w:val="008F5B3A"/>
    <w:rsid w:val="00910796"/>
    <w:rsid w:val="0095122A"/>
    <w:rsid w:val="00981AEB"/>
    <w:rsid w:val="00A17A2C"/>
    <w:rsid w:val="00A27DC8"/>
    <w:rsid w:val="00A30E0C"/>
    <w:rsid w:val="00A51A41"/>
    <w:rsid w:val="00A70CD5"/>
    <w:rsid w:val="00A736BA"/>
    <w:rsid w:val="00A760A9"/>
    <w:rsid w:val="00AA1D8D"/>
    <w:rsid w:val="00AE5A6F"/>
    <w:rsid w:val="00B2062E"/>
    <w:rsid w:val="00B25CFD"/>
    <w:rsid w:val="00B45B86"/>
    <w:rsid w:val="00B47730"/>
    <w:rsid w:val="00B56CF5"/>
    <w:rsid w:val="00B979D5"/>
    <w:rsid w:val="00BA5D18"/>
    <w:rsid w:val="00BA71FC"/>
    <w:rsid w:val="00BF2A91"/>
    <w:rsid w:val="00C7525C"/>
    <w:rsid w:val="00CB0664"/>
    <w:rsid w:val="00D02A79"/>
    <w:rsid w:val="00D55131"/>
    <w:rsid w:val="00D57716"/>
    <w:rsid w:val="00E940FF"/>
    <w:rsid w:val="00EE7A27"/>
    <w:rsid w:val="00F17D35"/>
    <w:rsid w:val="00F45856"/>
    <w:rsid w:val="00FC693F"/>
    <w:rsid w:val="00FD4AD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D4FB6C"/>
  <w14:defaultImageDpi w14:val="330"/>
  <w15:docId w15:val="{39B28040-6857-4771-96A6-8CA8FC631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color w:val="333333"/>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3F3138"/>
  </w:style>
  <w:style w:type="paragraph" w:styleId="Index1">
    <w:name w:val="index 1"/>
    <w:basedOn w:val="Normal"/>
    <w:next w:val="Normal"/>
    <w:autoRedefine/>
    <w:uiPriority w:val="99"/>
    <w:semiHidden/>
    <w:unhideWhenUsed/>
    <w:rsid w:val="00554251"/>
    <w:pPr>
      <w:spacing w:after="0" w:line="240" w:lineRule="auto"/>
      <w:ind w:left="240" w:hanging="240"/>
    </w:pPr>
  </w:style>
  <w:style w:type="paragraph" w:styleId="TOC1">
    <w:name w:val="toc 1"/>
    <w:basedOn w:val="Normal"/>
    <w:next w:val="Normal"/>
    <w:autoRedefine/>
    <w:uiPriority w:val="39"/>
    <w:unhideWhenUsed/>
    <w:rsid w:val="00981AEB"/>
    <w:pPr>
      <w:spacing w:after="100"/>
    </w:pPr>
  </w:style>
  <w:style w:type="paragraph" w:styleId="TOC2">
    <w:name w:val="toc 2"/>
    <w:basedOn w:val="Normal"/>
    <w:next w:val="Normal"/>
    <w:autoRedefine/>
    <w:uiPriority w:val="39"/>
    <w:unhideWhenUsed/>
    <w:rsid w:val="00981AEB"/>
    <w:pPr>
      <w:spacing w:after="100"/>
      <w:ind w:left="240"/>
    </w:pPr>
  </w:style>
  <w:style w:type="character" w:styleId="Hyperlink">
    <w:name w:val="Hyperlink"/>
    <w:basedOn w:val="DefaultParagraphFont"/>
    <w:uiPriority w:val="99"/>
    <w:unhideWhenUsed/>
    <w:rsid w:val="00981AEB"/>
    <w:rPr>
      <w:color w:val="0000FF" w:themeColor="hyperlink"/>
      <w:u w:val="single"/>
    </w:rPr>
  </w:style>
  <w:style w:type="paragraph" w:styleId="TOC3">
    <w:name w:val="toc 3"/>
    <w:basedOn w:val="Normal"/>
    <w:next w:val="Normal"/>
    <w:autoRedefine/>
    <w:uiPriority w:val="39"/>
    <w:unhideWhenUsed/>
    <w:rsid w:val="003269D2"/>
    <w:pPr>
      <w:spacing w:after="100"/>
      <w:ind w:left="480"/>
    </w:pPr>
  </w:style>
  <w:style w:type="character" w:styleId="UnresolvedMention">
    <w:name w:val="Unresolved Mention"/>
    <w:basedOn w:val="DefaultParagraphFont"/>
    <w:uiPriority w:val="99"/>
    <w:semiHidden/>
    <w:unhideWhenUsed/>
    <w:rsid w:val="00C752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gov.uk/government/organisations/competition-and-markets-authority" TargetMode="External"/><Relationship Id="rId18" Type="http://schemas.openxmlformats.org/officeDocument/2006/relationships/hyperlink" Target="https://www.pearson.com/en-gb/subject-catalog/p/exploring-strategy-text-and-cases/P20000000373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imonandschuster.com/books/Competitive-Advantage/Michael-E-Porter/9780684841465" TargetMode="External"/><Relationship Id="rId7" Type="http://schemas.openxmlformats.org/officeDocument/2006/relationships/endnotes" Target="endnotes.xml"/><Relationship Id="rId12" Type="http://schemas.openxmlformats.org/officeDocument/2006/relationships/hyperlink" Target="https://doi.org/10.1177/014920639101700108" TargetMode="External"/><Relationship Id="rId17" Type="http://schemas.openxmlformats.org/officeDocument/2006/relationships/hyperlink" Target="https://www.instituteforgovernment.org.uk/publications" TargetMode="External"/><Relationship Id="rId25" Type="http://schemas.openxmlformats.org/officeDocument/2006/relationships/hyperlink" Target="https://doi.org/10.1016/0024-6301(82)90120-1" TargetMode="External"/><Relationship Id="rId2" Type="http://schemas.openxmlformats.org/officeDocument/2006/relationships/numbering" Target="numbering.xml"/><Relationship Id="rId16" Type="http://schemas.openxmlformats.org/officeDocument/2006/relationships/hyperlink" Target="https://www.wiley.com/en-us/Contemporary+Strategy+Analysis%2C+11th+Edition-p-9781119815235" TargetMode="External"/><Relationship Id="rId20" Type="http://schemas.openxmlformats.org/officeDocument/2006/relationships/hyperlink" Target="https://store.minte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nkofengland.co.uk/monetary-policy-report/" TargetMode="External"/><Relationship Id="rId24" Type="http://schemas.openxmlformats.org/officeDocument/2006/relationships/hyperlink" Target="https://doi.org/10.1002/(SICI)1097-0266(199708)18:7" TargetMode="External"/><Relationship Id="rId5" Type="http://schemas.openxmlformats.org/officeDocument/2006/relationships/webSettings" Target="webSettings.xml"/><Relationship Id="rId15" Type="http://schemas.openxmlformats.org/officeDocument/2006/relationships/hyperlink" Target="https://www.scribd.com/document/370217247/Gibbs-1988-Learning-by-Doing" TargetMode="External"/><Relationship Id="rId23" Type="http://schemas.openxmlformats.org/officeDocument/2006/relationships/hyperlink" Target="https://www.harpercollins.com/products/sneaker-wars-barbara-smit" TargetMode="External"/><Relationship Id="rId28" Type="http://schemas.openxmlformats.org/officeDocument/2006/relationships/theme" Target="theme/theme1.xml"/><Relationship Id="rId10" Type="http://schemas.openxmlformats.org/officeDocument/2006/relationships/hyperlink" Target="https://www.adidas-group.com/en/investors/financial-reports/" TargetMode="External"/><Relationship Id="rId19" Type="http://schemas.openxmlformats.org/officeDocument/2006/relationships/hyperlink" Target="https://hbr.org/1992/01/the-balanced-scorecard-measures-that-drive-performance-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uromonitor.com/uk" TargetMode="External"/><Relationship Id="rId22" Type="http://schemas.openxmlformats.org/officeDocument/2006/relationships/hyperlink" Target="https://hbr.org/2011/01/the-big-idea-creating-shared-valu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31</Pages>
  <Words>8349</Words>
  <Characters>47594</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55832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python-ocx</dc:creator>
  <cp:keywords/>
  <dc:description>generated by python-docx</dc:description>
  <cp:lastModifiedBy>Soham Yadav (2503139)</cp:lastModifiedBy>
  <cp:revision>46</cp:revision>
  <dcterms:created xsi:type="dcterms:W3CDTF">2026-08-11T22:39:00Z</dcterms:created>
  <dcterms:modified xsi:type="dcterms:W3CDTF">2026-08-12T09:13:00Z</dcterms:modified>
  <cp:category/>
</cp:coreProperties>
</file>