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7851A6B7" wp14:paraId="0AD1489F" wp14:textId="4A96B33A">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Critical Review of Antimicrobial Resistance as an important Public Health Factor in Wales.</w:t>
      </w:r>
    </w:p>
    <w:p xmlns:wp14="http://schemas.microsoft.com/office/word/2010/wordml" w:rsidP="7851A6B7" wp14:paraId="24318D67" wp14:textId="538C5091">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Introduction</w:t>
      </w:r>
    </w:p>
    <w:p xmlns:wp14="http://schemas.microsoft.com/office/word/2010/wordml" w:rsidP="7851A6B7" wp14:paraId="43FB1071" wp14:textId="6CE7EDFF">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noProof w:val="0"/>
          <w:sz w:val="24"/>
          <w:szCs w:val="24"/>
          <w:lang w:val="en-US"/>
        </w:rPr>
        <w:t xml:space="preserve">Antimicrobial resistance (AMR) is a </w:t>
      </w:r>
      <w:r w:rsidRPr="37112B6E" w:rsidR="63A9057A">
        <w:rPr>
          <w:rFonts w:ascii="Calibri" w:hAnsi="Calibri" w:eastAsia="Calibri" w:cs="Calibri" w:asciiTheme="minorAscii" w:hAnsiTheme="minorAscii" w:eastAsiaTheme="minorAscii" w:cstheme="minorAscii"/>
          <w:noProof w:val="0"/>
          <w:sz w:val="24"/>
          <w:szCs w:val="24"/>
          <w:lang w:val="en-US"/>
        </w:rPr>
        <w:t>considerable</w:t>
      </w:r>
      <w:r w:rsidRPr="37112B6E" w:rsidR="7F2EFD70">
        <w:rPr>
          <w:rFonts w:ascii="Calibri" w:hAnsi="Calibri" w:eastAsia="Calibri" w:cs="Calibri" w:asciiTheme="minorAscii" w:hAnsiTheme="minorAscii" w:eastAsiaTheme="minorAscii" w:cstheme="minorAscii"/>
          <w:noProof w:val="0"/>
          <w:sz w:val="24"/>
          <w:szCs w:val="24"/>
          <w:lang w:val="en-US"/>
        </w:rPr>
        <w:t xml:space="preserve"> and growing public health issue not only in Wales but worldwide.</w:t>
      </w:r>
      <w:r w:rsidRPr="37112B6E" w:rsidR="7F2EFD70">
        <w:rPr>
          <w:rFonts w:ascii="Calibri" w:hAnsi="Calibri" w:eastAsia="Calibri" w:cs="Calibri" w:asciiTheme="minorAscii" w:hAnsiTheme="minorAscii" w:eastAsiaTheme="minorAscii" w:cstheme="minorAscii"/>
          <w:noProof w:val="0"/>
          <w:sz w:val="24"/>
          <w:szCs w:val="24"/>
          <w:lang w:val="en-US"/>
        </w:rPr>
        <w:t xml:space="preserve"> It </w:t>
      </w:r>
      <w:bookmarkStart w:name="_Int_x6dBf1dw" w:id="1222787888"/>
      <w:r w:rsidRPr="37112B6E" w:rsidR="7F2EFD70">
        <w:rPr>
          <w:rFonts w:ascii="Calibri" w:hAnsi="Calibri" w:eastAsia="Calibri" w:cs="Calibri" w:asciiTheme="minorAscii" w:hAnsiTheme="minorAscii" w:eastAsiaTheme="minorAscii" w:cstheme="minorAscii"/>
          <w:noProof w:val="0"/>
          <w:sz w:val="24"/>
          <w:szCs w:val="24"/>
          <w:lang w:val="en-US"/>
        </w:rPr>
        <w:t>represents</w:t>
      </w:r>
      <w:bookmarkEnd w:id="1222787888"/>
      <w:r w:rsidRPr="37112B6E" w:rsidR="7F2EFD70">
        <w:rPr>
          <w:rFonts w:ascii="Calibri" w:hAnsi="Calibri" w:eastAsia="Calibri" w:cs="Calibri" w:asciiTheme="minorAscii" w:hAnsiTheme="minorAscii" w:eastAsiaTheme="minorAscii" w:cstheme="minorAscii"/>
          <w:noProof w:val="0"/>
          <w:sz w:val="24"/>
          <w:szCs w:val="24"/>
          <w:lang w:val="en-US"/>
        </w:rPr>
        <w:t xml:space="preserve"> a serious challenge to the efficacy of antibiotics, </w:t>
      </w:r>
      <w:bookmarkStart w:name="_Int_4yNdvSGx" w:id="773409423"/>
      <w:r w:rsidRPr="37112B6E" w:rsidR="7F2EFD70">
        <w:rPr>
          <w:rFonts w:ascii="Calibri" w:hAnsi="Calibri" w:eastAsia="Calibri" w:cs="Calibri" w:asciiTheme="minorAscii" w:hAnsiTheme="minorAscii" w:eastAsiaTheme="minorAscii" w:cstheme="minorAscii"/>
          <w:noProof w:val="0"/>
          <w:sz w:val="24"/>
          <w:szCs w:val="24"/>
          <w:lang w:val="en-US"/>
        </w:rPr>
        <w:t>rendering</w:t>
      </w:r>
      <w:bookmarkEnd w:id="773409423"/>
      <w:r w:rsidRPr="37112B6E" w:rsidR="7F2EFD70">
        <w:rPr>
          <w:rFonts w:ascii="Calibri" w:hAnsi="Calibri" w:eastAsia="Calibri" w:cs="Calibri" w:asciiTheme="minorAscii" w:hAnsiTheme="minorAscii" w:eastAsiaTheme="minorAscii" w:cstheme="minorAscii"/>
          <w:noProof w:val="0"/>
          <w:sz w:val="24"/>
          <w:szCs w:val="24"/>
          <w:lang w:val="en-US"/>
        </w:rPr>
        <w:t xml:space="preserve"> previously manageable infections progressively harder to control. In this critical analysis essay, we will discuss the implications of AMR in Wales and how existing research in this field can and has informed health promotion and prevention strategies.</w:t>
      </w:r>
    </w:p>
    <w:p xmlns:wp14="http://schemas.microsoft.com/office/word/2010/wordml" w:rsidP="7851A6B7" wp14:paraId="0B337167" wp14:textId="2E33AA1D">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Antimicrobial Resistance.</w:t>
      </w:r>
    </w:p>
    <w:p xmlns:wp14="http://schemas.microsoft.com/office/word/2010/wordml" w:rsidP="37112B6E" wp14:paraId="47695BCE" wp14:textId="2AA9C079">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noProof w:val="0"/>
          <w:sz w:val="24"/>
          <w:szCs w:val="24"/>
          <w:lang w:val="en-US"/>
        </w:rPr>
        <w:t>A</w:t>
      </w:r>
      <w:r w:rsidRPr="37112B6E" w:rsidR="1042703A">
        <w:rPr>
          <w:rFonts w:ascii="Calibri" w:hAnsi="Calibri" w:eastAsia="Calibri" w:cs="Calibri" w:asciiTheme="minorAscii" w:hAnsiTheme="minorAscii" w:eastAsiaTheme="minorAscii" w:cstheme="minorAscii"/>
          <w:noProof w:val="0"/>
          <w:sz w:val="24"/>
          <w:szCs w:val="24"/>
          <w:lang w:val="en-US"/>
        </w:rPr>
        <w:t xml:space="preserve">ntimicrobial </w:t>
      </w:r>
      <w:r w:rsidRPr="37112B6E" w:rsidR="2EC1AC96">
        <w:rPr>
          <w:rFonts w:ascii="Calibri" w:hAnsi="Calibri" w:eastAsia="Calibri" w:cs="Calibri" w:asciiTheme="minorAscii" w:hAnsiTheme="minorAscii" w:eastAsiaTheme="minorAscii" w:cstheme="minorAscii"/>
          <w:noProof w:val="0"/>
          <w:sz w:val="24"/>
          <w:szCs w:val="24"/>
          <w:lang w:val="en-US"/>
        </w:rPr>
        <w:t>Resistance is</w:t>
      </w:r>
      <w:r w:rsidRPr="37112B6E" w:rsidR="7F2EFD70">
        <w:rPr>
          <w:rFonts w:ascii="Calibri" w:hAnsi="Calibri" w:eastAsia="Calibri" w:cs="Calibri" w:asciiTheme="minorAscii" w:hAnsiTheme="minorAscii" w:eastAsiaTheme="minorAscii" w:cstheme="minorAscii"/>
          <w:noProof w:val="0"/>
          <w:sz w:val="24"/>
          <w:szCs w:val="24"/>
          <w:lang w:val="en-US"/>
        </w:rPr>
        <w:t xml:space="preserve"> described by the World Health Organization (WHO) as the capacity of microorganisms, including viruses, bacteria, and parasites, to withstand the effects of drugs and treatments that were initially effective in controlling them, which could lead to more fatality (WHO, 2021). Antimicrobial resistance is a pressing issue in Wales, as it is in the rest of the United Kingdom and </w:t>
      </w:r>
      <w:r w:rsidRPr="37112B6E" w:rsidR="72427692">
        <w:rPr>
          <w:rFonts w:ascii="Calibri" w:hAnsi="Calibri" w:eastAsia="Calibri" w:cs="Calibri"/>
          <w:noProof w:val="0"/>
          <w:sz w:val="24"/>
          <w:szCs w:val="24"/>
          <w:lang w:val="en-US"/>
        </w:rPr>
        <w:t>numerous</w:t>
      </w:r>
      <w:r w:rsidRPr="37112B6E" w:rsidR="72427692">
        <w:rPr>
          <w:rFonts w:ascii="Calibri" w:hAnsi="Calibri" w:eastAsia="Calibri" w:cs="Calibri"/>
          <w:noProof w:val="0"/>
          <w:sz w:val="24"/>
          <w:szCs w:val="24"/>
          <w:lang w:val="en-US"/>
        </w:rPr>
        <w:t xml:space="preserve"> other regions of the globe</w:t>
      </w:r>
      <w:r w:rsidRPr="37112B6E" w:rsidR="72427692">
        <w:rPr>
          <w:rFonts w:ascii="Calibri" w:hAnsi="Calibri" w:eastAsia="Calibri" w:cs="Calibri" w:asciiTheme="minorAscii" w:hAnsiTheme="minorAscii" w:eastAsiaTheme="minorAscii" w:cstheme="minorAscii"/>
          <w:noProof w:val="0"/>
          <w:sz w:val="24"/>
          <w:szCs w:val="24"/>
          <w:lang w:val="en-US"/>
        </w:rPr>
        <w:t xml:space="preserve"> </w:t>
      </w:r>
      <w:r w:rsidRPr="37112B6E" w:rsidR="7F2EFD70">
        <w:rPr>
          <w:rFonts w:ascii="Calibri" w:hAnsi="Calibri" w:eastAsia="Calibri" w:cs="Calibri" w:asciiTheme="minorAscii" w:hAnsiTheme="minorAscii" w:eastAsiaTheme="minorAscii" w:cstheme="minorAscii"/>
          <w:noProof w:val="0"/>
          <w:sz w:val="24"/>
          <w:szCs w:val="24"/>
          <w:lang w:val="en-US"/>
        </w:rPr>
        <w:t xml:space="preserve">(Department of Health, 2013). AMR is </w:t>
      </w:r>
      <w:r w:rsidRPr="37112B6E" w:rsidR="7F2EFD70">
        <w:rPr>
          <w:rFonts w:ascii="Calibri" w:hAnsi="Calibri" w:eastAsia="Calibri" w:cs="Calibri" w:asciiTheme="minorAscii" w:hAnsiTheme="minorAscii" w:eastAsiaTheme="minorAscii" w:cstheme="minorAscii"/>
          <w:noProof w:val="0"/>
          <w:sz w:val="24"/>
          <w:szCs w:val="24"/>
          <w:lang w:val="en-US"/>
        </w:rPr>
        <w:t>fuelled</w:t>
      </w:r>
      <w:r w:rsidRPr="37112B6E" w:rsidR="7F2EFD70">
        <w:rPr>
          <w:rFonts w:ascii="Calibri" w:hAnsi="Calibri" w:eastAsia="Calibri" w:cs="Calibri" w:asciiTheme="minorAscii" w:hAnsiTheme="minorAscii" w:eastAsiaTheme="minorAscii" w:cstheme="minorAscii"/>
          <w:noProof w:val="0"/>
          <w:sz w:val="24"/>
          <w:szCs w:val="24"/>
          <w:lang w:val="en-US"/>
        </w:rPr>
        <w:t xml:space="preserve"> by the excessive and improper </w:t>
      </w:r>
      <w:bookmarkStart w:name="_Int_hFGHmOHh" w:id="844901069"/>
      <w:r w:rsidRPr="37112B6E" w:rsidR="7F2EFD70">
        <w:rPr>
          <w:rFonts w:ascii="Calibri" w:hAnsi="Calibri" w:eastAsia="Calibri" w:cs="Calibri" w:asciiTheme="minorAscii" w:hAnsiTheme="minorAscii" w:eastAsiaTheme="minorAscii" w:cstheme="minorAscii"/>
          <w:noProof w:val="0"/>
          <w:sz w:val="24"/>
          <w:szCs w:val="24"/>
          <w:lang w:val="en-US"/>
        </w:rPr>
        <w:t>utilization</w:t>
      </w:r>
      <w:bookmarkEnd w:id="844901069"/>
      <w:r w:rsidRPr="37112B6E" w:rsidR="7F2EFD70">
        <w:rPr>
          <w:rFonts w:ascii="Calibri" w:hAnsi="Calibri" w:eastAsia="Calibri" w:cs="Calibri" w:asciiTheme="minorAscii" w:hAnsiTheme="minorAscii" w:eastAsiaTheme="minorAscii" w:cstheme="minorAscii"/>
          <w:noProof w:val="0"/>
          <w:sz w:val="24"/>
          <w:szCs w:val="24"/>
          <w:lang w:val="en-US"/>
        </w:rPr>
        <w:t xml:space="preserve"> of antibiotics</w:t>
      </w:r>
      <w:r w:rsidRPr="37112B6E" w:rsidR="12F003FA">
        <w:rPr>
          <w:rFonts w:ascii="Calibri" w:hAnsi="Calibri" w:eastAsia="Calibri" w:cs="Calibri"/>
          <w:noProof w:val="0"/>
          <w:sz w:val="24"/>
          <w:szCs w:val="24"/>
          <w:lang w:val="en-US"/>
        </w:rPr>
        <w:t xml:space="preserve"> in the fields of veterinary and human </w:t>
      </w:r>
      <w:r w:rsidRPr="37112B6E" w:rsidR="12F003FA">
        <w:rPr>
          <w:rFonts w:ascii="Calibri" w:hAnsi="Calibri" w:eastAsia="Calibri" w:cs="Calibri"/>
          <w:noProof w:val="0"/>
          <w:sz w:val="24"/>
          <w:szCs w:val="24"/>
          <w:lang w:val="en-US"/>
        </w:rPr>
        <w:t>medicine, along</w:t>
      </w:r>
      <w:r w:rsidRPr="37112B6E" w:rsidR="7F2EFD70">
        <w:rPr>
          <w:rFonts w:ascii="Calibri" w:hAnsi="Calibri" w:eastAsia="Calibri" w:cs="Calibri" w:asciiTheme="minorAscii" w:hAnsiTheme="minorAscii" w:eastAsiaTheme="minorAscii" w:cstheme="minorAscii"/>
          <w:noProof w:val="0"/>
          <w:sz w:val="24"/>
          <w:szCs w:val="24"/>
          <w:lang w:val="en-US"/>
        </w:rPr>
        <w:t xml:space="preserve"> with their usage in agriculture (Nahrgang, Nolte &amp; Rechel, 2018)</w:t>
      </w:r>
    </w:p>
    <w:p xmlns:wp14="http://schemas.microsoft.com/office/word/2010/wordml" w:rsidP="0CACE3F8" wp14:paraId="7410567D" wp14:textId="4998C975">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0CACE3F8" w:rsidR="7F2EFD70">
        <w:rPr>
          <w:rFonts w:ascii="Calibri" w:hAnsi="Calibri" w:eastAsia="Calibri" w:cs="Calibri" w:asciiTheme="minorAscii" w:hAnsiTheme="minorAscii" w:eastAsiaTheme="minorAscii" w:cstheme="minorAscii"/>
          <w:noProof w:val="0"/>
          <w:sz w:val="24"/>
          <w:szCs w:val="24"/>
          <w:lang w:val="en-US"/>
        </w:rPr>
        <w:t>A study conducted in Wales estimated the public health burden of AMR infections from 2017 to 2019 and found that Infections caused by antimicrobial-resistant bacteria constitute a significant public health challenge in Wales (Wang &amp; Thomas, 2020)</w:t>
      </w:r>
      <w:bookmarkStart w:name="_Int_nHhwxDpx" w:id="381742923"/>
      <w:r w:rsidRPr="0CACE3F8" w:rsidR="7F2EFD70">
        <w:rPr>
          <w:rFonts w:ascii="Calibri" w:hAnsi="Calibri" w:eastAsia="Calibri" w:cs="Calibri" w:asciiTheme="minorAscii" w:hAnsiTheme="minorAscii" w:eastAsiaTheme="minorAscii" w:cstheme="minorAscii"/>
          <w:noProof w:val="0"/>
          <w:sz w:val="24"/>
          <w:szCs w:val="24"/>
          <w:lang w:val="en-US"/>
        </w:rPr>
        <w:t xml:space="preserve">.  </w:t>
      </w:r>
      <w:bookmarkEnd w:id="381742923"/>
      <w:r w:rsidRPr="0CACE3F8" w:rsidR="7F2EFD70">
        <w:rPr>
          <w:rFonts w:ascii="Calibri" w:hAnsi="Calibri" w:eastAsia="Calibri" w:cs="Calibri" w:asciiTheme="minorAscii" w:hAnsiTheme="minorAscii" w:eastAsiaTheme="minorAscii" w:cstheme="minorAscii"/>
          <w:noProof w:val="0"/>
          <w:sz w:val="24"/>
          <w:szCs w:val="24"/>
          <w:lang w:val="en-US"/>
        </w:rPr>
        <w:t xml:space="preserve">According to a report by Public Health Wales, antimicrobial resistance is a growing issue that can lead to challenges in effectively treating infections, resulting in treatment failures and the possibility of </w:t>
      </w:r>
      <w:bookmarkStart w:name="_Int_Ppt1Ir4u" w:id="247638074"/>
      <w:r w:rsidRPr="0CACE3F8" w:rsidR="7F2EFD70">
        <w:rPr>
          <w:rFonts w:ascii="Calibri" w:hAnsi="Calibri" w:eastAsia="Calibri" w:cs="Calibri" w:asciiTheme="minorAscii" w:hAnsiTheme="minorAscii" w:eastAsiaTheme="minorAscii" w:cstheme="minorAscii"/>
          <w:noProof w:val="0"/>
          <w:sz w:val="24"/>
          <w:szCs w:val="24"/>
          <w:lang w:val="en-US"/>
        </w:rPr>
        <w:t>subsequent</w:t>
      </w:r>
      <w:bookmarkEnd w:id="247638074"/>
      <w:r w:rsidRPr="0CACE3F8" w:rsidR="7F2EFD70">
        <w:rPr>
          <w:rFonts w:ascii="Calibri" w:hAnsi="Calibri" w:eastAsia="Calibri" w:cs="Calibri" w:asciiTheme="minorAscii" w:hAnsiTheme="minorAscii" w:eastAsiaTheme="minorAscii" w:cstheme="minorAscii"/>
          <w:noProof w:val="0"/>
          <w:sz w:val="24"/>
          <w:szCs w:val="24"/>
          <w:lang w:val="en-US"/>
        </w:rPr>
        <w:t xml:space="preserve"> complications.</w:t>
      </w:r>
      <w:r w:rsidRPr="0CACE3F8" w:rsidR="1850062F">
        <w:rPr>
          <w:rFonts w:ascii="Calibri" w:hAnsi="Calibri" w:eastAsia="Calibri" w:cs="Calibri"/>
          <w:noProof w:val="0"/>
          <w:sz w:val="24"/>
          <w:szCs w:val="24"/>
          <w:lang w:val="en-US"/>
        </w:rPr>
        <w:t xml:space="preserve"> The growth in the number of bacteria resistant to antibiotics, including Methicillin-resistant Staphylococcus aureus (M</w:t>
      </w:r>
      <w:r w:rsidRPr="0CACE3F8" w:rsidR="1850062F">
        <w:rPr>
          <w:rFonts w:ascii="Calibri" w:hAnsi="Calibri" w:eastAsia="Calibri" w:cs="Calibri"/>
          <w:noProof w:val="0"/>
          <w:sz w:val="24"/>
          <w:szCs w:val="24"/>
          <w:lang w:val="en-US"/>
        </w:rPr>
        <w:t>RSA</w:t>
      </w:r>
      <w:r w:rsidRPr="0CACE3F8" w:rsidR="1850062F">
        <w:rPr>
          <w:rFonts w:ascii="Calibri" w:hAnsi="Calibri" w:eastAsia="Calibri" w:cs="Calibri"/>
          <w:noProof w:val="0"/>
          <w:sz w:val="24"/>
          <w:szCs w:val="24"/>
          <w:lang w:val="en-US"/>
        </w:rPr>
        <w:t>),</w:t>
      </w:r>
      <w:r w:rsidRPr="0CACE3F8" w:rsidR="7F2EFD70">
        <w:rPr>
          <w:rFonts w:ascii="Calibri" w:hAnsi="Calibri" w:eastAsia="Calibri" w:cs="Calibri" w:asciiTheme="minorAscii" w:hAnsiTheme="minorAscii" w:eastAsiaTheme="minorAscii" w:cstheme="minorAscii"/>
          <w:noProof w:val="0"/>
          <w:sz w:val="24"/>
          <w:szCs w:val="24"/>
          <w:lang w:val="en-US"/>
        </w:rPr>
        <w:t xml:space="preserve"> multidrug-resistant tuberculosis, and resistance to Urinary Tract Infections is particularly worrisom</w:t>
      </w:r>
      <w:r w:rsidRPr="0CACE3F8" w:rsidR="7F2EFD70">
        <w:rPr>
          <w:rFonts w:ascii="Calibri" w:hAnsi="Calibri" w:eastAsia="Calibri" w:cs="Calibri" w:asciiTheme="minorAscii" w:hAnsiTheme="minorAscii" w:eastAsiaTheme="minorAscii" w:cstheme="minorAscii"/>
          <w:noProof w:val="0"/>
          <w:sz w:val="24"/>
          <w:szCs w:val="24"/>
          <w:lang w:val="en-US"/>
        </w:rPr>
        <w:t>e (</w:t>
      </w:r>
      <w:r w:rsidRPr="0CACE3F8" w:rsidR="7F2EFD70">
        <w:rPr>
          <w:rFonts w:ascii="Calibri" w:hAnsi="Calibri" w:eastAsia="Calibri" w:cs="Calibri" w:asciiTheme="minorAscii" w:hAnsiTheme="minorAscii" w:eastAsiaTheme="minorAscii" w:cstheme="minorAscii"/>
          <w:noProof w:val="0"/>
          <w:sz w:val="24"/>
          <w:szCs w:val="24"/>
          <w:lang w:val="en-US"/>
        </w:rPr>
        <w:t>Jyn</w:t>
      </w:r>
      <w:r w:rsidRPr="0CACE3F8" w:rsidR="7F2EFD70">
        <w:rPr>
          <w:rFonts w:ascii="Calibri" w:hAnsi="Calibri" w:eastAsia="Calibri" w:cs="Calibri" w:asciiTheme="minorAscii" w:hAnsiTheme="minorAscii" w:eastAsiaTheme="minorAscii" w:cstheme="minorAscii"/>
          <w:noProof w:val="0"/>
          <w:sz w:val="24"/>
          <w:szCs w:val="24"/>
          <w:lang w:val="en-US"/>
        </w:rPr>
        <w:t>dal</w:t>
      </w:r>
      <w:r w:rsidRPr="0CACE3F8" w:rsidR="7F2EFD70">
        <w:rPr>
          <w:rFonts w:ascii="Calibri" w:hAnsi="Calibri" w:eastAsia="Calibri" w:cs="Calibri" w:asciiTheme="minorAscii" w:hAnsiTheme="minorAscii" w:eastAsiaTheme="minorAscii" w:cstheme="minorAscii"/>
          <w:noProof w:val="0"/>
          <w:sz w:val="24"/>
          <w:szCs w:val="24"/>
          <w:lang w:val="en-US"/>
        </w:rPr>
        <w:t>, Pandya &amp; Khan, 2015; Roberts, 2016; Public Health Wales, 2016).</w:t>
      </w:r>
    </w:p>
    <w:p xmlns:wp14="http://schemas.microsoft.com/office/word/2010/wordml" w:rsidP="7851A6B7" wp14:paraId="0669BC05" wp14:textId="2B50E7D2">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AMR is caused by several factors. </w:t>
      </w:r>
      <w:r w:rsidRPr="7851A6B7" w:rsidR="7F2EFD70">
        <w:rPr>
          <w:rFonts w:ascii="Calibri" w:hAnsi="Calibri" w:eastAsia="Calibri" w:cs="Calibri" w:asciiTheme="minorAscii" w:hAnsiTheme="minorAscii" w:eastAsiaTheme="minorAscii" w:cstheme="minorAscii"/>
          <w:noProof w:val="0"/>
          <w:sz w:val="24"/>
          <w:szCs w:val="24"/>
          <w:lang w:val="en-US"/>
        </w:rPr>
        <w:t>A major cause is the overuse and misuse of antibiotics.</w:t>
      </w:r>
      <w:r w:rsidRPr="7851A6B7" w:rsidR="7F2EFD70">
        <w:rPr>
          <w:rFonts w:ascii="Calibri" w:hAnsi="Calibri" w:eastAsia="Calibri" w:cs="Calibri" w:asciiTheme="minorAscii" w:hAnsiTheme="minorAscii" w:eastAsiaTheme="minorAscii" w:cstheme="minorAscii"/>
          <w:noProof w:val="0"/>
          <w:sz w:val="24"/>
          <w:szCs w:val="24"/>
          <w:lang w:val="en-US"/>
        </w:rPr>
        <w:t xml:space="preserve"> Patients often consume antibiotics unnecessarily, either due to inappropriate prescriptions by healthcare providers or self-medication, which is prevalent among the population (Roberts, 2016; Salam et al., 2023). An instance </w:t>
      </w:r>
      <w:bookmarkStart w:name="_Int_31P0r5vj" w:id="1116622038"/>
      <w:r w:rsidRPr="7851A6B7" w:rsidR="7F2EFD70">
        <w:rPr>
          <w:rFonts w:ascii="Calibri" w:hAnsi="Calibri" w:eastAsia="Calibri" w:cs="Calibri" w:asciiTheme="minorAscii" w:hAnsiTheme="minorAscii" w:eastAsiaTheme="minorAscii" w:cstheme="minorAscii"/>
          <w:noProof w:val="0"/>
          <w:sz w:val="24"/>
          <w:szCs w:val="24"/>
          <w:lang w:val="en-US"/>
        </w:rPr>
        <w:t>stated</w:t>
      </w:r>
      <w:bookmarkEnd w:id="1116622038"/>
      <w:r w:rsidRPr="7851A6B7" w:rsidR="7F2EFD70">
        <w:rPr>
          <w:rFonts w:ascii="Calibri" w:hAnsi="Calibri" w:eastAsia="Calibri" w:cs="Calibri" w:asciiTheme="minorAscii" w:hAnsiTheme="minorAscii" w:eastAsiaTheme="minorAscii" w:cstheme="minorAscii"/>
          <w:noProof w:val="0"/>
          <w:sz w:val="24"/>
          <w:szCs w:val="24"/>
          <w:lang w:val="en-US"/>
        </w:rPr>
        <w:t xml:space="preserve"> by Roberts, 2016 revealed a study which showed that 60% of the antibiotics that were prescribed for patients that had sore throat was not necessary as the prescription was only valid for about 10% of the population </w:t>
      </w:r>
      <w:r w:rsidRPr="7851A6B7" w:rsidR="3F9376C8">
        <w:rPr>
          <w:rFonts w:ascii="Calibri" w:hAnsi="Calibri" w:eastAsia="Calibri" w:cs="Calibri" w:asciiTheme="minorAscii" w:hAnsiTheme="minorAscii" w:eastAsiaTheme="minorAscii" w:cstheme="minorAscii"/>
          <w:noProof w:val="0"/>
          <w:sz w:val="24"/>
          <w:szCs w:val="24"/>
          <w:lang w:val="en-US"/>
        </w:rPr>
        <w:t>because</w:t>
      </w:r>
      <w:r w:rsidRPr="7851A6B7" w:rsidR="7F2EFD70">
        <w:rPr>
          <w:rFonts w:ascii="Calibri" w:hAnsi="Calibri" w:eastAsia="Calibri" w:cs="Calibri" w:asciiTheme="minorAscii" w:hAnsiTheme="minorAscii" w:eastAsiaTheme="minorAscii" w:cstheme="minorAscii"/>
          <w:noProof w:val="0"/>
          <w:sz w:val="24"/>
          <w:szCs w:val="24"/>
          <w:lang w:val="en-US"/>
        </w:rPr>
        <w:t xml:space="preserve"> the ailment was </w:t>
      </w:r>
      <w:bookmarkStart w:name="_Int_0wVJ7REw" w:id="502146274"/>
      <w:r w:rsidRPr="7851A6B7" w:rsidR="7F2EFD70">
        <w:rPr>
          <w:rFonts w:ascii="Calibri" w:hAnsi="Calibri" w:eastAsia="Calibri" w:cs="Calibri" w:asciiTheme="minorAscii" w:hAnsiTheme="minorAscii" w:eastAsiaTheme="minorAscii" w:cstheme="minorAscii"/>
          <w:noProof w:val="0"/>
          <w:sz w:val="24"/>
          <w:szCs w:val="24"/>
          <w:lang w:val="en-US"/>
        </w:rPr>
        <w:t>as a result of</w:t>
      </w:r>
      <w:bookmarkEnd w:id="502146274"/>
      <w:r w:rsidRPr="7851A6B7" w:rsidR="7F2EFD70">
        <w:rPr>
          <w:rFonts w:ascii="Calibri" w:hAnsi="Calibri" w:eastAsia="Calibri" w:cs="Calibri" w:asciiTheme="minorAscii" w:hAnsiTheme="minorAscii" w:eastAsiaTheme="minorAscii" w:cstheme="minorAscii"/>
          <w:noProof w:val="0"/>
          <w:sz w:val="24"/>
          <w:szCs w:val="24"/>
          <w:lang w:val="en-US"/>
        </w:rPr>
        <w:t xml:space="preserve"> seasonal variations and not a bacterial infection per </w:t>
      </w:r>
      <w:bookmarkStart w:name="_Int_IyAyp3y7" w:id="457204246"/>
      <w:r w:rsidRPr="7851A6B7" w:rsidR="7F2EFD70">
        <w:rPr>
          <w:rFonts w:ascii="Calibri" w:hAnsi="Calibri" w:eastAsia="Calibri" w:cs="Calibri" w:asciiTheme="minorAscii" w:hAnsiTheme="minorAscii" w:eastAsiaTheme="minorAscii" w:cstheme="minorAscii"/>
          <w:noProof w:val="0"/>
          <w:sz w:val="24"/>
          <w:szCs w:val="24"/>
          <w:lang w:val="en-US"/>
        </w:rPr>
        <w:t xml:space="preserve">se.  </w:t>
      </w:r>
      <w:bookmarkEnd w:id="457204246"/>
      <w:r w:rsidRPr="7851A6B7" w:rsidR="7F2EFD70">
        <w:rPr>
          <w:rFonts w:ascii="Calibri" w:hAnsi="Calibri" w:eastAsia="Calibri" w:cs="Calibri" w:asciiTheme="minorAscii" w:hAnsiTheme="minorAscii" w:eastAsiaTheme="minorAscii" w:cstheme="minorAscii"/>
          <w:noProof w:val="0"/>
          <w:sz w:val="24"/>
          <w:szCs w:val="24"/>
          <w:lang w:val="en-US"/>
        </w:rPr>
        <w:t xml:space="preserve">Public Health Wales highlights the urgency of addressing this issue, emphasizing that high prescription rates of antibiotics are one of the significant causes of AMR. </w:t>
      </w:r>
    </w:p>
    <w:p xmlns:wp14="http://schemas.microsoft.com/office/word/2010/wordml" w:rsidP="7851A6B7" wp14:paraId="14306CE2" wp14:textId="32CCEFAB">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Another major cause of antimicrobial resistance as highlighted by the National Assembly for Wales is the lack of new antibiotics for treating infections. According to the report, for over 40 years, there has been no new development of new classes of antibiotics especially for gram negative microbes and Rising levels of resistance in the absence of new drug development result in a dual challenge: the absence of effective, widely applicable first-line treatments and an increase in the quantity of infections that are resistant to all available drugs (Roberts, 2016). </w:t>
      </w:r>
    </w:p>
    <w:p xmlns:wp14="http://schemas.microsoft.com/office/word/2010/wordml" w:rsidP="7851A6B7" wp14:paraId="3A6707C5" wp14:textId="7DB43079">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 xml:space="preserve"> </w:t>
      </w:r>
    </w:p>
    <w:p xmlns:wp14="http://schemas.microsoft.com/office/word/2010/wordml" w:rsidP="7851A6B7" wp14:paraId="59D8B2B6" wp14:textId="05F3627F">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The Impact of Antimicrobial resistance on Public Health in Wales</w:t>
      </w:r>
    </w:p>
    <w:p xmlns:wp14="http://schemas.microsoft.com/office/word/2010/wordml" w:rsidP="7851A6B7" wp14:paraId="67B89EA2" wp14:textId="153513F4">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According to </w:t>
      </w:r>
      <w:bookmarkStart w:name="_Int_HdpmqrMN" w:id="1150854789"/>
      <w:r w:rsidRPr="7851A6B7" w:rsidR="7F2EFD70">
        <w:rPr>
          <w:rFonts w:ascii="Calibri" w:hAnsi="Calibri" w:eastAsia="Calibri" w:cs="Calibri" w:asciiTheme="minorAscii" w:hAnsiTheme="minorAscii" w:eastAsiaTheme="minorAscii" w:cstheme="minorAscii"/>
          <w:noProof w:val="0"/>
          <w:sz w:val="24"/>
          <w:szCs w:val="24"/>
          <w:lang w:val="en-US"/>
        </w:rPr>
        <w:t>World</w:t>
      </w:r>
      <w:bookmarkEnd w:id="1150854789"/>
      <w:r w:rsidRPr="7851A6B7" w:rsidR="7F2EFD70">
        <w:rPr>
          <w:rFonts w:ascii="Calibri" w:hAnsi="Calibri" w:eastAsia="Calibri" w:cs="Calibri" w:asciiTheme="minorAscii" w:hAnsiTheme="minorAscii" w:eastAsiaTheme="minorAscii" w:cstheme="minorAscii"/>
          <w:noProof w:val="0"/>
          <w:sz w:val="24"/>
          <w:szCs w:val="24"/>
          <w:lang w:val="en-US"/>
        </w:rPr>
        <w:t xml:space="preserve"> Health </w:t>
      </w:r>
      <w:r w:rsidRPr="7851A6B7" w:rsidR="7F2EFD70">
        <w:rPr>
          <w:rFonts w:ascii="Calibri" w:hAnsi="Calibri" w:eastAsia="Calibri" w:cs="Calibri" w:asciiTheme="minorAscii" w:hAnsiTheme="minorAscii" w:eastAsiaTheme="minorAscii" w:cstheme="minorAscii"/>
          <w:noProof w:val="0"/>
          <w:sz w:val="24"/>
          <w:szCs w:val="24"/>
          <w:lang w:val="en-US"/>
        </w:rPr>
        <w:t>Organisation</w:t>
      </w:r>
      <w:r w:rsidRPr="7851A6B7" w:rsidR="7F2EFD70">
        <w:rPr>
          <w:rFonts w:ascii="Calibri" w:hAnsi="Calibri" w:eastAsia="Calibri" w:cs="Calibri" w:asciiTheme="minorAscii" w:hAnsiTheme="minorAscii" w:eastAsiaTheme="minorAscii" w:cstheme="minorAscii"/>
          <w:noProof w:val="0"/>
          <w:sz w:val="24"/>
          <w:szCs w:val="24"/>
          <w:lang w:val="en-US"/>
        </w:rPr>
        <w:t xml:space="preserve">, when microorganisms develop resistance to medications, the available choices for treating the illnesses they cause become limited and this is why antimicrobial resistance to antibiotics is </w:t>
      </w:r>
      <w:r w:rsidRPr="7851A6B7" w:rsidR="53F80989">
        <w:rPr>
          <w:rFonts w:ascii="Calibri" w:hAnsi="Calibri" w:eastAsia="Calibri" w:cs="Calibri" w:asciiTheme="minorAscii" w:hAnsiTheme="minorAscii" w:eastAsiaTheme="minorAscii" w:cstheme="minorAscii"/>
          <w:noProof w:val="0"/>
          <w:sz w:val="24"/>
          <w:szCs w:val="24"/>
          <w:lang w:val="en-US"/>
        </w:rPr>
        <w:t>extremely dangerous</w:t>
      </w:r>
      <w:r w:rsidRPr="7851A6B7" w:rsidR="7F2EFD70">
        <w:rPr>
          <w:rFonts w:ascii="Calibri" w:hAnsi="Calibri" w:eastAsia="Calibri" w:cs="Calibri" w:asciiTheme="minorAscii" w:hAnsiTheme="minorAscii" w:eastAsiaTheme="minorAscii" w:cstheme="minorAscii"/>
          <w:noProof w:val="0"/>
          <w:sz w:val="24"/>
          <w:szCs w:val="24"/>
          <w:lang w:val="en-US"/>
        </w:rPr>
        <w:t xml:space="preserve"> (WHO, 2015). Some of the major impacts of antimicrobial infections include the following:</w:t>
      </w:r>
    </w:p>
    <w:p xmlns:wp14="http://schemas.microsoft.com/office/word/2010/wordml" w:rsidP="7851A6B7" wp14:paraId="73547D96" wp14:textId="2AC2FDE9">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Increased Morbidity and Mortality</w:t>
      </w:r>
    </w:p>
    <w:p xmlns:wp14="http://schemas.microsoft.com/office/word/2010/wordml" w:rsidP="0CACE3F8" wp14:paraId="2C219F49" wp14:textId="72E4ADE4">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0CACE3F8" w:rsidR="7F2EFD70">
        <w:rPr>
          <w:rFonts w:ascii="Calibri" w:hAnsi="Calibri" w:eastAsia="Calibri" w:cs="Calibri" w:asciiTheme="minorAscii" w:hAnsiTheme="minorAscii" w:eastAsiaTheme="minorAscii" w:cstheme="minorAscii"/>
          <w:noProof w:val="0"/>
          <w:sz w:val="24"/>
          <w:szCs w:val="24"/>
          <w:lang w:val="en-US"/>
        </w:rPr>
        <w:t>AMR leads to treatment failures, increased morbidity, and higher mortality rates for various infections, ranging from common urinary tract infections to more severe diseases like tuberculosis</w:t>
      </w:r>
      <w:r w:rsidRPr="0CACE3F8" w:rsidR="7F2EFD70">
        <w:rPr>
          <w:rFonts w:ascii="Calibri" w:hAnsi="Calibri" w:eastAsia="Calibri" w:cs="Calibri" w:asciiTheme="minorAscii" w:hAnsiTheme="minorAscii" w:eastAsiaTheme="minorAscii" w:cstheme="minorAscii"/>
          <w:noProof w:val="0"/>
          <w:sz w:val="24"/>
          <w:szCs w:val="24"/>
          <w:lang w:val="en-US"/>
        </w:rPr>
        <w:t xml:space="preserve">.  </w:t>
      </w:r>
      <w:r w:rsidRPr="0CACE3F8" w:rsidR="7F2EFD70">
        <w:rPr>
          <w:rFonts w:ascii="Calibri" w:hAnsi="Calibri" w:eastAsia="Calibri" w:cs="Calibri" w:asciiTheme="minorAscii" w:hAnsiTheme="minorAscii" w:eastAsiaTheme="minorAscii" w:cstheme="minorAscii"/>
          <w:noProof w:val="0"/>
          <w:sz w:val="24"/>
          <w:szCs w:val="24"/>
          <w:lang w:val="en-US"/>
        </w:rPr>
        <w:t xml:space="preserve">Common bacterial infections that were previously readily treatable with antibiotics are now becoming increasingly difficult to control because of the emergence of resistant variants. </w:t>
      </w:r>
      <w:r w:rsidRPr="0CACE3F8" w:rsidR="72D9414E">
        <w:rPr>
          <w:rFonts w:ascii="Calibri" w:hAnsi="Calibri" w:eastAsia="Calibri" w:cs="Calibri"/>
          <w:noProof w:val="0"/>
          <w:sz w:val="24"/>
          <w:szCs w:val="24"/>
          <w:lang w:val="en-US"/>
        </w:rPr>
        <w:t xml:space="preserve">If effective action is not taken to address the issue </w:t>
      </w:r>
      <w:r w:rsidRPr="0CACE3F8" w:rsidR="34345C1D">
        <w:rPr>
          <w:rFonts w:ascii="Calibri" w:hAnsi="Calibri" w:eastAsia="Calibri" w:cs="Calibri"/>
          <w:noProof w:val="0"/>
          <w:sz w:val="24"/>
          <w:szCs w:val="24"/>
          <w:lang w:val="en-US"/>
        </w:rPr>
        <w:t>of AMR</w:t>
      </w:r>
      <w:r w:rsidRPr="0CACE3F8" w:rsidR="72D9414E">
        <w:rPr>
          <w:rFonts w:ascii="Calibri" w:hAnsi="Calibri" w:eastAsia="Calibri" w:cs="Calibri"/>
          <w:noProof w:val="0"/>
          <w:sz w:val="24"/>
          <w:szCs w:val="24"/>
          <w:lang w:val="en-US"/>
        </w:rPr>
        <w:t>, it may result in up to 10 million deaths annually worldwide by the year 2050, according to a report published by the Review on Antimicrobial Resistance.</w:t>
      </w:r>
      <w:r w:rsidRPr="0CACE3F8" w:rsidR="7F2EFD70">
        <w:rPr>
          <w:rFonts w:ascii="Calibri" w:hAnsi="Calibri" w:eastAsia="Calibri" w:cs="Calibri" w:asciiTheme="minorAscii" w:hAnsiTheme="minorAscii" w:eastAsiaTheme="minorAscii" w:cstheme="minorAscii"/>
          <w:noProof w:val="0"/>
          <w:sz w:val="24"/>
          <w:szCs w:val="24"/>
          <w:lang w:val="en-US"/>
        </w:rPr>
        <w:t xml:space="preserve"> (HM Government, 2019). These deaths encompass a wide range of infections, from common respiratory infections to complicated surgical site infections, all of which are at risk of causing more fatalities as antibiotic efficacy diminishes.</w:t>
      </w:r>
    </w:p>
    <w:p xmlns:wp14="http://schemas.microsoft.com/office/word/2010/wordml" w:rsidP="7851A6B7" wp14:paraId="269CFE80" wp14:textId="4842E2BC">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Economic Burden</w:t>
      </w:r>
    </w:p>
    <w:p xmlns:wp14="http://schemas.microsoft.com/office/word/2010/wordml" w:rsidP="7851A6B7" wp14:paraId="451E4861" wp14:textId="16679B0B">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Antimicrobial resistance places a considerable economic burden on the healthcare system. </w:t>
      </w:r>
    </w:p>
    <w:p xmlns:wp14="http://schemas.microsoft.com/office/word/2010/wordml" w:rsidP="7851A6B7" wp14:paraId="751DEBAC" wp14:textId="02BEAB5D">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noProof w:val="0"/>
          <w:sz w:val="24"/>
          <w:szCs w:val="24"/>
          <w:lang w:val="en-US"/>
        </w:rPr>
        <w:t xml:space="preserve">Prolonged hospital stays: As resistant infections are harder to treat and control, patients often </w:t>
      </w:r>
      <w:r w:rsidRPr="37112B6E" w:rsidR="7F2EFD70">
        <w:rPr>
          <w:rFonts w:ascii="Calibri" w:hAnsi="Calibri" w:eastAsia="Calibri" w:cs="Calibri" w:asciiTheme="minorAscii" w:hAnsiTheme="minorAscii" w:eastAsiaTheme="minorAscii" w:cstheme="minorAscii"/>
          <w:noProof w:val="0"/>
          <w:sz w:val="24"/>
          <w:szCs w:val="24"/>
          <w:lang w:val="en-US"/>
        </w:rPr>
        <w:t>require</w:t>
      </w:r>
      <w:r w:rsidRPr="37112B6E" w:rsidR="7F2EFD70">
        <w:rPr>
          <w:rFonts w:ascii="Calibri" w:hAnsi="Calibri" w:eastAsia="Calibri" w:cs="Calibri" w:asciiTheme="minorAscii" w:hAnsiTheme="minorAscii" w:eastAsiaTheme="minorAscii" w:cstheme="minorAscii"/>
          <w:noProof w:val="0"/>
          <w:sz w:val="24"/>
          <w:szCs w:val="24"/>
          <w:lang w:val="en-US"/>
        </w:rPr>
        <w:t xml:space="preserve"> more extended stays in healthcare facilities. These prolonged hospital stays lead to increased costs related to bed occupancy, nursing care, and other hospital services. A study published in the journal Health Economics estimated that the increased length of hospital stays due to AMR contributed </w:t>
      </w:r>
      <w:r w:rsidRPr="37112B6E" w:rsidR="7F2EFD70">
        <w:rPr>
          <w:rFonts w:ascii="Calibri" w:hAnsi="Calibri" w:eastAsia="Calibri" w:cs="Calibri" w:asciiTheme="minorAscii" w:hAnsiTheme="minorAscii" w:eastAsiaTheme="minorAscii" w:cstheme="minorAscii"/>
          <w:noProof w:val="0"/>
          <w:sz w:val="24"/>
          <w:szCs w:val="24"/>
          <w:lang w:val="en-US"/>
        </w:rPr>
        <w:t>substantially to</w:t>
      </w:r>
      <w:r w:rsidRPr="37112B6E" w:rsidR="7F2EFD70">
        <w:rPr>
          <w:rFonts w:ascii="Calibri" w:hAnsi="Calibri" w:eastAsia="Calibri" w:cs="Calibri" w:asciiTheme="minorAscii" w:hAnsiTheme="minorAscii" w:eastAsiaTheme="minorAscii" w:cstheme="minorAscii"/>
          <w:noProof w:val="0"/>
          <w:sz w:val="24"/>
          <w:szCs w:val="24"/>
          <w:lang w:val="en-US"/>
        </w:rPr>
        <w:t xml:space="preserve"> the economic burden on healthcare systems (Poudel et al, 2023)</w:t>
      </w:r>
    </w:p>
    <w:p xmlns:wp14="http://schemas.microsoft.com/office/word/2010/wordml" w:rsidP="7851A6B7" wp14:paraId="05D3AD6E" wp14:textId="3CAC4A18">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Use of More Expensive Treatments: When antibiotics lose their effectiveness against infections due to resistance, healthcare providers are forced to turn to more expensive and less common alternative treatments (Smith &amp; Coast, 2012). These alternative therapies can include second-line antibiotics, which are often more costly and may have more severe side effects. Additionally, some resistant infections may require surgical interventions or other specialized treatments, further escalating healthcare expenses. A report from a United Kingdom's Review on Antimicrobial Resistance highlighted the increased cost linked with the use of alternative therapies in the context of AMR and increased healthcare resource </w:t>
      </w:r>
      <w:r w:rsidRPr="7851A6B7" w:rsidR="7F2EFD70">
        <w:rPr>
          <w:rFonts w:ascii="Calibri" w:hAnsi="Calibri" w:eastAsia="Calibri" w:cs="Calibri" w:asciiTheme="minorAscii" w:hAnsiTheme="minorAscii" w:eastAsiaTheme="minorAscii" w:cstheme="minorAscii"/>
          <w:noProof w:val="0"/>
          <w:sz w:val="24"/>
          <w:szCs w:val="24"/>
          <w:lang w:val="en-US"/>
        </w:rPr>
        <w:t>utilization</w:t>
      </w:r>
      <w:r w:rsidRPr="7851A6B7" w:rsidR="7F2EFD70">
        <w:rPr>
          <w:rFonts w:ascii="Calibri" w:hAnsi="Calibri" w:eastAsia="Calibri" w:cs="Calibri" w:asciiTheme="minorAscii" w:hAnsiTheme="minorAscii" w:eastAsiaTheme="minorAscii" w:cstheme="minorAscii"/>
          <w:noProof w:val="0"/>
          <w:sz w:val="24"/>
          <w:szCs w:val="24"/>
          <w:lang w:val="en-US"/>
        </w:rPr>
        <w:t xml:space="preserve"> are some of the financial challenges associated with AMR (</w:t>
      </w:r>
      <w:r w:rsidRPr="7851A6B7" w:rsidR="7F2EFD70">
        <w:rPr>
          <w:rFonts w:ascii="Calibri" w:hAnsi="Calibri" w:eastAsia="Calibri" w:cs="Calibri" w:asciiTheme="minorAscii" w:hAnsiTheme="minorAscii" w:eastAsiaTheme="minorAscii" w:cstheme="minorAscii"/>
          <w:noProof w:val="0"/>
          <w:sz w:val="24"/>
          <w:szCs w:val="24"/>
          <w:lang w:val="en-US"/>
        </w:rPr>
        <w:t>Prestinaci</w:t>
      </w:r>
      <w:r w:rsidRPr="7851A6B7" w:rsidR="7F2EFD70">
        <w:rPr>
          <w:rFonts w:ascii="Calibri" w:hAnsi="Calibri" w:eastAsia="Calibri" w:cs="Calibri" w:asciiTheme="minorAscii" w:hAnsiTheme="minorAscii" w:eastAsiaTheme="minorAscii" w:cstheme="minorAscii"/>
          <w:noProof w:val="0"/>
          <w:sz w:val="24"/>
          <w:szCs w:val="24"/>
          <w:lang w:val="en-US"/>
        </w:rPr>
        <w:t xml:space="preserve">, </w:t>
      </w:r>
      <w:r w:rsidRPr="7851A6B7" w:rsidR="7F2EFD70">
        <w:rPr>
          <w:rFonts w:ascii="Calibri" w:hAnsi="Calibri" w:eastAsia="Calibri" w:cs="Calibri" w:asciiTheme="minorAscii" w:hAnsiTheme="minorAscii" w:eastAsiaTheme="minorAscii" w:cstheme="minorAscii"/>
          <w:noProof w:val="0"/>
          <w:sz w:val="24"/>
          <w:szCs w:val="24"/>
          <w:lang w:val="en-US"/>
        </w:rPr>
        <w:t>Pezzoti</w:t>
      </w:r>
      <w:r w:rsidRPr="7851A6B7" w:rsidR="7F2EFD70">
        <w:rPr>
          <w:rFonts w:ascii="Calibri" w:hAnsi="Calibri" w:eastAsia="Calibri" w:cs="Calibri" w:asciiTheme="minorAscii" w:hAnsiTheme="minorAscii" w:eastAsiaTheme="minorAscii" w:cstheme="minorAscii"/>
          <w:noProof w:val="0"/>
          <w:sz w:val="24"/>
          <w:szCs w:val="24"/>
          <w:lang w:val="en-US"/>
        </w:rPr>
        <w:t xml:space="preserve"> &amp; </w:t>
      </w:r>
      <w:r w:rsidRPr="7851A6B7" w:rsidR="7F2EFD70">
        <w:rPr>
          <w:rFonts w:ascii="Calibri" w:hAnsi="Calibri" w:eastAsia="Calibri" w:cs="Calibri" w:asciiTheme="minorAscii" w:hAnsiTheme="minorAscii" w:eastAsiaTheme="minorAscii" w:cstheme="minorAscii"/>
          <w:noProof w:val="0"/>
          <w:sz w:val="24"/>
          <w:szCs w:val="24"/>
          <w:lang w:val="en-US"/>
        </w:rPr>
        <w:t>Pantosti</w:t>
      </w:r>
      <w:r w:rsidRPr="7851A6B7" w:rsidR="7F2EFD70">
        <w:rPr>
          <w:rFonts w:ascii="Calibri" w:hAnsi="Calibri" w:eastAsia="Calibri" w:cs="Calibri" w:asciiTheme="minorAscii" w:hAnsiTheme="minorAscii" w:eastAsiaTheme="minorAscii" w:cstheme="minorAscii"/>
          <w:noProof w:val="0"/>
          <w:sz w:val="24"/>
          <w:szCs w:val="24"/>
          <w:lang w:val="en-US"/>
        </w:rPr>
        <w:t>, 2015)</w:t>
      </w:r>
    </w:p>
    <w:p xmlns:wp14="http://schemas.microsoft.com/office/word/2010/wordml" w:rsidP="7851A6B7" wp14:paraId="09FC2113" wp14:textId="493DC97D">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Threat to Healthcare Sustainability</w:t>
      </w:r>
    </w:p>
    <w:p xmlns:wp14="http://schemas.microsoft.com/office/word/2010/wordml" w:rsidP="0CACE3F8" wp14:paraId="6EDB6B1C" wp14:textId="41212177">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0CACE3F8" w:rsidR="7F2EFD70">
        <w:rPr>
          <w:rFonts w:ascii="Calibri" w:hAnsi="Calibri" w:eastAsia="Calibri" w:cs="Calibri" w:asciiTheme="minorAscii" w:hAnsiTheme="minorAscii" w:eastAsiaTheme="minorAscii" w:cstheme="minorAscii"/>
          <w:noProof w:val="0"/>
          <w:sz w:val="24"/>
          <w:szCs w:val="24"/>
          <w:lang w:val="en-US"/>
        </w:rPr>
        <w:t>The sustainability of the healthcare system in Wales is at risk due to AMR (Wang &amp; Thomas, 2020). The efficacy of medical interventions and surgical procedures that rely on the availability of effective antibiotics may be compromised (Smith &amp; Coast, 2012).</w:t>
      </w:r>
      <w:r w:rsidRPr="0CACE3F8" w:rsidR="4709C90D">
        <w:rPr>
          <w:rFonts w:ascii="Calibri" w:hAnsi="Calibri" w:eastAsia="Calibri" w:cs="Calibri"/>
          <w:noProof w:val="0"/>
          <w:sz w:val="24"/>
          <w:szCs w:val="24"/>
          <w:lang w:val="en-US"/>
        </w:rPr>
        <w:t xml:space="preserve"> The development of life-threatening infections from infections that were previously treatable can have an impact on the general standard and availability of healthcare services.</w:t>
      </w:r>
    </w:p>
    <w:p xmlns:wp14="http://schemas.microsoft.com/office/word/2010/wordml" w:rsidP="0CACE3F8" wp14:paraId="0FDFD889" wp14:textId="1445BB0A">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noProof w:val="0"/>
          <w:sz w:val="22"/>
          <w:szCs w:val="22"/>
          <w:lang w:val="en-US"/>
        </w:rPr>
        <w:t xml:space="preserve"> </w:t>
      </w:r>
      <w:r w:rsidRPr="37112B6E" w:rsidR="7F2EFD70">
        <w:rPr>
          <w:rFonts w:ascii="Calibri" w:hAnsi="Calibri" w:eastAsia="Calibri" w:cs="Calibri" w:asciiTheme="minorAscii" w:hAnsiTheme="minorAscii" w:eastAsiaTheme="minorAscii" w:cstheme="minorAscii"/>
          <w:noProof w:val="0"/>
          <w:sz w:val="24"/>
          <w:szCs w:val="24"/>
          <w:lang w:val="en-US"/>
        </w:rPr>
        <w:t xml:space="preserve">According to Tang, Millar &amp; Moore (2023), the failure to effectively tackle AMR could have far-reaching consequences, potentially bringing us back to a time </w:t>
      </w:r>
      <w:r w:rsidRPr="37112B6E" w:rsidR="7F2EFD70">
        <w:rPr>
          <w:rFonts w:ascii="Calibri" w:hAnsi="Calibri" w:eastAsia="Calibri" w:cs="Calibri" w:asciiTheme="minorAscii" w:hAnsiTheme="minorAscii" w:eastAsiaTheme="minorAscii" w:cstheme="minorAscii"/>
          <w:noProof w:val="0"/>
          <w:sz w:val="24"/>
          <w:szCs w:val="24"/>
          <w:lang w:val="en-US"/>
        </w:rPr>
        <w:t>similar to</w:t>
      </w:r>
      <w:r w:rsidRPr="37112B6E" w:rsidR="7F2EFD70">
        <w:rPr>
          <w:rFonts w:ascii="Calibri" w:hAnsi="Calibri" w:eastAsia="Calibri" w:cs="Calibri" w:asciiTheme="minorAscii" w:hAnsiTheme="minorAscii" w:eastAsiaTheme="minorAscii" w:cstheme="minorAscii"/>
          <w:noProof w:val="0"/>
          <w:sz w:val="24"/>
          <w:szCs w:val="24"/>
          <w:lang w:val="en-US"/>
        </w:rPr>
        <w:t xml:space="preserve"> the pre-antibiotic era. In such a scenario, common infections related to childbirth, surgical procedures, and open fractures might once again become life-threatening. </w:t>
      </w:r>
    </w:p>
    <w:p xmlns:wp14="http://schemas.microsoft.com/office/word/2010/wordml" w:rsidP="7851A6B7" wp14:paraId="02FC405B" wp14:textId="20FD7389">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Research Findings with regards to Antimicrobial Resistance</w:t>
      </w:r>
    </w:p>
    <w:p xmlns:wp14="http://schemas.microsoft.com/office/word/2010/wordml" w:rsidP="7851A6B7" wp14:paraId="354DF4FB" wp14:textId="41C169A2">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65379E03">
        <w:rPr>
          <w:rFonts w:ascii="Calibri" w:hAnsi="Calibri" w:eastAsia="Calibri" w:cs="Calibri" w:asciiTheme="minorAscii" w:hAnsiTheme="minorAscii" w:eastAsiaTheme="minorAscii" w:cstheme="minorAscii"/>
          <w:noProof w:val="0"/>
          <w:sz w:val="24"/>
          <w:szCs w:val="24"/>
          <w:lang w:val="en-US"/>
        </w:rPr>
        <w:t xml:space="preserve">Existing research in antimicrobial resistance </w:t>
      </w:r>
      <w:r w:rsidRPr="7851A6B7" w:rsidR="65379E03">
        <w:rPr>
          <w:rFonts w:ascii="Calibri" w:hAnsi="Calibri" w:eastAsia="Calibri" w:cs="Calibri" w:asciiTheme="minorAscii" w:hAnsiTheme="minorAscii" w:eastAsiaTheme="minorAscii" w:cstheme="minorAscii"/>
          <w:noProof w:val="0"/>
          <w:sz w:val="24"/>
          <w:szCs w:val="24"/>
          <w:lang w:val="en-US"/>
        </w:rPr>
        <w:t>provides</w:t>
      </w:r>
      <w:r w:rsidRPr="7851A6B7" w:rsidR="65379E03">
        <w:rPr>
          <w:rFonts w:ascii="Calibri" w:hAnsi="Calibri" w:eastAsia="Calibri" w:cs="Calibri" w:asciiTheme="minorAscii" w:hAnsiTheme="minorAscii" w:eastAsiaTheme="minorAscii" w:cstheme="minorAscii"/>
          <w:noProof w:val="0"/>
          <w:sz w:val="24"/>
          <w:szCs w:val="24"/>
          <w:lang w:val="en-US"/>
        </w:rPr>
        <w:t xml:space="preserve"> valuable insights that can inform health promotion and prevention efforts.</w:t>
      </w:r>
      <w:r w:rsidRPr="7851A6B7" w:rsidR="7F2EFD70">
        <w:rPr>
          <w:rFonts w:ascii="Calibri" w:hAnsi="Calibri" w:eastAsia="Calibri" w:cs="Calibri" w:asciiTheme="minorAscii" w:hAnsiTheme="minorAscii" w:eastAsiaTheme="minorAscii" w:cstheme="minorAscii"/>
          <w:noProof w:val="0"/>
          <w:sz w:val="22"/>
          <w:szCs w:val="22"/>
          <w:lang w:val="en-US"/>
        </w:rPr>
        <w:t xml:space="preserve"> </w:t>
      </w:r>
      <w:r w:rsidRPr="7851A6B7" w:rsidR="7F2EFD70">
        <w:rPr>
          <w:rFonts w:ascii="Calibri" w:hAnsi="Calibri" w:eastAsia="Calibri" w:cs="Calibri" w:asciiTheme="minorAscii" w:hAnsiTheme="minorAscii" w:eastAsiaTheme="minorAscii" w:cstheme="minorAscii"/>
          <w:noProof w:val="0"/>
          <w:sz w:val="24"/>
          <w:szCs w:val="24"/>
          <w:lang w:val="en-US"/>
        </w:rPr>
        <w:t>The following highlights a few significant findings:</w:t>
      </w:r>
    </w:p>
    <w:p xmlns:wp14="http://schemas.microsoft.com/office/word/2010/wordml" w:rsidP="7851A6B7" wp14:paraId="5DCF2AAC" wp14:textId="3BEC613D">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0CACE3F8" w:rsidR="7F2EFD70">
        <w:rPr>
          <w:rFonts w:ascii="Calibri" w:hAnsi="Calibri" w:eastAsia="Calibri" w:cs="Calibri" w:asciiTheme="minorAscii" w:hAnsiTheme="minorAscii" w:eastAsiaTheme="minorAscii" w:cstheme="minorAscii"/>
          <w:b w:val="1"/>
          <w:bCs w:val="1"/>
          <w:noProof w:val="0"/>
          <w:sz w:val="24"/>
          <w:szCs w:val="24"/>
          <w:lang w:val="en-US"/>
        </w:rPr>
        <w:t>Prevalence and Trends</w:t>
      </w:r>
      <w:r w:rsidRPr="0CACE3F8" w:rsidR="7F2EFD70">
        <w:rPr>
          <w:rFonts w:ascii="Calibri" w:hAnsi="Calibri" w:eastAsia="Calibri" w:cs="Calibri" w:asciiTheme="minorAscii" w:hAnsiTheme="minorAscii" w:eastAsiaTheme="minorAscii" w:cstheme="minorAscii"/>
          <w:noProof w:val="0"/>
          <w:sz w:val="24"/>
          <w:szCs w:val="24"/>
          <w:lang w:val="en-US"/>
        </w:rPr>
        <w:t xml:space="preserve">: Research has documented the prevalence of AMR in different healthcare settings and communities. Understanding the trends and patterns of resistance can help tailor prevention efforts to specific regions and populations. For instance, a research Murray </w:t>
      </w:r>
      <w:r w:rsidRPr="0CACE3F8" w:rsidR="7F2EFD70">
        <w:rPr>
          <w:rFonts w:ascii="Calibri" w:hAnsi="Calibri" w:eastAsia="Calibri" w:cs="Calibri" w:asciiTheme="minorAscii" w:hAnsiTheme="minorAscii" w:eastAsiaTheme="minorAscii" w:cstheme="minorAscii"/>
          <w:i w:val="1"/>
          <w:iCs w:val="1"/>
          <w:noProof w:val="0"/>
          <w:sz w:val="24"/>
          <w:szCs w:val="24"/>
          <w:lang w:val="en-US"/>
        </w:rPr>
        <w:t>et al.,</w:t>
      </w:r>
      <w:r w:rsidRPr="0CACE3F8" w:rsidR="7F2EFD70">
        <w:rPr>
          <w:rFonts w:ascii="Calibri" w:hAnsi="Calibri" w:eastAsia="Calibri" w:cs="Calibri" w:asciiTheme="minorAscii" w:hAnsiTheme="minorAscii" w:eastAsiaTheme="minorAscii" w:cstheme="minorAscii"/>
          <w:noProof w:val="0"/>
          <w:sz w:val="24"/>
          <w:szCs w:val="24"/>
          <w:lang w:val="en-US"/>
        </w:rPr>
        <w:t xml:space="preserve"> (2022) on the </w:t>
      </w:r>
      <w:r w:rsidRPr="0CACE3F8" w:rsidR="67B75674">
        <w:rPr>
          <w:rFonts w:ascii="Calibri" w:hAnsi="Calibri" w:eastAsia="Calibri" w:cs="Calibri" w:asciiTheme="minorAscii" w:hAnsiTheme="minorAscii" w:eastAsiaTheme="minorAscii" w:cstheme="minorAscii"/>
          <w:noProof w:val="0"/>
          <w:sz w:val="24"/>
          <w:szCs w:val="24"/>
          <w:lang w:val="en-US"/>
        </w:rPr>
        <w:t>‘G</w:t>
      </w:r>
      <w:r w:rsidRPr="0CACE3F8" w:rsidR="7F2EFD70">
        <w:rPr>
          <w:rFonts w:ascii="Calibri" w:hAnsi="Calibri" w:eastAsia="Calibri" w:cs="Calibri" w:asciiTheme="minorAscii" w:hAnsiTheme="minorAscii" w:eastAsiaTheme="minorAscii" w:cstheme="minorAscii"/>
          <w:noProof w:val="0"/>
          <w:sz w:val="24"/>
          <w:szCs w:val="24"/>
          <w:lang w:val="en-US"/>
        </w:rPr>
        <w:t>lobal burden of antimicrobial resistance of Microorganisms</w:t>
      </w:r>
      <w:r w:rsidRPr="0CACE3F8" w:rsidR="117727A4">
        <w:rPr>
          <w:rFonts w:ascii="Calibri" w:hAnsi="Calibri" w:eastAsia="Calibri" w:cs="Calibri" w:asciiTheme="minorAscii" w:hAnsiTheme="minorAscii" w:eastAsiaTheme="minorAscii" w:cstheme="minorAscii"/>
          <w:noProof w:val="0"/>
          <w:sz w:val="24"/>
          <w:szCs w:val="24"/>
          <w:lang w:val="en-US"/>
        </w:rPr>
        <w:t>’</w:t>
      </w:r>
      <w:r w:rsidRPr="0CACE3F8" w:rsidR="7F2EFD70">
        <w:rPr>
          <w:rFonts w:ascii="Calibri" w:hAnsi="Calibri" w:eastAsia="Calibri" w:cs="Calibri" w:asciiTheme="minorAscii" w:hAnsiTheme="minorAscii" w:eastAsiaTheme="minorAscii" w:cstheme="minorAscii"/>
          <w:noProof w:val="0"/>
          <w:sz w:val="24"/>
          <w:szCs w:val="24"/>
          <w:lang w:val="en-US"/>
        </w:rPr>
        <w:t xml:space="preserve"> showed that in 2019, a total of 929,000 deaths were linked to antimicrobial resistance (AMR), with the main culprits being six leading pathogens: Escherichia coli, Klebsiella pneumoniae, Acinetobacter baumannii, Staphylococcus aureus, and Pseudomonas aeruginosa, Streptococcus pneumoniae. Notably, methicillin-resistant Staphylococcus aureus, a specific pathogen-drug combination, </w:t>
      </w:r>
      <w:r w:rsidRPr="0CACE3F8" w:rsidR="7F2EFD70">
        <w:rPr>
          <w:rFonts w:ascii="Calibri" w:hAnsi="Calibri" w:eastAsia="Calibri" w:cs="Calibri" w:asciiTheme="minorAscii" w:hAnsiTheme="minorAscii" w:eastAsiaTheme="minorAscii" w:cstheme="minorAscii"/>
          <w:noProof w:val="0"/>
          <w:sz w:val="24"/>
          <w:szCs w:val="24"/>
          <w:lang w:val="en-US"/>
        </w:rPr>
        <w:t>was responsible for</w:t>
      </w:r>
      <w:r w:rsidRPr="0CACE3F8" w:rsidR="7F2EFD70">
        <w:rPr>
          <w:rFonts w:ascii="Calibri" w:hAnsi="Calibri" w:eastAsia="Calibri" w:cs="Calibri" w:asciiTheme="minorAscii" w:hAnsiTheme="minorAscii" w:eastAsiaTheme="minorAscii" w:cstheme="minorAscii"/>
          <w:noProof w:val="0"/>
          <w:sz w:val="24"/>
          <w:szCs w:val="24"/>
          <w:lang w:val="en-US"/>
        </w:rPr>
        <w:t xml:space="preserve"> over 100,000 deaths attributed to AMR (Turner et al., 2019). These results led to </w:t>
      </w:r>
      <w:bookmarkStart w:name="_Int_UHu5pnn4" w:id="1942761895"/>
      <w:r w:rsidRPr="0CACE3F8" w:rsidR="7F2EFD70">
        <w:rPr>
          <w:rFonts w:ascii="Calibri" w:hAnsi="Calibri" w:eastAsia="Calibri" w:cs="Calibri" w:asciiTheme="minorAscii" w:hAnsiTheme="minorAscii" w:eastAsiaTheme="minorAscii" w:cstheme="minorAscii"/>
          <w:noProof w:val="0"/>
          <w:sz w:val="24"/>
          <w:szCs w:val="24"/>
          <w:lang w:val="en-US"/>
        </w:rPr>
        <w:t>a conclusion</w:t>
      </w:r>
      <w:bookmarkEnd w:id="1942761895"/>
      <w:r w:rsidRPr="0CACE3F8" w:rsidR="7F2EFD70">
        <w:rPr>
          <w:rFonts w:ascii="Calibri" w:hAnsi="Calibri" w:eastAsia="Calibri" w:cs="Calibri" w:asciiTheme="minorAscii" w:hAnsiTheme="minorAscii" w:eastAsiaTheme="minorAscii" w:cstheme="minorAscii"/>
          <w:noProof w:val="0"/>
          <w:sz w:val="24"/>
          <w:szCs w:val="24"/>
          <w:lang w:val="en-US"/>
        </w:rPr>
        <w:t xml:space="preserve"> that there was a need to pay attention to these leading pathogens and this has helped in combating AMR. A report by The National Assembly for Wales also revealed that Escherichia coli was the most common resistant microorganism (Roberts, 2016)</w:t>
      </w:r>
    </w:p>
    <w:p xmlns:wp14="http://schemas.microsoft.com/office/word/2010/wordml" w:rsidP="7851A6B7" wp14:paraId="60E9F7F7" wp14:textId="5106635F">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b w:val="1"/>
          <w:bCs w:val="1"/>
          <w:noProof w:val="0"/>
          <w:sz w:val="24"/>
          <w:szCs w:val="24"/>
          <w:lang w:val="en-US"/>
        </w:rPr>
        <w:t>Antibiotic Usage and Misuse</w:t>
      </w:r>
      <w:r w:rsidRPr="37112B6E" w:rsidR="7F2EFD70">
        <w:rPr>
          <w:rFonts w:ascii="Calibri" w:hAnsi="Calibri" w:eastAsia="Calibri" w:cs="Calibri" w:asciiTheme="minorAscii" w:hAnsiTheme="minorAscii" w:eastAsiaTheme="minorAscii" w:cstheme="minorAscii"/>
          <w:noProof w:val="0"/>
          <w:sz w:val="24"/>
          <w:szCs w:val="24"/>
          <w:lang w:val="en-US"/>
        </w:rPr>
        <w:t xml:space="preserve">: Studies have examined the factors contributing to antibiotic overuse and misuse. This research can help inform targeted interventions to reduce unnecessary antibiotic prescriptions. A study by Bryne </w:t>
      </w:r>
      <w:r w:rsidRPr="37112B6E" w:rsidR="7F2EFD70">
        <w:rPr>
          <w:rFonts w:ascii="Calibri" w:hAnsi="Calibri" w:eastAsia="Calibri" w:cs="Calibri" w:asciiTheme="minorAscii" w:hAnsiTheme="minorAscii" w:eastAsiaTheme="minorAscii" w:cstheme="minorAscii"/>
          <w:i w:val="1"/>
          <w:iCs w:val="1"/>
          <w:noProof w:val="0"/>
          <w:sz w:val="24"/>
          <w:szCs w:val="24"/>
          <w:lang w:val="en-US"/>
        </w:rPr>
        <w:t>et al</w:t>
      </w:r>
      <w:r w:rsidRPr="37112B6E" w:rsidR="7F2EFD70">
        <w:rPr>
          <w:rFonts w:ascii="Calibri" w:hAnsi="Calibri" w:eastAsia="Calibri" w:cs="Calibri" w:asciiTheme="minorAscii" w:hAnsiTheme="minorAscii" w:eastAsiaTheme="minorAscii" w:cstheme="minorAscii"/>
          <w:noProof w:val="0"/>
          <w:sz w:val="24"/>
          <w:szCs w:val="24"/>
          <w:lang w:val="en-US"/>
        </w:rPr>
        <w:t xml:space="preserve">. (2019) </w:t>
      </w:r>
      <w:r w:rsidRPr="37112B6E" w:rsidR="7F2EFD70">
        <w:rPr>
          <w:rFonts w:ascii="Calibri" w:hAnsi="Calibri" w:eastAsia="Calibri" w:cs="Calibri" w:asciiTheme="minorAscii" w:hAnsiTheme="minorAscii" w:eastAsiaTheme="minorAscii" w:cstheme="minorAscii"/>
          <w:noProof w:val="0"/>
          <w:sz w:val="24"/>
          <w:szCs w:val="24"/>
          <w:lang w:val="en-US"/>
        </w:rPr>
        <w:t>identified</w:t>
      </w:r>
      <w:r w:rsidRPr="37112B6E" w:rsidR="7F2EFD70">
        <w:rPr>
          <w:rFonts w:ascii="Calibri" w:hAnsi="Calibri" w:eastAsia="Calibri" w:cs="Calibri" w:asciiTheme="minorAscii" w:hAnsiTheme="minorAscii" w:eastAsiaTheme="minorAscii" w:cstheme="minorAscii"/>
          <w:noProof w:val="0"/>
          <w:sz w:val="24"/>
          <w:szCs w:val="24"/>
          <w:lang w:val="en-US"/>
        </w:rPr>
        <w:t xml:space="preserve"> a tool that could be used to conduct research on the causes of misuse and abuse of antibiotics </w:t>
      </w:r>
      <w:r w:rsidRPr="37112B6E" w:rsidR="7F2EFD70">
        <w:rPr>
          <w:rFonts w:ascii="Calibri" w:hAnsi="Calibri" w:eastAsia="Calibri" w:cs="Calibri" w:asciiTheme="minorAscii" w:hAnsiTheme="minorAscii" w:eastAsiaTheme="minorAscii" w:cstheme="minorAscii"/>
          <w:noProof w:val="0"/>
          <w:sz w:val="24"/>
          <w:szCs w:val="24"/>
          <w:lang w:val="en-US"/>
        </w:rPr>
        <w:t>in order to</w:t>
      </w:r>
      <w:r w:rsidRPr="37112B6E" w:rsidR="7F2EFD70">
        <w:rPr>
          <w:rFonts w:ascii="Calibri" w:hAnsi="Calibri" w:eastAsia="Calibri" w:cs="Calibri" w:asciiTheme="minorAscii" w:hAnsiTheme="minorAscii" w:eastAsiaTheme="minorAscii" w:cstheme="minorAscii"/>
          <w:noProof w:val="0"/>
          <w:sz w:val="24"/>
          <w:szCs w:val="24"/>
          <w:lang w:val="en-US"/>
        </w:rPr>
        <w:t xml:space="preserve"> curb AMR. The outcomes of their study revealed that several crucial factors, such as perceived </w:t>
      </w:r>
      <w:r w:rsidRPr="37112B6E" w:rsidR="7F2EFD70">
        <w:rPr>
          <w:rFonts w:ascii="Calibri" w:hAnsi="Calibri" w:eastAsia="Calibri" w:cs="Calibri" w:asciiTheme="minorAscii" w:hAnsiTheme="minorAscii" w:eastAsiaTheme="minorAscii" w:cstheme="minorAscii"/>
          <w:noProof w:val="0"/>
          <w:sz w:val="24"/>
          <w:szCs w:val="24"/>
          <w:lang w:val="en-US"/>
        </w:rPr>
        <w:t>behavioural</w:t>
      </w:r>
      <w:r w:rsidRPr="37112B6E" w:rsidR="7F2EFD70">
        <w:rPr>
          <w:rFonts w:ascii="Calibri" w:hAnsi="Calibri" w:eastAsia="Calibri" w:cs="Calibri" w:asciiTheme="minorAscii" w:hAnsiTheme="minorAscii" w:eastAsiaTheme="minorAscii" w:cstheme="minorAscii"/>
          <w:noProof w:val="0"/>
          <w:sz w:val="24"/>
          <w:szCs w:val="24"/>
          <w:lang w:val="en-US"/>
        </w:rPr>
        <w:t xml:space="preserve"> control, social norms, the interaction between attitudes and beliefs, knowledge, and having a family member in the healthcare profession, significantly </w:t>
      </w:r>
      <w:r w:rsidRPr="37112B6E" w:rsidR="7F2EFD70">
        <w:rPr>
          <w:rFonts w:ascii="Calibri" w:hAnsi="Calibri" w:eastAsia="Calibri" w:cs="Calibri" w:asciiTheme="minorAscii" w:hAnsiTheme="minorAscii" w:eastAsiaTheme="minorAscii" w:cstheme="minorAscii"/>
          <w:noProof w:val="0"/>
          <w:sz w:val="24"/>
          <w:szCs w:val="24"/>
          <w:lang w:val="en-US"/>
        </w:rPr>
        <w:t>impacted</w:t>
      </w:r>
      <w:r w:rsidRPr="37112B6E" w:rsidR="7F2EFD70">
        <w:rPr>
          <w:rFonts w:ascii="Calibri" w:hAnsi="Calibri" w:eastAsia="Calibri" w:cs="Calibri" w:asciiTheme="minorAscii" w:hAnsiTheme="minorAscii" w:eastAsiaTheme="minorAscii" w:cstheme="minorAscii"/>
          <w:noProof w:val="0"/>
          <w:sz w:val="24"/>
          <w:szCs w:val="24"/>
          <w:lang w:val="en-US"/>
        </w:rPr>
        <w:t xml:space="preserve"> antibiotic usage </w:t>
      </w:r>
      <w:r w:rsidRPr="37112B6E" w:rsidR="7F2EFD70">
        <w:rPr>
          <w:rFonts w:ascii="Calibri" w:hAnsi="Calibri" w:eastAsia="Calibri" w:cs="Calibri" w:asciiTheme="minorAscii" w:hAnsiTheme="minorAscii" w:eastAsiaTheme="minorAscii" w:cstheme="minorAscii"/>
          <w:noProof w:val="0"/>
          <w:sz w:val="24"/>
          <w:szCs w:val="24"/>
          <w:lang w:val="en-US"/>
        </w:rPr>
        <w:t>behaviour</w:t>
      </w:r>
      <w:r w:rsidRPr="37112B6E" w:rsidR="7F2EFD70">
        <w:rPr>
          <w:rFonts w:ascii="Calibri" w:hAnsi="Calibri" w:eastAsia="Calibri" w:cs="Calibri" w:asciiTheme="minorAscii" w:hAnsiTheme="minorAscii" w:eastAsiaTheme="minorAscii" w:cstheme="minorAscii"/>
          <w:noProof w:val="0"/>
          <w:sz w:val="24"/>
          <w:szCs w:val="24"/>
          <w:lang w:val="en-US"/>
        </w:rPr>
        <w:t>.</w:t>
      </w:r>
    </w:p>
    <w:p xmlns:wp14="http://schemas.microsoft.com/office/word/2010/wordml" w:rsidP="7851A6B7" wp14:paraId="6A02A673" wp14:textId="1A5F1EE6">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Public Awareness and Knowledge</w:t>
      </w:r>
      <w:r w:rsidRPr="7851A6B7" w:rsidR="7F2EFD70">
        <w:rPr>
          <w:rFonts w:ascii="Calibri" w:hAnsi="Calibri" w:eastAsia="Calibri" w:cs="Calibri" w:asciiTheme="minorAscii" w:hAnsiTheme="minorAscii" w:eastAsiaTheme="minorAscii" w:cstheme="minorAscii"/>
          <w:noProof w:val="0"/>
          <w:sz w:val="24"/>
          <w:szCs w:val="24"/>
          <w:lang w:val="en-US"/>
        </w:rPr>
        <w:t>: Research has assessed public awareness and knowledge about AMR. Such studies can guide health promotion campaigns to improve understanding among the general population. A survey by Ashiru-</w:t>
      </w:r>
      <w:r w:rsidRPr="7851A6B7" w:rsidR="7F2EFD70">
        <w:rPr>
          <w:rFonts w:ascii="Calibri" w:hAnsi="Calibri" w:eastAsia="Calibri" w:cs="Calibri" w:asciiTheme="minorAscii" w:hAnsiTheme="minorAscii" w:eastAsiaTheme="minorAscii" w:cstheme="minorAscii"/>
          <w:noProof w:val="0"/>
          <w:sz w:val="24"/>
          <w:szCs w:val="24"/>
          <w:lang w:val="en-US"/>
        </w:rPr>
        <w:t>Oredope</w:t>
      </w:r>
      <w:r w:rsidRPr="7851A6B7" w:rsidR="7F2EFD70">
        <w:rPr>
          <w:rFonts w:ascii="Calibri" w:hAnsi="Calibri" w:eastAsia="Calibri" w:cs="Calibri" w:asciiTheme="minorAscii" w:hAnsiTheme="minorAscii" w:eastAsiaTheme="minorAscii" w:cstheme="minorAscii"/>
          <w:noProof w:val="0"/>
          <w:sz w:val="24"/>
          <w:szCs w:val="24"/>
          <w:lang w:val="en-US"/>
        </w:rPr>
        <w:t xml:space="preserve"> </w:t>
      </w:r>
      <w:r w:rsidRPr="7851A6B7" w:rsidR="7F2EFD70">
        <w:rPr>
          <w:rFonts w:ascii="Calibri" w:hAnsi="Calibri" w:eastAsia="Calibri" w:cs="Calibri" w:asciiTheme="minorAscii" w:hAnsiTheme="minorAscii" w:eastAsiaTheme="minorAscii" w:cstheme="minorAscii"/>
          <w:i w:val="1"/>
          <w:iCs w:val="1"/>
          <w:noProof w:val="0"/>
          <w:sz w:val="24"/>
          <w:szCs w:val="24"/>
          <w:lang w:val="en-US"/>
        </w:rPr>
        <w:t>et al.,</w:t>
      </w:r>
      <w:r w:rsidRPr="7851A6B7" w:rsidR="7F2EFD70">
        <w:rPr>
          <w:rFonts w:ascii="Calibri" w:hAnsi="Calibri" w:eastAsia="Calibri" w:cs="Calibri" w:asciiTheme="minorAscii" w:hAnsiTheme="minorAscii" w:eastAsiaTheme="minorAscii" w:cstheme="minorAscii"/>
          <w:noProof w:val="0"/>
          <w:sz w:val="24"/>
          <w:szCs w:val="24"/>
          <w:lang w:val="en-US"/>
        </w:rPr>
        <w:t xml:space="preserve"> (2022) found that two-thirds of those interviewed agreed that Health awareness and campaigns about antibiotic use had helped their awareness and attitude towards the use of Antibiotics in hopes of reducing antimicrobial resistance. This is an example of research data that dealt with the awareness and Knowledge of the public about AMR.</w:t>
      </w:r>
    </w:p>
    <w:p xmlns:wp14="http://schemas.microsoft.com/office/word/2010/wordml" w:rsidP="0CACE3F8" wp14:paraId="5D75BE2B" wp14:textId="1D5D66C3">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0CACE3F8" w:rsidR="7F2EFD70">
        <w:rPr>
          <w:rFonts w:ascii="Calibri" w:hAnsi="Calibri" w:eastAsia="Calibri" w:cs="Calibri" w:asciiTheme="minorAscii" w:hAnsiTheme="minorAscii" w:eastAsiaTheme="minorAscii" w:cstheme="minorAscii"/>
          <w:noProof w:val="0"/>
          <w:sz w:val="24"/>
          <w:szCs w:val="24"/>
          <w:lang w:val="en-US"/>
        </w:rPr>
        <w:t xml:space="preserve">One Health Approach: Research has emphasized the importance of a "one health" approach, which considers the association of human, animal, and environmental health. This approach can guide efforts to reduce AMR in both healthcare and agriculture sectors. The Welsh Government's "One Health" strategy (2018) </w:t>
      </w:r>
      <w:r w:rsidRPr="0CACE3F8" w:rsidR="03075DEA">
        <w:rPr>
          <w:rFonts w:ascii="Calibri" w:hAnsi="Calibri" w:eastAsia="Calibri" w:cs="Calibri"/>
          <w:noProof w:val="0"/>
          <w:sz w:val="24"/>
          <w:szCs w:val="24"/>
          <w:lang w:val="en-US"/>
        </w:rPr>
        <w:t xml:space="preserve">encourages cooperation between medical professionals, veterinary specialists, and environmental specialists in the fight against </w:t>
      </w:r>
      <w:r w:rsidRPr="0CACE3F8" w:rsidR="03075DEA">
        <w:rPr>
          <w:rFonts w:ascii="Calibri" w:hAnsi="Calibri" w:eastAsia="Calibri" w:cs="Calibri"/>
          <w:noProof w:val="0"/>
          <w:sz w:val="24"/>
          <w:szCs w:val="24"/>
          <w:lang w:val="en-US"/>
        </w:rPr>
        <w:t>AMR (</w:t>
      </w:r>
      <w:r w:rsidRPr="0CACE3F8" w:rsidR="7F2EFD70">
        <w:rPr>
          <w:rFonts w:ascii="Calibri" w:hAnsi="Calibri" w:eastAsia="Calibri" w:cs="Calibri" w:asciiTheme="minorAscii" w:hAnsiTheme="minorAscii" w:eastAsiaTheme="minorAscii" w:cstheme="minorAscii"/>
          <w:noProof w:val="0"/>
          <w:sz w:val="24"/>
          <w:szCs w:val="24"/>
          <w:lang w:val="en-US"/>
        </w:rPr>
        <w:t>Cella et al., 2023)</w:t>
      </w:r>
    </w:p>
    <w:p xmlns:wp14="http://schemas.microsoft.com/office/word/2010/wordml" w:rsidP="7851A6B7" wp14:paraId="44811B5E" wp14:textId="267905E4">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Suggested Health Promotion and Prevention Strategies</w:t>
      </w:r>
    </w:p>
    <w:p xmlns:wp14="http://schemas.microsoft.com/office/word/2010/wordml" w:rsidP="7851A6B7" wp14:paraId="36E086BA" wp14:textId="013352FE">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To address AMR as a public health factor, health promotion and prevention strategies should be informed by the </w:t>
      </w:r>
      <w:r w:rsidRPr="7851A6B7" w:rsidR="2FB6B531">
        <w:rPr>
          <w:rFonts w:ascii="Calibri" w:hAnsi="Calibri" w:eastAsia="Calibri" w:cs="Calibri" w:asciiTheme="minorAscii" w:hAnsiTheme="minorAscii" w:eastAsiaTheme="minorAscii" w:cstheme="minorAscii"/>
          <w:noProof w:val="0"/>
          <w:sz w:val="24"/>
          <w:szCs w:val="24"/>
          <w:lang w:val="en-US"/>
        </w:rPr>
        <w:t>research</w:t>
      </w:r>
      <w:r w:rsidRPr="7851A6B7" w:rsidR="7F2EFD70">
        <w:rPr>
          <w:rFonts w:ascii="Calibri" w:hAnsi="Calibri" w:eastAsia="Calibri" w:cs="Calibri" w:asciiTheme="minorAscii" w:hAnsiTheme="minorAscii" w:eastAsiaTheme="minorAscii" w:cstheme="minorAscii"/>
          <w:noProof w:val="0"/>
          <w:sz w:val="24"/>
          <w:szCs w:val="24"/>
          <w:lang w:val="en-US"/>
        </w:rPr>
        <w:t xml:space="preserve"> findings: </w:t>
      </w:r>
    </w:p>
    <w:p xmlns:wp14="http://schemas.microsoft.com/office/word/2010/wordml" w:rsidP="0CACE3F8" wp14:paraId="110F9C94" wp14:textId="18CB4EC1">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noProof w:val="0"/>
          <w:sz w:val="24"/>
          <w:szCs w:val="24"/>
          <w:lang w:val="en-US"/>
        </w:rPr>
        <w:t xml:space="preserve">Reducing Unnecessary Antibiotic Prescriptions: Health promotion campaigns should educate healthcare providers </w:t>
      </w:r>
      <w:r w:rsidRPr="37112B6E" w:rsidR="280FB037">
        <w:rPr>
          <w:rFonts w:ascii="Calibri" w:hAnsi="Calibri" w:eastAsia="Calibri" w:cs="Calibri" w:asciiTheme="minorAscii" w:hAnsiTheme="minorAscii" w:eastAsiaTheme="minorAscii" w:cstheme="minorAscii"/>
          <w:noProof w:val="0"/>
          <w:sz w:val="24"/>
          <w:szCs w:val="24"/>
          <w:lang w:val="en-US"/>
        </w:rPr>
        <w:t>about the</w:t>
      </w:r>
      <w:r w:rsidRPr="37112B6E" w:rsidR="280FB037">
        <w:rPr>
          <w:rFonts w:ascii="Calibri" w:hAnsi="Calibri" w:eastAsia="Calibri" w:cs="Calibri"/>
          <w:noProof w:val="0"/>
          <w:sz w:val="24"/>
          <w:szCs w:val="24"/>
          <w:lang w:val="en-US"/>
        </w:rPr>
        <w:t xml:space="preserve"> significance of </w:t>
      </w:r>
      <w:r w:rsidRPr="37112B6E" w:rsidR="280FB037">
        <w:rPr>
          <w:rFonts w:ascii="Calibri" w:hAnsi="Calibri" w:eastAsia="Calibri" w:cs="Calibri"/>
          <w:noProof w:val="0"/>
          <w:sz w:val="24"/>
          <w:szCs w:val="24"/>
          <w:lang w:val="en-US"/>
        </w:rPr>
        <w:t>appropriate antibiotic</w:t>
      </w:r>
      <w:r w:rsidRPr="37112B6E" w:rsidR="280FB037">
        <w:rPr>
          <w:rFonts w:ascii="Calibri" w:hAnsi="Calibri" w:eastAsia="Calibri" w:cs="Calibri"/>
          <w:noProof w:val="0"/>
          <w:sz w:val="24"/>
          <w:szCs w:val="24"/>
          <w:lang w:val="en-US"/>
        </w:rPr>
        <w:t xml:space="preserve"> </w:t>
      </w:r>
      <w:r w:rsidRPr="37112B6E" w:rsidR="280FB037">
        <w:rPr>
          <w:rFonts w:ascii="Calibri" w:hAnsi="Calibri" w:eastAsia="Calibri" w:cs="Calibri"/>
          <w:noProof w:val="0"/>
          <w:sz w:val="24"/>
          <w:szCs w:val="24"/>
          <w:lang w:val="en-US"/>
        </w:rPr>
        <w:t>prescription.</w:t>
      </w:r>
      <w:r w:rsidRPr="37112B6E" w:rsidR="280FB037">
        <w:rPr>
          <w:rFonts w:ascii="Calibri" w:hAnsi="Calibri" w:eastAsia="Calibri" w:cs="Calibri" w:asciiTheme="minorAscii" w:hAnsiTheme="minorAscii" w:eastAsiaTheme="minorAscii" w:cstheme="minorAscii"/>
          <w:noProof w:val="0"/>
          <w:sz w:val="24"/>
          <w:szCs w:val="24"/>
          <w:lang w:val="en-US"/>
        </w:rPr>
        <w:t xml:space="preserve"> </w:t>
      </w:r>
      <w:r w:rsidRPr="37112B6E" w:rsidR="7F2EFD70">
        <w:rPr>
          <w:rFonts w:ascii="Calibri" w:hAnsi="Calibri" w:eastAsia="Calibri" w:cs="Calibri" w:asciiTheme="minorAscii" w:hAnsiTheme="minorAscii" w:eastAsiaTheme="minorAscii" w:cstheme="minorAscii"/>
          <w:noProof w:val="0"/>
          <w:sz w:val="24"/>
          <w:szCs w:val="24"/>
          <w:lang w:val="en-US"/>
        </w:rPr>
        <w:t xml:space="preserve">This can be supported by rigorous enforcement of guidelines and regulations. Pulcini &amp; </w:t>
      </w:r>
      <w:r w:rsidRPr="37112B6E" w:rsidR="7F2EFD70">
        <w:rPr>
          <w:rFonts w:ascii="Calibri" w:hAnsi="Calibri" w:eastAsia="Calibri" w:cs="Calibri" w:asciiTheme="minorAscii" w:hAnsiTheme="minorAscii" w:eastAsiaTheme="minorAscii" w:cstheme="minorAscii"/>
          <w:noProof w:val="0"/>
          <w:sz w:val="24"/>
          <w:szCs w:val="24"/>
          <w:lang w:val="en-US"/>
        </w:rPr>
        <w:t>Gyssens</w:t>
      </w:r>
      <w:r w:rsidRPr="37112B6E" w:rsidR="7F2EFD70">
        <w:rPr>
          <w:rFonts w:ascii="Calibri" w:hAnsi="Calibri" w:eastAsia="Calibri" w:cs="Calibri" w:asciiTheme="minorAscii" w:hAnsiTheme="minorAscii" w:eastAsiaTheme="minorAscii" w:cstheme="minorAscii"/>
          <w:noProof w:val="0"/>
          <w:sz w:val="24"/>
          <w:szCs w:val="24"/>
          <w:lang w:val="en-US"/>
        </w:rPr>
        <w:t xml:space="preserve"> (2013) in their article suggest that those that would be saddles with the responsibility of prescribing drugs should undergo antimicrobial stewardship training from the start of their education </w:t>
      </w:r>
      <w:r w:rsidRPr="37112B6E" w:rsidR="7F2EFD70">
        <w:rPr>
          <w:rFonts w:ascii="Calibri" w:hAnsi="Calibri" w:eastAsia="Calibri" w:cs="Calibri" w:asciiTheme="minorAscii" w:hAnsiTheme="minorAscii" w:eastAsiaTheme="minorAscii" w:cstheme="minorAscii"/>
          <w:noProof w:val="0"/>
          <w:sz w:val="24"/>
          <w:szCs w:val="24"/>
          <w:lang w:val="en-US"/>
        </w:rPr>
        <w:t>so as to</w:t>
      </w:r>
      <w:r w:rsidRPr="37112B6E" w:rsidR="7F2EFD70">
        <w:rPr>
          <w:rFonts w:ascii="Calibri" w:hAnsi="Calibri" w:eastAsia="Calibri" w:cs="Calibri" w:asciiTheme="minorAscii" w:hAnsiTheme="minorAscii" w:eastAsiaTheme="minorAscii" w:cstheme="minorAscii"/>
          <w:noProof w:val="0"/>
          <w:sz w:val="24"/>
          <w:szCs w:val="24"/>
          <w:lang w:val="en-US"/>
        </w:rPr>
        <w:t xml:space="preserve"> get them acquainted with the menace of AMR and get them to know the importance of antibiotic prescription.</w:t>
      </w:r>
    </w:p>
    <w:p xmlns:wp14="http://schemas.microsoft.com/office/word/2010/wordml" w:rsidP="7851A6B7" wp14:paraId="26B6B5C7" wp14:textId="7B373A1B">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Public Education: Public awareness campaigns can be developed to inform the population about the dangers of AMR and the importance of completing antibiotic courses as prescribed. The WHO has </w:t>
      </w:r>
      <w:r w:rsidRPr="7851A6B7" w:rsidR="7F2EFD70">
        <w:rPr>
          <w:rFonts w:ascii="Calibri" w:hAnsi="Calibri" w:eastAsia="Calibri" w:cs="Calibri" w:asciiTheme="minorAscii" w:hAnsiTheme="minorAscii" w:eastAsiaTheme="minorAscii" w:cstheme="minorAscii"/>
          <w:noProof w:val="0"/>
          <w:sz w:val="24"/>
          <w:szCs w:val="24"/>
          <w:lang w:val="en-US"/>
        </w:rPr>
        <w:t>organised</w:t>
      </w:r>
      <w:r w:rsidRPr="7851A6B7" w:rsidR="7F2EFD70">
        <w:rPr>
          <w:rFonts w:ascii="Calibri" w:hAnsi="Calibri" w:eastAsia="Calibri" w:cs="Calibri" w:asciiTheme="minorAscii" w:hAnsiTheme="minorAscii" w:eastAsiaTheme="minorAscii" w:cstheme="minorAscii"/>
          <w:noProof w:val="0"/>
          <w:sz w:val="24"/>
          <w:szCs w:val="24"/>
          <w:lang w:val="en-US"/>
        </w:rPr>
        <w:t xml:space="preserve"> an awareness walk World Antimicrobial Awareness Week (WAAW) that aims to sensitize everyone all over the world about AMR (WHO, 2021).</w:t>
      </w:r>
    </w:p>
    <w:p xmlns:wp14="http://schemas.microsoft.com/office/word/2010/wordml" w:rsidP="7851A6B7" wp14:paraId="320E9C14" wp14:textId="02CA8C2D">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Infection Control Measures: Health promotion should emphasize the significance of robust infection control measures in healthcare facilities to prevent the spread of resistant pathogens.</w:t>
      </w:r>
    </w:p>
    <w:p xmlns:wp14="http://schemas.microsoft.com/office/word/2010/wordml" w:rsidP="0CACE3F8" wp14:paraId="75DF5434" wp14:textId="400CFA3A">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0CACE3F8" w:rsidR="7F2EFD70">
        <w:rPr>
          <w:rFonts w:ascii="Calibri" w:hAnsi="Calibri" w:eastAsia="Calibri" w:cs="Calibri" w:asciiTheme="minorAscii" w:hAnsiTheme="minorAscii" w:eastAsiaTheme="minorAscii" w:cstheme="minorAscii"/>
          <w:noProof w:val="0"/>
          <w:sz w:val="24"/>
          <w:szCs w:val="24"/>
          <w:lang w:val="en-US"/>
        </w:rPr>
        <w:t>One Health Collaboration: Encourage collaborative efforts between healthcare, veterinary, and environmental sectors, as outlined in the "One Health" strategy,</w:t>
      </w:r>
      <w:r w:rsidRPr="0CACE3F8" w:rsidR="4CB1CFBC">
        <w:rPr>
          <w:rFonts w:ascii="Calibri" w:hAnsi="Calibri" w:eastAsia="Calibri" w:cs="Calibri" w:asciiTheme="minorAscii" w:hAnsiTheme="minorAscii" w:eastAsiaTheme="minorAscii" w:cstheme="minorAscii"/>
          <w:noProof w:val="0"/>
          <w:sz w:val="24"/>
          <w:szCs w:val="24"/>
          <w:lang w:val="en-US"/>
        </w:rPr>
        <w:t xml:space="preserve"> </w:t>
      </w:r>
      <w:r w:rsidRPr="0CACE3F8" w:rsidR="4CB1CFBC">
        <w:rPr>
          <w:rFonts w:ascii="Calibri" w:hAnsi="Calibri" w:eastAsia="Calibri" w:cs="Calibri"/>
          <w:noProof w:val="0"/>
          <w:sz w:val="24"/>
          <w:szCs w:val="24"/>
          <w:lang w:val="en-US"/>
        </w:rPr>
        <w:t>to</w:t>
      </w:r>
      <w:r w:rsidRPr="0CACE3F8" w:rsidR="4CB1CFBC">
        <w:rPr>
          <w:rFonts w:ascii="Calibri" w:hAnsi="Calibri" w:eastAsia="Calibri" w:cs="Calibri"/>
          <w:noProof w:val="0"/>
          <w:sz w:val="24"/>
          <w:szCs w:val="24"/>
          <w:lang w:val="en-US"/>
        </w:rPr>
        <w:t xml:space="preserve"> cut down on antibiotic use</w:t>
      </w:r>
      <w:r w:rsidRPr="0CACE3F8" w:rsidR="7F2EFD70">
        <w:rPr>
          <w:rFonts w:ascii="Calibri" w:hAnsi="Calibri" w:eastAsia="Calibri" w:cs="Calibri" w:asciiTheme="minorAscii" w:hAnsiTheme="minorAscii" w:eastAsiaTheme="minorAscii" w:cstheme="minorAscii"/>
          <w:noProof w:val="0"/>
          <w:sz w:val="24"/>
          <w:szCs w:val="24"/>
          <w:lang w:val="en-US"/>
        </w:rPr>
        <w:t xml:space="preserve"> in agriculture and limit environmental contamination (Cella </w:t>
      </w:r>
      <w:r w:rsidRPr="0CACE3F8" w:rsidR="7F2EFD70">
        <w:rPr>
          <w:rFonts w:ascii="Calibri" w:hAnsi="Calibri" w:eastAsia="Calibri" w:cs="Calibri" w:asciiTheme="minorAscii" w:hAnsiTheme="minorAscii" w:eastAsiaTheme="minorAscii" w:cstheme="minorAscii"/>
          <w:i w:val="1"/>
          <w:iCs w:val="1"/>
          <w:noProof w:val="0"/>
          <w:sz w:val="24"/>
          <w:szCs w:val="24"/>
          <w:lang w:val="en-US"/>
        </w:rPr>
        <w:t>et al</w:t>
      </w:r>
      <w:r w:rsidRPr="0CACE3F8" w:rsidR="7F2EFD70">
        <w:rPr>
          <w:rFonts w:ascii="Calibri" w:hAnsi="Calibri" w:eastAsia="Calibri" w:cs="Calibri" w:asciiTheme="minorAscii" w:hAnsiTheme="minorAscii" w:eastAsiaTheme="minorAscii" w:cstheme="minorAscii"/>
          <w:noProof w:val="0"/>
          <w:sz w:val="24"/>
          <w:szCs w:val="24"/>
          <w:lang w:val="en-US"/>
        </w:rPr>
        <w:t>., 2013)</w:t>
      </w:r>
    </w:p>
    <w:p xmlns:wp14="http://schemas.microsoft.com/office/word/2010/wordml" w:rsidP="7851A6B7" wp14:paraId="4C72ED46" wp14:textId="4059008A">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Surveillance and Data Collection: Ongoing surveillance and data collection systems are essential to </w:t>
      </w:r>
      <w:r w:rsidRPr="7851A6B7" w:rsidR="7F2EFD70">
        <w:rPr>
          <w:rFonts w:ascii="Calibri" w:hAnsi="Calibri" w:eastAsia="Calibri" w:cs="Calibri" w:asciiTheme="minorAscii" w:hAnsiTheme="minorAscii" w:eastAsiaTheme="minorAscii" w:cstheme="minorAscii"/>
          <w:noProof w:val="0"/>
          <w:sz w:val="24"/>
          <w:szCs w:val="24"/>
          <w:lang w:val="en-US"/>
        </w:rPr>
        <w:t>monitor</w:t>
      </w:r>
      <w:r w:rsidRPr="7851A6B7" w:rsidR="7F2EFD70">
        <w:rPr>
          <w:rFonts w:ascii="Calibri" w:hAnsi="Calibri" w:eastAsia="Calibri" w:cs="Calibri" w:asciiTheme="minorAscii" w:hAnsiTheme="minorAscii" w:eastAsiaTheme="minorAscii" w:cstheme="minorAscii"/>
          <w:noProof w:val="0"/>
          <w:sz w:val="24"/>
          <w:szCs w:val="24"/>
          <w:lang w:val="en-US"/>
        </w:rPr>
        <w:t xml:space="preserve"> AMR trends. Health promotion efforts should be dynamic and responsive to changes in resistance patterns. Regular reporting and sharing of data among healthcare facilities and between healthcare and veterinary sectors are critical for </w:t>
      </w:r>
      <w:r w:rsidRPr="7851A6B7" w:rsidR="7F2EFD70">
        <w:rPr>
          <w:rFonts w:ascii="Calibri" w:hAnsi="Calibri" w:eastAsia="Calibri" w:cs="Calibri" w:asciiTheme="minorAscii" w:hAnsiTheme="minorAscii" w:eastAsiaTheme="minorAscii" w:cstheme="minorAscii"/>
          <w:noProof w:val="0"/>
          <w:sz w:val="24"/>
          <w:szCs w:val="24"/>
          <w:lang w:val="en-US"/>
        </w:rPr>
        <w:t>timely</w:t>
      </w:r>
      <w:r w:rsidRPr="7851A6B7" w:rsidR="7F2EFD70">
        <w:rPr>
          <w:rFonts w:ascii="Calibri" w:hAnsi="Calibri" w:eastAsia="Calibri" w:cs="Calibri" w:asciiTheme="minorAscii" w:hAnsiTheme="minorAscii" w:eastAsiaTheme="minorAscii" w:cstheme="minorAscii"/>
          <w:noProof w:val="0"/>
          <w:sz w:val="24"/>
          <w:szCs w:val="24"/>
          <w:lang w:val="en-US"/>
        </w:rPr>
        <w:t xml:space="preserve"> interventions. The establishment of the Welsh Antimicrobial Resistance </w:t>
      </w:r>
      <w:r w:rsidRPr="7851A6B7" w:rsidR="7F2EFD70">
        <w:rPr>
          <w:rFonts w:ascii="Calibri" w:hAnsi="Calibri" w:eastAsia="Calibri" w:cs="Calibri" w:asciiTheme="minorAscii" w:hAnsiTheme="minorAscii" w:eastAsiaTheme="minorAscii" w:cstheme="minorAscii"/>
          <w:noProof w:val="0"/>
          <w:sz w:val="24"/>
          <w:szCs w:val="24"/>
          <w:lang w:val="en-US"/>
        </w:rPr>
        <w:t>Programme</w:t>
      </w:r>
      <w:r w:rsidRPr="7851A6B7" w:rsidR="7F2EFD70">
        <w:rPr>
          <w:rFonts w:ascii="Calibri" w:hAnsi="Calibri" w:eastAsia="Calibri" w:cs="Calibri" w:asciiTheme="minorAscii" w:hAnsiTheme="minorAscii" w:eastAsiaTheme="minorAscii" w:cstheme="minorAscii"/>
          <w:noProof w:val="0"/>
          <w:sz w:val="24"/>
          <w:szCs w:val="24"/>
          <w:lang w:val="en-US"/>
        </w:rPr>
        <w:t xml:space="preserve"> (WARP) has significantly improved data collection and analysis, enabling more targeted interventions (Roberts, 2016).</w:t>
      </w:r>
    </w:p>
    <w:p xmlns:wp14="http://schemas.microsoft.com/office/word/2010/wordml" w:rsidP="37112B6E" wp14:paraId="04506213" wp14:textId="23A9C0AD">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noProof w:val="0"/>
          <w:sz w:val="24"/>
          <w:szCs w:val="24"/>
          <w:lang w:val="en-US"/>
        </w:rPr>
        <w:t>Training and Education for Healthcare Professionals: Offering training</w:t>
      </w:r>
      <w:r w:rsidRPr="37112B6E" w:rsidR="224E36A7">
        <w:rPr>
          <w:rFonts w:ascii="Calibri" w:hAnsi="Calibri" w:eastAsia="Calibri" w:cs="Calibri" w:asciiTheme="minorAscii" w:hAnsiTheme="minorAscii" w:eastAsiaTheme="minorAscii" w:cstheme="minorAscii"/>
          <w:noProof w:val="0"/>
          <w:sz w:val="24"/>
          <w:szCs w:val="24"/>
          <w:lang w:val="en-US"/>
        </w:rPr>
        <w:t xml:space="preserve"> </w:t>
      </w:r>
      <w:r w:rsidRPr="37112B6E" w:rsidR="7F2EFD70">
        <w:rPr>
          <w:rFonts w:ascii="Calibri" w:hAnsi="Calibri" w:eastAsia="Calibri" w:cs="Calibri" w:asciiTheme="minorAscii" w:hAnsiTheme="minorAscii" w:eastAsiaTheme="minorAscii" w:cstheme="minorAscii"/>
          <w:noProof w:val="0"/>
          <w:sz w:val="24"/>
          <w:szCs w:val="24"/>
          <w:lang w:val="en-US"/>
        </w:rPr>
        <w:t xml:space="preserve">to healthcare professionals about the </w:t>
      </w:r>
      <w:r w:rsidRPr="37112B6E" w:rsidR="7F2EFD70">
        <w:rPr>
          <w:rFonts w:ascii="Calibri" w:hAnsi="Calibri" w:eastAsia="Calibri" w:cs="Calibri" w:asciiTheme="minorAscii" w:hAnsiTheme="minorAscii" w:eastAsiaTheme="minorAscii" w:cstheme="minorAscii"/>
          <w:noProof w:val="0"/>
          <w:sz w:val="24"/>
          <w:szCs w:val="24"/>
          <w:lang w:val="en-US"/>
        </w:rPr>
        <w:t>appropriate us</w:t>
      </w:r>
      <w:r w:rsidRPr="37112B6E" w:rsidR="68A7FAB9">
        <w:rPr>
          <w:rFonts w:ascii="Calibri" w:hAnsi="Calibri" w:eastAsia="Calibri" w:cs="Calibri" w:asciiTheme="minorAscii" w:hAnsiTheme="minorAscii" w:eastAsiaTheme="minorAscii" w:cstheme="minorAscii"/>
          <w:noProof w:val="0"/>
          <w:sz w:val="24"/>
          <w:szCs w:val="24"/>
          <w:lang w:val="en-US"/>
        </w:rPr>
        <w:t>age</w:t>
      </w:r>
      <w:r w:rsidRPr="37112B6E" w:rsidR="7F2EFD70">
        <w:rPr>
          <w:rFonts w:ascii="Calibri" w:hAnsi="Calibri" w:eastAsia="Calibri" w:cs="Calibri" w:asciiTheme="minorAscii" w:hAnsiTheme="minorAscii" w:eastAsiaTheme="minorAscii" w:cstheme="minorAscii"/>
          <w:noProof w:val="0"/>
          <w:sz w:val="24"/>
          <w:szCs w:val="24"/>
          <w:lang w:val="en-US"/>
        </w:rPr>
        <w:t xml:space="preserve"> of antibiotics and the </w:t>
      </w:r>
      <w:r w:rsidRPr="37112B6E" w:rsidR="7F2EFD70">
        <w:rPr>
          <w:rFonts w:ascii="Calibri" w:hAnsi="Calibri" w:eastAsia="Calibri" w:cs="Calibri" w:asciiTheme="minorAscii" w:hAnsiTheme="minorAscii" w:eastAsiaTheme="minorAscii" w:cstheme="minorAscii"/>
          <w:noProof w:val="0"/>
          <w:sz w:val="24"/>
          <w:szCs w:val="24"/>
          <w:lang w:val="en-US"/>
        </w:rPr>
        <w:t xml:space="preserve">risks </w:t>
      </w:r>
      <w:r w:rsidRPr="37112B6E" w:rsidR="67D81984">
        <w:rPr>
          <w:rFonts w:ascii="Calibri" w:hAnsi="Calibri" w:eastAsia="Calibri" w:cs="Calibri"/>
          <w:noProof w:val="0"/>
          <w:sz w:val="24"/>
          <w:szCs w:val="24"/>
          <w:lang w:val="en-US"/>
        </w:rPr>
        <w:t>connected</w:t>
      </w:r>
      <w:r w:rsidRPr="37112B6E" w:rsidR="7F2EFD70">
        <w:rPr>
          <w:rFonts w:ascii="Calibri" w:hAnsi="Calibri" w:eastAsia="Calibri" w:cs="Calibri" w:asciiTheme="minorAscii" w:hAnsiTheme="minorAscii" w:eastAsiaTheme="minorAscii" w:cstheme="minorAscii"/>
          <w:noProof w:val="0"/>
          <w:sz w:val="24"/>
          <w:szCs w:val="24"/>
          <w:lang w:val="en-US"/>
        </w:rPr>
        <w:t xml:space="preserve"> with</w:t>
      </w:r>
      <w:r w:rsidRPr="37112B6E" w:rsidR="7F2EFD70">
        <w:rPr>
          <w:rFonts w:ascii="Calibri" w:hAnsi="Calibri" w:eastAsia="Calibri" w:cs="Calibri" w:asciiTheme="minorAscii" w:hAnsiTheme="minorAscii" w:eastAsiaTheme="minorAscii" w:cstheme="minorAscii"/>
          <w:noProof w:val="0"/>
          <w:sz w:val="24"/>
          <w:szCs w:val="24"/>
          <w:lang w:val="en-US"/>
        </w:rPr>
        <w:t xml:space="preserve"> misuse and overuse is essential. Continuing medical education and awareness programs can help reinforce these practices. Research by Zheng </w:t>
      </w:r>
      <w:r w:rsidRPr="37112B6E" w:rsidR="7F2EFD70">
        <w:rPr>
          <w:rFonts w:ascii="Calibri" w:hAnsi="Calibri" w:eastAsia="Calibri" w:cs="Calibri" w:asciiTheme="minorAscii" w:hAnsiTheme="minorAscii" w:eastAsiaTheme="minorAscii" w:cstheme="minorAscii"/>
          <w:i w:val="1"/>
          <w:iCs w:val="1"/>
          <w:noProof w:val="0"/>
          <w:sz w:val="24"/>
          <w:szCs w:val="24"/>
          <w:lang w:val="en-US"/>
        </w:rPr>
        <w:t>et al</w:t>
      </w:r>
      <w:r w:rsidRPr="37112B6E" w:rsidR="7F2EFD70">
        <w:rPr>
          <w:rFonts w:ascii="Calibri" w:hAnsi="Calibri" w:eastAsia="Calibri" w:cs="Calibri" w:asciiTheme="minorAscii" w:hAnsiTheme="minorAscii" w:eastAsiaTheme="minorAscii" w:cstheme="minorAscii"/>
          <w:noProof w:val="0"/>
          <w:sz w:val="24"/>
          <w:szCs w:val="24"/>
          <w:lang w:val="en-US"/>
        </w:rPr>
        <w:t xml:space="preserve">. (2022) </w:t>
      </w:r>
      <w:r w:rsidRPr="37112B6E" w:rsidR="7F2EFD70">
        <w:rPr>
          <w:rFonts w:ascii="Calibri" w:hAnsi="Calibri" w:eastAsia="Calibri" w:cs="Calibri" w:asciiTheme="minorAscii" w:hAnsiTheme="minorAscii" w:eastAsiaTheme="minorAscii" w:cstheme="minorAscii"/>
          <w:noProof w:val="0"/>
          <w:sz w:val="24"/>
          <w:szCs w:val="24"/>
          <w:lang w:val="en-US"/>
        </w:rPr>
        <w:t>demonstrates</w:t>
      </w:r>
      <w:r w:rsidRPr="37112B6E" w:rsidR="7F2EFD70">
        <w:rPr>
          <w:rFonts w:ascii="Calibri" w:hAnsi="Calibri" w:eastAsia="Calibri" w:cs="Calibri" w:asciiTheme="minorAscii" w:hAnsiTheme="minorAscii" w:eastAsiaTheme="minorAscii" w:cstheme="minorAscii"/>
          <w:noProof w:val="0"/>
          <w:sz w:val="24"/>
          <w:szCs w:val="24"/>
          <w:lang w:val="en-US"/>
        </w:rPr>
        <w:t xml:space="preserve"> that ongoing education programs for healthcare providers lead to a reduction in unnecessary antibiotic prescriptions.</w:t>
      </w:r>
    </w:p>
    <w:p xmlns:wp14="http://schemas.microsoft.com/office/word/2010/wordml" w:rsidP="7851A6B7" wp14:paraId="14394CC4" wp14:textId="5040FAEF">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Behaviour</w:t>
      </w:r>
      <w:r w:rsidRPr="7851A6B7" w:rsidR="7F2EFD70">
        <w:rPr>
          <w:rFonts w:ascii="Calibri" w:hAnsi="Calibri" w:eastAsia="Calibri" w:cs="Calibri" w:asciiTheme="minorAscii" w:hAnsiTheme="minorAscii" w:eastAsiaTheme="minorAscii" w:cstheme="minorAscii"/>
          <w:noProof w:val="0"/>
          <w:sz w:val="24"/>
          <w:szCs w:val="24"/>
          <w:lang w:val="en-US"/>
        </w:rPr>
        <w:t xml:space="preserve"> Change Interventions: </w:t>
      </w:r>
      <w:r w:rsidRPr="7851A6B7" w:rsidR="7F2EFD70">
        <w:rPr>
          <w:rFonts w:ascii="Calibri" w:hAnsi="Calibri" w:eastAsia="Calibri" w:cs="Calibri" w:asciiTheme="minorAscii" w:hAnsiTheme="minorAscii" w:eastAsiaTheme="minorAscii" w:cstheme="minorAscii"/>
          <w:noProof w:val="0"/>
          <w:sz w:val="24"/>
          <w:szCs w:val="24"/>
          <w:lang w:val="en-US"/>
        </w:rPr>
        <w:t>Behavioural</w:t>
      </w:r>
      <w:r w:rsidRPr="7851A6B7" w:rsidR="7F2EFD70">
        <w:rPr>
          <w:rFonts w:ascii="Calibri" w:hAnsi="Calibri" w:eastAsia="Calibri" w:cs="Calibri" w:asciiTheme="minorAscii" w:hAnsiTheme="minorAscii" w:eastAsiaTheme="minorAscii" w:cstheme="minorAscii"/>
          <w:noProof w:val="0"/>
          <w:sz w:val="24"/>
          <w:szCs w:val="24"/>
          <w:lang w:val="en-US"/>
        </w:rPr>
        <w:t xml:space="preserve"> change interventions should be a part of public awareness campaigns. These may include persuasive communication techniques that emphasize individual responsibility, the social impact of AMR, and positive alternatives to antibiotics when </w:t>
      </w:r>
      <w:r w:rsidRPr="7851A6B7" w:rsidR="7F2EFD70">
        <w:rPr>
          <w:rFonts w:ascii="Calibri" w:hAnsi="Calibri" w:eastAsia="Calibri" w:cs="Calibri" w:asciiTheme="minorAscii" w:hAnsiTheme="minorAscii" w:eastAsiaTheme="minorAscii" w:cstheme="minorAscii"/>
          <w:noProof w:val="0"/>
          <w:sz w:val="24"/>
          <w:szCs w:val="24"/>
          <w:lang w:val="en-US"/>
        </w:rPr>
        <w:t>appropriate</w:t>
      </w:r>
      <w:r w:rsidRPr="7851A6B7" w:rsidR="7F2EFD70">
        <w:rPr>
          <w:rFonts w:ascii="Calibri" w:hAnsi="Calibri" w:eastAsia="Calibri" w:cs="Calibri" w:asciiTheme="minorAscii" w:hAnsiTheme="minorAscii" w:eastAsiaTheme="minorAscii" w:cstheme="minorAscii"/>
          <w:noProof w:val="0"/>
          <w:sz w:val="24"/>
          <w:szCs w:val="24"/>
          <w:lang w:val="en-US"/>
        </w:rPr>
        <w:t xml:space="preserve">. The </w:t>
      </w:r>
      <w:bookmarkStart w:name="_Int_HWTTv3xD" w:id="769517722"/>
      <w:r w:rsidRPr="7851A6B7" w:rsidR="7F2EFD70">
        <w:rPr>
          <w:rFonts w:ascii="Calibri" w:hAnsi="Calibri" w:eastAsia="Calibri" w:cs="Calibri" w:asciiTheme="minorAscii" w:hAnsiTheme="minorAscii" w:eastAsiaTheme="minorAscii" w:cstheme="minorAscii"/>
          <w:noProof w:val="0"/>
          <w:sz w:val="24"/>
          <w:szCs w:val="24"/>
          <w:lang w:val="en-US"/>
        </w:rPr>
        <w:t>UK</w:t>
      </w:r>
      <w:bookmarkEnd w:id="769517722"/>
      <w:r w:rsidRPr="7851A6B7" w:rsidR="7F2EFD70">
        <w:rPr>
          <w:rFonts w:ascii="Calibri" w:hAnsi="Calibri" w:eastAsia="Calibri" w:cs="Calibri" w:asciiTheme="minorAscii" w:hAnsiTheme="minorAscii" w:eastAsiaTheme="minorAscii" w:cstheme="minorAscii"/>
          <w:noProof w:val="0"/>
          <w:sz w:val="24"/>
          <w:szCs w:val="24"/>
          <w:lang w:val="en-US"/>
        </w:rPr>
        <w:t xml:space="preserve"> Government has asserted that </w:t>
      </w:r>
      <w:r w:rsidRPr="7851A6B7" w:rsidR="7F2EFD70">
        <w:rPr>
          <w:rFonts w:ascii="Calibri" w:hAnsi="Calibri" w:eastAsia="Calibri" w:cs="Calibri" w:asciiTheme="minorAscii" w:hAnsiTheme="minorAscii" w:eastAsiaTheme="minorAscii" w:cstheme="minorAscii"/>
          <w:noProof w:val="0"/>
          <w:sz w:val="24"/>
          <w:szCs w:val="24"/>
          <w:lang w:val="en-US"/>
        </w:rPr>
        <w:t>behaviour</w:t>
      </w:r>
      <w:r w:rsidRPr="7851A6B7" w:rsidR="7F2EFD70">
        <w:rPr>
          <w:rFonts w:ascii="Calibri" w:hAnsi="Calibri" w:eastAsia="Calibri" w:cs="Calibri" w:asciiTheme="minorAscii" w:hAnsiTheme="minorAscii" w:eastAsiaTheme="minorAscii" w:cstheme="minorAscii"/>
          <w:noProof w:val="0"/>
          <w:sz w:val="24"/>
          <w:szCs w:val="24"/>
          <w:lang w:val="en-US"/>
        </w:rPr>
        <w:t xml:space="preserve"> change interventions emphasizing alternatives to antibiotics for common ailments were effective in reducing antibiotic usage in primary care (Department of Health, 2015)</w:t>
      </w:r>
    </w:p>
    <w:p xmlns:wp14="http://schemas.microsoft.com/office/word/2010/wordml" w:rsidP="7851A6B7" wp14:paraId="5839DE10" wp14:textId="2D409A5F">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Incentives and Regulations: The government should explore incentives for healthcare providers and facilities that adhere to best practices in antibiotic prescribing and infection control. Additionally, strict regulations and penalties for inappropriate antibiotic use should be enforced. The "Antimicrobial Resistance (Wales) Bill 2022" introduced penalties for healthcare providers who excessively prescribe antibiotics without clinical justification.</w:t>
      </w:r>
    </w:p>
    <w:p xmlns:wp14="http://schemas.microsoft.com/office/word/2010/wordml" w:rsidP="7851A6B7" wp14:paraId="275D9ED5" wp14:textId="7EEBC034">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Research Investment: Continuing to invest in research is crucial.</w:t>
      </w:r>
      <w:r w:rsidRPr="7851A6B7" w:rsidR="7F2EFD70">
        <w:rPr>
          <w:rFonts w:ascii="Calibri" w:hAnsi="Calibri" w:eastAsia="Calibri" w:cs="Calibri" w:asciiTheme="minorAscii" w:hAnsiTheme="minorAscii" w:eastAsiaTheme="minorAscii" w:cstheme="minorAscii"/>
          <w:noProof w:val="0"/>
          <w:sz w:val="24"/>
          <w:szCs w:val="24"/>
          <w:lang w:val="en-US"/>
        </w:rPr>
        <w:t xml:space="preserve"> Funding should be directed toward understanding emerging resistance mechanisms, developing new antibiotics, and investigating alternative treatments to combat AMR. The Wales Research and Development </w:t>
      </w:r>
      <w:r w:rsidRPr="7851A6B7" w:rsidR="7F2EFD70">
        <w:rPr>
          <w:rFonts w:ascii="Calibri" w:hAnsi="Calibri" w:eastAsia="Calibri" w:cs="Calibri" w:asciiTheme="minorAscii" w:hAnsiTheme="minorAscii" w:eastAsiaTheme="minorAscii" w:cstheme="minorAscii"/>
          <w:noProof w:val="0"/>
          <w:sz w:val="24"/>
          <w:szCs w:val="24"/>
          <w:lang w:val="en-US"/>
        </w:rPr>
        <w:t>Programme</w:t>
      </w:r>
      <w:r w:rsidRPr="7851A6B7" w:rsidR="7F2EFD70">
        <w:rPr>
          <w:rFonts w:ascii="Calibri" w:hAnsi="Calibri" w:eastAsia="Calibri" w:cs="Calibri" w:asciiTheme="minorAscii" w:hAnsiTheme="minorAscii" w:eastAsiaTheme="minorAscii" w:cstheme="minorAscii"/>
          <w:noProof w:val="0"/>
          <w:sz w:val="24"/>
          <w:szCs w:val="24"/>
          <w:lang w:val="en-US"/>
        </w:rPr>
        <w:t xml:space="preserve"> on Antimicrobial Resistance (WRDP-AMR) has </w:t>
      </w:r>
      <w:r w:rsidRPr="7851A6B7" w:rsidR="7F2EFD70">
        <w:rPr>
          <w:rFonts w:ascii="Calibri" w:hAnsi="Calibri" w:eastAsia="Calibri" w:cs="Calibri" w:asciiTheme="minorAscii" w:hAnsiTheme="minorAscii" w:eastAsiaTheme="minorAscii" w:cstheme="minorAscii"/>
          <w:noProof w:val="0"/>
          <w:sz w:val="24"/>
          <w:szCs w:val="24"/>
          <w:lang w:val="en-US"/>
        </w:rPr>
        <w:t>facilitated</w:t>
      </w:r>
      <w:r w:rsidRPr="7851A6B7" w:rsidR="7F2EFD70">
        <w:rPr>
          <w:rFonts w:ascii="Calibri" w:hAnsi="Calibri" w:eastAsia="Calibri" w:cs="Calibri" w:asciiTheme="minorAscii" w:hAnsiTheme="minorAscii" w:eastAsiaTheme="minorAscii" w:cstheme="minorAscii"/>
          <w:noProof w:val="0"/>
          <w:sz w:val="24"/>
          <w:szCs w:val="24"/>
          <w:lang w:val="en-US"/>
        </w:rPr>
        <w:t xml:space="preserve"> groundbreaking research on AMR and its solutions (Roberts, 2016).</w:t>
      </w:r>
    </w:p>
    <w:p xmlns:wp14="http://schemas.microsoft.com/office/word/2010/wordml" w:rsidP="7851A6B7" wp14:paraId="0A7A44AB" wp14:textId="7A364B2D">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International Collaboration: Collaboration on AMR with other countries is essential, as resistance knows no borders. Sharing research findings, strategies, and best practices globally can enhance Wales’s efforts in combating this global threat. The partnership with the World Health Organization (WHO) and </w:t>
      </w:r>
      <w:r w:rsidRPr="7851A6B7" w:rsidR="7F2EFD70">
        <w:rPr>
          <w:rFonts w:ascii="Calibri" w:hAnsi="Calibri" w:eastAsia="Calibri" w:cs="Calibri" w:asciiTheme="minorAscii" w:hAnsiTheme="minorAscii" w:eastAsiaTheme="minorAscii" w:cstheme="minorAscii"/>
          <w:noProof w:val="0"/>
          <w:sz w:val="24"/>
          <w:szCs w:val="24"/>
          <w:lang w:val="en-US"/>
        </w:rPr>
        <w:t>neighbouring</w:t>
      </w:r>
      <w:r w:rsidRPr="7851A6B7" w:rsidR="7F2EFD70">
        <w:rPr>
          <w:rFonts w:ascii="Calibri" w:hAnsi="Calibri" w:eastAsia="Calibri" w:cs="Calibri" w:asciiTheme="minorAscii" w:hAnsiTheme="minorAscii" w:eastAsiaTheme="minorAscii" w:cstheme="minorAscii"/>
          <w:noProof w:val="0"/>
          <w:sz w:val="24"/>
          <w:szCs w:val="24"/>
          <w:lang w:val="en-US"/>
        </w:rPr>
        <w:t xml:space="preserve"> countries, such as England and Ireland, has allowed Wales to align its AMR strategies with international standards and gain from shared knowledge (WHO, 2021).</w:t>
      </w:r>
    </w:p>
    <w:p xmlns:wp14="http://schemas.microsoft.com/office/word/2010/wordml" w:rsidP="7851A6B7" wp14:paraId="6A3F17AC" wp14:textId="15FB3DB7">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Article 1:</w:t>
      </w:r>
    </w:p>
    <w:p xmlns:wp14="http://schemas.microsoft.com/office/word/2010/wordml" w:rsidP="7851A6B7" wp14:paraId="4DB3A3F3" wp14:textId="5230056C">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Prestinaci</w:t>
      </w:r>
      <w:r w:rsidRPr="7851A6B7" w:rsidR="7F2EFD70">
        <w:rPr>
          <w:rFonts w:ascii="Calibri" w:hAnsi="Calibri" w:eastAsia="Calibri" w:cs="Calibri" w:asciiTheme="minorAscii" w:hAnsiTheme="minorAscii" w:eastAsiaTheme="minorAscii" w:cstheme="minorAscii"/>
          <w:noProof w:val="0"/>
          <w:sz w:val="24"/>
          <w:szCs w:val="24"/>
          <w:lang w:val="en-US"/>
        </w:rPr>
        <w:t xml:space="preserve">, F. Pezzotti, P. </w:t>
      </w:r>
      <w:r w:rsidRPr="7851A6B7" w:rsidR="7F2EFD70">
        <w:rPr>
          <w:rFonts w:ascii="Calibri" w:hAnsi="Calibri" w:eastAsia="Calibri" w:cs="Calibri" w:asciiTheme="minorAscii" w:hAnsiTheme="minorAscii" w:eastAsiaTheme="minorAscii" w:cstheme="minorAscii"/>
          <w:noProof w:val="0"/>
          <w:sz w:val="24"/>
          <w:szCs w:val="24"/>
          <w:lang w:val="en-US"/>
        </w:rPr>
        <w:t>Pantosti</w:t>
      </w:r>
      <w:r w:rsidRPr="7851A6B7" w:rsidR="7F2EFD70">
        <w:rPr>
          <w:rFonts w:ascii="Calibri" w:hAnsi="Calibri" w:eastAsia="Calibri" w:cs="Calibri" w:asciiTheme="minorAscii" w:hAnsiTheme="minorAscii" w:eastAsiaTheme="minorAscii" w:cstheme="minorAscii"/>
          <w:noProof w:val="0"/>
          <w:sz w:val="24"/>
          <w:szCs w:val="24"/>
          <w:lang w:val="en-US"/>
        </w:rPr>
        <w:t xml:space="preserve">, A. (2015) ‘Antimicrobial resistance: a global multifaceted phenomenon’, </w:t>
      </w:r>
      <w:r w:rsidRPr="7851A6B7" w:rsidR="7F2EFD70">
        <w:rPr>
          <w:rFonts w:ascii="Calibri" w:hAnsi="Calibri" w:eastAsia="Calibri" w:cs="Calibri" w:asciiTheme="minorAscii" w:hAnsiTheme="minorAscii" w:eastAsiaTheme="minorAscii" w:cstheme="minorAscii"/>
          <w:noProof w:val="0"/>
          <w:sz w:val="24"/>
          <w:szCs w:val="24"/>
          <w:lang w:val="en-US"/>
        </w:rPr>
        <w:t>Pathog</w:t>
      </w:r>
      <w:r w:rsidRPr="7851A6B7" w:rsidR="7F2EFD70">
        <w:rPr>
          <w:rFonts w:ascii="Calibri" w:hAnsi="Calibri" w:eastAsia="Calibri" w:cs="Calibri" w:asciiTheme="minorAscii" w:hAnsiTheme="minorAscii" w:eastAsiaTheme="minorAscii" w:cstheme="minorAscii"/>
          <w:noProof w:val="0"/>
          <w:sz w:val="24"/>
          <w:szCs w:val="24"/>
          <w:lang w:val="en-US"/>
        </w:rPr>
        <w:t xml:space="preserve"> Glob Health. 109(7) Pp 309-18.</w:t>
      </w:r>
    </w:p>
    <w:p xmlns:wp14="http://schemas.microsoft.com/office/word/2010/wordml" w:rsidP="7851A6B7" wp14:paraId="0F679628" wp14:textId="2ECBD5F5">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Aim: This study aims to give a thorough overview of the global situation </w:t>
      </w:r>
      <w:r w:rsidRPr="7851A6B7" w:rsidR="7F2EFD70">
        <w:rPr>
          <w:rFonts w:ascii="Calibri" w:hAnsi="Calibri" w:eastAsia="Calibri" w:cs="Calibri" w:asciiTheme="minorAscii" w:hAnsiTheme="minorAscii" w:eastAsiaTheme="minorAscii" w:cstheme="minorAscii"/>
          <w:noProof w:val="0"/>
          <w:sz w:val="24"/>
          <w:szCs w:val="24"/>
          <w:lang w:val="en-US"/>
        </w:rPr>
        <w:t>regarding</w:t>
      </w:r>
      <w:r w:rsidRPr="7851A6B7" w:rsidR="7F2EFD70">
        <w:rPr>
          <w:rFonts w:ascii="Calibri" w:hAnsi="Calibri" w:eastAsia="Calibri" w:cs="Calibri" w:asciiTheme="minorAscii" w:hAnsiTheme="minorAscii" w:eastAsiaTheme="minorAscii" w:cstheme="minorAscii"/>
          <w:noProof w:val="0"/>
          <w:sz w:val="24"/>
          <w:szCs w:val="24"/>
          <w:lang w:val="en-US"/>
        </w:rPr>
        <w:t xml:space="preserve"> antimicrobial resistance (AMR) and to emphasize the value of surveillance in identifying and halting AMR's progress.</w:t>
      </w:r>
    </w:p>
    <w:p xmlns:wp14="http://schemas.microsoft.com/office/word/2010/wordml" w:rsidP="7851A6B7" wp14:paraId="554CF5AC" wp14:textId="75F4CCE5">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Methodology: This article involves a comprehensive review of existing literature and data on antimicrobial resistance (AMR).</w:t>
      </w:r>
    </w:p>
    <w:p xmlns:wp14="http://schemas.microsoft.com/office/word/2010/wordml" w:rsidP="7851A6B7" wp14:paraId="2FEB58E6" wp14:textId="22A61FD5">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Limitation: The use of incomplete or inconsistent data, </w:t>
      </w:r>
      <w:r w:rsidRPr="7851A6B7" w:rsidR="42BFA56D">
        <w:rPr>
          <w:rFonts w:ascii="Calibri" w:hAnsi="Calibri" w:eastAsia="Calibri" w:cs="Calibri" w:asciiTheme="minorAscii" w:hAnsiTheme="minorAscii" w:eastAsiaTheme="minorAscii" w:cstheme="minorAscii"/>
          <w:noProof w:val="0"/>
          <w:sz w:val="24"/>
          <w:szCs w:val="24"/>
          <w:lang w:val="en-US"/>
        </w:rPr>
        <w:t>biases</w:t>
      </w:r>
      <w:r w:rsidRPr="7851A6B7" w:rsidR="7F2EFD70">
        <w:rPr>
          <w:rFonts w:ascii="Calibri" w:hAnsi="Calibri" w:eastAsia="Calibri" w:cs="Calibri" w:asciiTheme="minorAscii" w:hAnsiTheme="minorAscii" w:eastAsiaTheme="minorAscii" w:cstheme="minorAscii"/>
          <w:noProof w:val="0"/>
          <w:sz w:val="24"/>
          <w:szCs w:val="24"/>
          <w:lang w:val="en-US"/>
        </w:rPr>
        <w:t xml:space="preserve"> in the information sources, and the difficulties in interpreting data from various monitoring systems using different techniques are some examples of limitations.</w:t>
      </w:r>
    </w:p>
    <w:p xmlns:wp14="http://schemas.microsoft.com/office/word/2010/wordml" w:rsidP="7851A6B7" wp14:paraId="0D814E01" wp14:textId="1147B78D">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7851A6B7" wp14:paraId="2C935CC9" wp14:textId="7C3DFFEE">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Article 2:</w:t>
      </w:r>
    </w:p>
    <w:p xmlns:wp14="http://schemas.microsoft.com/office/word/2010/wordml" w:rsidP="7851A6B7" wp14:paraId="22F427F3" wp14:textId="103B3FBD">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Ashiru-</w:t>
      </w:r>
      <w:r w:rsidRPr="7851A6B7" w:rsidR="7F2EFD70">
        <w:rPr>
          <w:rFonts w:ascii="Calibri" w:hAnsi="Calibri" w:eastAsia="Calibri" w:cs="Calibri" w:asciiTheme="minorAscii" w:hAnsiTheme="minorAscii" w:eastAsiaTheme="minorAscii" w:cstheme="minorAscii"/>
          <w:noProof w:val="0"/>
          <w:sz w:val="24"/>
          <w:szCs w:val="24"/>
          <w:lang w:val="en-US"/>
        </w:rPr>
        <w:t>Oredope</w:t>
      </w:r>
      <w:r w:rsidRPr="7851A6B7" w:rsidR="7F2EFD70">
        <w:rPr>
          <w:rFonts w:ascii="Calibri" w:hAnsi="Calibri" w:eastAsia="Calibri" w:cs="Calibri" w:asciiTheme="minorAscii" w:hAnsiTheme="minorAscii" w:eastAsiaTheme="minorAscii" w:cstheme="minorAscii"/>
          <w:noProof w:val="0"/>
          <w:sz w:val="24"/>
          <w:szCs w:val="24"/>
          <w:lang w:val="en-US"/>
        </w:rPr>
        <w:t>, D., Casale, E., Harvey, E., Umoh, E., Vasandani, S., Reilly, J. and Hopkins, S. 2022. Knowledge and Attitudes about Antibiotics and Antibiotic Resistance of 2404 UK Healthcare Workers. Antibiotics (Basel). 11(8) 1133</w:t>
      </w:r>
    </w:p>
    <w:p xmlns:wp14="http://schemas.microsoft.com/office/word/2010/wordml" w:rsidP="7851A6B7" wp14:paraId="1F931902" wp14:textId="649292F2">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Aim: The article's goal is to evaluate UK healthcare professionals' attitudes and understanding about antibiotics and antibiotic resistance.</w:t>
      </w:r>
    </w:p>
    <w:p xmlns:wp14="http://schemas.microsoft.com/office/word/2010/wordml" w:rsidP="7851A6B7" wp14:paraId="5C4C0E09" wp14:textId="4B981FDE">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 xml:space="preserve">Methodology: The method </w:t>
      </w:r>
      <w:r w:rsidRPr="7851A6B7" w:rsidR="003EE3EB">
        <w:rPr>
          <w:rFonts w:ascii="Calibri" w:hAnsi="Calibri" w:eastAsia="Calibri" w:cs="Calibri" w:asciiTheme="minorAscii" w:hAnsiTheme="minorAscii" w:eastAsiaTheme="minorAscii" w:cstheme="minorAscii"/>
          <w:noProof w:val="0"/>
          <w:sz w:val="24"/>
          <w:szCs w:val="24"/>
          <w:lang w:val="en-US"/>
        </w:rPr>
        <w:t>involves</w:t>
      </w:r>
      <w:r w:rsidRPr="7851A6B7" w:rsidR="7F2EFD70">
        <w:rPr>
          <w:rFonts w:ascii="Calibri" w:hAnsi="Calibri" w:eastAsia="Calibri" w:cs="Calibri" w:asciiTheme="minorAscii" w:hAnsiTheme="minorAscii" w:eastAsiaTheme="minorAscii" w:cstheme="minorAscii"/>
          <w:noProof w:val="0"/>
          <w:sz w:val="24"/>
          <w:szCs w:val="24"/>
          <w:lang w:val="en-US"/>
        </w:rPr>
        <w:t xml:space="preserve"> conducting a survey among a sample of healthcare professionals in the UK to gauge their attitudes and knowledge about antibiotics and antibiotic resistance.</w:t>
      </w:r>
    </w:p>
    <w:p xmlns:wp14="http://schemas.microsoft.com/office/word/2010/wordml" w:rsidP="7851A6B7" wp14:paraId="3C64CE00" wp14:textId="3B67C05B">
      <w:pPr>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7851A6B7" w:rsidR="7F2EFD70">
        <w:rPr>
          <w:rFonts w:ascii="Calibri" w:hAnsi="Calibri" w:eastAsia="Calibri" w:cs="Calibri" w:asciiTheme="minorAscii" w:hAnsiTheme="minorAscii" w:eastAsiaTheme="minorAscii" w:cstheme="minorAscii"/>
          <w:noProof w:val="0"/>
          <w:sz w:val="24"/>
          <w:szCs w:val="24"/>
          <w:lang w:val="en-US"/>
        </w:rPr>
        <w:t>Limitation: Typically, these types of studies have several limitations, such as response bias, sample representativeness to the larger population of healthcare workers, and the inherent limitations of self-reported data.</w:t>
      </w:r>
    </w:p>
    <w:p w:rsidR="2D6C9A4D" w:rsidP="7851A6B7" w:rsidRDefault="2D6C9A4D" w14:paraId="20BED599" w14:textId="37411382">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0CACE3F8" w:rsidR="3F1C7B18">
        <w:rPr>
          <w:rFonts w:ascii="Calibri" w:hAnsi="Calibri" w:eastAsia="Calibri" w:cs="Calibri" w:asciiTheme="minorAscii" w:hAnsiTheme="minorAscii" w:eastAsiaTheme="minorAscii" w:cstheme="minorAscii"/>
          <w:noProof w:val="0"/>
          <w:sz w:val="24"/>
          <w:szCs w:val="24"/>
          <w:lang w:val="en-US"/>
        </w:rPr>
        <w:t>Explanation</w:t>
      </w:r>
      <w:r w:rsidRPr="0CACE3F8" w:rsidR="2D6C9A4D">
        <w:rPr>
          <w:rFonts w:ascii="Calibri" w:hAnsi="Calibri" w:eastAsia="Calibri" w:cs="Calibri" w:asciiTheme="minorAscii" w:hAnsiTheme="minorAscii" w:eastAsiaTheme="minorAscii" w:cstheme="minorAscii"/>
          <w:noProof w:val="0"/>
          <w:sz w:val="24"/>
          <w:szCs w:val="24"/>
          <w:lang w:val="en-US"/>
        </w:rPr>
        <w:t xml:space="preserve"> of health promotion:</w:t>
      </w:r>
    </w:p>
    <w:p w:rsidR="627EBA75" w:rsidP="0CACE3F8" w:rsidRDefault="627EBA75" w14:paraId="7543E39D" w14:textId="488542DE">
      <w:pPr>
        <w:pStyle w:val="Normal"/>
        <w:spacing w:after="20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goal </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of </w:t>
      </w:r>
      <w:r w:rsidRPr="0CACE3F8" w:rsidR="007795E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promoting health</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is to </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empower</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and </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include people </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their </w:t>
      </w:r>
      <w:r w:rsidRPr="0CACE3F8" w:rsidR="627EBA7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communities </w:t>
      </w:r>
      <w:r w:rsidRPr="0CACE3F8" w:rsidR="6E5DB8D9">
        <w:rPr>
          <w:rFonts w:ascii="Calibri" w:hAnsi="Calibri" w:eastAsia="Calibri" w:cs="Calibri"/>
          <w:noProof w:val="0"/>
          <w:sz w:val="24"/>
          <w:szCs w:val="24"/>
          <w:lang w:val="en-US"/>
        </w:rPr>
        <w:t xml:space="preserve">to adopt a healthier lifestyle and make choices that reduce their risk of developing chronic illnesses and other morbidities. </w:t>
      </w:r>
    </w:p>
    <w:p w:rsidR="38B5E4B4" w:rsidP="0CACE3F8" w:rsidRDefault="38B5E4B4" w14:paraId="39D6A7D8" w14:textId="531C1517">
      <w:pPr>
        <w:pStyle w:val="Normal"/>
        <w:spacing w:after="200" w:afterAutospacing="off"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0CACE3F8" w:rsidR="38B5E4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Definition on disease prevention:</w:t>
      </w:r>
    </w:p>
    <w:p w:rsidR="3F5071F5" w:rsidP="7851A6B7" w:rsidRDefault="3F5071F5" w14:paraId="05793066" w14:textId="298B19F7">
      <w:pPr>
        <w:pStyle w:val="Normal"/>
        <w:spacing w:after="200" w:afterAutospacing="off" w:line="360" w:lineRule="auto"/>
        <w:rPr>
          <w:rFonts w:ascii="Calibri" w:hAnsi="Calibri" w:eastAsia="Calibri" w:cs="Calibri" w:asciiTheme="minorAscii" w:hAnsiTheme="minorAscii" w:eastAsiaTheme="minorAscii" w:cstheme="minorAscii"/>
          <w:noProof w:val="0"/>
          <w:color w:val="auto"/>
          <w:sz w:val="24"/>
          <w:szCs w:val="24"/>
          <w:lang w:val="en-US"/>
        </w:rPr>
      </w:pPr>
      <w:r w:rsidRPr="7851A6B7" w:rsidR="3F5071F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The goal of disease prevention is to lower the incidence, severity and progression of chronic illnesses and other morbidities.</w:t>
      </w:r>
    </w:p>
    <w:p xmlns:wp14="http://schemas.microsoft.com/office/word/2010/wordml" w:rsidP="7851A6B7" wp14:paraId="5F04D8C9" wp14:textId="0D539494">
      <w:pPr>
        <w:spacing w:after="200" w:afterAutospacing="off" w:line="360" w:lineRule="auto"/>
        <w:rPr>
          <w:rFonts w:ascii="Calibri" w:hAnsi="Calibri" w:eastAsia="Calibri" w:cs="Calibri" w:asciiTheme="minorAscii" w:hAnsiTheme="minorAscii" w:eastAsiaTheme="minorAscii" w:cstheme="minorAscii"/>
          <w:b w:val="1"/>
          <w:bCs w:val="1"/>
          <w:noProof w:val="0"/>
          <w:sz w:val="24"/>
          <w:szCs w:val="24"/>
          <w:lang w:val="en-US"/>
        </w:rPr>
      </w:pPr>
      <w:r w:rsidRPr="7851A6B7" w:rsidR="7F2EFD70">
        <w:rPr>
          <w:rFonts w:ascii="Calibri" w:hAnsi="Calibri" w:eastAsia="Calibri" w:cs="Calibri" w:asciiTheme="minorAscii" w:hAnsiTheme="minorAscii" w:eastAsiaTheme="minorAscii" w:cstheme="minorAscii"/>
          <w:b w:val="1"/>
          <w:bCs w:val="1"/>
          <w:noProof w:val="0"/>
          <w:sz w:val="24"/>
          <w:szCs w:val="24"/>
          <w:lang w:val="en-US"/>
        </w:rPr>
        <w:t>Conclusion</w:t>
      </w:r>
    </w:p>
    <w:p xmlns:wp14="http://schemas.microsoft.com/office/word/2010/wordml" w:rsidP="0CACE3F8" wp14:paraId="284C9701" wp14:textId="4B88F599">
      <w:pPr>
        <w:pStyle w:val="Normal"/>
        <w:spacing w:after="200" w:afterAutospacing="off" w:line="360" w:lineRule="auto"/>
        <w:rPr>
          <w:rFonts w:ascii="Calibri" w:hAnsi="Calibri" w:eastAsia="Calibri" w:cs="Calibri" w:asciiTheme="minorAscii" w:hAnsiTheme="minorAscii" w:eastAsiaTheme="minorAscii" w:cstheme="minorAscii"/>
          <w:noProof w:val="0"/>
          <w:sz w:val="24"/>
          <w:szCs w:val="24"/>
          <w:lang w:val="en-US"/>
        </w:rPr>
      </w:pPr>
      <w:r w:rsidRPr="37112B6E" w:rsidR="7F2EFD70">
        <w:rPr>
          <w:rFonts w:ascii="Calibri" w:hAnsi="Calibri" w:eastAsia="Calibri" w:cs="Calibri" w:asciiTheme="minorAscii" w:hAnsiTheme="minorAscii" w:eastAsiaTheme="minorAscii" w:cstheme="minorAscii"/>
          <w:noProof w:val="0"/>
          <w:sz w:val="24"/>
          <w:szCs w:val="24"/>
          <w:lang w:val="en-US"/>
        </w:rPr>
        <w:t>A</w:t>
      </w:r>
      <w:r w:rsidRPr="37112B6E" w:rsidR="5DC6ED33">
        <w:rPr>
          <w:rFonts w:ascii="Calibri" w:hAnsi="Calibri" w:eastAsia="Calibri" w:cs="Calibri" w:asciiTheme="minorAscii" w:hAnsiTheme="minorAscii" w:eastAsiaTheme="minorAscii" w:cstheme="minorAscii"/>
          <w:noProof w:val="0"/>
          <w:sz w:val="24"/>
          <w:szCs w:val="24"/>
          <w:lang w:val="en-US"/>
        </w:rPr>
        <w:t xml:space="preserve">MR </w:t>
      </w:r>
      <w:r w:rsidRPr="37112B6E" w:rsidR="668B83E9">
        <w:rPr>
          <w:rFonts w:ascii="Calibri" w:hAnsi="Calibri" w:eastAsia="Calibri" w:cs="Calibri"/>
          <w:noProof w:val="0"/>
          <w:sz w:val="24"/>
          <w:szCs w:val="24"/>
          <w:lang w:val="en-US"/>
        </w:rPr>
        <w:t>has evolved into</w:t>
      </w:r>
      <w:r w:rsidRPr="37112B6E" w:rsidR="7F2EFD70">
        <w:rPr>
          <w:rFonts w:ascii="Calibri" w:hAnsi="Calibri" w:eastAsia="Calibri" w:cs="Calibri" w:asciiTheme="minorAscii" w:hAnsiTheme="minorAscii" w:eastAsiaTheme="minorAscii" w:cstheme="minorAscii"/>
          <w:noProof w:val="0"/>
          <w:sz w:val="24"/>
          <w:szCs w:val="24"/>
          <w:lang w:val="en-US"/>
        </w:rPr>
        <w:t xml:space="preserve"> a</w:t>
      </w:r>
      <w:r w:rsidRPr="37112B6E" w:rsidR="7F2EFD70">
        <w:rPr>
          <w:rFonts w:ascii="Calibri" w:hAnsi="Calibri" w:eastAsia="Calibri" w:cs="Calibri" w:asciiTheme="minorAscii" w:hAnsiTheme="minorAscii" w:eastAsiaTheme="minorAscii" w:cstheme="minorAscii"/>
          <w:noProof w:val="0"/>
          <w:sz w:val="24"/>
          <w:szCs w:val="24"/>
          <w:lang w:val="en-US"/>
        </w:rPr>
        <w:t xml:space="preserve"> public health challenge in Wales and all over the world, with dire consequences for public health, healthcare costs</w:t>
      </w:r>
      <w:r w:rsidRPr="37112B6E" w:rsidR="0A7358C0">
        <w:rPr>
          <w:rFonts w:ascii="Calibri" w:hAnsi="Calibri" w:eastAsia="Calibri" w:cs="Calibri" w:asciiTheme="minorAscii" w:hAnsiTheme="minorAscii" w:eastAsiaTheme="minorAscii" w:cstheme="minorAscii"/>
          <w:noProof w:val="0"/>
          <w:sz w:val="24"/>
          <w:szCs w:val="24"/>
          <w:lang w:val="en-US"/>
        </w:rPr>
        <w:t xml:space="preserve"> </w:t>
      </w:r>
      <w:r w:rsidRPr="37112B6E" w:rsidR="7F2EFD70">
        <w:rPr>
          <w:rFonts w:ascii="Calibri" w:hAnsi="Calibri" w:eastAsia="Calibri" w:cs="Calibri" w:asciiTheme="minorAscii" w:hAnsiTheme="minorAscii" w:eastAsiaTheme="minorAscii" w:cstheme="minorAscii"/>
          <w:noProof w:val="0"/>
          <w:sz w:val="24"/>
          <w:szCs w:val="24"/>
          <w:lang w:val="en-US"/>
        </w:rPr>
        <w:t xml:space="preserve">and the economy. Understanding </w:t>
      </w:r>
      <w:r w:rsidRPr="37112B6E" w:rsidR="2B20E627">
        <w:rPr>
          <w:rFonts w:ascii="Calibri" w:hAnsi="Calibri" w:eastAsia="Calibri" w:cs="Calibri"/>
          <w:noProof w:val="0"/>
          <w:sz w:val="24"/>
          <w:szCs w:val="24"/>
          <w:lang w:val="en-US"/>
        </w:rPr>
        <w:t xml:space="preserve">the reasons behind and effects of </w:t>
      </w:r>
      <w:r w:rsidRPr="37112B6E" w:rsidR="2B20E627">
        <w:rPr>
          <w:rFonts w:ascii="Calibri" w:hAnsi="Calibri" w:eastAsia="Calibri" w:cs="Calibri"/>
          <w:noProof w:val="0"/>
          <w:sz w:val="24"/>
          <w:szCs w:val="24"/>
          <w:lang w:val="en-US"/>
        </w:rPr>
        <w:t>AMR is</w:t>
      </w:r>
      <w:r w:rsidRPr="37112B6E" w:rsidR="7F2EFD70">
        <w:rPr>
          <w:rFonts w:ascii="Calibri" w:hAnsi="Calibri" w:eastAsia="Calibri" w:cs="Calibri" w:asciiTheme="minorAscii" w:hAnsiTheme="minorAscii" w:eastAsiaTheme="minorAscii" w:cstheme="minorAscii"/>
          <w:noProof w:val="0"/>
          <w:sz w:val="24"/>
          <w:szCs w:val="24"/>
          <w:lang w:val="en-US"/>
        </w:rPr>
        <w:t xml:space="preserve"> crucial in formulating effective strategies to combat this threat.</w:t>
      </w:r>
      <w:r w:rsidRPr="37112B6E" w:rsidR="7F2EFD70">
        <w:rPr>
          <w:rFonts w:ascii="Calibri" w:hAnsi="Calibri" w:eastAsia="Calibri" w:cs="Calibri" w:asciiTheme="minorAscii" w:hAnsiTheme="minorAscii" w:eastAsiaTheme="minorAscii" w:cstheme="minorAscii"/>
          <w:noProof w:val="0"/>
          <w:sz w:val="22"/>
          <w:szCs w:val="22"/>
          <w:lang w:val="en-US"/>
        </w:rPr>
        <w:t xml:space="preserve"> </w:t>
      </w:r>
      <w:r w:rsidRPr="37112B6E" w:rsidR="7F2EFD70">
        <w:rPr>
          <w:rFonts w:ascii="Calibri" w:hAnsi="Calibri" w:eastAsia="Calibri" w:cs="Calibri" w:asciiTheme="minorAscii" w:hAnsiTheme="minorAscii" w:eastAsiaTheme="minorAscii" w:cstheme="minorAscii"/>
          <w:noProof w:val="0"/>
          <w:sz w:val="24"/>
          <w:szCs w:val="24"/>
          <w:lang w:val="en-US"/>
        </w:rPr>
        <w:t xml:space="preserve">Numerous studies have been conducted on antimicrobial resistance and a number of these research has helped in making decisions that have helped in </w:t>
      </w:r>
      <w:r w:rsidRPr="37112B6E" w:rsidR="33812C9E">
        <w:rPr>
          <w:rFonts w:ascii="Calibri" w:hAnsi="Calibri" w:eastAsia="Calibri" w:cs="Calibri" w:asciiTheme="minorAscii" w:hAnsiTheme="minorAscii" w:eastAsiaTheme="minorAscii" w:cstheme="minorAscii"/>
          <w:noProof w:val="0"/>
          <w:sz w:val="24"/>
          <w:szCs w:val="24"/>
          <w:lang w:val="en-US"/>
        </w:rPr>
        <w:t>health</w:t>
      </w:r>
      <w:r w:rsidRPr="37112B6E" w:rsidR="7F2EFD70">
        <w:rPr>
          <w:rFonts w:ascii="Calibri" w:hAnsi="Calibri" w:eastAsia="Calibri" w:cs="Calibri" w:asciiTheme="minorAscii" w:hAnsiTheme="minorAscii" w:eastAsiaTheme="minorAscii" w:cstheme="minorAscii"/>
          <w:noProof w:val="0"/>
          <w:sz w:val="24"/>
          <w:szCs w:val="24"/>
          <w:lang w:val="en-US"/>
        </w:rPr>
        <w:t xml:space="preserve"> protection.</w:t>
      </w:r>
    </w:p>
    <w:p xmlns:wp14="http://schemas.microsoft.com/office/word/2010/wordml" w:rsidP="7CA4F9C2" wp14:paraId="2DAFD7F8" wp14:textId="41D4CF72">
      <w:pPr>
        <w:spacing w:after="200" w:afterAutospacing="off" w:line="360" w:lineRule="auto"/>
      </w:pPr>
      <w:r w:rsidRPr="7CA4F9C2" w:rsidR="7F2EFD70">
        <w:rPr>
          <w:rFonts w:ascii="Cambria" w:hAnsi="Cambria" w:eastAsia="Cambria" w:cs="Cambria"/>
          <w:noProof w:val="0"/>
          <w:sz w:val="24"/>
          <w:szCs w:val="24"/>
          <w:lang w:val="en-US"/>
        </w:rPr>
        <w:t xml:space="preserve"> </w:t>
      </w:r>
    </w:p>
    <w:p xmlns:wp14="http://schemas.microsoft.com/office/word/2010/wordml" w:rsidP="7CA4F9C2" wp14:paraId="6476F44D" wp14:textId="0EEC4648">
      <w:pPr>
        <w:spacing w:after="200" w:afterAutospacing="off" w:line="360" w:lineRule="auto"/>
      </w:pPr>
      <w:r w:rsidRPr="7CA4F9C2" w:rsidR="7F2EFD70">
        <w:rPr>
          <w:rFonts w:ascii="Cambria" w:hAnsi="Cambria" w:eastAsia="Cambria" w:cs="Cambria"/>
          <w:noProof w:val="0"/>
          <w:sz w:val="24"/>
          <w:szCs w:val="24"/>
          <w:lang w:val="en-US"/>
        </w:rPr>
        <w:t xml:space="preserve"> </w:t>
      </w:r>
    </w:p>
    <w:p xmlns:wp14="http://schemas.microsoft.com/office/word/2010/wordml" w:rsidP="7CA4F9C2" wp14:paraId="2FE54DF3" wp14:textId="78E9B81A">
      <w:pPr>
        <w:spacing w:after="200" w:afterAutospacing="off" w:line="360" w:lineRule="auto"/>
      </w:pPr>
      <w:r w:rsidRPr="7CA4F9C2" w:rsidR="7F2EFD70">
        <w:rPr>
          <w:rFonts w:ascii="Cambria" w:hAnsi="Cambria" w:eastAsia="Cambria" w:cs="Cambria"/>
          <w:b w:val="1"/>
          <w:bCs w:val="1"/>
          <w:noProof w:val="0"/>
          <w:sz w:val="24"/>
          <w:szCs w:val="24"/>
          <w:lang w:val="en-US"/>
        </w:rPr>
        <w:t>References</w:t>
      </w:r>
    </w:p>
    <w:p xmlns:wp14="http://schemas.microsoft.com/office/word/2010/wordml" w:rsidP="7CA4F9C2" wp14:paraId="0CCDE1DC" wp14:textId="2C7E4B22">
      <w:pPr>
        <w:spacing w:after="200" w:afterAutospacing="off" w:line="360" w:lineRule="auto"/>
      </w:pPr>
      <w:r w:rsidRPr="7CA4F9C2" w:rsidR="7F2EFD70">
        <w:rPr>
          <w:rFonts w:ascii="Cambria" w:hAnsi="Cambria" w:eastAsia="Cambria" w:cs="Cambria"/>
          <w:noProof w:val="0"/>
          <w:sz w:val="24"/>
          <w:szCs w:val="24"/>
          <w:lang w:val="en-US"/>
        </w:rPr>
        <w:t xml:space="preserve">Ashiru-Oredope, D., Casale, E., Harvey, E., Umoh, E., Vasandani, S., Reilly, J. and Hopkins, S. 2022. </w:t>
      </w:r>
      <w:r w:rsidRPr="7CA4F9C2" w:rsidR="7F2EFD70">
        <w:rPr>
          <w:rFonts w:ascii="Cambria" w:hAnsi="Cambria" w:eastAsia="Cambria" w:cs="Cambria"/>
          <w:i w:val="1"/>
          <w:iCs w:val="1"/>
          <w:noProof w:val="0"/>
          <w:sz w:val="24"/>
          <w:szCs w:val="24"/>
          <w:lang w:val="en-US"/>
        </w:rPr>
        <w:t>Knowledge and Attitudes about Antibiotics and Antibiotic Resistance of 2404 UK Healthcare Workers</w:t>
      </w:r>
      <w:r w:rsidRPr="7CA4F9C2" w:rsidR="7F2EFD70">
        <w:rPr>
          <w:rFonts w:ascii="Cambria" w:hAnsi="Cambria" w:eastAsia="Cambria" w:cs="Cambria"/>
          <w:noProof w:val="0"/>
          <w:sz w:val="24"/>
          <w:szCs w:val="24"/>
          <w:lang w:val="en-US"/>
        </w:rPr>
        <w:t>. Antibiotics (Basel). 11(8) 1133</w:t>
      </w:r>
    </w:p>
    <w:p xmlns:wp14="http://schemas.microsoft.com/office/word/2010/wordml" w:rsidP="7CA4F9C2" wp14:paraId="4E24CEE8" wp14:textId="14A00B4F">
      <w:pPr>
        <w:spacing w:after="200" w:afterAutospacing="off" w:line="360" w:lineRule="auto"/>
      </w:pPr>
      <w:r w:rsidRPr="37112B6E" w:rsidR="7F2EFD70">
        <w:rPr>
          <w:rFonts w:ascii="Cambria" w:hAnsi="Cambria" w:eastAsia="Cambria" w:cs="Cambria"/>
          <w:noProof w:val="0"/>
          <w:sz w:val="24"/>
          <w:szCs w:val="24"/>
          <w:lang w:val="en-US"/>
        </w:rPr>
        <w:t xml:space="preserve">Byrne, M.K., </w:t>
      </w:r>
      <w:r w:rsidRPr="37112B6E" w:rsidR="7F2EFD70">
        <w:rPr>
          <w:rFonts w:ascii="Cambria" w:hAnsi="Cambria" w:eastAsia="Cambria" w:cs="Cambria"/>
          <w:noProof w:val="0"/>
          <w:sz w:val="24"/>
          <w:szCs w:val="24"/>
          <w:lang w:val="en-US"/>
        </w:rPr>
        <w:t>Miellet</w:t>
      </w:r>
      <w:r w:rsidRPr="37112B6E" w:rsidR="7F2EFD70">
        <w:rPr>
          <w:rFonts w:ascii="Cambria" w:hAnsi="Cambria" w:eastAsia="Cambria" w:cs="Cambria"/>
          <w:noProof w:val="0"/>
          <w:sz w:val="24"/>
          <w:szCs w:val="24"/>
          <w:lang w:val="en-US"/>
        </w:rPr>
        <w:t xml:space="preserve">, S., McGlinn, A., Fish, J., </w:t>
      </w:r>
      <w:r w:rsidRPr="37112B6E" w:rsidR="7F2EFD70">
        <w:rPr>
          <w:rFonts w:ascii="Cambria" w:hAnsi="Cambria" w:eastAsia="Cambria" w:cs="Cambria"/>
          <w:noProof w:val="0"/>
          <w:sz w:val="24"/>
          <w:szCs w:val="24"/>
          <w:lang w:val="en-US"/>
        </w:rPr>
        <w:t>Meedya</w:t>
      </w:r>
      <w:r w:rsidRPr="37112B6E" w:rsidR="7F2EFD70">
        <w:rPr>
          <w:rFonts w:ascii="Cambria" w:hAnsi="Cambria" w:eastAsia="Cambria" w:cs="Cambria"/>
          <w:noProof w:val="0"/>
          <w:sz w:val="24"/>
          <w:szCs w:val="24"/>
          <w:lang w:val="en-US"/>
        </w:rPr>
        <w:t xml:space="preserve">, S., Reynolds, </w:t>
      </w:r>
      <w:r w:rsidRPr="37112B6E" w:rsidR="7F2EFD70">
        <w:rPr>
          <w:rFonts w:ascii="Cambria" w:hAnsi="Cambria" w:eastAsia="Cambria" w:cs="Cambria"/>
          <w:noProof w:val="0"/>
          <w:sz w:val="24"/>
          <w:szCs w:val="24"/>
          <w:lang w:val="en-US"/>
        </w:rPr>
        <w:t>N.</w:t>
      </w:r>
      <w:r w:rsidRPr="37112B6E" w:rsidR="7F2EFD70">
        <w:rPr>
          <w:rFonts w:ascii="Cambria" w:hAnsi="Cambria" w:eastAsia="Cambria" w:cs="Cambria"/>
          <w:noProof w:val="0"/>
          <w:sz w:val="24"/>
          <w:szCs w:val="24"/>
          <w:lang w:val="en-US"/>
        </w:rPr>
        <w:t xml:space="preserve"> and van Oijen, A.M. (2019) </w:t>
      </w:r>
      <w:r w:rsidRPr="37112B6E" w:rsidR="7F2EFD70">
        <w:rPr>
          <w:rFonts w:ascii="Cambria" w:hAnsi="Cambria" w:eastAsia="Cambria" w:cs="Cambria"/>
          <w:i w:val="1"/>
          <w:iCs w:val="1"/>
          <w:noProof w:val="0"/>
          <w:sz w:val="24"/>
          <w:szCs w:val="24"/>
          <w:lang w:val="en-US"/>
        </w:rPr>
        <w:t>The drivers of antibiotic use and misuse: the development and investigation of a theory driven community measure.</w:t>
      </w:r>
      <w:r w:rsidRPr="37112B6E" w:rsidR="7F2EFD70">
        <w:rPr>
          <w:rFonts w:ascii="Cambria" w:hAnsi="Cambria" w:eastAsia="Cambria" w:cs="Cambria"/>
          <w:noProof w:val="0"/>
          <w:sz w:val="24"/>
          <w:szCs w:val="24"/>
          <w:lang w:val="en-US"/>
        </w:rPr>
        <w:t xml:space="preserve"> BMC Public Health 19, 1425. Available at: </w:t>
      </w:r>
      <w:hyperlink r:id="Rbf7393bc699d4f2b">
        <w:r w:rsidRPr="37112B6E" w:rsidR="7F2EFD70">
          <w:rPr>
            <w:rStyle w:val="Hyperlink"/>
            <w:rFonts w:ascii="Cambria" w:hAnsi="Cambria" w:eastAsia="Cambria" w:cs="Cambria"/>
            <w:strike w:val="0"/>
            <w:dstrike w:val="0"/>
            <w:noProof w:val="0"/>
            <w:color w:val="0000FF"/>
            <w:sz w:val="24"/>
            <w:szCs w:val="24"/>
            <w:u w:val="single"/>
            <w:lang w:val="en-US"/>
          </w:rPr>
          <w:t>https://doi.org/10.1186/s12889-019-7796-8</w:t>
        </w:r>
      </w:hyperlink>
      <w:r w:rsidRPr="37112B6E" w:rsidR="7F2EFD70">
        <w:rPr>
          <w:rFonts w:ascii="Cambria" w:hAnsi="Cambria" w:eastAsia="Cambria" w:cs="Cambria"/>
          <w:noProof w:val="0"/>
          <w:sz w:val="24"/>
          <w:szCs w:val="24"/>
          <w:lang w:val="en-US"/>
        </w:rPr>
        <w:t xml:space="preserve">  (Accessed 29 October 2023)</w:t>
      </w:r>
    </w:p>
    <w:p xmlns:wp14="http://schemas.microsoft.com/office/word/2010/wordml" w:rsidP="7CA4F9C2" wp14:paraId="39219F23" wp14:textId="047663A6">
      <w:pPr>
        <w:spacing w:after="200" w:afterAutospacing="off" w:line="360" w:lineRule="auto"/>
      </w:pPr>
      <w:r w:rsidRPr="7851A6B7" w:rsidR="7F2EFD70">
        <w:rPr>
          <w:rFonts w:ascii="Cambria" w:hAnsi="Cambria" w:eastAsia="Cambria" w:cs="Cambria"/>
          <w:noProof w:val="0"/>
          <w:sz w:val="24"/>
          <w:szCs w:val="24"/>
          <w:lang w:val="en-US"/>
        </w:rPr>
        <w:t xml:space="preserve">Cella, E., Giovanetti, M., Benedetti, F., Scarpa, F., Johnston, C., </w:t>
      </w:r>
      <w:r w:rsidRPr="7851A6B7" w:rsidR="7F2EFD70">
        <w:rPr>
          <w:rFonts w:ascii="Cambria" w:hAnsi="Cambria" w:eastAsia="Cambria" w:cs="Cambria"/>
          <w:noProof w:val="0"/>
          <w:sz w:val="24"/>
          <w:szCs w:val="24"/>
          <w:lang w:val="en-US"/>
        </w:rPr>
        <w:t>Borsetti</w:t>
      </w:r>
      <w:r w:rsidRPr="7851A6B7" w:rsidR="7F2EFD70">
        <w:rPr>
          <w:rFonts w:ascii="Cambria" w:hAnsi="Cambria" w:eastAsia="Cambria" w:cs="Cambria"/>
          <w:noProof w:val="0"/>
          <w:sz w:val="24"/>
          <w:szCs w:val="24"/>
          <w:lang w:val="en-US"/>
        </w:rPr>
        <w:t xml:space="preserve">, A., Ceccarelli, G., Azarian, T., Zella, D. and </w:t>
      </w:r>
      <w:r w:rsidRPr="7851A6B7" w:rsidR="7F2EFD70">
        <w:rPr>
          <w:rFonts w:ascii="Cambria" w:hAnsi="Cambria" w:eastAsia="Cambria" w:cs="Cambria"/>
          <w:noProof w:val="0"/>
          <w:sz w:val="24"/>
          <w:szCs w:val="24"/>
          <w:lang w:val="en-US"/>
        </w:rPr>
        <w:t>Ciccozzi</w:t>
      </w:r>
      <w:r w:rsidRPr="7851A6B7" w:rsidR="7F2EFD70">
        <w:rPr>
          <w:rFonts w:ascii="Cambria" w:hAnsi="Cambria" w:eastAsia="Cambria" w:cs="Cambria"/>
          <w:noProof w:val="0"/>
          <w:sz w:val="24"/>
          <w:szCs w:val="24"/>
          <w:lang w:val="en-US"/>
        </w:rPr>
        <w:t xml:space="preserve">, M. (2023) </w:t>
      </w:r>
      <w:r w:rsidRPr="7851A6B7" w:rsidR="7F2EFD70">
        <w:rPr>
          <w:rFonts w:ascii="Cambria" w:hAnsi="Cambria" w:eastAsia="Cambria" w:cs="Cambria"/>
          <w:b w:val="1"/>
          <w:bCs w:val="1"/>
          <w:noProof w:val="0"/>
          <w:sz w:val="24"/>
          <w:szCs w:val="24"/>
          <w:lang w:val="en-US"/>
        </w:rPr>
        <w:t>‘</w:t>
      </w:r>
      <w:r w:rsidRPr="7851A6B7" w:rsidR="7F2EFD70">
        <w:rPr>
          <w:rFonts w:ascii="Cambria" w:hAnsi="Cambria" w:eastAsia="Cambria" w:cs="Cambria"/>
          <w:b w:val="1"/>
          <w:bCs w:val="1"/>
          <w:i w:val="1"/>
          <w:iCs w:val="1"/>
          <w:noProof w:val="0"/>
          <w:sz w:val="24"/>
          <w:szCs w:val="24"/>
          <w:lang w:val="en-US"/>
        </w:rPr>
        <w:t>Joining Forces against Antibiotic Resistance: The One Health Solution</w:t>
      </w:r>
      <w:bookmarkStart w:name="_Int_C8drp63U" w:id="2122989386"/>
      <w:r w:rsidRPr="7851A6B7" w:rsidR="7F2EFD70">
        <w:rPr>
          <w:rFonts w:ascii="Cambria" w:hAnsi="Cambria" w:eastAsia="Cambria" w:cs="Cambria"/>
          <w:b w:val="1"/>
          <w:bCs w:val="1"/>
          <w:i w:val="1"/>
          <w:iCs w:val="1"/>
          <w:noProof w:val="0"/>
          <w:sz w:val="24"/>
          <w:szCs w:val="24"/>
          <w:lang w:val="en-US"/>
        </w:rPr>
        <w:t>’</w:t>
      </w:r>
      <w:r w:rsidRPr="7851A6B7" w:rsidR="7F2EFD70">
        <w:rPr>
          <w:rFonts w:ascii="Cambria" w:hAnsi="Cambria" w:eastAsia="Cambria" w:cs="Cambria"/>
          <w:i w:val="1"/>
          <w:iCs w:val="1"/>
          <w:noProof w:val="0"/>
          <w:sz w:val="24"/>
          <w:szCs w:val="24"/>
          <w:lang w:val="en-US"/>
        </w:rPr>
        <w:t>,  Pathogens</w:t>
      </w:r>
      <w:bookmarkEnd w:id="2122989386"/>
      <w:r w:rsidRPr="7851A6B7" w:rsidR="7F2EFD70">
        <w:rPr>
          <w:rFonts w:ascii="Cambria" w:hAnsi="Cambria" w:eastAsia="Cambria" w:cs="Cambria"/>
          <w:i w:val="1"/>
          <w:iCs w:val="1"/>
          <w:noProof w:val="0"/>
          <w:sz w:val="24"/>
          <w:szCs w:val="24"/>
          <w:lang w:val="en-US"/>
        </w:rPr>
        <w:t xml:space="preserve"> </w:t>
      </w:r>
      <w:r w:rsidRPr="7851A6B7" w:rsidR="7F2EFD70">
        <w:rPr>
          <w:rFonts w:ascii="Cambria" w:hAnsi="Cambria" w:eastAsia="Cambria" w:cs="Cambria"/>
          <w:noProof w:val="0"/>
          <w:sz w:val="24"/>
          <w:szCs w:val="24"/>
          <w:lang w:val="en-US"/>
        </w:rPr>
        <w:t xml:space="preserve">12(9) 1074. Available at: </w:t>
      </w:r>
      <w:hyperlink r:id="Rc2ae6823c30f4e3c">
        <w:r w:rsidRPr="7851A6B7" w:rsidR="7F2EFD70">
          <w:rPr>
            <w:rStyle w:val="Hyperlink"/>
            <w:rFonts w:ascii="Cambria" w:hAnsi="Cambria" w:eastAsia="Cambria" w:cs="Cambria"/>
            <w:strike w:val="0"/>
            <w:dstrike w:val="0"/>
            <w:noProof w:val="0"/>
            <w:color w:val="0000FF"/>
            <w:sz w:val="24"/>
            <w:szCs w:val="24"/>
            <w:u w:val="single"/>
            <w:lang w:val="en-US"/>
          </w:rPr>
          <w:t>https://doi.org/10.3390/pathogens12091074</w:t>
        </w:r>
      </w:hyperlink>
      <w:r w:rsidRPr="7851A6B7" w:rsidR="7F2EFD70">
        <w:rPr>
          <w:rFonts w:ascii="Cambria" w:hAnsi="Cambria" w:eastAsia="Cambria" w:cs="Cambria"/>
          <w:noProof w:val="0"/>
          <w:sz w:val="24"/>
          <w:szCs w:val="24"/>
          <w:lang w:val="en-US"/>
        </w:rPr>
        <w:t xml:space="preserve"> (Access date:30 October 2023)</w:t>
      </w:r>
    </w:p>
    <w:p xmlns:wp14="http://schemas.microsoft.com/office/word/2010/wordml" w:rsidP="7CA4F9C2" wp14:paraId="630C8B37" wp14:textId="3EF6B8FE">
      <w:pPr>
        <w:spacing w:after="200" w:afterAutospacing="off" w:line="360" w:lineRule="auto"/>
      </w:pPr>
      <w:r w:rsidRPr="7CA4F9C2" w:rsidR="7F2EFD70">
        <w:rPr>
          <w:rFonts w:ascii="Cambria" w:hAnsi="Cambria" w:eastAsia="Cambria" w:cs="Cambria"/>
          <w:noProof w:val="0"/>
          <w:sz w:val="24"/>
          <w:szCs w:val="24"/>
          <w:lang w:val="en-US"/>
        </w:rPr>
        <w:t xml:space="preserve">Department of health (2013). </w:t>
      </w:r>
      <w:r w:rsidRPr="7CA4F9C2" w:rsidR="7F2EFD70">
        <w:rPr>
          <w:rFonts w:ascii="Cambria" w:hAnsi="Cambria" w:eastAsia="Cambria" w:cs="Cambria"/>
          <w:i w:val="1"/>
          <w:iCs w:val="1"/>
          <w:noProof w:val="0"/>
          <w:sz w:val="24"/>
          <w:szCs w:val="24"/>
          <w:lang w:val="en-US"/>
        </w:rPr>
        <w:t>UK Five Year Antimicrobial Resistance Strategy 2013 to 2018.</w:t>
      </w:r>
      <w:r w:rsidRPr="7CA4F9C2" w:rsidR="7F2EFD70">
        <w:rPr>
          <w:rFonts w:ascii="Cambria" w:hAnsi="Cambria" w:eastAsia="Cambria" w:cs="Cambria"/>
          <w:noProof w:val="0"/>
          <w:sz w:val="24"/>
          <w:szCs w:val="24"/>
          <w:lang w:val="en-US"/>
        </w:rPr>
        <w:t xml:space="preserve"> Available at: </w:t>
      </w:r>
      <w:hyperlink r:id="R68357949fbe243ab">
        <w:r w:rsidRPr="7CA4F9C2" w:rsidR="7F2EFD70">
          <w:rPr>
            <w:rStyle w:val="Hyperlink"/>
            <w:rFonts w:ascii="Cambria" w:hAnsi="Cambria" w:eastAsia="Cambria" w:cs="Cambria"/>
            <w:strike w:val="0"/>
            <w:dstrike w:val="0"/>
            <w:noProof w:val="0"/>
            <w:color w:val="0000FF"/>
            <w:sz w:val="24"/>
            <w:szCs w:val="24"/>
            <w:u w:val="single"/>
            <w:lang w:val="en-US"/>
          </w:rPr>
          <w:t>https://assets.publishing.service.gov.uk/media/5a7cc51eed915d68223626ff/20130902_UK_5_year_AMR_strategy.pdf</w:t>
        </w:r>
      </w:hyperlink>
      <w:r w:rsidRPr="7CA4F9C2" w:rsidR="7F2EFD70">
        <w:rPr>
          <w:rFonts w:ascii="Cambria" w:hAnsi="Cambria" w:eastAsia="Cambria" w:cs="Cambria"/>
          <w:noProof w:val="0"/>
          <w:sz w:val="24"/>
          <w:szCs w:val="24"/>
          <w:lang w:val="en-US"/>
        </w:rPr>
        <w:t xml:space="preserve">   (Accessed 18 October 2023)</w:t>
      </w:r>
    </w:p>
    <w:p xmlns:wp14="http://schemas.microsoft.com/office/word/2010/wordml" w:rsidP="7CA4F9C2" wp14:paraId="09814EBB" wp14:textId="4920C091">
      <w:pPr>
        <w:spacing w:after="200" w:afterAutospacing="off" w:line="360" w:lineRule="auto"/>
      </w:pPr>
      <w:r w:rsidRPr="7851A6B7" w:rsidR="7F2EFD70">
        <w:rPr>
          <w:rFonts w:ascii="Cambria" w:hAnsi="Cambria" w:eastAsia="Cambria" w:cs="Cambria"/>
          <w:noProof w:val="0"/>
          <w:sz w:val="24"/>
          <w:szCs w:val="24"/>
          <w:lang w:val="en-US"/>
        </w:rPr>
        <w:t xml:space="preserve">HM Government (2019). </w:t>
      </w:r>
      <w:r w:rsidRPr="7851A6B7" w:rsidR="7F2EFD70">
        <w:rPr>
          <w:rFonts w:ascii="Cambria" w:hAnsi="Cambria" w:eastAsia="Cambria" w:cs="Cambria"/>
          <w:i w:val="1"/>
          <w:iCs w:val="1"/>
          <w:noProof w:val="0"/>
          <w:sz w:val="24"/>
          <w:szCs w:val="24"/>
          <w:lang w:val="en-US"/>
        </w:rPr>
        <w:t>Contained</w:t>
      </w:r>
      <w:r w:rsidRPr="7851A6B7" w:rsidR="7F2EFD70">
        <w:rPr>
          <w:rFonts w:ascii="Cambria" w:hAnsi="Cambria" w:eastAsia="Cambria" w:cs="Cambria"/>
          <w:i w:val="1"/>
          <w:iCs w:val="1"/>
          <w:noProof w:val="0"/>
          <w:sz w:val="24"/>
          <w:szCs w:val="24"/>
          <w:lang w:val="en-US"/>
        </w:rPr>
        <w:t xml:space="preserve"> and controlled. The UK’s 20-year vision for antimicrobial resistance.</w:t>
      </w:r>
      <w:r w:rsidRPr="7851A6B7" w:rsidR="7F2EFD70">
        <w:rPr>
          <w:rFonts w:ascii="Cambria" w:hAnsi="Cambria" w:eastAsia="Cambria" w:cs="Cambria"/>
          <w:noProof w:val="0"/>
          <w:sz w:val="24"/>
          <w:szCs w:val="24"/>
          <w:lang w:val="en-US"/>
        </w:rPr>
        <w:t xml:space="preserve"> </w:t>
      </w:r>
      <w:hyperlink r:id="Re6b61d1dda2f4203">
        <w:r w:rsidRPr="7851A6B7" w:rsidR="7F2EFD70">
          <w:rPr>
            <w:rStyle w:val="Hyperlink"/>
            <w:rFonts w:ascii="Cambria" w:hAnsi="Cambria" w:eastAsia="Cambria" w:cs="Cambria"/>
            <w:strike w:val="0"/>
            <w:dstrike w:val="0"/>
            <w:noProof w:val="0"/>
            <w:color w:val="0000FF"/>
            <w:sz w:val="24"/>
            <w:szCs w:val="24"/>
            <w:u w:val="single"/>
            <w:lang w:val="en-US"/>
          </w:rPr>
          <w:t>https://assets.publishing.service.gov.uk/media/5c48896a40f0b616fe901e91/uk-20-year-vision-for-antimicrobial-resistance.pdf</w:t>
        </w:r>
      </w:hyperlink>
      <w:r w:rsidRPr="7851A6B7" w:rsidR="7F2EFD70">
        <w:rPr>
          <w:rFonts w:ascii="Cambria" w:hAnsi="Cambria" w:eastAsia="Cambria" w:cs="Cambria"/>
          <w:noProof w:val="0"/>
          <w:sz w:val="24"/>
          <w:szCs w:val="24"/>
          <w:lang w:val="en-US"/>
        </w:rPr>
        <w:t xml:space="preserve">   (Accessed 25 October 2023) </w:t>
      </w:r>
    </w:p>
    <w:p xmlns:wp14="http://schemas.microsoft.com/office/word/2010/wordml" w:rsidP="7CA4F9C2" wp14:paraId="1916AC27" wp14:textId="28B0FF5F">
      <w:pPr>
        <w:spacing w:after="200" w:afterAutospacing="off" w:line="360" w:lineRule="auto"/>
      </w:pPr>
      <w:r w:rsidRPr="7CA4F9C2" w:rsidR="7F2EFD70">
        <w:rPr>
          <w:rFonts w:ascii="Cambria" w:hAnsi="Cambria" w:eastAsia="Cambria" w:cs="Cambria"/>
          <w:noProof w:val="0"/>
          <w:sz w:val="24"/>
          <w:szCs w:val="24"/>
          <w:lang w:val="en-US"/>
        </w:rPr>
        <w:t>Jindal, A.K., Pandya, K. and Khan, I.D. (2015</w:t>
      </w:r>
      <w:r w:rsidRPr="7CA4F9C2" w:rsidR="7F2EFD70">
        <w:rPr>
          <w:rFonts w:ascii="Cambria" w:hAnsi="Cambria" w:eastAsia="Cambria" w:cs="Cambria"/>
          <w:i w:val="1"/>
          <w:iCs w:val="1"/>
          <w:noProof w:val="0"/>
          <w:sz w:val="24"/>
          <w:szCs w:val="24"/>
          <w:lang w:val="en-US"/>
        </w:rPr>
        <w:t>) ‘Antimicrobial resistance: A public health challenge’</w:t>
      </w:r>
      <w:r w:rsidRPr="7CA4F9C2" w:rsidR="7F2EFD70">
        <w:rPr>
          <w:rFonts w:ascii="Cambria" w:hAnsi="Cambria" w:eastAsia="Cambria" w:cs="Cambria"/>
          <w:noProof w:val="0"/>
          <w:sz w:val="24"/>
          <w:szCs w:val="24"/>
          <w:lang w:val="en-US"/>
        </w:rPr>
        <w:t>, Med J Armed Forces India. 71(2) Pp 178-181.</w:t>
      </w:r>
    </w:p>
    <w:p xmlns:wp14="http://schemas.microsoft.com/office/word/2010/wordml" w:rsidP="7CA4F9C2" wp14:paraId="29822DD8" wp14:textId="76294C3C">
      <w:pPr>
        <w:spacing w:after="200" w:afterAutospacing="off" w:line="360" w:lineRule="auto"/>
      </w:pPr>
      <w:r w:rsidRPr="37112B6E" w:rsidR="7F2EFD70">
        <w:rPr>
          <w:rFonts w:ascii="Cambria" w:hAnsi="Cambria" w:eastAsia="Cambria" w:cs="Cambria"/>
          <w:noProof w:val="0"/>
          <w:sz w:val="24"/>
          <w:szCs w:val="24"/>
          <w:lang w:val="en-US"/>
        </w:rPr>
        <w:t xml:space="preserve">Nahrgang, S. Nolte, E. and Rechel, B. (2018). </w:t>
      </w:r>
      <w:r w:rsidRPr="37112B6E" w:rsidR="7F2EFD70">
        <w:rPr>
          <w:rFonts w:ascii="Cambria" w:hAnsi="Cambria" w:eastAsia="Cambria" w:cs="Cambria"/>
          <w:i w:val="1"/>
          <w:iCs w:val="1"/>
          <w:noProof w:val="0"/>
          <w:sz w:val="24"/>
          <w:szCs w:val="24"/>
          <w:lang w:val="en-US"/>
        </w:rPr>
        <w:t xml:space="preserve">Antimicrobial resistance: The role of public health organizations in addressing public health problems in Europe: The case of obesity, </w:t>
      </w:r>
      <w:r w:rsidRPr="37112B6E" w:rsidR="7F2EFD70">
        <w:rPr>
          <w:rFonts w:ascii="Cambria" w:hAnsi="Cambria" w:eastAsia="Cambria" w:cs="Cambria"/>
          <w:i w:val="1"/>
          <w:iCs w:val="1"/>
          <w:noProof w:val="0"/>
          <w:sz w:val="24"/>
          <w:szCs w:val="24"/>
          <w:lang w:val="en-US"/>
        </w:rPr>
        <w:t>alcohol</w:t>
      </w:r>
      <w:r w:rsidRPr="37112B6E" w:rsidR="7F2EFD70">
        <w:rPr>
          <w:rFonts w:ascii="Cambria" w:hAnsi="Cambria" w:eastAsia="Cambria" w:cs="Cambria"/>
          <w:i w:val="1"/>
          <w:iCs w:val="1"/>
          <w:noProof w:val="0"/>
          <w:sz w:val="24"/>
          <w:szCs w:val="24"/>
          <w:lang w:val="en-US"/>
        </w:rPr>
        <w:t xml:space="preserve"> and antimicrobial resistance.</w:t>
      </w:r>
      <w:r w:rsidRPr="37112B6E" w:rsidR="7F2EFD70">
        <w:rPr>
          <w:rFonts w:ascii="Cambria" w:hAnsi="Cambria" w:eastAsia="Cambria" w:cs="Cambria"/>
          <w:noProof w:val="0"/>
          <w:sz w:val="24"/>
          <w:szCs w:val="24"/>
          <w:lang w:val="en-US"/>
        </w:rPr>
        <w:t xml:space="preserve"> Available at: </w:t>
      </w:r>
      <w:hyperlink r:id="Rafbf513cc66a40d4">
        <w:r w:rsidRPr="37112B6E" w:rsidR="7F2EFD70">
          <w:rPr>
            <w:rStyle w:val="Hyperlink"/>
            <w:rFonts w:ascii="Cambria" w:hAnsi="Cambria" w:eastAsia="Cambria" w:cs="Cambria"/>
            <w:strike w:val="0"/>
            <w:dstrike w:val="0"/>
            <w:noProof w:val="0"/>
            <w:color w:val="0000FF"/>
            <w:sz w:val="24"/>
            <w:szCs w:val="24"/>
            <w:u w:val="single"/>
            <w:lang w:val="en-US"/>
          </w:rPr>
          <w:t>https://www.ncbi.nlm.nih.gov/books/NBK536193/</w:t>
        </w:r>
      </w:hyperlink>
      <w:r w:rsidRPr="37112B6E" w:rsidR="7F2EFD70">
        <w:rPr>
          <w:rFonts w:ascii="Cambria" w:hAnsi="Cambria" w:eastAsia="Cambria" w:cs="Cambria"/>
          <w:noProof w:val="0"/>
          <w:sz w:val="24"/>
          <w:szCs w:val="24"/>
          <w:lang w:val="en-US"/>
        </w:rPr>
        <w:t xml:space="preserve">  (Accessed 20 October 2023)</w:t>
      </w:r>
    </w:p>
    <w:p xmlns:wp14="http://schemas.microsoft.com/office/word/2010/wordml" w:rsidP="7CA4F9C2" wp14:paraId="4B1B7038" wp14:textId="157F2FD8">
      <w:pPr>
        <w:spacing w:after="200" w:afterAutospacing="off" w:line="360" w:lineRule="auto"/>
      </w:pPr>
      <w:r w:rsidRPr="7CA4F9C2" w:rsidR="7F2EFD70">
        <w:rPr>
          <w:rFonts w:ascii="Cambria" w:hAnsi="Cambria" w:eastAsia="Cambria" w:cs="Cambria"/>
          <w:noProof w:val="0"/>
          <w:sz w:val="24"/>
          <w:szCs w:val="24"/>
          <w:lang w:val="en-US"/>
        </w:rPr>
        <w:t xml:space="preserve">Murray, C.J.L., Ikuta, K.S. Sharara, S. et al. (2022) </w:t>
      </w:r>
      <w:r w:rsidRPr="7CA4F9C2" w:rsidR="7F2EFD70">
        <w:rPr>
          <w:rFonts w:ascii="Cambria" w:hAnsi="Cambria" w:eastAsia="Cambria" w:cs="Cambria"/>
          <w:i w:val="1"/>
          <w:iCs w:val="1"/>
          <w:noProof w:val="0"/>
          <w:sz w:val="24"/>
          <w:szCs w:val="24"/>
          <w:lang w:val="en-US"/>
        </w:rPr>
        <w:t>‘Global burden of bacterial antimicrobial resistance in 2019: a systematic analysis’</w:t>
      </w:r>
      <w:r w:rsidRPr="7CA4F9C2" w:rsidR="7F2EFD70">
        <w:rPr>
          <w:rFonts w:ascii="Cambria" w:hAnsi="Cambria" w:eastAsia="Cambria" w:cs="Cambria"/>
          <w:noProof w:val="0"/>
          <w:sz w:val="24"/>
          <w:szCs w:val="24"/>
          <w:lang w:val="en-US"/>
        </w:rPr>
        <w:t xml:space="preserve">, The Lancet. 399(10325) pp. 629-655. Available at: </w:t>
      </w:r>
      <w:hyperlink r:id="R936c5618b1464665">
        <w:r w:rsidRPr="7CA4F9C2" w:rsidR="7F2EFD70">
          <w:rPr>
            <w:rStyle w:val="Hyperlink"/>
            <w:rFonts w:ascii="Cambria" w:hAnsi="Cambria" w:eastAsia="Cambria" w:cs="Cambria"/>
            <w:strike w:val="0"/>
            <w:dstrike w:val="0"/>
            <w:noProof w:val="0"/>
            <w:color w:val="0000FF"/>
            <w:sz w:val="24"/>
            <w:szCs w:val="24"/>
            <w:u w:val="single"/>
            <w:lang w:val="en-US"/>
          </w:rPr>
          <w:t>https://doi.org/10.1016/S0140-6736(21)02724-0</w:t>
        </w:r>
      </w:hyperlink>
      <w:r w:rsidRPr="7CA4F9C2" w:rsidR="7F2EFD70">
        <w:rPr>
          <w:rFonts w:ascii="Cambria" w:hAnsi="Cambria" w:eastAsia="Cambria" w:cs="Cambria"/>
          <w:noProof w:val="0"/>
          <w:sz w:val="24"/>
          <w:szCs w:val="24"/>
          <w:lang w:val="en-US"/>
        </w:rPr>
        <w:t xml:space="preserve">  (Accessed 28 October 2023)</w:t>
      </w:r>
    </w:p>
    <w:p xmlns:wp14="http://schemas.microsoft.com/office/word/2010/wordml" w:rsidP="7CA4F9C2" wp14:paraId="1E1D987F" wp14:textId="1E6CEC9B">
      <w:pPr>
        <w:spacing w:after="200" w:afterAutospacing="off" w:line="360" w:lineRule="auto"/>
      </w:pPr>
      <w:r w:rsidRPr="37112B6E" w:rsidR="7F2EFD70">
        <w:rPr>
          <w:rFonts w:ascii="Cambria" w:hAnsi="Cambria" w:eastAsia="Cambria" w:cs="Cambria"/>
          <w:noProof w:val="0"/>
          <w:sz w:val="24"/>
          <w:szCs w:val="24"/>
          <w:lang w:val="en-US"/>
        </w:rPr>
        <w:t>Poudel, A.N., Zhu, S., Cooper, N., Little, P., Tarrant, C., Hickman, M., Yao, G. (2023). ‘</w:t>
      </w:r>
      <w:r w:rsidRPr="37112B6E" w:rsidR="7F2EFD70">
        <w:rPr>
          <w:rFonts w:ascii="Cambria" w:hAnsi="Cambria" w:eastAsia="Cambria" w:cs="Cambria"/>
          <w:i w:val="1"/>
          <w:iCs w:val="1"/>
          <w:noProof w:val="0"/>
          <w:sz w:val="24"/>
          <w:szCs w:val="24"/>
          <w:lang w:val="en-US"/>
        </w:rPr>
        <w:t>The economic burden of antibiotic resistance: A systematic review and meta-analysis</w:t>
      </w:r>
      <w:r w:rsidRPr="37112B6E" w:rsidR="7F2EFD70">
        <w:rPr>
          <w:rFonts w:ascii="Cambria" w:hAnsi="Cambria" w:eastAsia="Cambria" w:cs="Cambria"/>
          <w:i w:val="1"/>
          <w:iCs w:val="1"/>
          <w:noProof w:val="0"/>
          <w:sz w:val="24"/>
          <w:szCs w:val="24"/>
          <w:lang w:val="en-US"/>
        </w:rPr>
        <w:t>’,</w:t>
      </w:r>
      <w:r w:rsidRPr="37112B6E" w:rsidR="7F2EFD70">
        <w:rPr>
          <w:rFonts w:ascii="Cambria" w:hAnsi="Cambria" w:eastAsia="Cambria" w:cs="Cambria"/>
          <w:noProof w:val="0"/>
          <w:sz w:val="24"/>
          <w:szCs w:val="24"/>
          <w:lang w:val="en-US"/>
        </w:rPr>
        <w:t xml:space="preserve"> </w:t>
      </w:r>
      <w:r w:rsidRPr="37112B6E" w:rsidR="7F2EFD70">
        <w:rPr>
          <w:rFonts w:ascii="Cambria" w:hAnsi="Cambria" w:eastAsia="Cambria" w:cs="Cambria"/>
          <w:noProof w:val="0"/>
          <w:sz w:val="24"/>
          <w:szCs w:val="24"/>
          <w:lang w:val="en-US"/>
        </w:rPr>
        <w:t>PLoS</w:t>
      </w:r>
      <w:r w:rsidRPr="37112B6E" w:rsidR="7F2EFD70">
        <w:rPr>
          <w:rFonts w:ascii="Cambria" w:hAnsi="Cambria" w:eastAsia="Cambria" w:cs="Cambria"/>
          <w:noProof w:val="0"/>
          <w:sz w:val="24"/>
          <w:szCs w:val="24"/>
          <w:lang w:val="en-US"/>
        </w:rPr>
        <w:t xml:space="preserve"> ONE 18(5)</w:t>
      </w:r>
    </w:p>
    <w:p xmlns:wp14="http://schemas.microsoft.com/office/word/2010/wordml" w:rsidP="7CA4F9C2" wp14:paraId="0A1C97E8" wp14:textId="4DEE4AEE">
      <w:pPr>
        <w:spacing w:after="200" w:afterAutospacing="off" w:line="360" w:lineRule="auto"/>
      </w:pPr>
      <w:r w:rsidRPr="7CA4F9C2" w:rsidR="7F2EFD70">
        <w:rPr>
          <w:rFonts w:ascii="Cambria" w:hAnsi="Cambria" w:eastAsia="Cambria" w:cs="Cambria"/>
          <w:noProof w:val="0"/>
          <w:sz w:val="24"/>
          <w:szCs w:val="24"/>
          <w:lang w:val="en-US"/>
        </w:rPr>
        <w:t>Prestinaci, F. Pezzotti, P. Pantosti, A. (2015) ‘</w:t>
      </w:r>
      <w:r w:rsidRPr="7CA4F9C2" w:rsidR="7F2EFD70">
        <w:rPr>
          <w:rFonts w:ascii="Cambria" w:hAnsi="Cambria" w:eastAsia="Cambria" w:cs="Cambria"/>
          <w:i w:val="1"/>
          <w:iCs w:val="1"/>
          <w:noProof w:val="0"/>
          <w:sz w:val="24"/>
          <w:szCs w:val="24"/>
          <w:lang w:val="en-US"/>
        </w:rPr>
        <w:t>Antimicrobial resistance: a global multifaceted phenomenon’</w:t>
      </w:r>
      <w:r w:rsidRPr="7CA4F9C2" w:rsidR="7F2EFD70">
        <w:rPr>
          <w:rFonts w:ascii="Cambria" w:hAnsi="Cambria" w:eastAsia="Cambria" w:cs="Cambria"/>
          <w:noProof w:val="0"/>
          <w:sz w:val="24"/>
          <w:szCs w:val="24"/>
          <w:lang w:val="en-US"/>
        </w:rPr>
        <w:t>, Pathog Glob Health. 109(7) Pp 309-18.</w:t>
      </w:r>
    </w:p>
    <w:p xmlns:wp14="http://schemas.microsoft.com/office/word/2010/wordml" w:rsidP="7CA4F9C2" wp14:paraId="5460C939" wp14:textId="7C25CB26">
      <w:pPr>
        <w:spacing w:after="200" w:afterAutospacing="off" w:line="360" w:lineRule="auto"/>
      </w:pPr>
      <w:r w:rsidRPr="7CA4F9C2" w:rsidR="7F2EFD70">
        <w:rPr>
          <w:rFonts w:ascii="Cambria" w:hAnsi="Cambria" w:eastAsia="Cambria" w:cs="Cambria"/>
          <w:noProof w:val="0"/>
          <w:sz w:val="24"/>
          <w:szCs w:val="24"/>
          <w:lang w:val="en-US"/>
        </w:rPr>
        <w:t xml:space="preserve">Public health, Wales, (2016). </w:t>
      </w:r>
      <w:r w:rsidRPr="7CA4F9C2" w:rsidR="7F2EFD70">
        <w:rPr>
          <w:rFonts w:ascii="Cambria" w:hAnsi="Cambria" w:eastAsia="Cambria" w:cs="Cambria"/>
          <w:i w:val="1"/>
          <w:iCs w:val="1"/>
          <w:noProof w:val="0"/>
          <w:sz w:val="24"/>
          <w:szCs w:val="24"/>
          <w:lang w:val="en-US"/>
        </w:rPr>
        <w:t>Antibacterial Resistance in Wales 2006-2015</w:t>
      </w:r>
      <w:r w:rsidRPr="7CA4F9C2" w:rsidR="7F2EFD70">
        <w:rPr>
          <w:rFonts w:ascii="Cambria" w:hAnsi="Cambria" w:eastAsia="Cambria" w:cs="Cambria"/>
          <w:noProof w:val="0"/>
          <w:sz w:val="24"/>
          <w:szCs w:val="24"/>
          <w:lang w:val="en-US"/>
        </w:rPr>
        <w:t xml:space="preserve">.Available at: </w:t>
      </w:r>
      <w:hyperlink r:id="R4f45f029b6574acb">
        <w:r w:rsidRPr="7CA4F9C2" w:rsidR="7F2EFD70">
          <w:rPr>
            <w:rStyle w:val="Hyperlink"/>
            <w:rFonts w:ascii="Cambria" w:hAnsi="Cambria" w:eastAsia="Cambria" w:cs="Cambria"/>
            <w:strike w:val="0"/>
            <w:dstrike w:val="0"/>
            <w:noProof w:val="0"/>
            <w:color w:val="0000FF"/>
            <w:sz w:val="24"/>
            <w:szCs w:val="24"/>
            <w:u w:val="single"/>
            <w:lang w:val="en-US"/>
          </w:rPr>
          <w:t>https://target-webinars.com/wp-content/uploads/2016/08/Antimicrobial-Resistance-in-Wales-2006-2015.pdf</w:t>
        </w:r>
      </w:hyperlink>
      <w:r w:rsidRPr="7CA4F9C2" w:rsidR="7F2EFD70">
        <w:rPr>
          <w:rFonts w:ascii="Cambria" w:hAnsi="Cambria" w:eastAsia="Cambria" w:cs="Cambria"/>
          <w:noProof w:val="0"/>
          <w:sz w:val="24"/>
          <w:szCs w:val="24"/>
          <w:lang w:val="en-US"/>
        </w:rPr>
        <w:t xml:space="preserve"> (Accessed 21 October 2023)</w:t>
      </w:r>
    </w:p>
    <w:p xmlns:wp14="http://schemas.microsoft.com/office/word/2010/wordml" w:rsidP="7CA4F9C2" wp14:paraId="0B27C320" wp14:textId="5F59F1EC">
      <w:pPr>
        <w:spacing w:after="200" w:afterAutospacing="off" w:line="360" w:lineRule="auto"/>
      </w:pPr>
      <w:r w:rsidRPr="37112B6E" w:rsidR="7F2EFD70">
        <w:rPr>
          <w:rFonts w:ascii="Cambria" w:hAnsi="Cambria" w:eastAsia="Cambria" w:cs="Cambria"/>
          <w:noProof w:val="0"/>
          <w:sz w:val="24"/>
          <w:szCs w:val="24"/>
          <w:lang w:val="en-US"/>
        </w:rPr>
        <w:t xml:space="preserve">Public health, England. (2015) </w:t>
      </w:r>
      <w:r w:rsidRPr="37112B6E" w:rsidR="7F2EFD70">
        <w:rPr>
          <w:rFonts w:ascii="Cambria" w:hAnsi="Cambria" w:eastAsia="Cambria" w:cs="Cambria"/>
          <w:i w:val="1"/>
          <w:iCs w:val="1"/>
          <w:noProof w:val="0"/>
          <w:sz w:val="24"/>
          <w:szCs w:val="24"/>
          <w:lang w:val="en-US"/>
        </w:rPr>
        <w:t>‘</w:t>
      </w:r>
      <w:r w:rsidRPr="37112B6E" w:rsidR="7F2EFD70">
        <w:rPr>
          <w:rFonts w:ascii="Cambria" w:hAnsi="Cambria" w:eastAsia="Cambria" w:cs="Cambria"/>
          <w:i w:val="1"/>
          <w:iCs w:val="1"/>
          <w:noProof w:val="0"/>
          <w:sz w:val="24"/>
          <w:szCs w:val="24"/>
          <w:lang w:val="en-US"/>
        </w:rPr>
        <w:t>Behaviour</w:t>
      </w:r>
      <w:r w:rsidRPr="37112B6E" w:rsidR="7F2EFD70">
        <w:rPr>
          <w:rFonts w:ascii="Cambria" w:hAnsi="Cambria" w:eastAsia="Cambria" w:cs="Cambria"/>
          <w:i w:val="1"/>
          <w:iCs w:val="1"/>
          <w:noProof w:val="0"/>
          <w:sz w:val="24"/>
          <w:szCs w:val="24"/>
          <w:lang w:val="en-US"/>
        </w:rPr>
        <w:t xml:space="preserve"> </w:t>
      </w:r>
      <w:bookmarkStart w:name="_Int_mKTv914Y" w:id="1490126132"/>
      <w:r w:rsidRPr="37112B6E" w:rsidR="7F2EFD70">
        <w:rPr>
          <w:rFonts w:ascii="Cambria" w:hAnsi="Cambria" w:eastAsia="Cambria" w:cs="Cambria"/>
          <w:i w:val="1"/>
          <w:iCs w:val="1"/>
          <w:noProof w:val="0"/>
          <w:sz w:val="24"/>
          <w:szCs w:val="24"/>
          <w:lang w:val="en-US"/>
        </w:rPr>
        <w:t>change</w:t>
      </w:r>
      <w:bookmarkEnd w:id="1490126132"/>
      <w:r w:rsidRPr="37112B6E" w:rsidR="7F2EFD70">
        <w:rPr>
          <w:rFonts w:ascii="Cambria" w:hAnsi="Cambria" w:eastAsia="Cambria" w:cs="Cambria"/>
          <w:i w:val="1"/>
          <w:iCs w:val="1"/>
          <w:noProof w:val="0"/>
          <w:sz w:val="24"/>
          <w:szCs w:val="24"/>
          <w:lang w:val="en-US"/>
        </w:rPr>
        <w:t xml:space="preserve"> and antibiotic prescribing in healthcare settings. Literature review and </w:t>
      </w:r>
      <w:r w:rsidRPr="37112B6E" w:rsidR="7F2EFD70">
        <w:rPr>
          <w:rFonts w:ascii="Cambria" w:hAnsi="Cambria" w:eastAsia="Cambria" w:cs="Cambria"/>
          <w:i w:val="1"/>
          <w:iCs w:val="1"/>
          <w:noProof w:val="0"/>
          <w:sz w:val="24"/>
          <w:szCs w:val="24"/>
          <w:lang w:val="en-US"/>
        </w:rPr>
        <w:t>behavioural</w:t>
      </w:r>
      <w:r w:rsidRPr="37112B6E" w:rsidR="7F2EFD70">
        <w:rPr>
          <w:rFonts w:ascii="Cambria" w:hAnsi="Cambria" w:eastAsia="Cambria" w:cs="Cambria"/>
          <w:i w:val="1"/>
          <w:iCs w:val="1"/>
          <w:noProof w:val="0"/>
          <w:sz w:val="24"/>
          <w:szCs w:val="24"/>
          <w:lang w:val="en-US"/>
        </w:rPr>
        <w:t xml:space="preserve"> analysis</w:t>
      </w:r>
      <w:r w:rsidRPr="37112B6E" w:rsidR="7F2EFD70">
        <w:rPr>
          <w:rFonts w:ascii="Cambria" w:hAnsi="Cambria" w:eastAsia="Cambria" w:cs="Cambria"/>
          <w:i w:val="1"/>
          <w:iCs w:val="1"/>
          <w:noProof w:val="0"/>
          <w:sz w:val="24"/>
          <w:szCs w:val="24"/>
          <w:lang w:val="en-US"/>
        </w:rPr>
        <w:t>’</w:t>
      </w:r>
      <w:r w:rsidRPr="37112B6E" w:rsidR="7F2EFD70">
        <w:rPr>
          <w:rFonts w:ascii="Cambria" w:hAnsi="Cambria" w:eastAsia="Cambria" w:cs="Cambria"/>
          <w:noProof w:val="0"/>
          <w:sz w:val="24"/>
          <w:szCs w:val="24"/>
          <w:lang w:val="en-US"/>
        </w:rPr>
        <w:t>,</w:t>
      </w:r>
      <w:r w:rsidRPr="37112B6E" w:rsidR="7F2EFD70">
        <w:rPr>
          <w:rFonts w:ascii="Cambria" w:hAnsi="Cambria" w:eastAsia="Cambria" w:cs="Cambria"/>
          <w:noProof w:val="0"/>
          <w:sz w:val="24"/>
          <w:szCs w:val="24"/>
          <w:lang w:val="en-US"/>
        </w:rPr>
        <w:t xml:space="preserve"> Available at: </w:t>
      </w:r>
      <w:hyperlink r:id="Rd18a90c655fe4152">
        <w:r w:rsidRPr="37112B6E" w:rsidR="7F2EFD70">
          <w:rPr>
            <w:rStyle w:val="Hyperlink"/>
            <w:rFonts w:ascii="Cambria" w:hAnsi="Cambria" w:eastAsia="Cambria" w:cs="Cambria"/>
            <w:noProof w:val="0"/>
            <w:sz w:val="24"/>
            <w:szCs w:val="24"/>
            <w:lang w:val="en-US"/>
          </w:rPr>
          <w:t>https://assets.publishing.service.gov.uk/media/5c4f3cf8ed915d7d3953d20e/Behaviour_Change_for_Antibiotic_Prescribing_-_FINAL.pdf</w:t>
        </w:r>
      </w:hyperlink>
    </w:p>
    <w:p xmlns:wp14="http://schemas.microsoft.com/office/word/2010/wordml" w:rsidP="7CA4F9C2" wp14:paraId="1BE838D0" wp14:textId="6DBA0ACA">
      <w:pPr>
        <w:spacing w:after="200" w:afterAutospacing="off" w:line="360" w:lineRule="auto"/>
      </w:pPr>
      <w:r w:rsidRPr="7CA4F9C2" w:rsidR="7F2EFD70">
        <w:rPr>
          <w:rFonts w:ascii="Cambria" w:hAnsi="Cambria" w:eastAsia="Cambria" w:cs="Cambria"/>
          <w:noProof w:val="0"/>
          <w:sz w:val="24"/>
          <w:szCs w:val="24"/>
          <w:lang w:val="en-US"/>
        </w:rPr>
        <w:t>Pulcini, C. and Gyssens, I.C. (2013) ‘</w:t>
      </w:r>
      <w:r w:rsidRPr="7CA4F9C2" w:rsidR="7F2EFD70">
        <w:rPr>
          <w:rFonts w:ascii="Cambria" w:hAnsi="Cambria" w:eastAsia="Cambria" w:cs="Cambria"/>
          <w:i w:val="1"/>
          <w:iCs w:val="1"/>
          <w:noProof w:val="0"/>
          <w:sz w:val="24"/>
          <w:szCs w:val="24"/>
          <w:lang w:val="en-US"/>
        </w:rPr>
        <w:t>How to educate prescribers in antimicrobial stewardship practices</w:t>
      </w:r>
      <w:r w:rsidRPr="7CA4F9C2" w:rsidR="7F2EFD70">
        <w:rPr>
          <w:rFonts w:ascii="Cambria" w:hAnsi="Cambria" w:eastAsia="Cambria" w:cs="Cambria"/>
          <w:noProof w:val="0"/>
          <w:sz w:val="24"/>
          <w:szCs w:val="24"/>
          <w:lang w:val="en-US"/>
        </w:rPr>
        <w:t>’, Virulence. 4(2) Pp 192-202</w:t>
      </w:r>
    </w:p>
    <w:p xmlns:wp14="http://schemas.microsoft.com/office/word/2010/wordml" w:rsidP="7CA4F9C2" wp14:paraId="3E4971A0" wp14:textId="50E3603F">
      <w:pPr>
        <w:spacing w:after="200" w:afterAutospacing="off" w:line="360" w:lineRule="auto"/>
      </w:pPr>
      <w:r w:rsidRPr="7851A6B7" w:rsidR="7F2EFD70">
        <w:rPr>
          <w:rFonts w:ascii="Cambria" w:hAnsi="Cambria" w:eastAsia="Cambria" w:cs="Cambria"/>
          <w:noProof w:val="0"/>
          <w:sz w:val="24"/>
          <w:szCs w:val="24"/>
          <w:lang w:val="en-US"/>
        </w:rPr>
        <w:t xml:space="preserve">Roberts, H. (2016). </w:t>
      </w:r>
      <w:r w:rsidRPr="7851A6B7" w:rsidR="7F2EFD70">
        <w:rPr>
          <w:rFonts w:ascii="Cambria" w:hAnsi="Cambria" w:eastAsia="Cambria" w:cs="Cambria"/>
          <w:i w:val="1"/>
          <w:iCs w:val="1"/>
          <w:noProof w:val="0"/>
          <w:sz w:val="24"/>
          <w:szCs w:val="24"/>
          <w:lang w:val="en-US"/>
        </w:rPr>
        <w:t xml:space="preserve">Tackling antimicrobial resistance in Wales for </w:t>
      </w:r>
      <w:bookmarkStart w:name="_Int_sOnRZakQ" w:id="1728203035"/>
      <w:r w:rsidRPr="7851A6B7" w:rsidR="7F2EFD70">
        <w:rPr>
          <w:rFonts w:ascii="Cambria" w:hAnsi="Cambria" w:eastAsia="Cambria" w:cs="Cambria"/>
          <w:i w:val="1"/>
          <w:iCs w:val="1"/>
          <w:noProof w:val="0"/>
          <w:sz w:val="24"/>
          <w:szCs w:val="24"/>
          <w:lang w:val="en-US"/>
        </w:rPr>
        <w:t>National</w:t>
      </w:r>
      <w:bookmarkEnd w:id="1728203035"/>
      <w:r w:rsidRPr="7851A6B7" w:rsidR="7F2EFD70">
        <w:rPr>
          <w:rFonts w:ascii="Cambria" w:hAnsi="Cambria" w:eastAsia="Cambria" w:cs="Cambria"/>
          <w:i w:val="1"/>
          <w:iCs w:val="1"/>
          <w:noProof w:val="0"/>
          <w:sz w:val="24"/>
          <w:szCs w:val="24"/>
          <w:lang w:val="en-US"/>
        </w:rPr>
        <w:t xml:space="preserve"> Assembly for Wales Commission. </w:t>
      </w:r>
      <w:r w:rsidRPr="7851A6B7" w:rsidR="7F2EFD70">
        <w:rPr>
          <w:rFonts w:ascii="Cambria" w:hAnsi="Cambria" w:eastAsia="Cambria" w:cs="Cambria"/>
          <w:noProof w:val="0"/>
          <w:sz w:val="24"/>
          <w:szCs w:val="24"/>
          <w:lang w:val="en-US"/>
        </w:rPr>
        <w:t xml:space="preserve">Available at:  </w:t>
      </w:r>
      <w:hyperlink r:id="R26674f7176fc4425">
        <w:r w:rsidRPr="7851A6B7" w:rsidR="7F2EFD70">
          <w:rPr>
            <w:rStyle w:val="Hyperlink"/>
            <w:rFonts w:ascii="Cambria" w:hAnsi="Cambria" w:eastAsia="Cambria" w:cs="Cambria"/>
            <w:strike w:val="0"/>
            <w:dstrike w:val="0"/>
            <w:noProof w:val="0"/>
            <w:color w:val="0000FF"/>
            <w:sz w:val="24"/>
            <w:szCs w:val="24"/>
            <w:u w:val="single"/>
            <w:lang w:val="en-US"/>
          </w:rPr>
          <w:t>https://senedd.wales/media/o3xhu</w:t>
        </w:r>
      </w:hyperlink>
      <w:bookmarkStart w:name="_Int_WtVVL0cJ" w:id="1910443959"/>
      <w:r w:rsidRPr="7851A6B7" w:rsidR="7F2EFD70">
        <w:rPr>
          <w:rStyle w:val="Hyperlink"/>
          <w:rFonts w:ascii="Cambria" w:hAnsi="Cambria" w:eastAsia="Cambria" w:cs="Cambria"/>
          <w:strike w:val="0"/>
          <w:dstrike w:val="0"/>
          <w:noProof w:val="0"/>
          <w:color w:val="0000FF"/>
          <w:sz w:val="24"/>
          <w:szCs w:val="24"/>
          <w:u w:val="single"/>
          <w:lang w:val="en-US"/>
        </w:rPr>
        <w:t>2cg</w:t>
      </w:r>
      <w:bookmarkEnd w:id="1910443959"/>
      <w:r w:rsidRPr="7851A6B7" w:rsidR="7F2EFD70">
        <w:rPr>
          <w:rStyle w:val="Hyperlink"/>
          <w:rFonts w:ascii="Cambria" w:hAnsi="Cambria" w:eastAsia="Cambria" w:cs="Cambria"/>
          <w:strike w:val="0"/>
          <w:dstrike w:val="0"/>
          <w:noProof w:val="0"/>
          <w:color w:val="0000FF"/>
          <w:sz w:val="24"/>
          <w:szCs w:val="24"/>
          <w:u w:val="single"/>
          <w:lang w:val="en-US"/>
        </w:rPr>
        <w:t>/16-034-web-english.pdf</w:t>
      </w:r>
      <w:r w:rsidRPr="7851A6B7" w:rsidR="7F2EFD70">
        <w:rPr>
          <w:rFonts w:ascii="Cambria" w:hAnsi="Cambria" w:eastAsia="Cambria" w:cs="Cambria"/>
          <w:noProof w:val="0"/>
          <w:sz w:val="24"/>
          <w:szCs w:val="24"/>
          <w:lang w:val="en-US"/>
        </w:rPr>
        <w:t xml:space="preserve">  (Accessed 23 October 2023)</w:t>
      </w:r>
    </w:p>
    <w:p xmlns:wp14="http://schemas.microsoft.com/office/word/2010/wordml" w:rsidP="7CA4F9C2" wp14:paraId="67F77BB0" wp14:textId="74848578">
      <w:pPr>
        <w:spacing w:after="200" w:afterAutospacing="off" w:line="360" w:lineRule="auto"/>
      </w:pPr>
      <w:r w:rsidRPr="37112B6E" w:rsidR="7F2EFD70">
        <w:rPr>
          <w:rFonts w:ascii="Cambria" w:hAnsi="Cambria" w:eastAsia="Cambria" w:cs="Cambria"/>
          <w:noProof w:val="0"/>
          <w:sz w:val="24"/>
          <w:szCs w:val="24"/>
          <w:lang w:val="en-US"/>
        </w:rPr>
        <w:t xml:space="preserve">Salam, M.D., Abdus, M.D., Yusuf A.A., Salam M.T., Pawar, J. S., Akhter, N., </w:t>
      </w:r>
      <w:r w:rsidRPr="37112B6E" w:rsidR="7F2EFD70">
        <w:rPr>
          <w:rFonts w:ascii="Cambria" w:hAnsi="Cambria" w:eastAsia="Cambria" w:cs="Cambria"/>
          <w:noProof w:val="0"/>
          <w:sz w:val="24"/>
          <w:szCs w:val="24"/>
          <w:lang w:val="en-US"/>
        </w:rPr>
        <w:t>Rabaan</w:t>
      </w:r>
      <w:r w:rsidRPr="37112B6E" w:rsidR="7F2EFD70">
        <w:rPr>
          <w:rFonts w:ascii="Cambria" w:hAnsi="Cambria" w:eastAsia="Cambria" w:cs="Cambria"/>
          <w:noProof w:val="0"/>
          <w:sz w:val="24"/>
          <w:szCs w:val="24"/>
          <w:lang w:val="en-US"/>
        </w:rPr>
        <w:t xml:space="preserve">, A. A. and </w:t>
      </w:r>
      <w:r w:rsidRPr="37112B6E" w:rsidR="7F2EFD70">
        <w:rPr>
          <w:rFonts w:ascii="Cambria" w:hAnsi="Cambria" w:eastAsia="Cambria" w:cs="Cambria"/>
          <w:noProof w:val="0"/>
          <w:sz w:val="24"/>
          <w:szCs w:val="24"/>
          <w:lang w:val="en-US"/>
        </w:rPr>
        <w:t>Alqumber</w:t>
      </w:r>
      <w:r w:rsidRPr="37112B6E" w:rsidR="7F2EFD70">
        <w:rPr>
          <w:rFonts w:ascii="Cambria" w:hAnsi="Cambria" w:eastAsia="Cambria" w:cs="Cambria"/>
          <w:noProof w:val="0"/>
          <w:sz w:val="24"/>
          <w:szCs w:val="24"/>
          <w:lang w:val="en-US"/>
        </w:rPr>
        <w:t xml:space="preserve">, A.A.A. (2023). </w:t>
      </w:r>
      <w:r w:rsidRPr="37112B6E" w:rsidR="7F2EFD70">
        <w:rPr>
          <w:rFonts w:ascii="Cambria" w:hAnsi="Cambria" w:eastAsia="Cambria" w:cs="Cambria"/>
          <w:i w:val="1"/>
          <w:iCs w:val="1"/>
          <w:noProof w:val="0"/>
          <w:sz w:val="24"/>
          <w:szCs w:val="24"/>
          <w:lang w:val="en-US"/>
        </w:rPr>
        <w:t>‘Antimicrobial Resistance: A Growing Serious Threat for Global Public Health</w:t>
      </w:r>
      <w:r w:rsidRPr="37112B6E" w:rsidR="7F2EFD70">
        <w:rPr>
          <w:rFonts w:ascii="Cambria" w:hAnsi="Cambria" w:eastAsia="Cambria" w:cs="Cambria"/>
          <w:i w:val="1"/>
          <w:iCs w:val="1"/>
          <w:noProof w:val="0"/>
          <w:sz w:val="24"/>
          <w:szCs w:val="24"/>
          <w:lang w:val="en-US"/>
        </w:rPr>
        <w:t>’</w:t>
      </w:r>
      <w:r w:rsidRPr="37112B6E" w:rsidR="7F2EFD70">
        <w:rPr>
          <w:rFonts w:ascii="Cambria" w:hAnsi="Cambria" w:eastAsia="Cambria" w:cs="Cambria"/>
          <w:noProof w:val="0"/>
          <w:sz w:val="24"/>
          <w:szCs w:val="24"/>
          <w:lang w:val="en-US"/>
        </w:rPr>
        <w:t>,</w:t>
      </w:r>
      <w:r w:rsidRPr="37112B6E" w:rsidR="7F2EFD70">
        <w:rPr>
          <w:rFonts w:ascii="Cambria" w:hAnsi="Cambria" w:eastAsia="Cambria" w:cs="Cambria"/>
          <w:noProof w:val="0"/>
          <w:sz w:val="24"/>
          <w:szCs w:val="24"/>
          <w:lang w:val="en-US"/>
        </w:rPr>
        <w:t xml:space="preserve"> Healthcare 11, no. 13: 1946. Available at: </w:t>
      </w:r>
      <w:hyperlink r:id="R3d134ddcb5d54670">
        <w:r w:rsidRPr="37112B6E" w:rsidR="7F2EFD70">
          <w:rPr>
            <w:rStyle w:val="Hyperlink"/>
            <w:rFonts w:ascii="Cambria" w:hAnsi="Cambria" w:eastAsia="Cambria" w:cs="Cambria"/>
            <w:strike w:val="0"/>
            <w:dstrike w:val="0"/>
            <w:noProof w:val="0"/>
            <w:color w:val="0000FF"/>
            <w:sz w:val="24"/>
            <w:szCs w:val="24"/>
            <w:u w:val="single"/>
            <w:lang w:val="en-US"/>
          </w:rPr>
          <w:t>https://doi.org/10.3390/healthcare11131946</w:t>
        </w:r>
      </w:hyperlink>
      <w:r w:rsidRPr="37112B6E" w:rsidR="7F2EFD70">
        <w:rPr>
          <w:rFonts w:ascii="Cambria" w:hAnsi="Cambria" w:eastAsia="Cambria" w:cs="Cambria"/>
          <w:noProof w:val="0"/>
          <w:sz w:val="24"/>
          <w:szCs w:val="24"/>
          <w:lang w:val="en-US"/>
        </w:rPr>
        <w:t xml:space="preserve"> (Accessed 25 October 2023)</w:t>
      </w:r>
    </w:p>
    <w:p xmlns:wp14="http://schemas.microsoft.com/office/word/2010/wordml" w:rsidP="7CA4F9C2" wp14:paraId="713A74BF" wp14:textId="31F40397">
      <w:pPr>
        <w:spacing w:after="200" w:afterAutospacing="off" w:line="360" w:lineRule="auto"/>
      </w:pPr>
      <w:r w:rsidRPr="7CA4F9C2" w:rsidR="7F2EFD70">
        <w:rPr>
          <w:rFonts w:ascii="Cambria" w:hAnsi="Cambria" w:eastAsia="Cambria" w:cs="Cambria"/>
          <w:noProof w:val="0"/>
          <w:sz w:val="24"/>
          <w:szCs w:val="24"/>
          <w:lang w:val="en-US"/>
        </w:rPr>
        <w:t>Smith, Rd. and Coast, J. (2012</w:t>
      </w:r>
      <w:r w:rsidRPr="7CA4F9C2" w:rsidR="7F2EFD70">
        <w:rPr>
          <w:rFonts w:ascii="Cambria" w:hAnsi="Cambria" w:eastAsia="Cambria" w:cs="Cambria"/>
          <w:i w:val="1"/>
          <w:iCs w:val="1"/>
          <w:noProof w:val="0"/>
          <w:sz w:val="24"/>
          <w:szCs w:val="24"/>
          <w:lang w:val="en-US"/>
        </w:rPr>
        <w:t>) ‘The economic burden of antimicrobial resistance: Why it is more serious than current studies suggest’</w:t>
      </w:r>
      <w:r w:rsidRPr="7CA4F9C2" w:rsidR="7F2EFD70">
        <w:rPr>
          <w:rFonts w:ascii="Cambria" w:hAnsi="Cambria" w:eastAsia="Cambria" w:cs="Cambria"/>
          <w:noProof w:val="0"/>
          <w:sz w:val="24"/>
          <w:szCs w:val="24"/>
          <w:lang w:val="en-US"/>
        </w:rPr>
        <w:t xml:space="preserve">, Technical Report. London School of Hygiene &amp; Tropical Medicine, London. Available at:  </w:t>
      </w:r>
      <w:hyperlink r:id="Rf0e0c8a4a03c47a8">
        <w:r w:rsidRPr="7CA4F9C2" w:rsidR="7F2EFD70">
          <w:rPr>
            <w:rStyle w:val="Hyperlink"/>
            <w:rFonts w:ascii="Cambria" w:hAnsi="Cambria" w:eastAsia="Cambria" w:cs="Cambria"/>
            <w:strike w:val="0"/>
            <w:dstrike w:val="0"/>
            <w:noProof w:val="0"/>
            <w:color w:val="0000FF"/>
            <w:sz w:val="24"/>
            <w:szCs w:val="24"/>
            <w:u w:val="single"/>
            <w:lang w:val="en-US"/>
          </w:rPr>
          <w:t>https://doi.org/10.17037/PUBS.00639028</w:t>
        </w:r>
      </w:hyperlink>
      <w:r w:rsidRPr="7CA4F9C2" w:rsidR="7F2EFD70">
        <w:rPr>
          <w:rFonts w:ascii="Cambria" w:hAnsi="Cambria" w:eastAsia="Cambria" w:cs="Cambria"/>
          <w:noProof w:val="0"/>
          <w:sz w:val="24"/>
          <w:szCs w:val="24"/>
          <w:lang w:val="en-US"/>
        </w:rPr>
        <w:t xml:space="preserve"> </w:t>
      </w:r>
      <w:r w:rsidRPr="7CA4F9C2" w:rsidR="7F2EFD70">
        <w:rPr>
          <w:rFonts w:ascii="Calibri" w:hAnsi="Calibri" w:eastAsia="Calibri" w:cs="Calibri"/>
          <w:noProof w:val="0"/>
          <w:sz w:val="22"/>
          <w:szCs w:val="22"/>
          <w:lang w:val="en-US"/>
        </w:rPr>
        <w:t xml:space="preserve"> (</w:t>
      </w:r>
      <w:r w:rsidRPr="7CA4F9C2" w:rsidR="7F2EFD70">
        <w:rPr>
          <w:rFonts w:ascii="Calibri" w:hAnsi="Calibri" w:eastAsia="Calibri" w:cs="Calibri"/>
          <w:noProof w:val="0"/>
          <w:sz w:val="24"/>
          <w:szCs w:val="24"/>
          <w:lang w:val="en-US"/>
        </w:rPr>
        <w:t>Accessed 27 October 2023</w:t>
      </w:r>
      <w:r w:rsidRPr="7CA4F9C2" w:rsidR="7F2EFD70">
        <w:rPr>
          <w:rFonts w:ascii="Calibri" w:hAnsi="Calibri" w:eastAsia="Calibri" w:cs="Calibri"/>
          <w:noProof w:val="0"/>
          <w:sz w:val="22"/>
          <w:szCs w:val="22"/>
          <w:lang w:val="en-US"/>
        </w:rPr>
        <w:t>)</w:t>
      </w:r>
    </w:p>
    <w:p xmlns:wp14="http://schemas.microsoft.com/office/word/2010/wordml" w:rsidP="7CA4F9C2" wp14:paraId="12EDAF0D" wp14:textId="3378A0BF">
      <w:pPr>
        <w:spacing w:after="200" w:afterAutospacing="off" w:line="360" w:lineRule="auto"/>
      </w:pPr>
      <w:r w:rsidRPr="37112B6E" w:rsidR="7F2EFD70">
        <w:rPr>
          <w:rFonts w:ascii="Cambria" w:hAnsi="Cambria" w:eastAsia="Cambria" w:cs="Cambria"/>
          <w:noProof w:val="0"/>
          <w:sz w:val="24"/>
          <w:szCs w:val="24"/>
          <w:lang w:val="en-US"/>
        </w:rPr>
        <w:t xml:space="preserve">Tang, K.W.K., Millar, </w:t>
      </w:r>
      <w:r w:rsidRPr="37112B6E" w:rsidR="7F2EFD70">
        <w:rPr>
          <w:rFonts w:ascii="Cambria" w:hAnsi="Cambria" w:eastAsia="Cambria" w:cs="Cambria"/>
          <w:noProof w:val="0"/>
          <w:sz w:val="24"/>
          <w:szCs w:val="24"/>
          <w:lang w:val="en-US"/>
        </w:rPr>
        <w:t>B.C.</w:t>
      </w:r>
      <w:r w:rsidRPr="37112B6E" w:rsidR="7F2EFD70">
        <w:rPr>
          <w:rFonts w:ascii="Cambria" w:hAnsi="Cambria" w:eastAsia="Cambria" w:cs="Cambria"/>
          <w:noProof w:val="0"/>
          <w:sz w:val="24"/>
          <w:szCs w:val="24"/>
          <w:lang w:val="en-US"/>
        </w:rPr>
        <w:t xml:space="preserve"> and Moore, J.E. 2023. </w:t>
      </w:r>
      <w:r w:rsidRPr="37112B6E" w:rsidR="7F2EFD70">
        <w:rPr>
          <w:rFonts w:ascii="Cambria" w:hAnsi="Cambria" w:eastAsia="Cambria" w:cs="Cambria"/>
          <w:i w:val="1"/>
          <w:iCs w:val="1"/>
          <w:noProof w:val="0"/>
          <w:sz w:val="24"/>
          <w:szCs w:val="24"/>
          <w:lang w:val="en-US"/>
        </w:rPr>
        <w:t>Antimicrobial Resistance (AMR)</w:t>
      </w:r>
      <w:r w:rsidRPr="37112B6E" w:rsidR="7F2EFD70">
        <w:rPr>
          <w:rFonts w:ascii="Cambria" w:hAnsi="Cambria" w:eastAsia="Cambria" w:cs="Cambria"/>
          <w:noProof w:val="0"/>
          <w:sz w:val="24"/>
          <w:szCs w:val="24"/>
          <w:lang w:val="en-US"/>
        </w:rPr>
        <w:t xml:space="preserve">. Br J Biomed </w:t>
      </w:r>
      <w:bookmarkStart w:name="_Int_jDGoYMQY" w:id="1098184613"/>
      <w:r w:rsidRPr="37112B6E" w:rsidR="7F2EFD70">
        <w:rPr>
          <w:rFonts w:ascii="Cambria" w:hAnsi="Cambria" w:eastAsia="Cambria" w:cs="Cambria"/>
          <w:noProof w:val="0"/>
          <w:sz w:val="24"/>
          <w:szCs w:val="24"/>
          <w:lang w:val="en-US"/>
        </w:rPr>
        <w:t>Sci</w:t>
      </w:r>
      <w:bookmarkStart w:name="_Int_sLpIcPWK" w:id="1661316788"/>
      <w:r w:rsidRPr="37112B6E" w:rsidR="7F2EFD70">
        <w:rPr>
          <w:rFonts w:ascii="Cambria" w:hAnsi="Cambria" w:eastAsia="Cambria" w:cs="Cambria"/>
          <w:noProof w:val="0"/>
          <w:sz w:val="24"/>
          <w:szCs w:val="24"/>
          <w:lang w:val="en-US"/>
        </w:rPr>
        <w:t xml:space="preserve">.  </w:t>
      </w:r>
      <w:bookmarkEnd w:id="1098184613"/>
      <w:r w:rsidRPr="37112B6E" w:rsidR="7F2EFD70">
        <w:rPr>
          <w:rFonts w:ascii="Cambria" w:hAnsi="Cambria" w:eastAsia="Cambria" w:cs="Cambria"/>
          <w:noProof w:val="0"/>
          <w:sz w:val="24"/>
          <w:szCs w:val="24"/>
          <w:lang w:val="en-US"/>
        </w:rPr>
        <w:t>80</w:t>
      </w:r>
      <w:bookmarkEnd w:id="1661316788"/>
      <w:r w:rsidRPr="37112B6E" w:rsidR="7F2EFD70">
        <w:rPr>
          <w:rFonts w:ascii="Cambria" w:hAnsi="Cambria" w:eastAsia="Cambria" w:cs="Cambria"/>
          <w:noProof w:val="0"/>
          <w:sz w:val="24"/>
          <w:szCs w:val="24"/>
          <w:lang w:val="en-US"/>
        </w:rPr>
        <w:t xml:space="preserve"> 11387. Available at</w:t>
      </w:r>
      <w:r w:rsidRPr="37112B6E" w:rsidR="7F2EFD70">
        <w:rPr>
          <w:rFonts w:ascii="Cambria" w:hAnsi="Cambria" w:eastAsia="Cambria" w:cs="Cambria"/>
          <w:noProof w:val="0"/>
          <w:sz w:val="24"/>
          <w:szCs w:val="24"/>
          <w:lang w:val="en-US"/>
        </w:rPr>
        <w:t xml:space="preserve">: </w:t>
      </w:r>
      <w:hyperlink r:id="R5a6d7c1dd1084901">
        <w:r w:rsidRPr="37112B6E" w:rsidR="7F2EFD70">
          <w:rPr>
            <w:rStyle w:val="Hyperlink"/>
            <w:rFonts w:ascii="Cambria" w:hAnsi="Cambria" w:eastAsia="Cambria" w:cs="Cambria"/>
            <w:strike w:val="0"/>
            <w:dstrike w:val="0"/>
            <w:noProof w:val="0"/>
            <w:color w:val="0000FF"/>
            <w:sz w:val="24"/>
            <w:szCs w:val="24"/>
            <w:u w:val="single"/>
            <w:lang w:val="en-US"/>
          </w:rPr>
          <w:t>https://doi.org/10.3389/bjbs.2023.11387</w:t>
        </w:r>
      </w:hyperlink>
      <w:r w:rsidRPr="37112B6E" w:rsidR="7F2EFD70">
        <w:rPr>
          <w:rFonts w:ascii="Cambria" w:hAnsi="Cambria" w:eastAsia="Cambria" w:cs="Cambria"/>
          <w:noProof w:val="0"/>
          <w:sz w:val="24"/>
          <w:szCs w:val="24"/>
          <w:lang w:val="en-US"/>
        </w:rPr>
        <w:t xml:space="preserve"> </w:t>
      </w:r>
      <w:r w:rsidRPr="37112B6E" w:rsidR="7F2EFD70">
        <w:rPr>
          <w:rFonts w:ascii="Calibri" w:hAnsi="Calibri" w:eastAsia="Calibri" w:cs="Calibri"/>
          <w:noProof w:val="0"/>
          <w:sz w:val="22"/>
          <w:szCs w:val="22"/>
          <w:lang w:val="en-US"/>
        </w:rPr>
        <w:t xml:space="preserve"> </w:t>
      </w:r>
      <w:r w:rsidRPr="37112B6E" w:rsidR="7F2EFD70">
        <w:rPr>
          <w:rFonts w:ascii="Cambria" w:hAnsi="Cambria" w:eastAsia="Cambria" w:cs="Cambria"/>
          <w:noProof w:val="0"/>
          <w:sz w:val="22"/>
          <w:szCs w:val="22"/>
          <w:lang w:val="en-US"/>
        </w:rPr>
        <w:t>(</w:t>
      </w:r>
      <w:r w:rsidRPr="37112B6E" w:rsidR="7F2EFD70">
        <w:rPr>
          <w:rFonts w:ascii="Cambria" w:hAnsi="Cambria" w:eastAsia="Cambria" w:cs="Cambria"/>
          <w:noProof w:val="0"/>
          <w:sz w:val="24"/>
          <w:szCs w:val="24"/>
          <w:lang w:val="en-US"/>
        </w:rPr>
        <w:t>Accessed 28 October</w:t>
      </w:r>
      <w:r w:rsidRPr="37112B6E" w:rsidR="7F2EFD70">
        <w:rPr>
          <w:rFonts w:ascii="Cambria" w:hAnsi="Cambria" w:eastAsia="Cambria" w:cs="Cambria"/>
          <w:noProof w:val="0"/>
          <w:sz w:val="22"/>
          <w:szCs w:val="22"/>
          <w:lang w:val="en-US"/>
        </w:rPr>
        <w:t xml:space="preserve"> 2023)</w:t>
      </w:r>
    </w:p>
    <w:p xmlns:wp14="http://schemas.microsoft.com/office/word/2010/wordml" w:rsidP="7CA4F9C2" wp14:paraId="22DE3F51" wp14:textId="19F4256C">
      <w:pPr>
        <w:spacing w:after="200" w:afterAutospacing="off" w:line="360" w:lineRule="auto"/>
      </w:pPr>
      <w:r w:rsidRPr="7CA4F9C2" w:rsidR="7F2EFD70">
        <w:rPr>
          <w:rFonts w:ascii="Cambria" w:hAnsi="Cambria" w:eastAsia="Cambria" w:cs="Cambria"/>
          <w:noProof w:val="0"/>
          <w:sz w:val="24"/>
          <w:szCs w:val="24"/>
          <w:lang w:val="en-US"/>
        </w:rPr>
        <w:t xml:space="preserve">Turner, N.A. Sharma-Kuinkel, B.K., Maskarinec, S.A., Eichenberger, E.M., Shah, P.P., Carugati, M., Holland, T.L. and Fowler Jr, V.G. (2019) </w:t>
      </w:r>
      <w:r w:rsidRPr="7CA4F9C2" w:rsidR="7F2EFD70">
        <w:rPr>
          <w:rFonts w:ascii="Cambria" w:hAnsi="Cambria" w:eastAsia="Cambria" w:cs="Cambria"/>
          <w:i w:val="1"/>
          <w:iCs w:val="1"/>
          <w:noProof w:val="0"/>
          <w:sz w:val="24"/>
          <w:szCs w:val="24"/>
          <w:lang w:val="en-US"/>
        </w:rPr>
        <w:t>‘Methicillin-resistant Staphylococcus aureus: an overview of basic and clinical research’</w:t>
      </w:r>
      <w:r w:rsidRPr="7CA4F9C2" w:rsidR="7F2EFD70">
        <w:rPr>
          <w:rFonts w:ascii="Cambria" w:hAnsi="Cambria" w:eastAsia="Cambria" w:cs="Cambria"/>
          <w:noProof w:val="0"/>
          <w:sz w:val="24"/>
          <w:szCs w:val="24"/>
          <w:lang w:val="en-US"/>
        </w:rPr>
        <w:t xml:space="preserve">, Nature Reviews Microbiology 17, pp 203-218. Available at: </w:t>
      </w:r>
      <w:hyperlink r:id="R9370c51a481a4513">
        <w:r w:rsidRPr="7CA4F9C2" w:rsidR="7F2EFD70">
          <w:rPr>
            <w:rStyle w:val="Hyperlink"/>
            <w:rFonts w:ascii="Cambria" w:hAnsi="Cambria" w:eastAsia="Cambria" w:cs="Cambria"/>
            <w:strike w:val="0"/>
            <w:dstrike w:val="0"/>
            <w:noProof w:val="0"/>
            <w:color w:val="0000FF"/>
            <w:sz w:val="24"/>
            <w:szCs w:val="24"/>
            <w:u w:val="single"/>
            <w:lang w:val="en-US"/>
          </w:rPr>
          <w:t>https://doi.org/10.1038/s41579-018-0147-4</w:t>
        </w:r>
      </w:hyperlink>
      <w:r w:rsidRPr="7CA4F9C2" w:rsidR="7F2EFD70">
        <w:rPr>
          <w:rFonts w:ascii="Cambria" w:hAnsi="Cambria" w:eastAsia="Cambria" w:cs="Cambria"/>
          <w:noProof w:val="0"/>
          <w:sz w:val="24"/>
          <w:szCs w:val="24"/>
          <w:lang w:val="en-US"/>
        </w:rPr>
        <w:t xml:space="preserve"> (Accessed 29 October 2023)</w:t>
      </w:r>
    </w:p>
    <w:p xmlns:wp14="http://schemas.microsoft.com/office/word/2010/wordml" w:rsidP="7CA4F9C2" wp14:paraId="7F2A3937" wp14:textId="4EB458B0">
      <w:pPr>
        <w:spacing w:after="200" w:afterAutospacing="off" w:line="360" w:lineRule="auto"/>
      </w:pPr>
      <w:r w:rsidRPr="7CA4F9C2" w:rsidR="7F2EFD70">
        <w:rPr>
          <w:rFonts w:ascii="Cambria" w:hAnsi="Cambria" w:eastAsia="Cambria" w:cs="Cambria"/>
          <w:noProof w:val="0"/>
          <w:sz w:val="24"/>
          <w:szCs w:val="24"/>
          <w:lang w:val="en-US"/>
        </w:rPr>
        <w:t>Wang, H. and Thomas, P. P. M. (2020</w:t>
      </w:r>
      <w:r w:rsidRPr="7CA4F9C2" w:rsidR="7F2EFD70">
        <w:rPr>
          <w:rFonts w:ascii="Cambria" w:hAnsi="Cambria" w:eastAsia="Cambria" w:cs="Cambria"/>
          <w:i w:val="1"/>
          <w:iCs w:val="1"/>
          <w:noProof w:val="0"/>
          <w:sz w:val="24"/>
          <w:szCs w:val="24"/>
          <w:lang w:val="en-US"/>
        </w:rPr>
        <w:t>) ‘The Burden of Antimicrobial Resistant Infections in Wales: a population-level modelling analysis</w:t>
      </w:r>
      <w:r w:rsidRPr="7CA4F9C2" w:rsidR="7F2EFD70">
        <w:rPr>
          <w:rFonts w:ascii="Cambria" w:hAnsi="Cambria" w:eastAsia="Cambria" w:cs="Cambria"/>
          <w:noProof w:val="0"/>
          <w:sz w:val="24"/>
          <w:szCs w:val="24"/>
          <w:lang w:val="en-US"/>
        </w:rPr>
        <w:t xml:space="preserve">’, European Journal of Public Health, 30(5) </w:t>
      </w:r>
      <w:hyperlink r:id="Radea8ce5beff4ee2">
        <w:r w:rsidRPr="7CA4F9C2" w:rsidR="7F2EFD70">
          <w:rPr>
            <w:rStyle w:val="Hyperlink"/>
            <w:rFonts w:ascii="Cambria" w:hAnsi="Cambria" w:eastAsia="Cambria" w:cs="Cambria"/>
            <w:strike w:val="0"/>
            <w:dstrike w:val="0"/>
            <w:noProof w:val="0"/>
            <w:color w:val="0000FF"/>
            <w:sz w:val="24"/>
            <w:szCs w:val="24"/>
            <w:u w:val="single"/>
            <w:lang w:val="en-US"/>
          </w:rPr>
          <w:t>https://doi.org/10.1093/eurpub/ckaa166.702</w:t>
        </w:r>
      </w:hyperlink>
      <w:r w:rsidRPr="7CA4F9C2" w:rsidR="7F2EFD70">
        <w:rPr>
          <w:rFonts w:ascii="Cambria" w:hAnsi="Cambria" w:eastAsia="Cambria" w:cs="Cambria"/>
          <w:noProof w:val="0"/>
          <w:sz w:val="24"/>
          <w:szCs w:val="24"/>
          <w:lang w:val="en-US"/>
        </w:rPr>
        <w:t xml:space="preserve"> (Accessed 21 October 2023)</w:t>
      </w:r>
    </w:p>
    <w:p xmlns:wp14="http://schemas.microsoft.com/office/word/2010/wordml" w:rsidP="7CA4F9C2" wp14:paraId="00B533F6" wp14:textId="7201E71E">
      <w:pPr>
        <w:spacing w:after="200" w:afterAutospacing="off" w:line="360" w:lineRule="auto"/>
      </w:pPr>
      <w:r w:rsidRPr="7CA4F9C2" w:rsidR="7F2EFD70">
        <w:rPr>
          <w:rFonts w:ascii="Cambria" w:hAnsi="Cambria" w:eastAsia="Cambria" w:cs="Cambria"/>
          <w:noProof w:val="0"/>
          <w:sz w:val="24"/>
          <w:szCs w:val="24"/>
          <w:lang w:val="en-US"/>
        </w:rPr>
        <w:t xml:space="preserve">World Health Organisation (2015). </w:t>
      </w:r>
      <w:r w:rsidRPr="7CA4F9C2" w:rsidR="7F2EFD70">
        <w:rPr>
          <w:rFonts w:ascii="Cambria" w:hAnsi="Cambria" w:eastAsia="Cambria" w:cs="Cambria"/>
          <w:i w:val="1"/>
          <w:iCs w:val="1"/>
          <w:noProof w:val="0"/>
          <w:sz w:val="24"/>
          <w:szCs w:val="24"/>
          <w:lang w:val="en-US"/>
        </w:rPr>
        <w:t>Antimicrobial resistance Draft global action plan on antimicrobial resistance</w:t>
      </w:r>
      <w:r w:rsidRPr="7CA4F9C2" w:rsidR="7F2EFD70">
        <w:rPr>
          <w:rFonts w:ascii="Cambria" w:hAnsi="Cambria" w:eastAsia="Cambria" w:cs="Cambria"/>
          <w:noProof w:val="0"/>
          <w:sz w:val="24"/>
          <w:szCs w:val="24"/>
          <w:lang w:val="en-US"/>
        </w:rPr>
        <w:t xml:space="preserve">. Available at: </w:t>
      </w:r>
      <w:hyperlink r:id="R9193b4c46758409b">
        <w:r w:rsidRPr="7CA4F9C2" w:rsidR="7F2EFD70">
          <w:rPr>
            <w:rStyle w:val="Hyperlink"/>
            <w:rFonts w:ascii="Cambria" w:hAnsi="Cambria" w:eastAsia="Cambria" w:cs="Cambria"/>
            <w:strike w:val="0"/>
            <w:dstrike w:val="0"/>
            <w:noProof w:val="0"/>
            <w:color w:val="0000FF"/>
            <w:sz w:val="24"/>
            <w:szCs w:val="24"/>
            <w:u w:val="single"/>
            <w:lang w:val="en-US"/>
          </w:rPr>
          <w:t>https://apps.who.int/gb/ebwha/pdf_files/WHA68/A68_20-en.pdf</w:t>
        </w:r>
      </w:hyperlink>
      <w:r w:rsidRPr="7CA4F9C2" w:rsidR="7F2EFD70">
        <w:rPr>
          <w:rFonts w:ascii="Cambria" w:hAnsi="Cambria" w:eastAsia="Cambria" w:cs="Cambria"/>
          <w:noProof w:val="0"/>
          <w:sz w:val="24"/>
          <w:szCs w:val="24"/>
          <w:lang w:val="en-US"/>
        </w:rPr>
        <w:t xml:space="preserve"> (Accessed 25 October 2023)</w:t>
      </w:r>
    </w:p>
    <w:p xmlns:wp14="http://schemas.microsoft.com/office/word/2010/wordml" w:rsidP="7CA4F9C2" wp14:paraId="6FAC5DCF" wp14:textId="32A319BE">
      <w:pPr>
        <w:spacing w:after="160" w:afterAutospacing="off" w:line="257" w:lineRule="auto"/>
      </w:pPr>
      <w:r w:rsidRPr="7CA4F9C2" w:rsidR="7F2EFD70">
        <w:rPr>
          <w:rFonts w:ascii="Cambria" w:hAnsi="Cambria" w:eastAsia="Cambria" w:cs="Cambria"/>
          <w:noProof w:val="0"/>
          <w:sz w:val="24"/>
          <w:szCs w:val="24"/>
          <w:lang w:val="en-US"/>
        </w:rPr>
        <w:t xml:space="preserve">World Health Organisation (2021). </w:t>
      </w:r>
      <w:r w:rsidRPr="7CA4F9C2" w:rsidR="7F2EFD70">
        <w:rPr>
          <w:rFonts w:ascii="Cambria" w:hAnsi="Cambria" w:eastAsia="Cambria" w:cs="Cambria"/>
          <w:i w:val="1"/>
          <w:iCs w:val="1"/>
          <w:noProof w:val="0"/>
          <w:sz w:val="24"/>
          <w:szCs w:val="24"/>
          <w:lang w:val="en-US"/>
        </w:rPr>
        <w:t>Antimicrobial resistance</w:t>
      </w:r>
      <w:r w:rsidRPr="7CA4F9C2" w:rsidR="7F2EFD70">
        <w:rPr>
          <w:rFonts w:ascii="Cambria" w:hAnsi="Cambria" w:eastAsia="Cambria" w:cs="Cambria"/>
          <w:noProof w:val="0"/>
          <w:sz w:val="24"/>
          <w:szCs w:val="24"/>
          <w:lang w:val="en-US"/>
        </w:rPr>
        <w:t xml:space="preserve">. Available at: </w:t>
      </w:r>
      <w:hyperlink r:id="R1229dadb0bfd4c64">
        <w:r w:rsidRPr="7CA4F9C2" w:rsidR="7F2EFD70">
          <w:rPr>
            <w:rStyle w:val="Hyperlink"/>
            <w:rFonts w:ascii="Cambria" w:hAnsi="Cambria" w:eastAsia="Cambria" w:cs="Cambria"/>
            <w:strike w:val="0"/>
            <w:dstrike w:val="0"/>
            <w:noProof w:val="0"/>
            <w:color w:val="0000FF"/>
            <w:sz w:val="24"/>
            <w:szCs w:val="24"/>
            <w:u w:val="single"/>
            <w:lang w:val="en-US"/>
          </w:rPr>
          <w:t>https://www.who.int/news-room/fact-sheets/detail/antimicrobial-resistance</w:t>
        </w:r>
      </w:hyperlink>
      <w:r w:rsidRPr="7CA4F9C2" w:rsidR="7F2EFD70">
        <w:rPr>
          <w:rFonts w:ascii="Cambria" w:hAnsi="Cambria" w:eastAsia="Cambria" w:cs="Cambria"/>
          <w:noProof w:val="0"/>
          <w:sz w:val="24"/>
          <w:szCs w:val="24"/>
          <w:lang w:val="en-US"/>
        </w:rPr>
        <w:t xml:space="preserve"> (Accessed 18 October 2023)</w:t>
      </w:r>
    </w:p>
    <w:p xmlns:wp14="http://schemas.microsoft.com/office/word/2010/wordml" w:rsidP="7CA4F9C2" wp14:paraId="1A74A6AC" wp14:textId="20AF7CCC">
      <w:pPr>
        <w:spacing w:after="200" w:afterAutospacing="off" w:line="360" w:lineRule="auto"/>
      </w:pPr>
      <w:r w:rsidRPr="7851A6B7" w:rsidR="7F2EFD70">
        <w:rPr>
          <w:rFonts w:ascii="Cambria" w:hAnsi="Cambria" w:eastAsia="Cambria" w:cs="Cambria"/>
          <w:noProof w:val="0"/>
          <w:sz w:val="24"/>
          <w:szCs w:val="24"/>
          <w:lang w:val="en-US"/>
        </w:rPr>
        <w:t xml:space="preserve">Zheng, K., Xie, Y., Dan, L., Mao, M., Chen, J., Li, R., Wang, X. and Hesketh, T. (2022). </w:t>
      </w:r>
      <w:r w:rsidRPr="7851A6B7" w:rsidR="7F2EFD70">
        <w:rPr>
          <w:rFonts w:ascii="Cambria" w:hAnsi="Cambria" w:eastAsia="Cambria" w:cs="Cambria"/>
          <w:i w:val="1"/>
          <w:iCs w:val="1"/>
          <w:noProof w:val="0"/>
          <w:sz w:val="24"/>
          <w:szCs w:val="24"/>
          <w:lang w:val="en-US"/>
        </w:rPr>
        <w:t>Effectiveness of Educational Interventions for Health Workers on Antibiotic Prescribing in Outpatient Settings in China: A Systematic Review and Meta-Analysis</w:t>
      </w:r>
      <w:r w:rsidRPr="7851A6B7" w:rsidR="7F2EFD70">
        <w:rPr>
          <w:rFonts w:ascii="Cambria" w:hAnsi="Cambria" w:eastAsia="Cambria" w:cs="Cambria"/>
          <w:noProof w:val="0"/>
          <w:sz w:val="24"/>
          <w:szCs w:val="24"/>
          <w:lang w:val="en-US"/>
        </w:rPr>
        <w:t>. Antibiotics (Basel)</w:t>
      </w:r>
      <w:bookmarkStart w:name="_Int_ZmNaUY9x" w:id="2081588686"/>
      <w:r w:rsidRPr="7851A6B7" w:rsidR="7F2EFD70">
        <w:rPr>
          <w:rFonts w:ascii="Cambria" w:hAnsi="Cambria" w:eastAsia="Cambria" w:cs="Cambria"/>
          <w:noProof w:val="0"/>
          <w:sz w:val="24"/>
          <w:szCs w:val="24"/>
          <w:lang w:val="en-US"/>
        </w:rPr>
        <w:t xml:space="preserve">.  </w:t>
      </w:r>
      <w:bookmarkEnd w:id="2081588686"/>
      <w:r w:rsidRPr="7851A6B7" w:rsidR="7F2EFD70">
        <w:rPr>
          <w:rFonts w:ascii="Cambria" w:hAnsi="Cambria" w:eastAsia="Cambria" w:cs="Cambria"/>
          <w:noProof w:val="0"/>
          <w:sz w:val="24"/>
          <w:szCs w:val="24"/>
          <w:lang w:val="en-US"/>
        </w:rPr>
        <w:t>11(6), 791.</w:t>
      </w:r>
    </w:p>
    <w:p xmlns:wp14="http://schemas.microsoft.com/office/word/2010/wordml" w:rsidP="7CA4F9C2" wp14:paraId="2C078E63" wp14:textId="0C234B6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udzkHDRL3NAHds" int2:id="vUL7UXYZ">
      <int2:state int2:type="AugLoop_Text_Critique" int2:value="Rejected"/>
    </int2:textHash>
    <int2:textHash int2:hashCode="syKGy7uC4eg9u/" int2:id="OVeYan9J">
      <int2:state int2:type="AugLoop_Text_Critique" int2:value="Rejected"/>
    </int2:textHash>
    <int2:textHash int2:hashCode="coK/Gy3qnRkacf" int2:id="87QF9k3C">
      <int2:state int2:type="AugLoop_Text_Critique" int2:value="Rejected"/>
    </int2:textHash>
    <int2:textHash int2:hashCode="P1t9DnuMzsiEcY" int2:id="ZTSBGwg3">
      <int2:state int2:type="AugLoop_Text_Critique" int2:value="Rejected"/>
    </int2:textHash>
    <int2:textHash int2:hashCode="ni8UUdXdlt6RIo" int2:id="ihhRiRsY">
      <int2:state int2:type="AugLoop_Text_Critique" int2:value="Rejected"/>
    </int2:textHash>
    <int2:textHash int2:hashCode="TxqamTbpv6BOON" int2:id="1niMdrET">
      <int2:state int2:type="AugLoop_Text_Critique" int2:value="Rejected"/>
    </int2:textHash>
    <int2:textHash int2:hashCode="jHdSYjNS1ADoKj" int2:id="ZdefwdNy">
      <int2:state int2:type="AugLoop_Text_Critique" int2:value="Rejected"/>
    </int2:textHash>
    <int2:textHash int2:hashCode="J4W6Gk6aYgrW+A" int2:id="9QU4MOZF">
      <int2:state int2:type="AugLoop_Text_Critique" int2:value="Rejected"/>
    </int2:textHash>
    <int2:textHash int2:hashCode="YmlL4JdjzZpmyU" int2:id="ra33UsIO">
      <int2:state int2:type="AugLoop_Text_Critique" int2:value="Rejected"/>
    </int2:textHash>
    <int2:textHash int2:hashCode="8hxFSrW8bBvlz4" int2:id="SwQyzbWs">
      <int2:state int2:type="AugLoop_Text_Critique" int2:value="Rejected"/>
    </int2:textHash>
    <int2:textHash int2:hashCode="A5nNQN6CyVP/pe" int2:id="n2t2lGYd">
      <int2:state int2:type="AugLoop_Text_Critique" int2:value="Rejected"/>
    </int2:textHash>
    <int2:textHash int2:hashCode="TaUNCpEh0sOBot" int2:id="6CjnWE7s">
      <int2:state int2:type="AugLoop_Text_Critique" int2:value="Rejected"/>
    </int2:textHash>
    <int2:textHash int2:hashCode="1A48SVm6mlmxzR" int2:id="em1K3h9m">
      <int2:state int2:type="AugLoop_Text_Critique" int2:value="Rejected"/>
    </int2:textHash>
    <int2:textHash int2:hashCode="K/Jpr7jSyiYvMz" int2:id="flzVHg8S">
      <int2:state int2:type="AugLoop_Text_Critique" int2:value="Rejected"/>
    </int2:textHash>
    <int2:textHash int2:hashCode="0XdEyL5axMWJM8" int2:id="j9yxRlEc">
      <int2:state int2:type="AugLoop_Text_Critique" int2:value="Rejected"/>
    </int2:textHash>
    <int2:textHash int2:hashCode="v3jXqOAVqWKVSe" int2:id="A1WeJWMG">
      <int2:state int2:type="AugLoop_Text_Critique" int2:value="Rejected"/>
    </int2:textHash>
    <int2:textHash int2:hashCode="PLZtS9B8ew8ND3" int2:id="QzDAvtSk">
      <int2:state int2:type="AugLoop_Text_Critique" int2:value="Rejected"/>
    </int2:textHash>
    <int2:textHash int2:hashCode="PRouf3EE0x7KwL" int2:id="ks1BTQOA">
      <int2:state int2:type="AugLoop_Text_Critique" int2:value="Rejected"/>
    </int2:textHash>
    <int2:textHash int2:hashCode="lCvFhQUqG59hWN" int2:id="5MPW01ud">
      <int2:state int2:type="AugLoop_Text_Critique" int2:value="Rejected"/>
    </int2:textHash>
    <int2:textHash int2:hashCode="+rZBMxlAD7IwUI" int2:id="q8luovGy">
      <int2:state int2:type="AugLoop_Text_Critique" int2:value="Rejected"/>
    </int2:textHash>
    <int2:textHash int2:hashCode="agGs5VCR48YFiN" int2:id="W35zAoOf">
      <int2:state int2:type="AugLoop_Text_Critique" int2:value="Rejected"/>
    </int2:textHash>
    <int2:textHash int2:hashCode="oxr5WVoHq/YfEj" int2:id="NswFoFah">
      <int2:state int2:type="AugLoop_Text_Critique" int2:value="Rejected"/>
    </int2:textHash>
    <int2:textHash int2:hashCode="rpqglX1H2k9noP" int2:id="eX8fqi08">
      <int2:state int2:type="AugLoop_Text_Critique" int2:value="Rejected"/>
    </int2:textHash>
    <int2:textHash int2:hashCode="m/C6mGJeQTWOW1" int2:id="3loU6GhA">
      <int2:state int2:type="AugLoop_Text_Critique" int2:value="Rejected"/>
    </int2:textHash>
    <int2:bookmark int2:bookmarkName="_Int_HWTTv3xD" int2:invalidationBookmarkName="" int2:hashCode="d3DQTHv7eR58lZ" int2:id="oh6Y66TB">
      <int2:state int2:type="AugLoop_Acronyms_AcronymsCritique" int2:value="Rejected"/>
    </int2:bookmark>
    <int2:bookmark int2:bookmarkName="_Int_UHu5pnn4" int2:invalidationBookmarkName="" int2:hashCode="Ysvp08fqCNcJNA" int2:id="Czsaj8FG">
      <int2:state int2:type="AugLoop_Text_Critique" int2:value="Rejected"/>
    </int2:bookmark>
    <int2:bookmark int2:bookmarkName="_Int_C8drp63U" int2:invalidationBookmarkName="" int2:hashCode="itCc+GqnBuJFVu" int2:id="T2Oc2Yf5">
      <int2:state int2:type="AugLoop_Text_Critique" int2:value="Rejected"/>
    </int2:bookmark>
    <int2:bookmark int2:bookmarkName="_Int_mKTv914Y" int2:invalidationBookmarkName="" int2:hashCode="dVC2cuFiwiTDCb" int2:id="NTCjgywA">
      <int2:state int2:type="AugLoop_Text_Critique" int2:value="Rejected"/>
    </int2:bookmark>
    <int2:bookmark int2:bookmarkName="_Int_sLpIcPWK" int2:invalidationBookmarkName="" int2:hashCode="Kk97A/cdPbColc" int2:id="gbHDqmeN">
      <int2:state int2:type="AugLoop_Text_Critique" int2:value="Rejected"/>
    </int2:bookmark>
    <int2:bookmark int2:bookmarkName="_Int_sOnRZakQ" int2:invalidationBookmarkName="" int2:hashCode="cQyF78c1hLc3VS" int2:id="VCeFK4Bg">
      <int2:state int2:type="AugLoop_Text_Critique" int2:value="Rejected"/>
    </int2:bookmark>
    <int2:bookmark int2:bookmarkName="_Int_WtVVL0cJ" int2:invalidationBookmarkName="" int2:hashCode="svK3j/iXJHUpVG" int2:id="fmIARqyw">
      <int2:state int2:type="AugLoop_Text_Critique" int2:value="Rejected"/>
    </int2:bookmark>
    <int2:bookmark int2:bookmarkName="_Int_ZmNaUY9x" int2:invalidationBookmarkName="" int2:hashCode="RoHRJMxsS3O6q/" int2:id="gdB61sNH">
      <int2:state int2:type="AugLoop_Text_Critique" int2:value="Rejected"/>
    </int2:bookmark>
    <int2:bookmark int2:bookmarkName="_Int_IyAyp3y7" int2:invalidationBookmarkName="" int2:hashCode="nBH3ysqbzWmhgK" int2:id="3yrR5IX5">
      <int2:state int2:type="AugLoop_Text_Critique" int2:value="Rejected"/>
    </int2:bookmark>
    <int2:bookmark int2:bookmarkName="_Int_jDGoYMQY" int2:invalidationBookmarkName="" int2:hashCode="7cvZqNiuYoeJDa" int2:id="2FLPNeFX">
      <int2:state int2:type="AugLoop_Text_Critique" int2:value="Rejected"/>
    </int2:bookmark>
    <int2:bookmark int2:bookmarkName="_Int_x6dBf1dw" int2:invalidationBookmarkName="" int2:hashCode="20lmumeNxO0dfa" int2:id="mQf7MRcX">
      <int2:state int2:type="AugLoop_Text_Critique" int2:value="Rejected"/>
    </int2:bookmark>
    <int2:bookmark int2:bookmarkName="_Int_g9AmAM2R" int2:invalidationBookmarkName="" int2:hashCode="yT1wUYnhYdWpG3" int2:id="Zjc2pKFK">
      <int2:state int2:type="AugLoop_Text_Critique" int2:value="Rejected"/>
    </int2:bookmark>
    <int2:bookmark int2:bookmarkName="_Int_4yNdvSGx" int2:invalidationBookmarkName="" int2:hashCode="BD3ZC4/8jYUVP7" int2:id="6wJzAxJt">
      <int2:state int2:type="AugLoop_Text_Critique" int2:value="Rejected"/>
    </int2:bookmark>
    <int2:bookmark int2:bookmarkName="_Int_hFGHmOHh" int2:invalidationBookmarkName="" int2:hashCode="T0R1M1pFGFQfo9" int2:id="kDeTI3cN">
      <int2:state int2:type="AugLoop_Text_Critique" int2:value="Rejected"/>
    </int2:bookmark>
    <int2:bookmark int2:bookmarkName="_Int_Ppt1Ir4u" int2:invalidationBookmarkName="" int2:hashCode="N7dBRKxbARt7Js" int2:id="EMs51t1B">
      <int2:state int2:type="AugLoop_Text_Critique" int2:value="Rejected"/>
    </int2:bookmark>
    <int2:bookmark int2:bookmarkName="_Int_31P0r5vj" int2:invalidationBookmarkName="" int2:hashCode="DnfKAEcAKPtOFp" int2:id="119Y1Vbs">
      <int2:state int2:type="AugLoop_Text_Critique" int2:value="Rejected"/>
    </int2:bookmark>
    <int2:bookmark int2:bookmarkName="_Int_nHhwxDpx" int2:invalidationBookmarkName="" int2:hashCode="RoHRJMxsS3O6q/" int2:id="Ls4LWqyW">
      <int2:state int2:type="AugLoop_Text_Critique" int2:value="Rejected"/>
    </int2:bookmark>
    <int2:bookmark int2:bookmarkName="_Int_0wVJ7REw" int2:invalidationBookmarkName="" int2:hashCode="VRd/LyDcPFdCnc" int2:id="c9k3c9Qe">
      <int2:state int2:type="AugLoop_Text_Critique" int2:value="Rejected"/>
    </int2:bookmark>
    <int2:bookmark int2:bookmarkName="_Int_HdpmqrMN" int2:invalidationBookmarkName="" int2:hashCode="cMB+wY74nFMJu7" int2:id="UVaIS4cB">
      <int2:state int2:type="AugLoop_Text_Critique" int2:value="Rejected"/>
    </int2:bookmark>
    <int2:entireDocument int2:id="NKsk1sOD">
      <int2:extLst>
        <oel:ext uri="E302BA01-7950-474C-9AD3-286E660C40A8">
          <int2:similaritySummary int2:version="1" int2:runId="1699989805945" int2:tilesCheckedInThisRun="77" int2:totalNumOfTiles="77" int2:similarityAnnotationCount="0" int2:numWords="0"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9D5A20"/>
    <w:rsid w:val="003EE3EB"/>
    <w:rsid w:val="007795E7"/>
    <w:rsid w:val="03075DEA"/>
    <w:rsid w:val="03B24CEA"/>
    <w:rsid w:val="08D72E42"/>
    <w:rsid w:val="09B41307"/>
    <w:rsid w:val="0A7358C0"/>
    <w:rsid w:val="0CACE3F8"/>
    <w:rsid w:val="0E211690"/>
    <w:rsid w:val="0F466FC6"/>
    <w:rsid w:val="1042703A"/>
    <w:rsid w:val="1159A4A3"/>
    <w:rsid w:val="117727A4"/>
    <w:rsid w:val="12F003FA"/>
    <w:rsid w:val="1510C4D5"/>
    <w:rsid w:val="17598D56"/>
    <w:rsid w:val="1850062F"/>
    <w:rsid w:val="224E36A7"/>
    <w:rsid w:val="26C7EA34"/>
    <w:rsid w:val="26EE0DDC"/>
    <w:rsid w:val="280FB037"/>
    <w:rsid w:val="282C90CD"/>
    <w:rsid w:val="2B20E627"/>
    <w:rsid w:val="2BF14549"/>
    <w:rsid w:val="2C3D9D35"/>
    <w:rsid w:val="2CEC5D4F"/>
    <w:rsid w:val="2D6C9A4D"/>
    <w:rsid w:val="2DC9ED3D"/>
    <w:rsid w:val="2EC1AC96"/>
    <w:rsid w:val="2F7BC9BC"/>
    <w:rsid w:val="2FB6B531"/>
    <w:rsid w:val="32B36A7E"/>
    <w:rsid w:val="33812C9E"/>
    <w:rsid w:val="34345C1D"/>
    <w:rsid w:val="37112B6E"/>
    <w:rsid w:val="3860515B"/>
    <w:rsid w:val="38B5E4B4"/>
    <w:rsid w:val="396DA152"/>
    <w:rsid w:val="3B97F21D"/>
    <w:rsid w:val="3F1C7B18"/>
    <w:rsid w:val="3F5071F5"/>
    <w:rsid w:val="3F9376C8"/>
    <w:rsid w:val="404054E3"/>
    <w:rsid w:val="415F8ADA"/>
    <w:rsid w:val="41DC2544"/>
    <w:rsid w:val="42BFA56D"/>
    <w:rsid w:val="42FB5B3B"/>
    <w:rsid w:val="4499E7EE"/>
    <w:rsid w:val="46F518E4"/>
    <w:rsid w:val="4709C90D"/>
    <w:rsid w:val="4C492999"/>
    <w:rsid w:val="4C8BD176"/>
    <w:rsid w:val="4CB1CFBC"/>
    <w:rsid w:val="4D700338"/>
    <w:rsid w:val="53F80989"/>
    <w:rsid w:val="547E1324"/>
    <w:rsid w:val="54829103"/>
    <w:rsid w:val="574F4368"/>
    <w:rsid w:val="57B5B3E6"/>
    <w:rsid w:val="57F15714"/>
    <w:rsid w:val="5ACA6D6E"/>
    <w:rsid w:val="5AD472CD"/>
    <w:rsid w:val="5B345151"/>
    <w:rsid w:val="5CD021B2"/>
    <w:rsid w:val="5D338DD7"/>
    <w:rsid w:val="5DC6ED33"/>
    <w:rsid w:val="5E6BF213"/>
    <w:rsid w:val="5F04ECD5"/>
    <w:rsid w:val="6115708A"/>
    <w:rsid w:val="621123AC"/>
    <w:rsid w:val="627EBA75"/>
    <w:rsid w:val="6360A80B"/>
    <w:rsid w:val="63A9057A"/>
    <w:rsid w:val="63ACF40D"/>
    <w:rsid w:val="65379E03"/>
    <w:rsid w:val="6635AAA6"/>
    <w:rsid w:val="668B83E9"/>
    <w:rsid w:val="67B75674"/>
    <w:rsid w:val="67D81984"/>
    <w:rsid w:val="68A7FAB9"/>
    <w:rsid w:val="6E2A24DF"/>
    <w:rsid w:val="6E5DB8D9"/>
    <w:rsid w:val="6E63C098"/>
    <w:rsid w:val="709D5A20"/>
    <w:rsid w:val="72427692"/>
    <w:rsid w:val="72D9414E"/>
    <w:rsid w:val="7312FEBE"/>
    <w:rsid w:val="77ADD969"/>
    <w:rsid w:val="7851A6B7"/>
    <w:rsid w:val="79D8CD96"/>
    <w:rsid w:val="7CA4F9C2"/>
    <w:rsid w:val="7DC02A91"/>
    <w:rsid w:val="7F2EF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D5A20"/>
  <w15:chartTrackingRefBased/>
  <w15:docId w15:val="{9273284A-29FA-44CE-8F67-EBB386303A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ssets.publishing.service.gov.uk/media/5a7cc51eed915d68223626ff/20130902_UK_5_year_AMR_strategy.pdf" TargetMode="External" Id="R68357949fbe243ab" /><Relationship Type="http://schemas.openxmlformats.org/officeDocument/2006/relationships/hyperlink" Target="https://doi.org/10.1016/S0140-6736(21)02724-0" TargetMode="External" Id="R936c5618b1464665" /><Relationship Type="http://schemas.openxmlformats.org/officeDocument/2006/relationships/hyperlink" Target="https://target-webinars.com/wp-content/uploads/2016/08/Antimicrobial-Resistance-in-Wales-2006-2015.pdf" TargetMode="External" Id="R4f45f029b6574acb" /><Relationship Type="http://schemas.openxmlformats.org/officeDocument/2006/relationships/hyperlink" Target="https://doi.org/10.17037/PUBS.00639028" TargetMode="External" Id="Rf0e0c8a4a03c47a8" /><Relationship Type="http://schemas.openxmlformats.org/officeDocument/2006/relationships/hyperlink" Target="https://doi.org/10.1038/s41579-018-0147-4" TargetMode="External" Id="R9370c51a481a4513" /><Relationship Type="http://schemas.openxmlformats.org/officeDocument/2006/relationships/hyperlink" Target="https://doi.org/10.1093/eurpub/ckaa166.702" TargetMode="External" Id="Radea8ce5beff4ee2" /><Relationship Type="http://schemas.openxmlformats.org/officeDocument/2006/relationships/hyperlink" Target="https://apps.who.int/gb/ebwha/pdf_files/WHA68/A68_20-en.pdf" TargetMode="External" Id="R9193b4c46758409b" /><Relationship Type="http://schemas.openxmlformats.org/officeDocument/2006/relationships/hyperlink" Target="https://www.who.int/news-room/fact-sheets/detail/antimicrobial-resistance" TargetMode="External" Id="R1229dadb0bfd4c64" /><Relationship Type="http://schemas.microsoft.com/office/2020/10/relationships/intelligence" Target="intelligence2.xml" Id="R933f9251257648ca" /><Relationship Type="http://schemas.openxmlformats.org/officeDocument/2006/relationships/hyperlink" Target="https://doi.org/10.3390/pathogens12091074" TargetMode="External" Id="Rc2ae6823c30f4e3c" /><Relationship Type="http://schemas.openxmlformats.org/officeDocument/2006/relationships/hyperlink" Target="https://assets.publishing.service.gov.uk/media/5c48896a40f0b616fe901e91/uk-20-year-vision-for-antimicrobial-resistance.pdf" TargetMode="External" Id="Re6b61d1dda2f4203" /><Relationship Type="http://schemas.openxmlformats.org/officeDocument/2006/relationships/hyperlink" Target="https://senedd.wales/media/o3xhu2cg/16-034-web-english.pdf" TargetMode="External" Id="R26674f7176fc4425" /><Relationship Type="http://schemas.openxmlformats.org/officeDocument/2006/relationships/hyperlink" Target="https://doi.org/10.1186/s12889-019-7796-8" TargetMode="External" Id="Rbf7393bc699d4f2b" /><Relationship Type="http://schemas.openxmlformats.org/officeDocument/2006/relationships/hyperlink" Target="https://www.ncbi.nlm.nih.gov/books/NBK536193/" TargetMode="External" Id="Rafbf513cc66a40d4" /><Relationship Type="http://schemas.openxmlformats.org/officeDocument/2006/relationships/hyperlink" Target="https://assets.publishing.service.gov.uk/media/5c4f3cf8ed915d7d3953d20e/Behaviour_Change_for_Antibiotic_Prescribing_-_FINAL.pdf" TargetMode="External" Id="Rd18a90c655fe4152" /><Relationship Type="http://schemas.openxmlformats.org/officeDocument/2006/relationships/hyperlink" Target="https://doi.org/10.3390/healthcare11131946" TargetMode="External" Id="R3d134ddcb5d54670" /><Relationship Type="http://schemas.openxmlformats.org/officeDocument/2006/relationships/hyperlink" Target="https://doi.org/10.3389/bjbs.2023.11387" TargetMode="External" Id="R5a6d7c1dd10849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2023-11-14T15:55:55.0549328Z</dcterms:created>
  <dcterms:modified xsi:type="dcterms:W3CDTF">2023-11-15T21:15:49.0582531Z</dcterms:modified>
  <dc:creator>Lacramioara Burlacu (2311220)</dc:creator>
  <lastModifiedBy>Lacramioara Burlacu (2311220)</lastModifiedBy>
</coreProperties>
</file>