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360" w:lineRule="auto"/>
        <w:rPr>
          <w:b w:val="1"/>
          <w:bCs w:val="1"/>
          <w:sz w:val="28"/>
          <w:szCs w:val="28"/>
        </w:rPr>
      </w:pPr>
      <w:r w:rsidDel="00000000" w:rsidR="00000000" w:rsidRPr="00000000">
        <w:rPr>
          <w:b w:val="1"/>
          <w:bCs w:val="1"/>
          <w:sz w:val="28"/>
          <w:szCs w:val="28"/>
          <w:rtl w:val="0"/>
        </w:rPr>
        <w:t xml:space="preserve">Student Name </w:t>
      </w:r>
      <w:r w:rsidDel="00000000" w:rsidR="00000000" w:rsidRPr="00000000">
        <w:rPr>
          <w:b w:val="0"/>
          <w:bCs w:val="0"/>
          <w:sz w:val="28"/>
          <w:szCs w:val="28"/>
          <w:rtl w:val="0"/>
        </w:rPr>
        <w:t xml:space="preserve">: Momodou Lamin Demba</w:t>
      </w:r>
      <w:r w:rsidDel="00000000" w:rsidR="00000000" w:rsidRPr="00000000">
        <w:rPr>
          <w:rtl w:val="0"/>
        </w:rPr>
      </w:r>
    </w:p>
    <w:p w:rsidR="00000000" w:rsidDel="00000000" w:rsidP="00000000" w:rsidRDefault="00000000" w:rsidRPr="00000000" w14:paraId="00000002">
      <w:pPr>
        <w:spacing w:after="100" w:before="100" w:line="360" w:lineRule="auto"/>
        <w:rPr>
          <w:sz w:val="28"/>
          <w:szCs w:val="28"/>
        </w:rPr>
      </w:pPr>
      <w:r w:rsidDel="00000000" w:rsidR="00000000" w:rsidRPr="00000000">
        <w:rPr>
          <w:b w:val="1"/>
          <w:bCs w:val="1"/>
          <w:sz w:val="28"/>
          <w:szCs w:val="28"/>
          <w:rtl w:val="0"/>
        </w:rPr>
        <w:t xml:space="preserve">Module Name :</w:t>
      </w:r>
      <w:r w:rsidDel="00000000" w:rsidR="00000000" w:rsidRPr="00000000">
        <w:rPr>
          <w:sz w:val="28"/>
          <w:szCs w:val="28"/>
          <w:rtl w:val="0"/>
        </w:rPr>
        <w:t xml:space="preserve">Introduction to Physiology</w:t>
      </w:r>
    </w:p>
    <w:p w:rsidR="00000000" w:rsidDel="00000000" w:rsidP="00000000" w:rsidRDefault="00000000" w:rsidRPr="00000000" w14:paraId="00000003">
      <w:pPr>
        <w:spacing w:after="100" w:before="100" w:line="360" w:lineRule="auto"/>
        <w:rPr>
          <w:sz w:val="28"/>
          <w:szCs w:val="28"/>
        </w:rPr>
      </w:pPr>
      <w:r w:rsidDel="00000000" w:rsidR="00000000" w:rsidRPr="00000000">
        <w:rPr>
          <w:b w:val="1"/>
          <w:bCs w:val="1"/>
          <w:sz w:val="28"/>
          <w:szCs w:val="28"/>
          <w:rtl w:val="0"/>
        </w:rPr>
        <w:t xml:space="preserve">Module code :</w:t>
      </w:r>
      <w:r w:rsidDel="00000000" w:rsidR="00000000" w:rsidRPr="00000000">
        <w:rPr>
          <w:sz w:val="28"/>
          <w:szCs w:val="28"/>
          <w:rtl w:val="0"/>
        </w:rPr>
        <w:t xml:space="preserve"> BMHP 5023</w:t>
      </w:r>
    </w:p>
    <w:p w:rsidR="00000000" w:rsidDel="00000000" w:rsidP="00000000" w:rsidRDefault="00000000" w:rsidRPr="00000000" w14:paraId="00000004">
      <w:pPr>
        <w:spacing w:after="100" w:before="100" w:line="360" w:lineRule="auto"/>
        <w:rPr>
          <w:sz w:val="28"/>
          <w:szCs w:val="28"/>
        </w:rPr>
      </w:pPr>
      <w:r w:rsidDel="00000000" w:rsidR="00000000" w:rsidRPr="00000000">
        <w:rPr>
          <w:b w:val="1"/>
          <w:bCs w:val="1"/>
          <w:sz w:val="28"/>
          <w:szCs w:val="28"/>
          <w:rtl w:val="0"/>
        </w:rPr>
        <w:t xml:space="preserve">Lecturer : </w:t>
      </w:r>
      <w:r w:rsidDel="00000000" w:rsidR="00000000" w:rsidRPr="00000000">
        <w:rPr>
          <w:sz w:val="28"/>
          <w:szCs w:val="28"/>
          <w:rtl w:val="0"/>
        </w:rPr>
        <w:t xml:space="preserve">Shaila Hussain</w:t>
      </w:r>
    </w:p>
    <w:p w:rsidR="00000000" w:rsidDel="00000000" w:rsidP="00000000" w:rsidRDefault="00000000" w:rsidRPr="00000000" w14:paraId="00000005">
      <w:pPr>
        <w:spacing w:after="100" w:before="100" w:line="360" w:lineRule="auto"/>
        <w:jc w:val="center"/>
        <w:rPr/>
      </w:pPr>
      <w:r w:rsidDel="00000000" w:rsidR="00000000" w:rsidRPr="00000000">
        <w:rPr>
          <w:rtl w:val="0"/>
        </w:rPr>
      </w:r>
    </w:p>
    <w:p w:rsidR="00000000" w:rsidDel="00000000" w:rsidP="00000000" w:rsidRDefault="00000000" w:rsidRPr="00000000" w14:paraId="00000006">
      <w:pPr>
        <w:spacing w:after="280" w:before="280"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07">
      <w:pPr>
        <w:spacing w:after="280" w:before="280"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08">
      <w:pPr>
        <w:spacing w:after="280" w:before="280"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09">
      <w:pPr>
        <w:spacing w:after="280" w:before="280"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0A">
      <w:pPr>
        <w:spacing w:after="280" w:before="280"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0B">
      <w:pPr>
        <w:spacing w:after="280" w:before="280" w:line="360" w:lineRule="auto"/>
        <w:jc w:val="center"/>
        <w:rPr>
          <w:b w:val="1"/>
          <w:bCs w:val="1"/>
          <w:sz w:val="24"/>
          <w:szCs w:val="24"/>
        </w:rPr>
      </w:pPr>
      <w:r w:rsidDel="00000000" w:rsidR="00000000" w:rsidRPr="00000000">
        <w:rPr>
          <w:b w:val="1"/>
          <w:bCs w:val="1"/>
          <w:sz w:val="24"/>
          <w:szCs w:val="24"/>
          <w:rtl w:val="0"/>
        </w:rPr>
        <w:t xml:space="preserve">Title: Supporting Adults with Type 2 Diabetes to Understand and Manage Their Blood Sugar</w:t>
      </w:r>
    </w:p>
    <w:p w:rsidR="00000000" w:rsidDel="00000000" w:rsidP="00000000" w:rsidRDefault="00000000" w:rsidRPr="00000000" w14:paraId="0000000C">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2"/>
        <w:spacing w:line="360" w:lineRule="auto"/>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E">
      <w:pPr>
        <w:spacing w:line="360" w:lineRule="auto"/>
        <w:ind w:firstLine="720"/>
        <w:rPr>
          <w:sz w:val="24"/>
          <w:szCs w:val="24"/>
        </w:rPr>
      </w:pPr>
      <w:r w:rsidDel="00000000" w:rsidR="00000000" w:rsidRPr="00000000">
        <w:rPr>
          <w:sz w:val="24"/>
          <w:szCs w:val="24"/>
          <w:rtl w:val="0"/>
        </w:rPr>
        <w:t xml:space="preserve">Type 2 diabetes mellitus (T2DM) is a chronic, long-term metabolic disorder that leads to chronic hyperglycaemia, which is caused by insulin resistance and/or failure to secrete insulin. It is a significant health problem among the UK population, as it is estimated that 4.3 million individuals have been diagnosed with diabetes, and 850,000 individuals have not been diagnosed yet (Diabetes UK, 2024). The conditions pose a high risk of cardiovascular disease, stroke, failure of the kidneys, neuropathy and visual impairment, which need to be managed effectively in the primary care. Currently, since the majority of diabetes care in the UK is provided in GP surgeries, practice nurses are vital in educating patients, supporting their self-management, and monitoring their condition (NHS England, 2023). The purpose of this report is to describe the concept of T2DM in a manner easily comprehensible to the adult patients in a GP environment, and incorporate evidence-based suggestions on how to ensure safe blood sugar levels.</w:t>
      </w:r>
    </w:p>
    <w:p w:rsidR="00000000" w:rsidDel="00000000" w:rsidP="00000000" w:rsidRDefault="00000000" w:rsidRPr="00000000" w14:paraId="0000000F">
      <w:pPr>
        <w:spacing w:line="360" w:lineRule="auto"/>
        <w:ind w:firstLine="720"/>
        <w:rPr>
          <w:sz w:val="24"/>
          <w:szCs w:val="24"/>
        </w:rPr>
      </w:pPr>
      <w:r w:rsidDel="00000000" w:rsidR="00000000" w:rsidRPr="00000000">
        <w:rPr>
          <w:sz w:val="24"/>
          <w:szCs w:val="24"/>
          <w:rtl w:val="0"/>
        </w:rPr>
        <w:t xml:space="preserve">The need to enhance patient knowledge is supported by the fact that only 30% or more of adults in the UK with T2DM reach the recommended glucose control targets (NHS England, 2023). Misunderstanding about the condition adds to the inconsistent self-management behaviours, medication non-adherence and preventable complications (</w:t>
      </w:r>
      <w:r w:rsidDel="00000000" w:rsidR="00000000" w:rsidRPr="00000000">
        <w:rPr>
          <w:color w:val="222222"/>
          <w:sz w:val="24"/>
          <w:szCs w:val="24"/>
          <w:highlight w:val="white"/>
          <w:rtl w:val="0"/>
        </w:rPr>
        <w:t xml:space="preserve">Kvarnström et al., 2021</w:t>
      </w:r>
      <w:r w:rsidDel="00000000" w:rsidR="00000000" w:rsidRPr="00000000">
        <w:rPr>
          <w:sz w:val="24"/>
          <w:szCs w:val="24"/>
          <w:rtl w:val="0"/>
        </w:rPr>
        <w:t xml:space="preserve">). Thus, clear education about the development of diabetes, the processes of glucose and oxygen consumption by the body as energy sources, and the importance of monitoring in this case is one of the necessary nursing tasks in primary care.</w:t>
      </w:r>
    </w:p>
    <w:p w:rsidR="00000000" w:rsidDel="00000000" w:rsidP="00000000" w:rsidRDefault="00000000" w:rsidRPr="00000000" w14:paraId="00000010">
      <w:pPr>
        <w:pStyle w:val="Heading2"/>
        <w:spacing w:line="360" w:lineRule="auto"/>
        <w:rPr>
          <w:sz w:val="24"/>
          <w:szCs w:val="24"/>
        </w:rPr>
      </w:pPr>
      <w:r w:rsidDel="00000000" w:rsidR="00000000" w:rsidRPr="00000000">
        <w:rPr>
          <w:sz w:val="24"/>
          <w:szCs w:val="24"/>
          <w:rtl w:val="0"/>
        </w:rPr>
        <w:t xml:space="preserve">Understanding Type 2 Diabetes</w:t>
      </w:r>
    </w:p>
    <w:p w:rsidR="00000000" w:rsidDel="00000000" w:rsidP="00000000" w:rsidRDefault="00000000" w:rsidRPr="00000000" w14:paraId="00000011">
      <w:pPr>
        <w:spacing w:line="360" w:lineRule="auto"/>
        <w:ind w:firstLine="720"/>
        <w:rPr>
          <w:sz w:val="24"/>
          <w:szCs w:val="24"/>
        </w:rPr>
      </w:pPr>
      <w:r w:rsidDel="00000000" w:rsidR="00000000" w:rsidRPr="00000000">
        <w:rPr>
          <w:sz w:val="24"/>
          <w:szCs w:val="24"/>
          <w:rtl w:val="0"/>
        </w:rPr>
        <w:t xml:space="preserve">The normal blood glucose level in healthy people is kept within a narrow range due to the interactive effects of insulin and glucagon, which are secreted by the pancreas. The carbohydrates you eat are converted to glucose, and your blood sugar levels rise. This activates insulin secretion, allowing glucose to enter muscle and liver cells, where it can be used to produce energy or stored (WHO, 2023). In T2DM, cells become insulin resistant, that is, not responsive, and the pancreas is not able to produce enough insulin to offset this. Consequently, glucose is not eliminated, leading to chronic hyperglycaemia (ADA, 2024).</w:t>
      </w:r>
    </w:p>
    <w:p w:rsidR="00000000" w:rsidDel="00000000" w:rsidP="00000000" w:rsidRDefault="00000000" w:rsidRPr="00000000" w14:paraId="00000012">
      <w:pPr>
        <w:spacing w:line="360" w:lineRule="auto"/>
        <w:ind w:firstLine="720"/>
        <w:rPr>
          <w:sz w:val="24"/>
          <w:szCs w:val="24"/>
        </w:rPr>
      </w:pPr>
      <w:r w:rsidDel="00000000" w:rsidR="00000000" w:rsidRPr="00000000">
        <w:rPr>
          <w:sz w:val="24"/>
          <w:szCs w:val="24"/>
          <w:rtl w:val="0"/>
        </w:rPr>
        <w:t xml:space="preserve">Genetics, ageing, overweight and obesity, especially central fat distribution, sedentary lifestyles, smoking, as well as some ethnic groups like South Asian, African-Caribbean and Black African populations, are risk factors of T2DM (NICE, 2023). Socio-economic deprivation also increases the risk due to poor access to healthy food, safe physical activity areas, and health education (Public Health England, 2021). Knowledge of modifiable and non-modifiable risks enables nurses to tailor advice and support.</w:t>
      </w:r>
    </w:p>
    <w:p w:rsidR="00000000" w:rsidDel="00000000" w:rsidP="00000000" w:rsidRDefault="00000000" w:rsidRPr="00000000" w14:paraId="00000013">
      <w:pPr>
        <w:spacing w:line="360" w:lineRule="auto"/>
        <w:ind w:firstLine="720"/>
        <w:rPr>
          <w:sz w:val="24"/>
          <w:szCs w:val="24"/>
        </w:rPr>
      </w:pPr>
      <w:r w:rsidDel="00000000" w:rsidR="00000000" w:rsidRPr="00000000">
        <w:rPr>
          <w:sz w:val="24"/>
          <w:szCs w:val="24"/>
          <w:rtl w:val="0"/>
        </w:rPr>
        <w:t xml:space="preserve">It has been demonstrated that approximately 90% of all cases of diabetes in the world are type 2 (IDF, 2024). The increasing prevalence underscores the need to avoid and treat very early. These mechanisms will allow nurses to make patients aware that eating sugar does not cause diabetes; however, it is a complicated metabolic disease that can be influenced by lifestyle and physiology. The method helps motivate patients and reduces stigma and blame.</w:t>
      </w:r>
    </w:p>
    <w:p w:rsidR="00000000" w:rsidDel="00000000" w:rsidP="00000000" w:rsidRDefault="00000000" w:rsidRPr="00000000" w14:paraId="00000014">
      <w:pPr>
        <w:pStyle w:val="Heading2"/>
        <w:spacing w:line="360" w:lineRule="auto"/>
        <w:rPr>
          <w:sz w:val="24"/>
          <w:szCs w:val="24"/>
        </w:rPr>
      </w:pPr>
      <w:r w:rsidDel="00000000" w:rsidR="00000000" w:rsidRPr="00000000">
        <w:rPr>
          <w:sz w:val="24"/>
          <w:szCs w:val="24"/>
          <w:rtl w:val="0"/>
        </w:rPr>
        <w:t xml:space="preserve">Blood Glucose Regulation</w:t>
      </w:r>
    </w:p>
    <w:p w:rsidR="00000000" w:rsidDel="00000000" w:rsidP="00000000" w:rsidRDefault="00000000" w:rsidRPr="00000000" w14:paraId="00000015">
      <w:pPr>
        <w:spacing w:line="360" w:lineRule="auto"/>
        <w:ind w:firstLine="720"/>
        <w:rPr>
          <w:sz w:val="24"/>
          <w:szCs w:val="24"/>
        </w:rPr>
      </w:pPr>
      <w:r w:rsidDel="00000000" w:rsidR="00000000" w:rsidRPr="00000000">
        <w:rPr>
          <w:sz w:val="24"/>
          <w:szCs w:val="24"/>
          <w:rtl w:val="0"/>
        </w:rPr>
        <w:t xml:space="preserve">Usually, normal adults have a fasting glucose range of 4.0-5.9 mmol/L and a 2-hour postprandial glucose range of 7.8 mmol/L (Diabetes UK, 2024). The body maintains this range through a negative feedback mechanism: insulin lowers glucose levels, and glucagon raises them when required. In the event of this system's failure, as in T2DM, elevated glucose eventually harms blood vessels and nerves.</w:t>
      </w:r>
    </w:p>
    <w:p w:rsidR="00000000" w:rsidDel="00000000" w:rsidP="00000000" w:rsidRDefault="00000000" w:rsidRPr="00000000" w14:paraId="00000016">
      <w:pPr>
        <w:spacing w:line="360" w:lineRule="auto"/>
        <w:ind w:firstLine="720"/>
        <w:rPr>
          <w:sz w:val="24"/>
          <w:szCs w:val="24"/>
        </w:rPr>
      </w:pPr>
      <w:r w:rsidDel="00000000" w:rsidR="00000000" w:rsidRPr="00000000">
        <w:rPr>
          <w:sz w:val="24"/>
          <w:szCs w:val="24"/>
          <w:rtl w:val="0"/>
        </w:rPr>
        <w:t xml:space="preserve">Patients should be made aware of this regulation because most of them find it difficult to relate the level of blood glucose in their bodies to what is occurring within their bodies. It has been shown that patients who are informed about the physiological role of monitoring show improved self-management and outcomes (</w:t>
      </w:r>
      <w:r w:rsidDel="00000000" w:rsidR="00000000" w:rsidRPr="00000000">
        <w:rPr>
          <w:color w:val="222222"/>
          <w:sz w:val="24"/>
          <w:szCs w:val="24"/>
          <w:highlight w:val="white"/>
          <w:rtl w:val="0"/>
        </w:rPr>
        <w:t xml:space="preserve">Chiauzzi et al., 2015</w:t>
      </w:r>
      <w:r w:rsidDel="00000000" w:rsidR="00000000" w:rsidRPr="00000000">
        <w:rPr>
          <w:sz w:val="24"/>
          <w:szCs w:val="24"/>
          <w:rtl w:val="0"/>
        </w:rPr>
        <w:t xml:space="preserve">). Nurses ought to explain, therefore, how diet, physical activity, and stress may affect readings, thereby contributing to meaningful interpretation rather than passively recording.</w:t>
      </w:r>
    </w:p>
    <w:p w:rsidR="00000000" w:rsidDel="00000000" w:rsidP="00000000" w:rsidRDefault="00000000" w:rsidRPr="00000000" w14:paraId="00000017">
      <w:pPr>
        <w:pStyle w:val="Heading2"/>
        <w:spacing w:line="360" w:lineRule="auto"/>
        <w:rPr>
          <w:sz w:val="24"/>
          <w:szCs w:val="24"/>
        </w:rPr>
      </w:pPr>
      <w:r w:rsidDel="00000000" w:rsidR="00000000" w:rsidRPr="00000000">
        <w:rPr>
          <w:sz w:val="24"/>
          <w:szCs w:val="24"/>
          <w:rtl w:val="0"/>
        </w:rPr>
        <w:t xml:space="preserve">Energy Metabolism: How Oxygen and Glucose Produce Energy</w:t>
      </w:r>
    </w:p>
    <w:p w:rsidR="00000000" w:rsidDel="00000000" w:rsidP="00000000" w:rsidRDefault="00000000" w:rsidRPr="00000000" w14:paraId="00000018">
      <w:pPr>
        <w:spacing w:line="360" w:lineRule="auto"/>
        <w:ind w:firstLine="720"/>
        <w:rPr>
          <w:sz w:val="24"/>
          <w:szCs w:val="24"/>
        </w:rPr>
      </w:pPr>
      <w:r w:rsidDel="00000000" w:rsidR="00000000" w:rsidRPr="00000000">
        <w:rPr>
          <w:sz w:val="24"/>
          <w:szCs w:val="24"/>
          <w:rtl w:val="0"/>
        </w:rPr>
        <w:t xml:space="preserve">Glucose and oxygen are used by cells to generate ATP, the body's primary energy source. The mechanism is characterised by cytoplasmic glycolysis, the Krebs cycle, and the mitochondrial electron transport chain (</w:t>
      </w:r>
      <w:r w:rsidDel="00000000" w:rsidR="00000000" w:rsidRPr="00000000">
        <w:rPr>
          <w:color w:val="222222"/>
          <w:sz w:val="24"/>
          <w:szCs w:val="24"/>
          <w:highlight w:val="white"/>
          <w:rtl w:val="0"/>
        </w:rPr>
        <w:t xml:space="preserve">Guo et al., 2018</w:t>
      </w:r>
      <w:r w:rsidDel="00000000" w:rsidR="00000000" w:rsidRPr="00000000">
        <w:rPr>
          <w:sz w:val="24"/>
          <w:szCs w:val="24"/>
          <w:rtl w:val="0"/>
        </w:rPr>
        <w:t xml:space="preserve">). Insulin facilitates the entry of glucose into cells; when insulin activity is impaired, glucose is not utilised effectively, leading to fatigue and inadequate energy generation. Consequently, the body starts to break down fat, generating ketones, which, in excessive amounts, can trigger a metabolic emergency, including diabetic ketoacidosis (ADA, 2024).</w:t>
      </w:r>
    </w:p>
    <w:p w:rsidR="00000000" w:rsidDel="00000000" w:rsidP="00000000" w:rsidRDefault="00000000" w:rsidRPr="00000000" w14:paraId="00000019">
      <w:pPr>
        <w:spacing w:line="360" w:lineRule="auto"/>
        <w:ind w:firstLine="720"/>
        <w:rPr>
          <w:sz w:val="24"/>
          <w:szCs w:val="24"/>
        </w:rPr>
      </w:pPr>
      <w:r w:rsidDel="00000000" w:rsidR="00000000" w:rsidRPr="00000000">
        <w:rPr>
          <w:sz w:val="24"/>
          <w:szCs w:val="24"/>
          <w:rtl w:val="0"/>
        </w:rPr>
        <w:t xml:space="preserve">An explanation of this process within the cell would help the patient understand why he/she might experience fatigue when blood sugar is elevated or uncontrolled. It also confirms the need for medication compliance and lifestyle changes that enhance insulin sensitivity. There is an indicator that patient engagement can be enhanced through education that helps patients connect their symptoms to physiological processes (</w:t>
      </w:r>
      <w:r w:rsidDel="00000000" w:rsidR="00000000" w:rsidRPr="00000000">
        <w:rPr>
          <w:color w:val="222222"/>
          <w:sz w:val="24"/>
          <w:szCs w:val="24"/>
          <w:highlight w:val="white"/>
          <w:rtl w:val="0"/>
        </w:rPr>
        <w:t xml:space="preserve">Miller-Rosales</w:t>
      </w:r>
      <w:r w:rsidDel="00000000" w:rsidR="00000000" w:rsidRPr="00000000">
        <w:rPr>
          <w:sz w:val="24"/>
          <w:szCs w:val="24"/>
          <w:rtl w:val="0"/>
        </w:rPr>
        <w:t xml:space="preserve"> et al., 2023).</w:t>
      </w:r>
    </w:p>
    <w:p w:rsidR="00000000" w:rsidDel="00000000" w:rsidP="00000000" w:rsidRDefault="00000000" w:rsidRPr="00000000" w14:paraId="0000001A">
      <w:pPr>
        <w:pStyle w:val="Heading2"/>
        <w:spacing w:line="360" w:lineRule="auto"/>
        <w:rPr>
          <w:sz w:val="24"/>
          <w:szCs w:val="24"/>
        </w:rPr>
      </w:pPr>
      <w:r w:rsidDel="00000000" w:rsidR="00000000" w:rsidRPr="00000000">
        <w:rPr>
          <w:sz w:val="24"/>
          <w:szCs w:val="24"/>
          <w:rtl w:val="0"/>
        </w:rPr>
        <w:t xml:space="preserve">Monitoring and Self-Management</w:t>
      </w:r>
    </w:p>
    <w:p w:rsidR="00000000" w:rsidDel="00000000" w:rsidP="00000000" w:rsidRDefault="00000000" w:rsidRPr="00000000" w14:paraId="0000001B">
      <w:pPr>
        <w:spacing w:line="360" w:lineRule="auto"/>
        <w:ind w:firstLine="720"/>
        <w:rPr>
          <w:sz w:val="24"/>
          <w:szCs w:val="24"/>
        </w:rPr>
      </w:pPr>
      <w:r w:rsidDel="00000000" w:rsidR="00000000" w:rsidRPr="00000000">
        <w:rPr>
          <w:sz w:val="24"/>
          <w:szCs w:val="24"/>
          <w:rtl w:val="0"/>
        </w:rPr>
        <w:t xml:space="preserve">Blood glucose monitoring is an important part of diabetes management, but it should be used appropriately, as NICE (2023) guidance states. Not every adult with T2DM is advised to regularly monitor blood glucose levels, especially those who do not use insulin. Rather, it should be directed at those at risk of hypoglycaemia, those who drive, when moving age (illness), when changing medication or becoming pregnant. As </w:t>
      </w:r>
      <w:r w:rsidDel="00000000" w:rsidR="00000000" w:rsidRPr="00000000">
        <w:rPr>
          <w:color w:val="222222"/>
          <w:sz w:val="24"/>
          <w:szCs w:val="24"/>
          <w:highlight w:val="white"/>
          <w:rtl w:val="0"/>
        </w:rPr>
        <w:t xml:space="preserve">Buse</w:t>
      </w:r>
      <w:r w:rsidDel="00000000" w:rsidR="00000000" w:rsidRPr="00000000">
        <w:rPr>
          <w:sz w:val="24"/>
          <w:szCs w:val="24"/>
          <w:rtl w:val="0"/>
        </w:rPr>
        <w:t xml:space="preserve"> et al. (2021) prove, unnecessary monitoring leads to anxiety instead of better results.</w:t>
      </w:r>
    </w:p>
    <w:p w:rsidR="00000000" w:rsidDel="00000000" w:rsidP="00000000" w:rsidRDefault="00000000" w:rsidRPr="00000000" w14:paraId="0000001C">
      <w:pPr>
        <w:spacing w:line="360" w:lineRule="auto"/>
        <w:ind w:firstLine="720"/>
        <w:rPr>
          <w:sz w:val="24"/>
          <w:szCs w:val="24"/>
        </w:rPr>
      </w:pPr>
      <w:r w:rsidDel="00000000" w:rsidR="00000000" w:rsidRPr="00000000">
        <w:rPr>
          <w:sz w:val="24"/>
          <w:szCs w:val="24"/>
          <w:rtl w:val="0"/>
        </w:rPr>
        <w:t xml:space="preserve">Systematic methods are the most appropriate for patients who need monitoring. This involves educating patients on how to obtain correct readings, record patterns, interpret results, and act on them. Carmienke et al. (2020) indicate that structured self-management programmes positively affect HbA1c, weight, and lifestyle behaviours. The role of a nurse is thus to supply equipment, advise on findings, and apply results to promote behavioural change.</w:t>
      </w:r>
    </w:p>
    <w:p w:rsidR="00000000" w:rsidDel="00000000" w:rsidP="00000000" w:rsidRDefault="00000000" w:rsidRPr="00000000" w14:paraId="0000001D">
      <w:pPr>
        <w:pStyle w:val="Heading2"/>
        <w:spacing w:line="360" w:lineRule="auto"/>
        <w:rPr>
          <w:sz w:val="24"/>
          <w:szCs w:val="24"/>
        </w:rPr>
      </w:pPr>
      <w:r w:rsidDel="00000000" w:rsidR="00000000" w:rsidRPr="00000000">
        <w:rPr>
          <w:sz w:val="24"/>
          <w:szCs w:val="24"/>
          <w:rtl w:val="0"/>
        </w:rPr>
        <w:t xml:space="preserve">Lifestyle Interventions</w:t>
      </w:r>
    </w:p>
    <w:p w:rsidR="00000000" w:rsidDel="00000000" w:rsidP="00000000" w:rsidRDefault="00000000" w:rsidRPr="00000000" w14:paraId="0000001E">
      <w:pPr>
        <w:spacing w:line="360" w:lineRule="auto"/>
        <w:ind w:firstLine="720"/>
        <w:rPr>
          <w:sz w:val="24"/>
          <w:szCs w:val="24"/>
        </w:rPr>
      </w:pPr>
      <w:r w:rsidDel="00000000" w:rsidR="00000000" w:rsidRPr="00000000">
        <w:rPr>
          <w:sz w:val="24"/>
          <w:szCs w:val="24"/>
          <w:rtl w:val="0"/>
        </w:rPr>
        <w:t xml:space="preserve">It is well established that lifestyle modification is at the core of T2DM management in the UK and other nations. Addressing the issue of adults with T2DM, NICE (2023) suggests implementing structured lifestyle support for them with the emphasis on dietary patterns, physical activity, weight loss, and smoking cessation. </w:t>
      </w:r>
      <w:r w:rsidDel="00000000" w:rsidR="00000000" w:rsidRPr="00000000">
        <w:rPr>
          <w:color w:val="222222"/>
          <w:sz w:val="24"/>
          <w:szCs w:val="24"/>
          <w:highlight w:val="white"/>
          <w:rtl w:val="0"/>
        </w:rPr>
        <w:t xml:space="preserve">Artinian</w:t>
      </w:r>
      <w:r w:rsidDel="00000000" w:rsidR="00000000" w:rsidRPr="00000000">
        <w:rPr>
          <w:sz w:val="24"/>
          <w:szCs w:val="24"/>
          <w:rtl w:val="0"/>
        </w:rPr>
        <w:t xml:space="preserve"> et al. (2010) demonstrated that lifestyle interventions may decrease HbA1c by 0.5-1.0% and substantially decrease cardiovascular risk. As often discussed with patients, even low-level, long-lasting changes are more attainable than radical ones, and nurses should support gradual behavioural modifications.</w:t>
      </w:r>
    </w:p>
    <w:p w:rsidR="00000000" w:rsidDel="00000000" w:rsidP="00000000" w:rsidRDefault="00000000" w:rsidRPr="00000000" w14:paraId="0000001F">
      <w:pPr>
        <w:pStyle w:val="Heading3"/>
        <w:spacing w:after="280" w:before="280" w:line="360" w:lineRule="auto"/>
        <w:rPr>
          <w:sz w:val="24"/>
          <w:szCs w:val="24"/>
        </w:rPr>
      </w:pPr>
      <w:r w:rsidDel="00000000" w:rsidR="00000000" w:rsidRPr="00000000">
        <w:rPr>
          <w:sz w:val="24"/>
          <w:szCs w:val="24"/>
          <w:rtl w:val="0"/>
        </w:rPr>
        <w:t xml:space="preserve">Diet</w:t>
      </w:r>
    </w:p>
    <w:p w:rsidR="00000000" w:rsidDel="00000000" w:rsidP="00000000" w:rsidRDefault="00000000" w:rsidRPr="00000000" w14:paraId="00000020">
      <w:pPr>
        <w:spacing w:line="360" w:lineRule="auto"/>
        <w:ind w:firstLine="720"/>
        <w:rPr>
          <w:sz w:val="24"/>
          <w:szCs w:val="24"/>
        </w:rPr>
      </w:pPr>
      <w:r w:rsidDel="00000000" w:rsidR="00000000" w:rsidRPr="00000000">
        <w:rPr>
          <w:sz w:val="24"/>
          <w:szCs w:val="24"/>
          <w:rtl w:val="0"/>
        </w:rPr>
        <w:t xml:space="preserve">It is recommended that a balanced, culturally suitable diet focus on whole grains, vegetables, lean protein, and reduced saturated fat. Studies show that a weight loss of 5-10% increases insulin levels by 5-10% and improves glycaemic regulation (Lean et al., 2019). In the UK, research indicates that meal planning and the consumption of sugar-free drinks lead to significant improvements in blood sugar levels (NHS England, 2023). Nurses are advised to collaborate with dieticians and be sensitive to obstacles such as cost, food preparation, and cultural differences, especially in poor societies.</w:t>
      </w:r>
    </w:p>
    <w:p w:rsidR="00000000" w:rsidDel="00000000" w:rsidP="00000000" w:rsidRDefault="00000000" w:rsidRPr="00000000" w14:paraId="00000021">
      <w:pPr>
        <w:pStyle w:val="Heading3"/>
        <w:spacing w:after="280" w:before="280" w:line="360" w:lineRule="auto"/>
        <w:rPr>
          <w:sz w:val="24"/>
          <w:szCs w:val="24"/>
        </w:rPr>
      </w:pPr>
      <w:r w:rsidDel="00000000" w:rsidR="00000000" w:rsidRPr="00000000">
        <w:rPr>
          <w:sz w:val="24"/>
          <w:szCs w:val="24"/>
          <w:rtl w:val="0"/>
        </w:rPr>
        <w:t xml:space="preserve">Physical activity</w:t>
      </w:r>
    </w:p>
    <w:p w:rsidR="00000000" w:rsidDel="00000000" w:rsidP="00000000" w:rsidRDefault="00000000" w:rsidRPr="00000000" w14:paraId="00000022">
      <w:pPr>
        <w:spacing w:line="360" w:lineRule="auto"/>
        <w:ind w:firstLine="720"/>
        <w:rPr>
          <w:sz w:val="24"/>
          <w:szCs w:val="24"/>
        </w:rPr>
      </w:pPr>
      <w:r w:rsidDel="00000000" w:rsidR="00000000" w:rsidRPr="00000000">
        <w:rPr>
          <w:sz w:val="24"/>
          <w:szCs w:val="24"/>
          <w:rtl w:val="0"/>
        </w:rPr>
        <w:t xml:space="preserve">Exercise improves insulin sensitivity, helps control weight, and improves cardiovascular fitness. According to NICE (2023), one should aim to do at least moderate-intensity activity for 150 minutes each week. It has been shown that even brief episodes of exercise (e.g., 10-minute brisk walks after meals) lower postprandial glucose levels (</w:t>
      </w:r>
      <w:r w:rsidDel="00000000" w:rsidR="00000000" w:rsidRPr="00000000">
        <w:rPr>
          <w:color w:val="222222"/>
          <w:sz w:val="24"/>
          <w:szCs w:val="24"/>
          <w:highlight w:val="white"/>
          <w:rtl w:val="0"/>
        </w:rPr>
        <w:t xml:space="preserve">Smith et al., 2011</w:t>
      </w:r>
      <w:r w:rsidDel="00000000" w:rsidR="00000000" w:rsidRPr="00000000">
        <w:rPr>
          <w:sz w:val="24"/>
          <w:szCs w:val="24"/>
          <w:rtl w:val="0"/>
        </w:rPr>
        <w:t xml:space="preserve">). In GP practices, nurses can help patients set realistic goals and overcome fears about exercising with diabetes.</w:t>
      </w:r>
    </w:p>
    <w:p w:rsidR="00000000" w:rsidDel="00000000" w:rsidP="00000000" w:rsidRDefault="00000000" w:rsidRPr="00000000" w14:paraId="00000023">
      <w:pPr>
        <w:pStyle w:val="Heading3"/>
        <w:spacing w:after="280" w:before="280" w:line="360" w:lineRule="auto"/>
        <w:rPr>
          <w:sz w:val="24"/>
          <w:szCs w:val="24"/>
        </w:rPr>
      </w:pPr>
      <w:r w:rsidDel="00000000" w:rsidR="00000000" w:rsidRPr="00000000">
        <w:rPr>
          <w:sz w:val="24"/>
          <w:szCs w:val="24"/>
          <w:rtl w:val="0"/>
        </w:rPr>
        <w:t xml:space="preserve">Smoking and alcohol</w:t>
      </w:r>
    </w:p>
    <w:p w:rsidR="00000000" w:rsidDel="00000000" w:rsidP="00000000" w:rsidRDefault="00000000" w:rsidRPr="00000000" w14:paraId="00000024">
      <w:pPr>
        <w:spacing w:line="360" w:lineRule="auto"/>
        <w:ind w:firstLine="720"/>
        <w:rPr>
          <w:sz w:val="24"/>
          <w:szCs w:val="24"/>
        </w:rPr>
      </w:pPr>
      <w:r w:rsidDel="00000000" w:rsidR="00000000" w:rsidRPr="00000000">
        <w:rPr>
          <w:sz w:val="24"/>
          <w:szCs w:val="24"/>
          <w:rtl w:val="0"/>
        </w:rPr>
        <w:t xml:space="preserve">Smoking promotes the occurrence of T2DM and exacerbates complications. Smoking cessation is, then, a priority (Public Health England, 2021). Even though glycaemic control can be temporarily worsened after quitting, long-term gains offset this effect (</w:t>
      </w:r>
      <w:r w:rsidDel="00000000" w:rsidR="00000000" w:rsidRPr="00000000">
        <w:rPr>
          <w:color w:val="222222"/>
          <w:sz w:val="24"/>
          <w:szCs w:val="24"/>
          <w:highlight w:val="white"/>
          <w:rtl w:val="0"/>
        </w:rPr>
        <w:t xml:space="preserve">Buse</w:t>
      </w:r>
      <w:r w:rsidDel="00000000" w:rsidR="00000000" w:rsidRPr="00000000">
        <w:rPr>
          <w:sz w:val="24"/>
          <w:szCs w:val="24"/>
          <w:rtl w:val="0"/>
        </w:rPr>
        <w:t xml:space="preserve"> et al., 2021). The consumption of alcohol must be in line with UK guidelines, given that alcoholism may eventually lead to hypoglycaemia, increased weight and improper control. </w:t>
      </w:r>
    </w:p>
    <w:p w:rsidR="00000000" w:rsidDel="00000000" w:rsidP="00000000" w:rsidRDefault="00000000" w:rsidRPr="00000000" w14:paraId="00000025">
      <w:pPr>
        <w:pStyle w:val="Heading3"/>
        <w:spacing w:after="280" w:before="280" w:line="360" w:lineRule="auto"/>
        <w:rPr>
          <w:sz w:val="24"/>
          <w:szCs w:val="24"/>
        </w:rPr>
      </w:pPr>
      <w:r w:rsidDel="00000000" w:rsidR="00000000" w:rsidRPr="00000000">
        <w:rPr>
          <w:sz w:val="24"/>
          <w:szCs w:val="24"/>
          <w:rtl w:val="0"/>
        </w:rPr>
        <w:t xml:space="preserve">Structured education</w:t>
      </w:r>
    </w:p>
    <w:p w:rsidR="00000000" w:rsidDel="00000000" w:rsidP="00000000" w:rsidRDefault="00000000" w:rsidRPr="00000000" w14:paraId="00000026">
      <w:pPr>
        <w:spacing w:line="360" w:lineRule="auto"/>
        <w:ind w:firstLine="720"/>
        <w:rPr>
          <w:sz w:val="24"/>
          <w:szCs w:val="24"/>
        </w:rPr>
      </w:pPr>
      <w:r w:rsidDel="00000000" w:rsidR="00000000" w:rsidRPr="00000000">
        <w:rPr>
          <w:sz w:val="24"/>
          <w:szCs w:val="24"/>
          <w:rtl w:val="0"/>
        </w:rPr>
        <w:t xml:space="preserve">Organised education initiatives like DESMOND have been shown to enhance knowledge, self-management behaviours, and outcomes (NHS England, 2023). Nurses ought to ensure that patients are referred and asked to attend.</w:t>
      </w:r>
    </w:p>
    <w:p w:rsidR="00000000" w:rsidDel="00000000" w:rsidP="00000000" w:rsidRDefault="00000000" w:rsidRPr="00000000" w14:paraId="00000027">
      <w:pPr>
        <w:pStyle w:val="Heading2"/>
        <w:spacing w:line="360" w:lineRule="auto"/>
        <w:rPr>
          <w:sz w:val="24"/>
          <w:szCs w:val="24"/>
        </w:rPr>
      </w:pPr>
      <w:r w:rsidDel="00000000" w:rsidR="00000000" w:rsidRPr="00000000">
        <w:rPr>
          <w:sz w:val="24"/>
          <w:szCs w:val="24"/>
          <w:rtl w:val="0"/>
        </w:rPr>
        <w:t xml:space="preserve">Recommendations and Integration in Practice</w:t>
      </w:r>
    </w:p>
    <w:p w:rsidR="00000000" w:rsidDel="00000000" w:rsidP="00000000" w:rsidRDefault="00000000" w:rsidRPr="00000000" w14:paraId="00000028">
      <w:pPr>
        <w:spacing w:line="360" w:lineRule="auto"/>
        <w:ind w:firstLine="720"/>
        <w:rPr>
          <w:sz w:val="24"/>
          <w:szCs w:val="24"/>
        </w:rPr>
      </w:pPr>
      <w:r w:rsidDel="00000000" w:rsidR="00000000" w:rsidRPr="00000000">
        <w:rPr>
          <w:sz w:val="24"/>
          <w:szCs w:val="24"/>
          <w:rtl w:val="0"/>
        </w:rPr>
        <w:t xml:space="preserve">The continuous management of diabetes in UK primary care is based on an integrated, synergistic model that incorporates monitoring, lifestyle support, medication review, and practice nurses as facilitators of continuity and patient interaction. With more than 80% of diabetes care provided in general practice, nurses can be the first line of care, spending the most time helping patients learn and use information and guidance in their everyday lives (NHS England, 2023). An orderly channel enhances uniformity and ensures that every consultation is focused and results in an outcome.</w:t>
      </w:r>
    </w:p>
    <w:p w:rsidR="00000000" w:rsidDel="00000000" w:rsidP="00000000" w:rsidRDefault="00000000" w:rsidRPr="00000000" w14:paraId="00000029">
      <w:pPr>
        <w:spacing w:line="360" w:lineRule="auto"/>
        <w:ind w:firstLine="720"/>
        <w:rPr>
          <w:sz w:val="24"/>
          <w:szCs w:val="24"/>
        </w:rPr>
      </w:pPr>
      <w:r w:rsidDel="00000000" w:rsidR="00000000" w:rsidRPr="00000000">
        <w:rPr>
          <w:sz w:val="24"/>
          <w:szCs w:val="24"/>
          <w:rtl w:val="0"/>
        </w:rPr>
        <w:t xml:space="preserve">The first consultation is highly important, as it sets the platform for future self-management. Nurses are expected to explain T2DM in a simple, non-jargon format, evaluate the patient's existing knowledge, and discuss the patient's beliefs and misconceptions, which are the most frequent obstacles to targeted care (</w:t>
      </w:r>
      <w:r w:rsidDel="00000000" w:rsidR="00000000" w:rsidRPr="00000000">
        <w:rPr>
          <w:color w:val="222222"/>
          <w:sz w:val="24"/>
          <w:szCs w:val="24"/>
          <w:highlight w:val="white"/>
          <w:rtl w:val="0"/>
        </w:rPr>
        <w:t xml:space="preserve">Miller-Rosales</w:t>
      </w:r>
      <w:r w:rsidDel="00000000" w:rsidR="00000000" w:rsidRPr="00000000">
        <w:rPr>
          <w:sz w:val="24"/>
          <w:szCs w:val="24"/>
          <w:rtl w:val="0"/>
        </w:rPr>
        <w:t xml:space="preserve"> et al., 2023). Identifying the risk factor at the individual level (obesity, inactivity, smoking, or dietary habits) enables the creation of personalised, achievable objectives. According to NICE (2023), goal-setting must be a collaborative activity and measurable so that patients have ownership of their care. It is also the initial step that facilitates rapport and trust, which research recognises as fundamental to maintaining behaviour change (</w:t>
      </w:r>
      <w:r w:rsidDel="00000000" w:rsidR="00000000" w:rsidRPr="00000000">
        <w:rPr>
          <w:color w:val="222222"/>
          <w:sz w:val="24"/>
          <w:szCs w:val="24"/>
          <w:highlight w:val="white"/>
          <w:rtl w:val="0"/>
        </w:rPr>
        <w:t xml:space="preserve">DeJonckheere and Vaughn, 2019</w:t>
      </w:r>
      <w:r w:rsidDel="00000000" w:rsidR="00000000" w:rsidRPr="00000000">
        <w:rPr>
          <w:sz w:val="24"/>
          <w:szCs w:val="24"/>
          <w:rtl w:val="0"/>
        </w:rPr>
        <w:t xml:space="preserve">).</w:t>
      </w:r>
    </w:p>
    <w:p w:rsidR="00000000" w:rsidDel="00000000" w:rsidP="00000000" w:rsidRDefault="00000000" w:rsidRPr="00000000" w14:paraId="0000002A">
      <w:pPr>
        <w:spacing w:line="360" w:lineRule="auto"/>
        <w:ind w:firstLine="720"/>
        <w:rPr>
          <w:sz w:val="24"/>
          <w:szCs w:val="24"/>
        </w:rPr>
      </w:pPr>
      <w:r w:rsidDel="00000000" w:rsidR="00000000" w:rsidRPr="00000000">
        <w:rPr>
          <w:sz w:val="24"/>
          <w:szCs w:val="24"/>
          <w:rtl w:val="0"/>
        </w:rPr>
        <w:t xml:space="preserve">This is followed by a specific monitoring plan that determines whether one needs to monitor their blood sugar level independently. According to NICE guidelines (2023), self-monitoring should be a routine practice only in very few adults who are insulin-free, as it has little value and can lead to anxiety. For patients who need a monitoring plan (insulin users or people at risk of hypoglycaemia), nurses should educate them on appropriate techniques, result interpretation, and the implications for actions (E.g., delaying or scheduling a meal or referring to the practice team). Connection to practical behavioural responses enhances the value of monitoring and empowers patients to be in charge of their condition (</w:t>
      </w:r>
      <w:r w:rsidDel="00000000" w:rsidR="00000000" w:rsidRPr="00000000">
        <w:rPr>
          <w:color w:val="222222"/>
          <w:sz w:val="24"/>
          <w:szCs w:val="24"/>
          <w:highlight w:val="white"/>
          <w:rtl w:val="0"/>
        </w:rPr>
        <w:t xml:space="preserve">Krist et al., 2017</w:t>
      </w:r>
      <w:r w:rsidDel="00000000" w:rsidR="00000000" w:rsidRPr="00000000">
        <w:rPr>
          <w:sz w:val="24"/>
          <w:szCs w:val="24"/>
          <w:rtl w:val="0"/>
        </w:rPr>
        <w:t xml:space="preserve">).</w:t>
      </w:r>
    </w:p>
    <w:p w:rsidR="00000000" w:rsidDel="00000000" w:rsidP="00000000" w:rsidRDefault="00000000" w:rsidRPr="00000000" w14:paraId="0000002B">
      <w:pPr>
        <w:spacing w:line="360" w:lineRule="auto"/>
        <w:ind w:firstLine="720"/>
        <w:rPr>
          <w:sz w:val="24"/>
          <w:szCs w:val="24"/>
        </w:rPr>
      </w:pPr>
      <w:r w:rsidDel="00000000" w:rsidR="00000000" w:rsidRPr="00000000">
        <w:rPr>
          <w:sz w:val="24"/>
          <w:szCs w:val="24"/>
          <w:rtl w:val="0"/>
        </w:rPr>
        <w:t xml:space="preserve">The most effective method of lifestyle coaching should be implemented in small steps, using motivational interviewing to help the patient identify their motivation and solutions. The gradual implementation of change and problem-solving tactics helps reduce feelings of overwhelm and enhances compliance (</w:t>
      </w:r>
      <w:r w:rsidDel="00000000" w:rsidR="00000000" w:rsidRPr="00000000">
        <w:rPr>
          <w:color w:val="222222"/>
          <w:sz w:val="24"/>
          <w:szCs w:val="24"/>
          <w:highlight w:val="white"/>
          <w:rtl w:val="0"/>
        </w:rPr>
        <w:t xml:space="preserve">Hamid, 2024</w:t>
      </w:r>
      <w:r w:rsidDel="00000000" w:rsidR="00000000" w:rsidRPr="00000000">
        <w:rPr>
          <w:sz w:val="24"/>
          <w:szCs w:val="24"/>
          <w:rtl w:val="0"/>
        </w:rPr>
        <w:t xml:space="preserve">). Cost, cultural food preferences, mobility, and work can also pose barriers that nurses can study to find alternatives to these issues. It has been proven that lifestyle support delivered by nurses enhances glycaemic control and self-efficacy (</w:t>
      </w:r>
      <w:r w:rsidDel="00000000" w:rsidR="00000000" w:rsidRPr="00000000">
        <w:rPr>
          <w:color w:val="222222"/>
          <w:sz w:val="24"/>
          <w:szCs w:val="24"/>
          <w:highlight w:val="white"/>
          <w:rtl w:val="0"/>
        </w:rPr>
        <w:t xml:space="preserve">Mokaya et al., 2023</w:t>
      </w:r>
      <w:r w:rsidDel="00000000" w:rsidR="00000000" w:rsidRPr="00000000">
        <w:rPr>
          <w:sz w:val="24"/>
          <w:szCs w:val="24"/>
          <w:rtl w:val="0"/>
        </w:rPr>
        <w:t xml:space="preserve">). Regular review, which should be done at the regular time, usually after every three to six months, allows the assessment of ongoing evaluation of HbA1c, weight, blood pressure and medication effectiveness. Established follow-ups help with accountability and prevent deterioration that could lead to complications (</w:t>
      </w:r>
      <w:r w:rsidDel="00000000" w:rsidR="00000000" w:rsidRPr="00000000">
        <w:rPr>
          <w:color w:val="222222"/>
          <w:sz w:val="24"/>
          <w:szCs w:val="24"/>
          <w:highlight w:val="white"/>
          <w:rtl w:val="0"/>
        </w:rPr>
        <w:t xml:space="preserve">Imai et al., 2021)</w:t>
      </w:r>
      <w:r w:rsidDel="00000000" w:rsidR="00000000" w:rsidRPr="00000000">
        <w:rPr>
          <w:sz w:val="24"/>
          <w:szCs w:val="24"/>
          <w:rtl w:val="0"/>
        </w:rPr>
        <w:t xml:space="preserve">.</w:t>
      </w:r>
    </w:p>
    <w:p w:rsidR="00000000" w:rsidDel="00000000" w:rsidP="00000000" w:rsidRDefault="00000000" w:rsidRPr="00000000" w14:paraId="0000002C">
      <w:pPr>
        <w:spacing w:line="360" w:lineRule="auto"/>
        <w:ind w:firstLine="720"/>
        <w:rPr>
          <w:sz w:val="24"/>
          <w:szCs w:val="24"/>
        </w:rPr>
      </w:pPr>
      <w:r w:rsidDel="00000000" w:rsidR="00000000" w:rsidRPr="00000000">
        <w:rPr>
          <w:sz w:val="24"/>
          <w:szCs w:val="24"/>
          <w:rtl w:val="0"/>
        </w:rPr>
        <w:t xml:space="preserve">Even though this integrated model is effective in practice, several challenges remain. Education and meaningful discussion are curtailed by time constraints in GP appointments (NHS England, 2023). Barriers to health literacy mean many patients cannot understand medical terminology or follow recommendations correctly (Lambert et al., 2014). Behaviour change is further curtailed by socio-economic factors such as food insecurity and limited access to physical activity (Public Health England, 2021). It is also challenging to maintain motivation in the long run without continuous support. These issues underscore the importance of holistic, person-centred care that scales up care for patients rather than holding them accountable. The inclusion of multidisciplinary services (including dietetics and psychological support) has been found to enhance the outcomes and promote long-term change (</w:t>
      </w:r>
      <w:r w:rsidDel="00000000" w:rsidR="00000000" w:rsidRPr="00000000">
        <w:rPr>
          <w:color w:val="222222"/>
          <w:sz w:val="24"/>
          <w:szCs w:val="24"/>
          <w:highlight w:val="white"/>
          <w:rtl w:val="0"/>
        </w:rPr>
        <w:t xml:space="preserve">Yinusa et al., 2021</w:t>
      </w:r>
      <w:r w:rsidDel="00000000" w:rsidR="00000000" w:rsidRPr="00000000">
        <w:rPr>
          <w:sz w:val="24"/>
          <w:szCs w:val="24"/>
          <w:rtl w:val="0"/>
        </w:rPr>
        <w:t xml:space="preserve">).</w:t>
      </w:r>
    </w:p>
    <w:p w:rsidR="00000000" w:rsidDel="00000000" w:rsidP="00000000" w:rsidRDefault="00000000" w:rsidRPr="00000000" w14:paraId="0000002D">
      <w:pPr>
        <w:pStyle w:val="Heading2"/>
        <w:spacing w:line="360" w:lineRule="auto"/>
        <w:rPr>
          <w:sz w:val="24"/>
          <w:szCs w:val="24"/>
        </w:rPr>
      </w:pPr>
      <w:r w:rsidDel="00000000" w:rsidR="00000000" w:rsidRPr="00000000">
        <w:rPr>
          <w:sz w:val="24"/>
          <w:szCs w:val="24"/>
          <w:rtl w:val="0"/>
        </w:rPr>
        <w:t xml:space="preserve">Conclusion</w:t>
      </w:r>
    </w:p>
    <w:p w:rsidR="00000000" w:rsidDel="00000000" w:rsidP="00000000" w:rsidRDefault="00000000" w:rsidRPr="00000000" w14:paraId="0000002E">
      <w:pPr>
        <w:spacing w:line="360" w:lineRule="auto"/>
        <w:ind w:firstLine="720"/>
        <w:rPr>
          <w:sz w:val="24"/>
          <w:szCs w:val="24"/>
        </w:rPr>
      </w:pPr>
      <w:r w:rsidDel="00000000" w:rsidR="00000000" w:rsidRPr="00000000">
        <w:rPr>
          <w:sz w:val="24"/>
          <w:szCs w:val="24"/>
          <w:rtl w:val="0"/>
        </w:rPr>
        <w:t xml:space="preserve">Type 2 diabetes is a tremendous burden in the UK, as it is the disease that impacts millions of people and aids the emergence of serious long-term issues. Practice nurses would be better placed to educate patients and assist with monitoring and lifestyle change as they are frontline providers in primary care. Knowledge of glucose regulation and energy metabolism helps patients understand the role of treatment and self-management. It can be concluded that systematised lifestyle modification programs, individualised assistance and specific monitoring enhance glycaemic control and limit complications. Nurses can assist patients in achieving meaningful and sustainable change by taking a patient-centred approach and addressing barriers such as socio-economic disadvantage and health literacy. Diabetes self-management involves collaboration, continuous support, and integration into general care.</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1">
      <w:pPr>
        <w:spacing w:line="360" w:lineRule="auto"/>
        <w:rPr>
          <w:b w:val="1"/>
          <w:bCs w:val="1"/>
          <w:color w:val="4f81bd"/>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2"/>
        <w:spacing w:line="360" w:lineRule="auto"/>
        <w:rPr>
          <w:sz w:val="24"/>
          <w:szCs w:val="24"/>
        </w:rPr>
      </w:pPr>
      <w:r w:rsidDel="00000000" w:rsidR="00000000" w:rsidRPr="00000000">
        <w:rPr>
          <w:sz w:val="24"/>
          <w:szCs w:val="24"/>
          <w:rtl w:val="0"/>
        </w:rPr>
        <w:t xml:space="preserve">References</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ADA,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Standards of Medical Care in Diabetes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https://professional.diabetes.org/standards-of-care</w:t>
      </w:r>
    </w:p>
    <w:p w:rsidR="00000000" w:rsidDel="00000000" w:rsidP="00000000" w:rsidRDefault="00000000" w:rsidRPr="00000000" w14:paraId="00000034">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ArTinian, N.T., Fletcher, G.F., Mozaffarian, D., Kris-Etherton, P., Van Horn, L., Lichtenstein, A.H., Kumanyika, S., Kraus, W.E., Fleg, J.L., Redeker, N.S. and Meininger, J.C., 2010. Interventions to promote physical activity and dietary lifestyle changes for cardiovascular risk factor reduction in adults: a scientific statement from the American Heart Association. </w:t>
      </w:r>
      <w:r w:rsidDel="00000000" w:rsidR="00000000" w:rsidRPr="00000000">
        <w:rPr>
          <w:i w:val="1"/>
          <w:iCs w:val="1"/>
          <w:color w:val="222222"/>
          <w:sz w:val="24"/>
          <w:szCs w:val="24"/>
          <w:highlight w:val="white"/>
          <w:rtl w:val="0"/>
        </w:rPr>
        <w:t xml:space="preserve">Circulation</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122</w:t>
      </w:r>
      <w:r w:rsidDel="00000000" w:rsidR="00000000" w:rsidRPr="00000000">
        <w:rPr>
          <w:color w:val="222222"/>
          <w:sz w:val="24"/>
          <w:szCs w:val="24"/>
          <w:highlight w:val="white"/>
          <w:rtl w:val="0"/>
        </w:rPr>
        <w:t xml:space="preserve">(4), pp.406-441.</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Buse, J.B., Wexler, D.J., Tsapas, A., Rossing, P., Mingrone, G., Mathieu, C., D’Alessio, D.A. and Davies, M.J., 2020. 2019 update to: management of hyperglycemia in type 2 diabetes, 2018. A consensus report by the American Diabetes Association (ADA) and the European Association for the Study of Diabetes (EASD).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Diabetes Care, 43(2), pp. </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487-493.</w:t>
      </w:r>
    </w:p>
    <w:p w:rsidR="00000000" w:rsidDel="00000000" w:rsidP="00000000" w:rsidRDefault="00000000" w:rsidRPr="00000000" w14:paraId="00000036">
      <w:pPr>
        <w:spacing w:line="360" w:lineRule="auto"/>
        <w:ind w:left="720" w:hanging="720"/>
        <w:rPr>
          <w:color w:val="222222"/>
          <w:sz w:val="24"/>
          <w:szCs w:val="24"/>
          <w:highlight w:val="white"/>
        </w:rPr>
      </w:pPr>
      <w:bookmarkStart w:colFirst="0" w:colLast="0" w:name="_7zie2wnio8gf" w:id="0"/>
      <w:bookmarkEnd w:id="0"/>
      <w:r w:rsidDel="00000000" w:rsidR="00000000" w:rsidRPr="00000000">
        <w:rPr>
          <w:color w:val="222222"/>
          <w:sz w:val="24"/>
          <w:szCs w:val="24"/>
          <w:highlight w:val="white"/>
          <w:rtl w:val="0"/>
        </w:rPr>
        <w:t xml:space="preserve">Carmienke, S., Baumert, J., Gabrys, L., Heise, M., Frese, T., Heidemann, C. and Fink, A., 2020. Participation in structured diabetes mellitus self-management education program and association with lifestyle behaviour: results from a population-based study. </w:t>
      </w:r>
      <w:r w:rsidDel="00000000" w:rsidR="00000000" w:rsidRPr="00000000">
        <w:rPr>
          <w:i w:val="1"/>
          <w:iCs w:val="1"/>
          <w:color w:val="222222"/>
          <w:sz w:val="24"/>
          <w:szCs w:val="24"/>
          <w:highlight w:val="white"/>
          <w:rtl w:val="0"/>
        </w:rPr>
        <w:t xml:space="preserve">BMJ Open Diabetes Research &amp; Care</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8</w:t>
      </w:r>
      <w:r w:rsidDel="00000000" w:rsidR="00000000" w:rsidRPr="00000000">
        <w:rPr>
          <w:color w:val="222222"/>
          <w:sz w:val="24"/>
          <w:szCs w:val="24"/>
          <w:highlight w:val="white"/>
          <w:rtl w:val="0"/>
        </w:rPr>
        <w:t xml:space="preserve">(1).</w:t>
      </w:r>
    </w:p>
    <w:p w:rsidR="00000000" w:rsidDel="00000000" w:rsidP="00000000" w:rsidRDefault="00000000" w:rsidRPr="00000000" w14:paraId="00000037">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Chiauzzi, E., Rodarte, C. and DasMahapatra, P., 2015. Patient-centred activity monitoring in the self-management of chronic health conditions. </w:t>
      </w:r>
      <w:r w:rsidDel="00000000" w:rsidR="00000000" w:rsidRPr="00000000">
        <w:rPr>
          <w:i w:val="1"/>
          <w:iCs w:val="1"/>
          <w:color w:val="222222"/>
          <w:sz w:val="24"/>
          <w:szCs w:val="24"/>
          <w:highlight w:val="white"/>
          <w:rtl w:val="0"/>
        </w:rPr>
        <w:t xml:space="preserve">BMC Medicine</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13</w:t>
      </w:r>
      <w:r w:rsidDel="00000000" w:rsidR="00000000" w:rsidRPr="00000000">
        <w:rPr>
          <w:color w:val="222222"/>
          <w:sz w:val="24"/>
          <w:szCs w:val="24"/>
          <w:highlight w:val="white"/>
          <w:rtl w:val="0"/>
        </w:rPr>
        <w:t xml:space="preserve">(1), p.77.</w:t>
      </w:r>
    </w:p>
    <w:p w:rsidR="00000000" w:rsidDel="00000000" w:rsidP="00000000" w:rsidRDefault="00000000" w:rsidRPr="00000000" w14:paraId="00000038">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DeJonckheere, M. and Vaughn, L.M., 2019. Semistructured interviewing in primary care research: a balance of relationship and rigour. </w:t>
      </w:r>
      <w:r w:rsidDel="00000000" w:rsidR="00000000" w:rsidRPr="00000000">
        <w:rPr>
          <w:i w:val="1"/>
          <w:iCs w:val="1"/>
          <w:color w:val="222222"/>
          <w:sz w:val="24"/>
          <w:szCs w:val="24"/>
          <w:highlight w:val="white"/>
          <w:rtl w:val="0"/>
        </w:rPr>
        <w:t xml:space="preserve">Family medicine and community health</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7</w:t>
      </w:r>
      <w:r w:rsidDel="00000000" w:rsidR="00000000" w:rsidRPr="00000000">
        <w:rPr>
          <w:color w:val="222222"/>
          <w:sz w:val="24"/>
          <w:szCs w:val="24"/>
          <w:highlight w:val="white"/>
          <w:rtl w:val="0"/>
        </w:rPr>
        <w:t xml:space="preserve">(2), p.e000057.</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Diabetes UK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Diabetes facts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Diabetes UK. https://www.google.com/aclk?sa=L&amp;ai=DChsSEwjpuPP97IeRAxXjilAGHQj0E6EYACICCAEQABoCZGc&amp;co=1&amp;ase=2&amp;gclid=CjwKCAiA_orJBhBNEiwABkdmjNUgmNndoRDbFwGhVsnAcX3KBxQ7hrTyeW-8K-PzMj-0UAGvLt7X0hoCK1EQAvD_BwE&amp;cce=2&amp;category=acrcp_v1_32&amp;sig=AOD64_2BTC8TEa1bHml-8eiL8wZXQ42N6A&amp;q&amp;nis=4&amp;adurl&amp;ved=2ahUKEwjY1ev97IeRAxX7UUEAHdjQKZYQ0Qx6BAgYEAE</w:t>
      </w:r>
    </w:p>
    <w:p w:rsidR="00000000" w:rsidDel="00000000" w:rsidP="00000000" w:rsidRDefault="00000000" w:rsidRPr="00000000" w14:paraId="0000003A">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Guo, R., Gu, J., Zong, S., Wu, M. and Yang, M., 2018. Structure and mechanism of the mitochondrial electron transport chain. </w:t>
      </w:r>
      <w:r w:rsidDel="00000000" w:rsidR="00000000" w:rsidRPr="00000000">
        <w:rPr>
          <w:i w:val="1"/>
          <w:iCs w:val="1"/>
          <w:color w:val="222222"/>
          <w:sz w:val="24"/>
          <w:szCs w:val="24"/>
          <w:highlight w:val="white"/>
          <w:rtl w:val="0"/>
        </w:rPr>
        <w:t xml:space="preserve">Biomedical journal</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41</w:t>
      </w:r>
      <w:r w:rsidDel="00000000" w:rsidR="00000000" w:rsidRPr="00000000">
        <w:rPr>
          <w:color w:val="222222"/>
          <w:sz w:val="24"/>
          <w:szCs w:val="24"/>
          <w:highlight w:val="white"/>
          <w:rtl w:val="0"/>
        </w:rPr>
        <w:t xml:space="preserve">(1), pp.9-20.</w:t>
      </w:r>
    </w:p>
    <w:p w:rsidR="00000000" w:rsidDel="00000000" w:rsidP="00000000" w:rsidRDefault="00000000" w:rsidRPr="00000000" w14:paraId="0000003B">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Hamid, S.A., 2024. Enhancing comping skills for managing uncomfortable emotions: a comprehensive overview.</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IDF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IDF Diabetes Atlas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International Diabetes Federation. https://diabetesatlas.org/</w:t>
      </w:r>
    </w:p>
    <w:p w:rsidR="00000000" w:rsidDel="00000000" w:rsidP="00000000" w:rsidRDefault="00000000" w:rsidRPr="00000000" w14:paraId="0000003D">
      <w:pPr>
        <w:spacing w:line="360" w:lineRule="auto"/>
        <w:ind w:left="720" w:hanging="720"/>
        <w:rPr>
          <w:sz w:val="24"/>
          <w:szCs w:val="24"/>
        </w:rPr>
      </w:pPr>
      <w:r w:rsidDel="00000000" w:rsidR="00000000" w:rsidRPr="00000000">
        <w:rPr>
          <w:color w:val="222222"/>
          <w:sz w:val="24"/>
          <w:szCs w:val="24"/>
          <w:highlight w:val="white"/>
          <w:rtl w:val="0"/>
        </w:rPr>
        <w:t xml:space="preserve">Imai, C., Li, L., Hardie, R.A. and Georgiou, A., 2021. Adherence to guideline-recommended HbA1c testing frequency and better outcomes in patients with type 2 diabetes: a 5-year retrospective cohort study in Australian general practice. </w:t>
      </w:r>
      <w:r w:rsidDel="00000000" w:rsidR="00000000" w:rsidRPr="00000000">
        <w:rPr>
          <w:i w:val="1"/>
          <w:iCs w:val="1"/>
          <w:color w:val="222222"/>
          <w:sz w:val="24"/>
          <w:szCs w:val="24"/>
          <w:highlight w:val="white"/>
          <w:rtl w:val="0"/>
        </w:rPr>
        <w:t xml:space="preserve">BMJ quality &amp; safety</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30</w:t>
      </w:r>
      <w:r w:rsidDel="00000000" w:rsidR="00000000" w:rsidRPr="00000000">
        <w:rPr>
          <w:color w:val="222222"/>
          <w:sz w:val="24"/>
          <w:szCs w:val="24"/>
          <w:highlight w:val="white"/>
          <w:rtl w:val="0"/>
        </w:rPr>
        <w:t xml:space="preserve">(9), pp.706-714.</w:t>
      </w:r>
      <w:r w:rsidDel="00000000" w:rsidR="00000000" w:rsidRPr="00000000">
        <w:rPr>
          <w:rtl w:val="0"/>
        </w:rPr>
      </w:r>
    </w:p>
    <w:p w:rsidR="00000000" w:rsidDel="00000000" w:rsidP="00000000" w:rsidRDefault="00000000" w:rsidRPr="00000000" w14:paraId="0000003E">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Krist, A.H., Tong, S.T., Aycock, R.A. and Longo, D.R., 2017. Engaging patients in decision-making and behaviour change to promote prevention. </w:t>
      </w:r>
      <w:r w:rsidDel="00000000" w:rsidR="00000000" w:rsidRPr="00000000">
        <w:rPr>
          <w:i w:val="1"/>
          <w:iCs w:val="1"/>
          <w:color w:val="222222"/>
          <w:sz w:val="24"/>
          <w:szCs w:val="24"/>
          <w:highlight w:val="white"/>
          <w:rtl w:val="0"/>
        </w:rPr>
        <w:t xml:space="preserve">Information Services and Use</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37</w:t>
      </w:r>
      <w:r w:rsidDel="00000000" w:rsidR="00000000" w:rsidRPr="00000000">
        <w:rPr>
          <w:color w:val="222222"/>
          <w:sz w:val="24"/>
          <w:szCs w:val="24"/>
          <w:highlight w:val="white"/>
          <w:rtl w:val="0"/>
        </w:rPr>
        <w:t xml:space="preserve">(2), pp.105-122.</w:t>
      </w:r>
    </w:p>
    <w:p w:rsidR="00000000" w:rsidDel="00000000" w:rsidP="00000000" w:rsidRDefault="00000000" w:rsidRPr="00000000" w14:paraId="0000003F">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Kvarnström, K., Westerholm, A., Airaksinen, M. and Liira, H., 2021. Factors contributing to medication adherence in patients with a chronic condition: a scoping review of qualitative research. </w:t>
      </w:r>
      <w:r w:rsidDel="00000000" w:rsidR="00000000" w:rsidRPr="00000000">
        <w:rPr>
          <w:i w:val="1"/>
          <w:iCs w:val="1"/>
          <w:color w:val="222222"/>
          <w:sz w:val="24"/>
          <w:szCs w:val="24"/>
          <w:highlight w:val="white"/>
          <w:rtl w:val="0"/>
        </w:rPr>
        <w:t xml:space="preserve">Pharmaceutics</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13</w:t>
      </w:r>
      <w:r w:rsidDel="00000000" w:rsidR="00000000" w:rsidRPr="00000000">
        <w:rPr>
          <w:color w:val="222222"/>
          <w:sz w:val="24"/>
          <w:szCs w:val="24"/>
          <w:highlight w:val="white"/>
          <w:rtl w:val="0"/>
        </w:rPr>
        <w:t xml:space="preserve">(7), p.1100.</w:t>
      </w:r>
    </w:p>
    <w:p w:rsidR="00000000" w:rsidDel="00000000" w:rsidP="00000000" w:rsidRDefault="00000000" w:rsidRPr="00000000" w14:paraId="00000040">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Lambert, M., Luke, J., Downey, B., Crengle, S., Kelaher, M., Reid, S. and Smylie, J., 2014. Health literacy: health professionals’ understandings and their perceptions of barriers that Indigenous patients encounter. </w:t>
      </w:r>
      <w:r w:rsidDel="00000000" w:rsidR="00000000" w:rsidRPr="00000000">
        <w:rPr>
          <w:i w:val="1"/>
          <w:iCs w:val="1"/>
          <w:color w:val="222222"/>
          <w:sz w:val="24"/>
          <w:szCs w:val="24"/>
          <w:highlight w:val="white"/>
          <w:rtl w:val="0"/>
        </w:rPr>
        <w:t xml:space="preserve">BMC health services research</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14</w:t>
      </w:r>
      <w:r w:rsidDel="00000000" w:rsidR="00000000" w:rsidRPr="00000000">
        <w:rPr>
          <w:color w:val="222222"/>
          <w:sz w:val="24"/>
          <w:szCs w:val="24"/>
          <w:highlight w:val="white"/>
          <w:rtl w:val="0"/>
        </w:rPr>
        <w:t xml:space="preserve">(1), p.614.</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Lean, M.E., Leslie, W.S., Barnes, A.C., Brosnahan, N., Thom, G., McCombie, L., Peters, C., Zhyzhneuskaya, S., Al-Mrabeh, A., Hollingsworth, K.G. and Rodrigues, A.M., 2019. Primary care-led weight management for remission of type 2 diabetes (DiRECT): an open-label, cluster-randomised trial.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The Lancet</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391</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(10120), pp.541-551.</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Miller-Rosales, C., Brewster, A.L., Shortell, S.M. and Rodriguez, H.P., 2023. Multilevel Influences on Physician Practice, Patient Engagement, and Chronic Care Management.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The American journal of managed care</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222222"/>
          <w:sz w:val="24"/>
          <w:szCs w:val="24"/>
          <w:highlight w:val="white"/>
          <w:u w:val="none"/>
          <w:vertAlign w:val="baseline"/>
          <w:rtl w:val="0"/>
        </w:rPr>
        <w:t xml:space="preserve">29</w:t>
      </w:r>
      <w:r w:rsidDel="00000000" w:rsidR="00000000" w:rsidRPr="00000000">
        <w:rPr>
          <w:rFonts w:ascii="Times New Roman" w:cs="Times New Roman" w:eastAsia="Times New Roman" w:hAnsi="Times New Roman"/>
          <w:b w:val="0"/>
          <w:bCs w:val="0"/>
          <w:i w:val="0"/>
          <w:iCs w:val="0"/>
          <w:smallCaps w:val="0"/>
          <w:strike w:val="0"/>
          <w:color w:val="222222"/>
          <w:sz w:val="24"/>
          <w:szCs w:val="24"/>
          <w:highlight w:val="white"/>
          <w:u w:val="none"/>
          <w:vertAlign w:val="baseline"/>
          <w:rtl w:val="0"/>
        </w:rPr>
        <w:t xml:space="preserve">(4), p.196.</w:t>
      </w:r>
    </w:p>
    <w:p w:rsidR="00000000" w:rsidDel="00000000" w:rsidP="00000000" w:rsidRDefault="00000000" w:rsidRPr="00000000" w14:paraId="00000043">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Mokaya, M.M., Matthys, C. and Vangoitsenhoven, R., 2023. Using Health to Optimise Glycaemic Control In Adults With Type 2 Diabetes In Low-Income Settings.</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England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NHS Diabetes Prevention Programme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NHS England. https://www.england.nhs.uk/diabetes/diabetes-prevention/</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NICE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NG28: Type 2 diabetes in adults: management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National Institute for Health and Care Excellence. https://www.nice.org.uk/guidance/ng28</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Health England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Health Inequalities in Diabetes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Public Health England. https://digital.nhs.uk/data-and-information/publications/statistical/national-diabetes-audit/report-1-care-processes-and-treatment-targets-2021-22-full-report/health-ineq-1718-2122</w:t>
      </w:r>
    </w:p>
    <w:p w:rsidR="00000000" w:rsidDel="00000000" w:rsidP="00000000" w:rsidRDefault="00000000" w:rsidRPr="00000000" w14:paraId="00000047">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Smith, W., Melby, C., Hickey, M. and Nelson, T., 2011. The effects of a single bout of exercise on plasma triglycerides, glucose, and insulin following consumption of a high-fat mixed macronutrient meal.</w:t>
      </w:r>
    </w:p>
    <w:p w:rsidR="00000000" w:rsidDel="00000000" w:rsidP="00000000" w:rsidRDefault="00000000" w:rsidRPr="00000000" w14:paraId="00000048">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Yinusa, G., Scammell, J., Murphy, J., Ford, G. and Baron, S., 2021. Multidisciplinary provision of food and nutritional care to hospitalised adult in-patients: a scoping review. </w:t>
      </w:r>
      <w:r w:rsidDel="00000000" w:rsidR="00000000" w:rsidRPr="00000000">
        <w:rPr>
          <w:i w:val="1"/>
          <w:iCs w:val="1"/>
          <w:color w:val="222222"/>
          <w:sz w:val="24"/>
          <w:szCs w:val="24"/>
          <w:highlight w:val="white"/>
          <w:rtl w:val="0"/>
        </w:rPr>
        <w:t xml:space="preserve">Journal of Multidisciplinary Healthcare</w:t>
      </w:r>
      <w:r w:rsidDel="00000000" w:rsidR="00000000" w:rsidRPr="00000000">
        <w:rPr>
          <w:color w:val="222222"/>
          <w:sz w:val="24"/>
          <w:szCs w:val="24"/>
          <w:highlight w:val="white"/>
          <w:rtl w:val="0"/>
        </w:rPr>
        <w:t xml:space="preserve">, pp.459-491.</w:t>
      </w:r>
    </w:p>
    <w:p w:rsidR="00000000" w:rsidDel="00000000" w:rsidP="00000000" w:rsidRDefault="00000000" w:rsidRPr="00000000" w14:paraId="00000049">
      <w:pPr>
        <w:spacing w:line="360" w:lineRule="auto"/>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spacing w:after="0" w:before="200" w:lineRule="auto"/>
    </w:pPr>
    <w:rPr>
      <w:rFonts w:ascii="Cambria" w:cs="Cambria" w:eastAsia="Cambria" w:hAnsi="Cambria"/>
      <w:b w:val="1"/>
      <w:bCs w:val="1"/>
      <w:color w:val="4f81bd"/>
      <w:sz w:val="26"/>
      <w:szCs w:val="26"/>
    </w:rPr>
  </w:style>
  <w:style w:type="paragraph" w:styleId="Heading3">
    <w:name w:val="heading 3"/>
    <w:basedOn w:val="Normal"/>
    <w:next w:val="Normal"/>
    <w:pPr>
      <w:spacing w:line="240" w:lineRule="auto"/>
    </w:pPr>
    <w:rPr>
      <w:rFonts w:ascii="Times New Roman" w:cs="Times New Roman" w:eastAsia="Times New Roman" w:hAnsi="Times New Roman"/>
      <w:b w:val="1"/>
      <w:bCs w:val="1"/>
      <w:sz w:val="27"/>
      <w:szCs w:val="27"/>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919a685f-5aca-44f8-8bea-2170ec91b268</vt:lpwstr>
  </property>
</Properties>
</file>