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1584A" w14:textId="0106DE14" w:rsidR="004E1D83" w:rsidRDefault="006A5915" w:rsidP="006A5915">
      <w:pPr>
        <w:jc w:val="center"/>
        <w:rPr>
          <w:rFonts w:ascii="Arial" w:hAnsi="Arial" w:cs="Arial"/>
          <w:b/>
          <w:bCs/>
          <w:sz w:val="36"/>
          <w:szCs w:val="36"/>
          <w:u w:val="single"/>
        </w:rPr>
      </w:pPr>
      <w:r w:rsidRPr="006A5915">
        <w:rPr>
          <w:rFonts w:ascii="Arial" w:hAnsi="Arial" w:cs="Arial"/>
          <w:b/>
          <w:bCs/>
          <w:sz w:val="36"/>
          <w:szCs w:val="36"/>
          <w:u w:val="single"/>
        </w:rPr>
        <w:t xml:space="preserve">A critical evaluation and the identification of next teaching and learning steps </w:t>
      </w:r>
      <w:r w:rsidRPr="006A5915">
        <w:rPr>
          <w:rFonts w:ascii="Arial" w:hAnsi="Arial" w:cs="Arial"/>
          <w:b/>
          <w:bCs/>
          <w:sz w:val="36"/>
          <w:szCs w:val="36"/>
          <w:u w:val="single"/>
        </w:rPr>
        <w:br/>
        <w:t xml:space="preserve">focusing on a case study of an individual learner or a group of learners, based on an </w:t>
      </w:r>
      <w:r w:rsidRPr="006A5915">
        <w:rPr>
          <w:rFonts w:ascii="Arial" w:hAnsi="Arial" w:cs="Arial"/>
          <w:b/>
          <w:bCs/>
          <w:sz w:val="36"/>
          <w:szCs w:val="36"/>
          <w:u w:val="single"/>
        </w:rPr>
        <w:br/>
        <w:t>observed critical incident.</w:t>
      </w:r>
    </w:p>
    <w:p w14:paraId="7F8266C0" w14:textId="48ACCA83" w:rsidR="006A5915" w:rsidRDefault="006A5915" w:rsidP="006A5915">
      <w:pPr>
        <w:jc w:val="center"/>
        <w:rPr>
          <w:rFonts w:ascii="Arial" w:hAnsi="Arial" w:cs="Arial"/>
          <w:b/>
          <w:bCs/>
          <w:sz w:val="36"/>
          <w:szCs w:val="36"/>
          <w:u w:val="single"/>
        </w:rPr>
      </w:pPr>
    </w:p>
    <w:p w14:paraId="2301F47C" w14:textId="42819A70" w:rsidR="006A5915" w:rsidRPr="006A5915" w:rsidRDefault="006A5915" w:rsidP="006A5915">
      <w:pPr>
        <w:rPr>
          <w:rFonts w:ascii="Arial" w:hAnsi="Arial" w:cs="Arial"/>
          <w:b/>
          <w:bCs/>
          <w:sz w:val="28"/>
          <w:szCs w:val="28"/>
        </w:rPr>
      </w:pPr>
      <w:r>
        <w:rPr>
          <w:rFonts w:ascii="Arial" w:hAnsi="Arial" w:cs="Arial"/>
          <w:b/>
          <w:bCs/>
          <w:sz w:val="28"/>
          <w:szCs w:val="28"/>
        </w:rPr>
        <w:t>Introduction:</w:t>
      </w:r>
    </w:p>
    <w:p w14:paraId="520427BA" w14:textId="010E9F9F" w:rsidR="003D0D7D" w:rsidRDefault="003D0D7D" w:rsidP="006A5915">
      <w:pPr>
        <w:pStyle w:val="paragraph"/>
        <w:spacing w:line="360" w:lineRule="auto"/>
        <w:textAlignment w:val="baseline"/>
        <w:rPr>
          <w:rStyle w:val="normaltextrun"/>
          <w:rFonts w:ascii="Arial" w:hAnsi="Arial" w:cs="Arial"/>
          <w:sz w:val="22"/>
          <w:szCs w:val="22"/>
        </w:rPr>
      </w:pPr>
      <w:r w:rsidRPr="006A5915">
        <w:rPr>
          <w:rStyle w:val="normaltextrun"/>
          <w:rFonts w:ascii="Arial" w:hAnsi="Arial" w:cs="Arial"/>
          <w:sz w:val="22"/>
          <w:szCs w:val="22"/>
        </w:rPr>
        <w:t>This critical evaluation will consider the strengths and weakness, as well as the challenges, of an observed critical incident in a classroom or school setting. Using theory, it will aim to assess the rationale used within the critical incident and reflect upon the observation to distinguish methods used. In this evaluation, the term ‘critical incident’ will refer to an event that can be interpreted as relevant or important to the learning. The critical incident being evaluated has been observed in a school setting which will be reflected upon to link theory to practice. Tripp (1993) understands that a technique for effective self-reflection is critical incident analysis. This critical incident will form the basis for critical reflection and will be linked to relevant Welsh guidance including the new curriculum 2022 with a focus on the four purposes and learning theories. It will consider theories of learning including the benefits of collaborative working with peers, behaviour management such as the effects of positive reinforcement, and how the effects of a world-wide pandemic have shaped the way children are developing in early year settings. In this critical evaluation, the reflective practise used is based on the reflective model outlined by Rolfe, Freshwater &amp; Jasper (2001) and looks at ‘What?’, ‘So what?’, and ‘Now What?’. This reflective practice will support the development of professional practice and be built upon during the reflection further on looking at Pedagogical Principles (Donaldson, 2015) and the Professional QTS (Qualified Teacher Status) standards (Welsh Government, 2020). </w:t>
      </w:r>
    </w:p>
    <w:p w14:paraId="290E3D94" w14:textId="6EC21933" w:rsidR="006A5915" w:rsidRPr="006A5915" w:rsidRDefault="006A5915" w:rsidP="006A5915">
      <w:pPr>
        <w:pStyle w:val="paragraph"/>
        <w:spacing w:line="360" w:lineRule="auto"/>
        <w:textAlignment w:val="baseline"/>
        <w:rPr>
          <w:rFonts w:ascii="Arial" w:hAnsi="Arial" w:cs="Arial"/>
          <w:b/>
          <w:bCs/>
          <w:sz w:val="28"/>
          <w:szCs w:val="28"/>
        </w:rPr>
      </w:pPr>
      <w:r>
        <w:rPr>
          <w:rStyle w:val="normaltextrun"/>
          <w:rFonts w:ascii="Arial" w:hAnsi="Arial" w:cs="Arial"/>
          <w:b/>
          <w:bCs/>
          <w:sz w:val="28"/>
          <w:szCs w:val="28"/>
        </w:rPr>
        <w:t>The Role of Critical Reflection:</w:t>
      </w:r>
    </w:p>
    <w:p w14:paraId="0474FCD7" w14:textId="0F8C6BCC" w:rsidR="003D0D7D" w:rsidRDefault="003D0D7D" w:rsidP="006A5915">
      <w:pPr>
        <w:pStyle w:val="paragraph"/>
        <w:spacing w:line="360" w:lineRule="auto"/>
        <w:textAlignment w:val="baseline"/>
        <w:rPr>
          <w:rStyle w:val="eop"/>
          <w:rFonts w:ascii="Arial" w:hAnsi="Arial" w:cs="Arial"/>
          <w:sz w:val="22"/>
          <w:szCs w:val="22"/>
        </w:rPr>
      </w:pPr>
      <w:r w:rsidRPr="006A5915">
        <w:rPr>
          <w:rStyle w:val="normaltextrun"/>
          <w:rFonts w:ascii="Arial" w:hAnsi="Arial" w:cs="Arial"/>
          <w:sz w:val="22"/>
          <w:szCs w:val="22"/>
        </w:rPr>
        <w:t xml:space="preserve">Cottrell (2017) identifies critical reflection as a process of reflection that involves professionals clarifying their thinking, understanding why certain methods are used, and reinforcing learning with the intention of leading to positive change. BERA (2014) states that “good teaching, they argue, develops from interrogating one’s practice and making explicit the assumptions and values that underpin it” (pp. 20). Teachers who engage in critical reflection are viewed to demonstrate their commitment to learning by reflecting and </w:t>
      </w:r>
      <w:r w:rsidRPr="006A5915">
        <w:rPr>
          <w:rStyle w:val="normaltextrun"/>
          <w:rFonts w:ascii="Arial" w:hAnsi="Arial" w:cs="Arial"/>
          <w:sz w:val="22"/>
          <w:szCs w:val="22"/>
        </w:rPr>
        <w:lastRenderedPageBreak/>
        <w:t xml:space="preserve">reviewing their professional practice with the aim of improving their effectiveness and their professional development according to </w:t>
      </w:r>
      <w:proofErr w:type="spellStart"/>
      <w:r w:rsidRPr="006A5915">
        <w:rPr>
          <w:rStyle w:val="normaltextrun"/>
          <w:rFonts w:ascii="Arial" w:hAnsi="Arial" w:cs="Arial"/>
          <w:sz w:val="22"/>
          <w:szCs w:val="22"/>
        </w:rPr>
        <w:t>Zwozdiak</w:t>
      </w:r>
      <w:proofErr w:type="spellEnd"/>
      <w:r w:rsidRPr="006A5915">
        <w:rPr>
          <w:rStyle w:val="normaltextrun"/>
          <w:rFonts w:ascii="Arial" w:hAnsi="Arial" w:cs="Arial"/>
          <w:sz w:val="22"/>
          <w:szCs w:val="22"/>
        </w:rPr>
        <w:t xml:space="preserve">-Myers (2012). This coincides with the Professional QTS standards in several areas including continuing professional development to prompt professional growth using critical thinking to guide this process (Welsh Government, 2017). Reflective practice is linked closely to the work of Dewey (1933) with the three reflective attitudes of open-mindedness, responsibility, and wholeheartedness. Dewey (1933) continued with the idea that in order to successfully be able to critically reflect, professionals must be able to recognise more than one view, take responsibility for their actions whilst accepting consequences, and have the enthusiasm to learn new approaches and continue with their professional development; the idea of being open to learning something new to continue professional development is also supported by </w:t>
      </w:r>
      <w:proofErr w:type="spellStart"/>
      <w:r w:rsidRPr="006A5915">
        <w:rPr>
          <w:rStyle w:val="normaltextrun"/>
          <w:rFonts w:ascii="Arial" w:hAnsi="Arial" w:cs="Arial"/>
          <w:sz w:val="22"/>
          <w:szCs w:val="22"/>
        </w:rPr>
        <w:t>Zeichner</w:t>
      </w:r>
      <w:proofErr w:type="spellEnd"/>
      <w:r w:rsidRPr="006A5915">
        <w:rPr>
          <w:rStyle w:val="normaltextrun"/>
          <w:rFonts w:ascii="Arial" w:hAnsi="Arial" w:cs="Arial"/>
          <w:sz w:val="22"/>
          <w:szCs w:val="22"/>
        </w:rPr>
        <w:t xml:space="preserve"> and Liston (1996). Critical reflection often involves breaking assumptions of everyday practice to become more self-aware according to Finlay (2008); this idea stems from McKay (2008) with the stance that professional reflective practice is based on reflecting on a performance and then acting on the reflection. This could be seen as important when considering the Welsh Curriculum being rolled out across Wales and the idea that practitioners should provide engaging and relevant learning opportunities to all learners using observations to support this (Welsh Government, 2021); this idea can be linked to Schon’s Reflective Model (1983) and the understanding that reflection can take place in the moment and after the moment. It could be argued that to provide learners with relevant learning opportunities, practitioners need to be able to reflect in action and be able to adapt accordingly. Littleton et al. (2005) highlighted that there is a strong link between how practitioners engage with children and the development of a child; whilst practitioners often reflect every day without noticing (Hargreaves and Page, 2013), being able to be aware that critical reflection has taken place is an ongoing practitioner development according to Mann, Gordon, &amp; MacLeod, </w:t>
      </w:r>
      <w:r w:rsidR="007C4F7E">
        <w:rPr>
          <w:rStyle w:val="normaltextrun"/>
          <w:rFonts w:ascii="Arial" w:hAnsi="Arial" w:cs="Arial"/>
          <w:sz w:val="22"/>
          <w:szCs w:val="22"/>
        </w:rPr>
        <w:t>(</w:t>
      </w:r>
      <w:r w:rsidRPr="006A5915">
        <w:rPr>
          <w:rStyle w:val="normaltextrun"/>
          <w:rFonts w:ascii="Arial" w:hAnsi="Arial" w:cs="Arial"/>
          <w:sz w:val="22"/>
          <w:szCs w:val="22"/>
        </w:rPr>
        <w:t>2007). This evaluation of a critical incident will use Rolfe, Freshwater &amp; Jasper</w:t>
      </w:r>
      <w:r w:rsidR="007C4F7E">
        <w:rPr>
          <w:rStyle w:val="normaltextrun"/>
          <w:rFonts w:ascii="Arial" w:hAnsi="Arial" w:cs="Arial"/>
          <w:sz w:val="22"/>
          <w:szCs w:val="22"/>
        </w:rPr>
        <w:t>’s</w:t>
      </w:r>
      <w:r w:rsidRPr="006A5915">
        <w:rPr>
          <w:rStyle w:val="normaltextrun"/>
          <w:rFonts w:ascii="Arial" w:hAnsi="Arial" w:cs="Arial"/>
          <w:sz w:val="22"/>
          <w:szCs w:val="22"/>
        </w:rPr>
        <w:t xml:space="preserve"> (2001) reflective model to guide the process considering what happened leading to how this could then guide future practice and develop professional development going forward.   </w:t>
      </w:r>
      <w:r w:rsidRPr="006A5915">
        <w:rPr>
          <w:rStyle w:val="eop"/>
          <w:rFonts w:ascii="Arial" w:hAnsi="Arial" w:cs="Arial"/>
          <w:sz w:val="22"/>
          <w:szCs w:val="22"/>
        </w:rPr>
        <w:t> </w:t>
      </w:r>
    </w:p>
    <w:p w14:paraId="318C1B1A" w14:textId="7EF09B97" w:rsidR="006A5915" w:rsidRPr="006A5915" w:rsidRDefault="006A5915" w:rsidP="006A5915">
      <w:pPr>
        <w:pStyle w:val="paragraph"/>
        <w:spacing w:line="360" w:lineRule="auto"/>
        <w:textAlignment w:val="baseline"/>
        <w:rPr>
          <w:rFonts w:ascii="Arial" w:hAnsi="Arial" w:cs="Arial"/>
          <w:b/>
          <w:bCs/>
          <w:sz w:val="28"/>
          <w:szCs w:val="28"/>
        </w:rPr>
      </w:pPr>
      <w:r>
        <w:rPr>
          <w:rStyle w:val="eop"/>
          <w:rFonts w:ascii="Arial" w:hAnsi="Arial" w:cs="Arial"/>
          <w:b/>
          <w:bCs/>
          <w:sz w:val="28"/>
          <w:szCs w:val="28"/>
        </w:rPr>
        <w:t>Observation:</w:t>
      </w:r>
    </w:p>
    <w:p w14:paraId="20A0DBC1" w14:textId="5B6E2F3F" w:rsidR="003D0D7D" w:rsidRPr="006A5915" w:rsidRDefault="003D0D7D" w:rsidP="006A5915">
      <w:pPr>
        <w:pStyle w:val="paragraph"/>
        <w:spacing w:line="360" w:lineRule="auto"/>
        <w:textAlignment w:val="baseline"/>
        <w:rPr>
          <w:rFonts w:ascii="Arial" w:hAnsi="Arial" w:cs="Arial"/>
          <w:sz w:val="22"/>
          <w:szCs w:val="22"/>
        </w:rPr>
      </w:pPr>
      <w:r w:rsidRPr="006A5915">
        <w:rPr>
          <w:rStyle w:val="normaltextrun"/>
          <w:rFonts w:ascii="Arial" w:hAnsi="Arial" w:cs="Arial"/>
          <w:sz w:val="22"/>
          <w:szCs w:val="22"/>
        </w:rPr>
        <w:t>This critical evaluation will follow the BERA (2018) guidelines ensuring that the school and the individuals have complete anonymity and their right to confidentiality. This means that the school's name will not be mentioned during this evaluation and the children will be referred to as Child A, B and so forth.   </w:t>
      </w:r>
      <w:r w:rsidRPr="006A5915">
        <w:rPr>
          <w:rStyle w:val="bcx2"/>
          <w:rFonts w:ascii="Arial" w:hAnsi="Arial" w:cs="Arial"/>
          <w:sz w:val="22"/>
          <w:szCs w:val="22"/>
        </w:rPr>
        <w:t> </w:t>
      </w:r>
      <w:r w:rsidRPr="006A5915">
        <w:rPr>
          <w:rFonts w:ascii="Arial" w:hAnsi="Arial" w:cs="Arial"/>
          <w:sz w:val="22"/>
          <w:szCs w:val="22"/>
        </w:rPr>
        <w:br/>
      </w:r>
      <w:r w:rsidRPr="006A5915">
        <w:rPr>
          <w:rStyle w:val="normaltextrun"/>
          <w:rFonts w:ascii="Arial" w:hAnsi="Arial" w:cs="Arial"/>
          <w:sz w:val="22"/>
          <w:szCs w:val="22"/>
        </w:rPr>
        <w:t xml:space="preserve">The observation of the critical incident took place at an English medium primary school in Swansea with 365 pupils on roll during the last Estyn inspection (2014); however, the school </w:t>
      </w:r>
      <w:r w:rsidRPr="006A5915">
        <w:rPr>
          <w:rStyle w:val="normaltextrun"/>
          <w:rFonts w:ascii="Arial" w:hAnsi="Arial" w:cs="Arial"/>
          <w:sz w:val="22"/>
          <w:szCs w:val="22"/>
        </w:rPr>
        <w:lastRenderedPageBreak/>
        <w:t>has merged to a new site meaning that number may be higher during the observation. The school have very low number of English as Additional Language (EAL) whilst having 28% of students entitled to free school meals; this is higher than the national average of 18.2% back in 2013 (Save the Children, 2013). Those with Additional Learning Needs (ALN) are at 23% with very few children in the school having a statement of needs. It is noted in Estyn (2014) that the performance of pupils at the end of Foundation Phase and leaving Key Stage 2, is considerably lower compared to similar schools in the area with standards of Welsh also being highlighted as weak. This could be due to the attendance levels falling with the school in the lower 50% when, again, comparing it to similar schools.  </w:t>
      </w:r>
      <w:r w:rsidRPr="006A5915">
        <w:rPr>
          <w:rStyle w:val="eop"/>
          <w:rFonts w:ascii="Arial" w:hAnsi="Arial" w:cs="Arial"/>
          <w:sz w:val="22"/>
          <w:szCs w:val="22"/>
        </w:rPr>
        <w:t> </w:t>
      </w:r>
    </w:p>
    <w:p w14:paraId="3B58E1E5" w14:textId="4D72A167" w:rsidR="006A5915" w:rsidRPr="006A5915" w:rsidRDefault="003D0D7D" w:rsidP="006A5915">
      <w:pPr>
        <w:pStyle w:val="paragraph"/>
        <w:spacing w:line="360" w:lineRule="auto"/>
        <w:textAlignment w:val="baseline"/>
        <w:rPr>
          <w:rFonts w:ascii="Arial" w:hAnsi="Arial" w:cs="Arial"/>
          <w:b/>
          <w:bCs/>
          <w:sz w:val="28"/>
          <w:szCs w:val="28"/>
        </w:rPr>
      </w:pPr>
      <w:r w:rsidRPr="006A5915">
        <w:rPr>
          <w:rStyle w:val="normaltextrun"/>
          <w:rFonts w:ascii="Arial" w:hAnsi="Arial" w:cs="Arial"/>
          <w:sz w:val="22"/>
          <w:szCs w:val="22"/>
        </w:rPr>
        <w:t> </w:t>
      </w:r>
      <w:r w:rsidRPr="006A5915">
        <w:rPr>
          <w:rStyle w:val="eop"/>
          <w:rFonts w:ascii="Arial" w:hAnsi="Arial" w:cs="Arial"/>
          <w:sz w:val="22"/>
          <w:szCs w:val="22"/>
        </w:rPr>
        <w:t> </w:t>
      </w:r>
      <w:r w:rsidR="006A5915">
        <w:rPr>
          <w:rStyle w:val="eop"/>
          <w:rFonts w:ascii="Arial" w:hAnsi="Arial" w:cs="Arial"/>
          <w:b/>
          <w:bCs/>
          <w:sz w:val="28"/>
          <w:szCs w:val="28"/>
        </w:rPr>
        <w:t>Critical Incident linked to Donaldson’s Four Purposes:</w:t>
      </w:r>
    </w:p>
    <w:p w14:paraId="65798606" w14:textId="741A1EA3" w:rsidR="003D0D7D" w:rsidRDefault="003D0D7D" w:rsidP="006A5915">
      <w:pPr>
        <w:pStyle w:val="paragraph"/>
        <w:spacing w:line="360" w:lineRule="auto"/>
        <w:textAlignment w:val="baseline"/>
        <w:rPr>
          <w:rFonts w:ascii="Arial" w:hAnsi="Arial" w:cs="Arial"/>
          <w:sz w:val="22"/>
          <w:szCs w:val="22"/>
        </w:rPr>
      </w:pPr>
      <w:r w:rsidRPr="006A5915">
        <w:rPr>
          <w:rStyle w:val="normaltextrun"/>
          <w:rFonts w:ascii="Arial" w:hAnsi="Arial" w:cs="Arial"/>
          <w:sz w:val="22"/>
          <w:szCs w:val="22"/>
        </w:rPr>
        <w:t xml:space="preserve">The observation focuses on a phonics lesson in a reception class, where the children are aged between 4-5 years old; the phonics lesson is taking place directly after lunch at 12:50pm and the children are sat on the carpet facing the interactive whiteboard. The teacher announces to the class that it is time for ‘Jolly Phonics’, an action song that teaches the children phonics through nursery rhymes found on </w:t>
      </w:r>
      <w:proofErr w:type="spellStart"/>
      <w:r w:rsidRPr="006A5915">
        <w:rPr>
          <w:rStyle w:val="normaltextrun"/>
          <w:rFonts w:ascii="Arial" w:hAnsi="Arial" w:cs="Arial"/>
          <w:sz w:val="22"/>
          <w:szCs w:val="22"/>
        </w:rPr>
        <w:t>Youtube</w:t>
      </w:r>
      <w:proofErr w:type="spellEnd"/>
      <w:r w:rsidRPr="006A5915">
        <w:rPr>
          <w:rStyle w:val="normaltextrun"/>
          <w:rFonts w:ascii="Arial" w:hAnsi="Arial" w:cs="Arial"/>
          <w:sz w:val="22"/>
          <w:szCs w:val="22"/>
        </w:rPr>
        <w:t xml:space="preserve"> and asked if they were ready to begin. It was noted that Child A crossed his arms, slouched over, and looked visibly upset that it was time for phonics. The teacher reminded the children that there would be reward points for children who ‘tried’; a large emphasis was placed on the word ‘tried’ as she explained she did not mind if the children did not know the sounds, but they could still try the actions. During the song, it was observed that Child A did not join in until the letter ‘F’ where he began copying Child B next to him and did not watch the screen for the entirety of the song. This critical incident appears to link in to the ‘healthy, confident individual’ purpose when considering Donaldson’s Four Purposes (2015). The observation included Child A withdrawing from the activity before it started; this could be for a number of reasons including consequences of failure in the past, lack of skills from observations, or lack of confidence to try (Eleby, 2009). In this incident, Child A began to join in after watching Child B join in which is something that will be explored during the literature review and how the child learns best. It is also important to recognise that Child A, for some reason, chose to watch Child B. This is important because all of the children were joining in an he could have watched any of them, or the teacher, or the screen, but Child A looked across the carpet to mimic Child B. This links to the idea that children should form positive relationships; Child A appeared to have put his trust in Child B to copy the actions correctly so that he, too, could get it right</w:t>
      </w:r>
      <w:r w:rsidR="00E3112D" w:rsidRPr="006A5915">
        <w:rPr>
          <w:rStyle w:val="normaltextrun"/>
          <w:rFonts w:ascii="Arial" w:hAnsi="Arial" w:cs="Arial"/>
          <w:sz w:val="22"/>
          <w:szCs w:val="22"/>
        </w:rPr>
        <w:t xml:space="preserve"> (see Appendix C)</w:t>
      </w:r>
      <w:r w:rsidRPr="006A5915">
        <w:rPr>
          <w:rStyle w:val="normaltextrun"/>
          <w:rFonts w:ascii="Arial" w:hAnsi="Arial" w:cs="Arial"/>
          <w:sz w:val="22"/>
          <w:szCs w:val="22"/>
        </w:rPr>
        <w:t xml:space="preserve">. The critical incident also links to the purpose of ambitions and capable learners as a majority of the children were ready to enjoy a new challenge whilst building on the knowledge they already had. During the observation, the teacher was using </w:t>
      </w:r>
      <w:r w:rsidRPr="006A5915">
        <w:rPr>
          <w:rStyle w:val="normaltextrun"/>
          <w:rFonts w:ascii="Arial" w:hAnsi="Arial" w:cs="Arial"/>
          <w:sz w:val="22"/>
          <w:szCs w:val="22"/>
        </w:rPr>
        <w:lastRenderedPageBreak/>
        <w:t>differentiation for the children by asking ‘Whose name starts with a ‘s’ sound?’ The children were quick to answer if their name started with that sound or if they knew whose name did; this idea was a very subtle form of differentiation which allowed the children to build up their knowledge and use their skills to connect it to different context which also relates to the idea of schemas maintained by Piaget (1952); this will be explored more during the literature review.   </w:t>
      </w:r>
      <w:r w:rsidRPr="006A5915">
        <w:rPr>
          <w:rStyle w:val="eop"/>
          <w:rFonts w:ascii="Arial" w:hAnsi="Arial" w:cs="Arial"/>
          <w:sz w:val="22"/>
          <w:szCs w:val="22"/>
        </w:rPr>
        <w:t> </w:t>
      </w:r>
    </w:p>
    <w:p w14:paraId="291649E7" w14:textId="09AF5C1C" w:rsidR="006A5915" w:rsidRPr="006A5915" w:rsidRDefault="006A5915" w:rsidP="006A5915">
      <w:pPr>
        <w:pStyle w:val="paragraph"/>
        <w:spacing w:line="360" w:lineRule="auto"/>
        <w:textAlignment w:val="baseline"/>
        <w:rPr>
          <w:rFonts w:ascii="Arial" w:hAnsi="Arial" w:cs="Arial"/>
          <w:b/>
          <w:bCs/>
          <w:sz w:val="28"/>
          <w:szCs w:val="28"/>
        </w:rPr>
      </w:pPr>
      <w:r>
        <w:rPr>
          <w:rFonts w:ascii="Arial" w:hAnsi="Arial" w:cs="Arial"/>
          <w:b/>
          <w:bCs/>
          <w:sz w:val="28"/>
          <w:szCs w:val="28"/>
        </w:rPr>
        <w:t>Literature Review:</w:t>
      </w:r>
    </w:p>
    <w:p w14:paraId="0217846D" w14:textId="77777777" w:rsidR="003D0D7D" w:rsidRPr="006A5915" w:rsidRDefault="003D0D7D" w:rsidP="006A5915">
      <w:pPr>
        <w:pStyle w:val="paragraph"/>
        <w:spacing w:line="360" w:lineRule="auto"/>
        <w:textAlignment w:val="baseline"/>
        <w:rPr>
          <w:rFonts w:ascii="Arial" w:hAnsi="Arial" w:cs="Arial"/>
          <w:sz w:val="22"/>
          <w:szCs w:val="22"/>
        </w:rPr>
      </w:pPr>
      <w:r w:rsidRPr="006A5915">
        <w:rPr>
          <w:rStyle w:val="normaltextrun"/>
          <w:rFonts w:ascii="Arial" w:hAnsi="Arial" w:cs="Arial"/>
          <w:sz w:val="22"/>
          <w:szCs w:val="22"/>
        </w:rPr>
        <w:t xml:space="preserve">Bandura (1977) supported the idea that people, including children, learn through observing those around them in social groups and that a learner can acquire knowledge from their more knowledgeable peers by being a legitimate participant in their learning (Pritchard, 2014). Children’s learning is proposed to have two key elements made up of imitation and identification; </w:t>
      </w:r>
      <w:proofErr w:type="spellStart"/>
      <w:r w:rsidRPr="006A5915">
        <w:rPr>
          <w:rStyle w:val="normaltextrun"/>
          <w:rFonts w:ascii="Arial" w:hAnsi="Arial" w:cs="Arial"/>
          <w:sz w:val="22"/>
          <w:szCs w:val="22"/>
        </w:rPr>
        <w:t>MacBlain</w:t>
      </w:r>
      <w:proofErr w:type="spellEnd"/>
      <w:r w:rsidRPr="006A5915">
        <w:rPr>
          <w:rStyle w:val="normaltextrun"/>
          <w:rFonts w:ascii="Arial" w:hAnsi="Arial" w:cs="Arial"/>
          <w:sz w:val="22"/>
          <w:szCs w:val="22"/>
        </w:rPr>
        <w:t xml:space="preserve"> (2018) notes that Bandura argued that children imitate those around them including adults and peers and it is through this that they identify with others and form new learning concepts. This learning theory is consistent to social constructivist theory (Pritchard, 2014); Vygotsky (1978) proposed that knowledge comes from social situations which is then internalised and understood after the learning has taken place (</w:t>
      </w:r>
      <w:proofErr w:type="spellStart"/>
      <w:r w:rsidRPr="006A5915">
        <w:rPr>
          <w:rStyle w:val="normaltextrun"/>
          <w:rFonts w:ascii="Arial" w:hAnsi="Arial" w:cs="Arial"/>
          <w:sz w:val="22"/>
          <w:szCs w:val="22"/>
        </w:rPr>
        <w:t>Eggan</w:t>
      </w:r>
      <w:proofErr w:type="spellEnd"/>
      <w:r w:rsidRPr="006A5915">
        <w:rPr>
          <w:rStyle w:val="normaltextrun"/>
          <w:rFonts w:ascii="Arial" w:hAnsi="Arial" w:cs="Arial"/>
          <w:sz w:val="22"/>
          <w:szCs w:val="22"/>
        </w:rPr>
        <w:t xml:space="preserve"> &amp; Kauchak, 2004). In continuation of social constructivism, Vygotsky (1978) maintained that individuals have a Zone of Proximal Development (ZPD</w:t>
      </w:r>
      <w:proofErr w:type="gramStart"/>
      <w:r w:rsidRPr="006A5915">
        <w:rPr>
          <w:rStyle w:val="normaltextrun"/>
          <w:rFonts w:ascii="Arial" w:hAnsi="Arial" w:cs="Arial"/>
          <w:sz w:val="22"/>
          <w:szCs w:val="22"/>
        </w:rPr>
        <w:t>)</w:t>
      </w:r>
      <w:proofErr w:type="gramEnd"/>
      <w:r w:rsidRPr="006A5915">
        <w:rPr>
          <w:rStyle w:val="normaltextrun"/>
          <w:rFonts w:ascii="Arial" w:hAnsi="Arial" w:cs="Arial"/>
          <w:sz w:val="22"/>
          <w:szCs w:val="22"/>
        </w:rPr>
        <w:t xml:space="preserve"> and it is within this ZPD that children move from what they are already able to achieve on their own to what they can achieve with the help of others. Vygotsky (citied in Pritchard, 2009) suggested that the more knowledgeable other can scaffold learning to give the learners support; this can be done by asking questions or through class discussions. Whilst the theories discussed so far are focused on how children will learn regarding the curriculum, working in a group also allows for the social and emotional skills that children require; it is suggested by Fisher (2005) that learners can benefit from emotional support via encouragement and enthusiasm by more confident peer. When considering the cognitive constructivism approach taken by Piaget (1957); this argument could see that children reach stages of development according to their age rather than the help of social interaction and peers. It is argued that learners will learn through building on knowledge they have already acquired; the notion of Schemas is that a learner will experience something around them that they then turn into a schema which relies on using their prior knowledge to understand this new information (Pritchard, 2009). In the instance of the critical incident, it would be that the child knows the objects being sung about and creating a new schema for the sounds they start with.  </w:t>
      </w:r>
      <w:r w:rsidRPr="006A5915">
        <w:rPr>
          <w:rStyle w:val="bcx2"/>
          <w:rFonts w:ascii="Arial" w:hAnsi="Arial" w:cs="Arial"/>
          <w:sz w:val="22"/>
          <w:szCs w:val="22"/>
        </w:rPr>
        <w:t> </w:t>
      </w:r>
      <w:r w:rsidRPr="006A5915">
        <w:rPr>
          <w:rFonts w:ascii="Arial" w:hAnsi="Arial" w:cs="Arial"/>
          <w:sz w:val="22"/>
          <w:szCs w:val="22"/>
        </w:rPr>
        <w:br/>
      </w:r>
      <w:r w:rsidRPr="006A5915">
        <w:rPr>
          <w:rStyle w:val="normaltextrun"/>
          <w:rFonts w:ascii="Arial" w:hAnsi="Arial" w:cs="Arial"/>
          <w:sz w:val="22"/>
          <w:szCs w:val="22"/>
        </w:rPr>
        <w:t xml:space="preserve">Grimmer (2017) took learning and understood it as something that learners could achieve through play; it is suggested that children repeat play and, therefore, solidify their learning </w:t>
      </w:r>
      <w:r w:rsidRPr="006A5915">
        <w:rPr>
          <w:rStyle w:val="normaltextrun"/>
          <w:rFonts w:ascii="Arial" w:hAnsi="Arial" w:cs="Arial"/>
          <w:sz w:val="22"/>
          <w:szCs w:val="22"/>
        </w:rPr>
        <w:lastRenderedPageBreak/>
        <w:t>and explore self-correction. Howard and McInnes (2012) concluded that children who view an activity as purely play are more likely to be engaged with the task and focused compared to an adult led activity session. Froebel (citied in Hoskins and Smedley, 2018) believed that children learn best and thrive through play as it allows for problem solving and building up their resilience. Froebel (citied in Hoskins and Smedley, 2018) suggested that children do best when they feel emotionally secure which happens when the child has plenty of opportunities to play freely (Tovey, 2017). This way of learning takes away the need for a more knowledgeable other but will be explored in the reflection as to whether it could be an effective method when considering the critical incident.   </w:t>
      </w:r>
      <w:r w:rsidRPr="006A5915">
        <w:rPr>
          <w:rStyle w:val="eop"/>
          <w:rFonts w:ascii="Arial" w:hAnsi="Arial" w:cs="Arial"/>
          <w:sz w:val="22"/>
          <w:szCs w:val="22"/>
        </w:rPr>
        <w:t> </w:t>
      </w:r>
    </w:p>
    <w:p w14:paraId="5B4000D2" w14:textId="3ABC2EFC" w:rsidR="003D0D7D" w:rsidRPr="006A5915" w:rsidRDefault="003D0D7D" w:rsidP="006A5915">
      <w:pPr>
        <w:pStyle w:val="paragraph"/>
        <w:spacing w:line="360" w:lineRule="auto"/>
        <w:textAlignment w:val="baseline"/>
        <w:rPr>
          <w:rFonts w:ascii="Arial" w:hAnsi="Arial" w:cs="Arial"/>
          <w:sz w:val="22"/>
          <w:szCs w:val="22"/>
        </w:rPr>
      </w:pPr>
      <w:r w:rsidRPr="006A5915">
        <w:rPr>
          <w:rStyle w:val="normaltextrun"/>
          <w:rFonts w:ascii="Arial" w:hAnsi="Arial" w:cs="Arial"/>
          <w:sz w:val="22"/>
          <w:szCs w:val="22"/>
        </w:rPr>
        <w:t>During the critical incident, it was observed that the teacher leading the activity used a form of behaviour management by offering ‘Dojo Points’ for learners who were trying; Dojo Points are individual reward points that are displayed on the interactive whiteboard all day for the learners to see. This form of behaviour management links closely to the work of Skinner (1953) and the theory that behaviour can be controlled by the use of instant outcomes. The use of positive reinforcement in the classroom sees that learners are being given something positive in an effort to encourage behaviour that the teacher wishes to see (Skinner, 1953). Skinner (cited in Chance, 2007) identified obstacles to learning with one of them being the fear of failure; the teacher in this critical incident emphasised that positive reinforcement would be given to learners who tried rather than learners who correctly knew their phonics. Learners are more likely to respond to learning situations in anticipated ways to gain their teachers' attention (Conroy et al., 2009); teachers can  </w:t>
      </w:r>
      <w:r w:rsidRPr="006A5915">
        <w:rPr>
          <w:rStyle w:val="bcx2"/>
          <w:rFonts w:ascii="Arial" w:hAnsi="Arial" w:cs="Arial"/>
          <w:sz w:val="22"/>
          <w:szCs w:val="22"/>
        </w:rPr>
        <w:t> </w:t>
      </w:r>
      <w:r w:rsidRPr="006A5915">
        <w:rPr>
          <w:rFonts w:ascii="Arial" w:hAnsi="Arial" w:cs="Arial"/>
          <w:sz w:val="22"/>
          <w:szCs w:val="22"/>
        </w:rPr>
        <w:br/>
      </w:r>
      <w:r w:rsidRPr="006A5915">
        <w:rPr>
          <w:rStyle w:val="normaltextrun"/>
          <w:rFonts w:ascii="Arial" w:hAnsi="Arial" w:cs="Arial"/>
          <w:sz w:val="22"/>
          <w:szCs w:val="22"/>
        </w:rPr>
        <w:t>benefit from this by providing positive praise through feedback and rewards to  </w:t>
      </w:r>
      <w:r w:rsidRPr="006A5915">
        <w:rPr>
          <w:rStyle w:val="bcx2"/>
          <w:rFonts w:ascii="Arial" w:hAnsi="Arial" w:cs="Arial"/>
          <w:sz w:val="22"/>
          <w:szCs w:val="22"/>
        </w:rPr>
        <w:t> </w:t>
      </w:r>
      <w:r w:rsidRPr="006A5915">
        <w:rPr>
          <w:rFonts w:ascii="Arial" w:hAnsi="Arial" w:cs="Arial"/>
          <w:sz w:val="22"/>
          <w:szCs w:val="22"/>
        </w:rPr>
        <w:br/>
      </w:r>
      <w:r w:rsidRPr="006A5915">
        <w:rPr>
          <w:rStyle w:val="normaltextrun"/>
          <w:rFonts w:ascii="Arial" w:hAnsi="Arial" w:cs="Arial"/>
          <w:sz w:val="22"/>
          <w:szCs w:val="22"/>
        </w:rPr>
        <w:t>maintain learning engagement. Hoque (2013) maintained that it is an essential skill for teachers to have to provide effective positive reinforcement; there are a multitude of benefits from positive reinforcement in the classroom including increasing learner motivation and nurturing the student-teacher relationship required (</w:t>
      </w:r>
      <w:proofErr w:type="spellStart"/>
      <w:r w:rsidRPr="006A5915">
        <w:rPr>
          <w:rStyle w:val="normaltextrun"/>
          <w:rFonts w:ascii="Arial" w:hAnsi="Arial" w:cs="Arial"/>
          <w:sz w:val="22"/>
          <w:szCs w:val="22"/>
        </w:rPr>
        <w:t>Hulac</w:t>
      </w:r>
      <w:proofErr w:type="spellEnd"/>
      <w:r w:rsidRPr="006A5915">
        <w:rPr>
          <w:rStyle w:val="normaltextrun"/>
          <w:rFonts w:ascii="Arial" w:hAnsi="Arial" w:cs="Arial"/>
          <w:sz w:val="22"/>
          <w:szCs w:val="22"/>
        </w:rPr>
        <w:t xml:space="preserve"> et al., 2016; Bernier, Simpson &amp; Rose, 2012). Wheatley et al. (2009) also documented that positive reinforcement had a high impact for improving student’s behaviour in group situations. Positive reinforcement has also been shown to increase how a learner perceives their own performance which helps build up their confidence as well as increasing the intrinsic motivation to complete a task (</w:t>
      </w:r>
      <w:proofErr w:type="spellStart"/>
      <w:r w:rsidRPr="006A5915">
        <w:rPr>
          <w:rStyle w:val="normaltextrun"/>
          <w:rFonts w:ascii="Arial" w:hAnsi="Arial" w:cs="Arial"/>
          <w:sz w:val="22"/>
          <w:szCs w:val="22"/>
        </w:rPr>
        <w:t>Reinschluessel</w:t>
      </w:r>
      <w:proofErr w:type="spellEnd"/>
      <w:r w:rsidRPr="006A5915">
        <w:rPr>
          <w:rStyle w:val="normaltextrun"/>
          <w:rFonts w:ascii="Arial" w:hAnsi="Arial" w:cs="Arial"/>
          <w:sz w:val="22"/>
          <w:szCs w:val="22"/>
        </w:rPr>
        <w:t xml:space="preserve"> &amp; </w:t>
      </w:r>
      <w:proofErr w:type="spellStart"/>
      <w:r w:rsidRPr="006A5915">
        <w:rPr>
          <w:rStyle w:val="normaltextrun"/>
          <w:rFonts w:ascii="Arial" w:hAnsi="Arial" w:cs="Arial"/>
          <w:sz w:val="22"/>
          <w:szCs w:val="22"/>
        </w:rPr>
        <w:t>Mandryk</w:t>
      </w:r>
      <w:proofErr w:type="spellEnd"/>
      <w:r w:rsidRPr="006A5915">
        <w:rPr>
          <w:rStyle w:val="normaltextrun"/>
          <w:rFonts w:ascii="Arial" w:hAnsi="Arial" w:cs="Arial"/>
          <w:sz w:val="22"/>
          <w:szCs w:val="22"/>
        </w:rPr>
        <w:t>, 2016). Bandura (1977) suggested that a child’s motivation for learning was central to the learning process and the levels of motivation would affect how a child observes others and, therefore, contribute to their own development (</w:t>
      </w:r>
      <w:proofErr w:type="spellStart"/>
      <w:r w:rsidRPr="006A5915">
        <w:rPr>
          <w:rStyle w:val="normaltextrun"/>
          <w:rFonts w:ascii="Arial" w:hAnsi="Arial" w:cs="Arial"/>
          <w:sz w:val="22"/>
          <w:szCs w:val="22"/>
        </w:rPr>
        <w:t>MacBlain</w:t>
      </w:r>
      <w:proofErr w:type="spellEnd"/>
      <w:r w:rsidRPr="006A5915">
        <w:rPr>
          <w:rStyle w:val="normaltextrun"/>
          <w:rFonts w:ascii="Arial" w:hAnsi="Arial" w:cs="Arial"/>
          <w:sz w:val="22"/>
          <w:szCs w:val="22"/>
        </w:rPr>
        <w:t xml:space="preserve">, 2018)  Self-esteem is located in Maslow’s Hierarchy of needs (see appendix A); the need for all of the child’s needs to be met is fundamental in ensuring that a child can develop and reach their full potential (Freitas &amp; Leonard, 2011).  However, </w:t>
      </w:r>
      <w:proofErr w:type="spellStart"/>
      <w:r w:rsidRPr="006A5915">
        <w:rPr>
          <w:rStyle w:val="normaltextrun"/>
          <w:rFonts w:ascii="Arial" w:hAnsi="Arial" w:cs="Arial"/>
          <w:sz w:val="22"/>
          <w:szCs w:val="22"/>
        </w:rPr>
        <w:t>Brendrto</w:t>
      </w:r>
      <w:proofErr w:type="spellEnd"/>
      <w:r w:rsidRPr="006A5915">
        <w:rPr>
          <w:rStyle w:val="normaltextrun"/>
          <w:rFonts w:ascii="Arial" w:hAnsi="Arial" w:cs="Arial"/>
          <w:sz w:val="22"/>
          <w:szCs w:val="22"/>
        </w:rPr>
        <w:t xml:space="preserve">, Mitchell &amp; McCall (2009) </w:t>
      </w:r>
      <w:r w:rsidRPr="006A5915">
        <w:rPr>
          <w:rStyle w:val="normaltextrun"/>
          <w:rFonts w:ascii="Arial" w:hAnsi="Arial" w:cs="Arial"/>
          <w:sz w:val="22"/>
          <w:szCs w:val="22"/>
        </w:rPr>
        <w:lastRenderedPageBreak/>
        <w:t xml:space="preserve">argue that positive reinforcement hinders learners from achieving the desired deep brain learning and, instead, encourages them to focus on performing for praise. Instead of positive reinforcement, it could be argued that learners require intrinsic rewards in order to form lasting learning (Dweck, 2007). </w:t>
      </w:r>
      <w:proofErr w:type="spellStart"/>
      <w:r w:rsidRPr="006A5915">
        <w:rPr>
          <w:rStyle w:val="normaltextrun"/>
          <w:rFonts w:ascii="Arial" w:hAnsi="Arial" w:cs="Arial"/>
          <w:sz w:val="22"/>
          <w:szCs w:val="22"/>
        </w:rPr>
        <w:t>Mantasiah</w:t>
      </w:r>
      <w:proofErr w:type="spellEnd"/>
      <w:r w:rsidRPr="006A5915">
        <w:rPr>
          <w:rStyle w:val="normaltextrun"/>
          <w:rFonts w:ascii="Arial" w:hAnsi="Arial" w:cs="Arial"/>
          <w:sz w:val="22"/>
          <w:szCs w:val="22"/>
        </w:rPr>
        <w:t xml:space="preserve"> et al. (2021) expresses that if positive reinforcement is given to a learner and is not considered as sincere, the reinforcement will not be received in the same way or have the same effect on the learner.  </w:t>
      </w:r>
      <w:r w:rsidRPr="006A5915">
        <w:rPr>
          <w:rStyle w:val="eop"/>
          <w:rFonts w:ascii="Arial" w:hAnsi="Arial" w:cs="Arial"/>
          <w:sz w:val="22"/>
          <w:szCs w:val="22"/>
        </w:rPr>
        <w:t> </w:t>
      </w:r>
    </w:p>
    <w:p w14:paraId="72D70D53" w14:textId="0313CE9C" w:rsidR="003D0D7D" w:rsidRPr="006A5915" w:rsidRDefault="003D0D7D" w:rsidP="006A5915">
      <w:pPr>
        <w:pStyle w:val="paragraph"/>
        <w:spacing w:line="360" w:lineRule="auto"/>
        <w:textAlignment w:val="baseline"/>
        <w:rPr>
          <w:rFonts w:ascii="Arial" w:hAnsi="Arial" w:cs="Arial"/>
          <w:sz w:val="22"/>
          <w:szCs w:val="22"/>
        </w:rPr>
      </w:pPr>
      <w:r w:rsidRPr="006A5915">
        <w:rPr>
          <w:rStyle w:val="normaltextrun"/>
          <w:rFonts w:ascii="Arial" w:hAnsi="Arial" w:cs="Arial"/>
          <w:sz w:val="22"/>
          <w:szCs w:val="22"/>
        </w:rPr>
        <w:t>During the observation, a consideration that came to mind was the effect that a global pandemic has had on children especially children who have not previously experienced an educational setting. Ruiz (2021) uses the term ‘Pandemic Natives’ to refer to children who have only ever experienced a pandemic including limited social interactions and lockdowns. Previously, it was mentioned the importance of learning from others from more knowledgeable others and the ZPD (</w:t>
      </w:r>
      <w:proofErr w:type="spellStart"/>
      <w:r w:rsidRPr="006A5915">
        <w:rPr>
          <w:rStyle w:val="normaltextrun"/>
          <w:rFonts w:ascii="Arial" w:hAnsi="Arial" w:cs="Arial"/>
          <w:sz w:val="22"/>
          <w:szCs w:val="22"/>
        </w:rPr>
        <w:t>Vygotksy</w:t>
      </w:r>
      <w:proofErr w:type="spellEnd"/>
      <w:r w:rsidRPr="006A5915">
        <w:rPr>
          <w:rStyle w:val="normaltextrun"/>
          <w:rFonts w:ascii="Arial" w:hAnsi="Arial" w:cs="Arial"/>
          <w:sz w:val="22"/>
          <w:szCs w:val="22"/>
        </w:rPr>
        <w:t>, 1978); due to the pandemic, children have not had face-to-face learning, or the social interaction needed for effective development (</w:t>
      </w:r>
      <w:proofErr w:type="spellStart"/>
      <w:r w:rsidRPr="006A5915">
        <w:rPr>
          <w:rStyle w:val="normaltextrun"/>
          <w:rFonts w:ascii="Arial" w:hAnsi="Arial" w:cs="Arial"/>
          <w:sz w:val="22"/>
          <w:szCs w:val="22"/>
        </w:rPr>
        <w:t>Engzell</w:t>
      </w:r>
      <w:proofErr w:type="spellEnd"/>
      <w:r w:rsidRPr="006A5915">
        <w:rPr>
          <w:rStyle w:val="normaltextrun"/>
          <w:rFonts w:ascii="Arial" w:hAnsi="Arial" w:cs="Arial"/>
          <w:sz w:val="22"/>
          <w:szCs w:val="22"/>
        </w:rPr>
        <w:t xml:space="preserve">, Frey &amp; </w:t>
      </w:r>
      <w:proofErr w:type="spellStart"/>
      <w:r w:rsidRPr="006A5915">
        <w:rPr>
          <w:rStyle w:val="normaltextrun"/>
          <w:rFonts w:ascii="Arial" w:hAnsi="Arial" w:cs="Arial"/>
          <w:sz w:val="22"/>
          <w:szCs w:val="22"/>
        </w:rPr>
        <w:t>Verhagen</w:t>
      </w:r>
      <w:proofErr w:type="spellEnd"/>
      <w:r w:rsidRPr="006A5915">
        <w:rPr>
          <w:rStyle w:val="normaltextrun"/>
          <w:rFonts w:ascii="Arial" w:hAnsi="Arial" w:cs="Arial"/>
          <w:sz w:val="22"/>
          <w:szCs w:val="22"/>
        </w:rPr>
        <w:t xml:space="preserve">, 2021). When considering a child’s development and the impact of others, Bronfenbrenner’s Ecological system (Appendix </w:t>
      </w:r>
      <w:r w:rsidR="00430906" w:rsidRPr="006A5915">
        <w:rPr>
          <w:rStyle w:val="normaltextrun"/>
          <w:rFonts w:ascii="Arial" w:hAnsi="Arial" w:cs="Arial"/>
          <w:sz w:val="22"/>
          <w:szCs w:val="22"/>
        </w:rPr>
        <w:t>B</w:t>
      </w:r>
      <w:r w:rsidRPr="006A5915">
        <w:rPr>
          <w:rStyle w:val="normaltextrun"/>
          <w:rFonts w:ascii="Arial" w:hAnsi="Arial" w:cs="Arial"/>
          <w:sz w:val="22"/>
          <w:szCs w:val="22"/>
        </w:rPr>
        <w:t>) highlights how the environment surrounding a child can impact their development. The microsystem is the first system and is the people who have direct contact with the child including parents, teachers, and their school peers (</w:t>
      </w:r>
      <w:proofErr w:type="spellStart"/>
      <w:r w:rsidRPr="006A5915">
        <w:rPr>
          <w:rStyle w:val="normaltextrun"/>
          <w:rFonts w:ascii="Arial" w:hAnsi="Arial" w:cs="Arial"/>
          <w:sz w:val="22"/>
          <w:szCs w:val="22"/>
        </w:rPr>
        <w:t>Ashiabi</w:t>
      </w:r>
      <w:proofErr w:type="spellEnd"/>
      <w:r w:rsidRPr="006A5915">
        <w:rPr>
          <w:rStyle w:val="normaltextrun"/>
          <w:rFonts w:ascii="Arial" w:hAnsi="Arial" w:cs="Arial"/>
          <w:sz w:val="22"/>
          <w:szCs w:val="22"/>
        </w:rPr>
        <w:t xml:space="preserve"> &amp; O’Neil, 2015); the relationships built here have a direct effect on how the child is influenced in all aspects of development (</w:t>
      </w:r>
      <w:proofErr w:type="spellStart"/>
      <w:r w:rsidRPr="006A5915">
        <w:rPr>
          <w:rStyle w:val="normaltextrun"/>
          <w:rFonts w:ascii="Arial" w:hAnsi="Arial" w:cs="Arial"/>
          <w:sz w:val="22"/>
          <w:szCs w:val="22"/>
        </w:rPr>
        <w:t>Lickenbrock</w:t>
      </w:r>
      <w:proofErr w:type="spellEnd"/>
      <w:r w:rsidRPr="006A5915">
        <w:rPr>
          <w:rStyle w:val="normaltextrun"/>
          <w:rFonts w:ascii="Arial" w:hAnsi="Arial" w:cs="Arial"/>
          <w:sz w:val="22"/>
          <w:szCs w:val="22"/>
        </w:rPr>
        <w:t xml:space="preserve"> &amp; </w:t>
      </w:r>
      <w:proofErr w:type="spellStart"/>
      <w:r w:rsidRPr="006A5915">
        <w:rPr>
          <w:rStyle w:val="normaltextrun"/>
          <w:rFonts w:ascii="Arial" w:hAnsi="Arial" w:cs="Arial"/>
          <w:sz w:val="22"/>
          <w:szCs w:val="22"/>
        </w:rPr>
        <w:t>Braungart-Rieker</w:t>
      </w:r>
      <w:proofErr w:type="spellEnd"/>
      <w:r w:rsidRPr="006A5915">
        <w:rPr>
          <w:rStyle w:val="normaltextrun"/>
          <w:rFonts w:ascii="Arial" w:hAnsi="Arial" w:cs="Arial"/>
          <w:sz w:val="22"/>
          <w:szCs w:val="22"/>
        </w:rPr>
        <w:t xml:space="preserve">, 2015). Due to covid, many children have been limited to interactions within the microsystem which could lead to psychological effects on school performance according to Fennis and </w:t>
      </w:r>
      <w:proofErr w:type="spellStart"/>
      <w:r w:rsidRPr="006A5915">
        <w:rPr>
          <w:rStyle w:val="normaltextrun"/>
          <w:rFonts w:ascii="Arial" w:hAnsi="Arial" w:cs="Arial"/>
          <w:sz w:val="22"/>
          <w:szCs w:val="22"/>
        </w:rPr>
        <w:t>Wiebenga</w:t>
      </w:r>
      <w:proofErr w:type="spellEnd"/>
      <w:r w:rsidRPr="006A5915">
        <w:rPr>
          <w:rStyle w:val="normaltextrun"/>
          <w:rFonts w:ascii="Arial" w:hAnsi="Arial" w:cs="Arial"/>
          <w:sz w:val="22"/>
          <w:szCs w:val="22"/>
        </w:rPr>
        <w:t xml:space="preserve"> (2015). However, Engler (2007) argued that this theory fails to consider resilience and the personality of the child. Miller (2008) maintains that resilience could manifest from parents and upbringing meaning that whilst the child does not interact with everyone mentioned in the microsystem, the individuals they do meet support the development of resilience. When considering the critical incident observed, every child would have had a different lockdown experience meaning some children were reaching developmental milestones that other children were missing out on due to family support.  </w:t>
      </w:r>
      <w:r w:rsidRPr="006A5915">
        <w:rPr>
          <w:rStyle w:val="bcx2"/>
          <w:rFonts w:ascii="Arial" w:hAnsi="Arial" w:cs="Arial"/>
          <w:sz w:val="22"/>
          <w:szCs w:val="22"/>
        </w:rPr>
        <w:t> </w:t>
      </w:r>
      <w:r w:rsidRPr="006A5915">
        <w:rPr>
          <w:rFonts w:ascii="Arial" w:hAnsi="Arial" w:cs="Arial"/>
          <w:sz w:val="22"/>
          <w:szCs w:val="22"/>
        </w:rPr>
        <w:br/>
      </w:r>
      <w:r w:rsidRPr="006A5915">
        <w:rPr>
          <w:rStyle w:val="normaltextrun"/>
          <w:rFonts w:ascii="Arial" w:hAnsi="Arial" w:cs="Arial"/>
          <w:sz w:val="22"/>
          <w:szCs w:val="22"/>
        </w:rPr>
        <w:t>There is emerging data that is showing children who faced prolonged lockdown periods to have negative mental health when considering stress (</w:t>
      </w:r>
      <w:proofErr w:type="spellStart"/>
      <w:r w:rsidRPr="006A5915">
        <w:rPr>
          <w:rStyle w:val="normaltextrun"/>
          <w:rFonts w:ascii="Arial" w:hAnsi="Arial" w:cs="Arial"/>
          <w:sz w:val="22"/>
          <w:szCs w:val="22"/>
        </w:rPr>
        <w:t>Fergert</w:t>
      </w:r>
      <w:proofErr w:type="spellEnd"/>
      <w:r w:rsidRPr="006A5915">
        <w:rPr>
          <w:rStyle w:val="normaltextrun"/>
          <w:rFonts w:ascii="Arial" w:hAnsi="Arial" w:cs="Arial"/>
          <w:sz w:val="22"/>
          <w:szCs w:val="22"/>
        </w:rPr>
        <w:t xml:space="preserve"> et al., 2020). Green, McLaughlin &amp; Alegria (2013) suggests that a main role of a school is to support a child’s development including mental health. This is also a critical part of the new curriculum for Wales (Donaldson, 2015) under the statements of what matter, health, and well-being; this includes building healthy relationships, processing our emotions and mental health, and developing life-long well-being. With the pandemic, this appears to have been difficult to achieve due to lockdowns (Gov.uk, 2021).  </w:t>
      </w:r>
      <w:r w:rsidRPr="006A5915">
        <w:rPr>
          <w:rStyle w:val="bcx2"/>
          <w:rFonts w:ascii="Arial" w:hAnsi="Arial" w:cs="Arial"/>
          <w:sz w:val="22"/>
          <w:szCs w:val="22"/>
        </w:rPr>
        <w:t> </w:t>
      </w:r>
      <w:r w:rsidRPr="006A5915">
        <w:rPr>
          <w:rFonts w:ascii="Arial" w:hAnsi="Arial" w:cs="Arial"/>
          <w:sz w:val="22"/>
          <w:szCs w:val="22"/>
        </w:rPr>
        <w:br/>
      </w:r>
      <w:r w:rsidRPr="006A5915">
        <w:rPr>
          <w:rStyle w:val="normaltextrun"/>
          <w:rFonts w:ascii="Arial" w:hAnsi="Arial" w:cs="Arial"/>
          <w:sz w:val="22"/>
          <w:szCs w:val="22"/>
        </w:rPr>
        <w:lastRenderedPageBreak/>
        <w:t>For children who are pandemic natives, many have very little experience in sitting or listening for extended periods of time; this can lead to reduced attention and cause the child to face negative self-perception when considering their own ability (Owens et al., 2013). A study has indicated that children in Year 2 (aged 6-7 years old) were behind by 2 months when looking at expectations in maths and reading despite missing only six weeks of school (Institute for Social &amp; Economic Research, 2021); the same study highlights a significant increase in challenging behaviours being seen in schools compared to previous years which are only slightly improving since returning to schools. It is indicated that children with behavioural and social difficulties are likely to have low academic performances (Joffe and Black, 2012); this highlights that whilst children did still receive learning through online facilities, the effect of COVID-19 still impacted how children learn and how they are in school-settings today (</w:t>
      </w:r>
      <w:proofErr w:type="spellStart"/>
      <w:r w:rsidRPr="006A5915">
        <w:rPr>
          <w:rStyle w:val="normaltextrun"/>
          <w:rFonts w:ascii="Arial" w:hAnsi="Arial" w:cs="Arial"/>
          <w:sz w:val="22"/>
          <w:szCs w:val="22"/>
        </w:rPr>
        <w:t>Pokhrel</w:t>
      </w:r>
      <w:proofErr w:type="spellEnd"/>
      <w:r w:rsidRPr="006A5915">
        <w:rPr>
          <w:rStyle w:val="normaltextrun"/>
          <w:rFonts w:ascii="Arial" w:hAnsi="Arial" w:cs="Arial"/>
          <w:sz w:val="22"/>
          <w:szCs w:val="22"/>
        </w:rPr>
        <w:t xml:space="preserve"> &amp; Chhetri, 2021). </w:t>
      </w:r>
      <w:r w:rsidRPr="006A5915">
        <w:rPr>
          <w:rStyle w:val="eop"/>
          <w:rFonts w:ascii="Arial" w:hAnsi="Arial" w:cs="Arial"/>
          <w:sz w:val="22"/>
          <w:szCs w:val="22"/>
        </w:rPr>
        <w:t> </w:t>
      </w:r>
    </w:p>
    <w:p w14:paraId="3F272768" w14:textId="77777777" w:rsidR="003D0D7D" w:rsidRPr="006A5915" w:rsidRDefault="003D0D7D" w:rsidP="006A5915">
      <w:pPr>
        <w:pStyle w:val="paragraph"/>
        <w:spacing w:line="360" w:lineRule="auto"/>
        <w:textAlignment w:val="baseline"/>
        <w:rPr>
          <w:rFonts w:ascii="Arial" w:hAnsi="Arial" w:cs="Arial"/>
          <w:b/>
          <w:bCs/>
          <w:sz w:val="28"/>
          <w:szCs w:val="28"/>
        </w:rPr>
      </w:pPr>
      <w:r w:rsidRPr="006A5915">
        <w:rPr>
          <w:rStyle w:val="normaltextrun"/>
          <w:rFonts w:ascii="Arial" w:hAnsi="Arial" w:cs="Arial"/>
          <w:b/>
          <w:bCs/>
          <w:sz w:val="28"/>
          <w:szCs w:val="28"/>
        </w:rPr>
        <w:t>Critical Reflection:  </w:t>
      </w:r>
      <w:r w:rsidRPr="006A5915">
        <w:rPr>
          <w:rStyle w:val="eop"/>
          <w:rFonts w:ascii="Arial" w:hAnsi="Arial" w:cs="Arial"/>
          <w:b/>
          <w:bCs/>
          <w:sz w:val="28"/>
          <w:szCs w:val="28"/>
        </w:rPr>
        <w:t> </w:t>
      </w:r>
    </w:p>
    <w:p w14:paraId="0F5533A3" w14:textId="77777777" w:rsidR="006A5915" w:rsidRDefault="003D0D7D" w:rsidP="006A5915">
      <w:pPr>
        <w:pStyle w:val="paragraph"/>
        <w:spacing w:line="360" w:lineRule="auto"/>
        <w:textAlignment w:val="baseline"/>
        <w:rPr>
          <w:rStyle w:val="bcx2"/>
          <w:rFonts w:ascii="Arial" w:hAnsi="Arial" w:cs="Arial"/>
          <w:sz w:val="22"/>
          <w:szCs w:val="22"/>
        </w:rPr>
      </w:pPr>
      <w:r w:rsidRPr="006A5915">
        <w:rPr>
          <w:rStyle w:val="normaltextrun"/>
          <w:rFonts w:ascii="Arial" w:hAnsi="Arial" w:cs="Arial"/>
          <w:sz w:val="22"/>
          <w:szCs w:val="22"/>
        </w:rPr>
        <w:t>When looking at the critical incident, the three topics chosen to explore were the use of positive reinforcement as a motivation tool, the chosen style of learning and how effective it can be on children, and the role the worldwide pandemic, covid-19, has had on children’s education. When this critical incident took place, Rolfe, Freshwater &amp; Jasper (2001) reflective model guided the finding and motivation behind the research. When considering the ‘So What?’, the teacher was asked about Child A and how his behaviour is normally viewed in the class. It was apparent that Child A was an only child and was 2 years old when the pandemic forced the country into lockdown which meant that he was limited with his social engagement. Due to this, it appeared that the child was currently not meeting the four purposes under ‘healthy and confident individuals’ focusing on particular on forming positive relationships and having the confidence to participate (Donaldson, 2015). This highlighted the need for the teacher to focus on building up these skills so that Child A was able to achieve and reach his full potential; with regards to the Pedagogical Principles (Donaldson, 2015), there is an emphasis that good teaching supports social and emotional development. When considering how this could affect professional practice, I will endeavour to remember that learning is not just focused solely on the curriculum, but well-being also plays a significant role. This is supported by Maslow’s Hierarchy of Needs previously discussed in the literature review.  </w:t>
      </w:r>
      <w:r w:rsidRPr="006A5915">
        <w:rPr>
          <w:rStyle w:val="bcx2"/>
          <w:rFonts w:ascii="Arial" w:hAnsi="Arial" w:cs="Arial"/>
          <w:sz w:val="22"/>
          <w:szCs w:val="22"/>
        </w:rPr>
        <w:t> </w:t>
      </w:r>
      <w:r w:rsidRPr="006A5915">
        <w:rPr>
          <w:rFonts w:ascii="Arial" w:hAnsi="Arial" w:cs="Arial"/>
          <w:sz w:val="22"/>
          <w:szCs w:val="22"/>
        </w:rPr>
        <w:br/>
      </w:r>
      <w:r w:rsidRPr="006A5915">
        <w:rPr>
          <w:rStyle w:val="normaltextrun"/>
          <w:rFonts w:ascii="Arial" w:hAnsi="Arial" w:cs="Arial"/>
          <w:sz w:val="22"/>
          <w:szCs w:val="22"/>
        </w:rPr>
        <w:t xml:space="preserve">This critical incident took place in a group activity but was adult-led; adult-led activities allow for the teacher to scaffold the learning and be the more knowledgeable other for the children (Vygotsky, 1978) however, The Welsh Government (Wales - a Play Friendly Country, 2014) stated that “play is central to their enjoyment of life and contributes to their well-being”. This </w:t>
      </w:r>
      <w:r w:rsidRPr="006A5915">
        <w:rPr>
          <w:rStyle w:val="normaltextrun"/>
          <w:rFonts w:ascii="Arial" w:hAnsi="Arial" w:cs="Arial"/>
          <w:sz w:val="22"/>
          <w:szCs w:val="22"/>
        </w:rPr>
        <w:lastRenderedPageBreak/>
        <w:t>activity appeared to make sense that it was adult-led but still allowed for the children to learn from their peers, as noted that Child A copied Child B during this activity. However, the role of play is something that I have reflected on to consider bringing into my practice; using Frobel’s (cited in Hoskins and Smedley, 2018) view on the role of play for a child’s learning, incorporating play as a form of learning supports the notion that good teaching means using a range of approaches (Donaldson, 2015). Whilst child-led play is a popular method for teachers and when considering the new curriculum, the benefit of learning is something that I would like to explore more, in particular, to see if different areas of learning are better taught through child-led play or adult-led activities (</w:t>
      </w:r>
      <w:proofErr w:type="spellStart"/>
      <w:r w:rsidRPr="006A5915">
        <w:rPr>
          <w:rStyle w:val="normaltextrun"/>
          <w:rFonts w:ascii="Arial" w:hAnsi="Arial" w:cs="Arial"/>
          <w:sz w:val="22"/>
          <w:szCs w:val="22"/>
        </w:rPr>
        <w:t>LegoFoundation</w:t>
      </w:r>
      <w:proofErr w:type="spellEnd"/>
      <w:r w:rsidRPr="006A5915">
        <w:rPr>
          <w:rStyle w:val="normaltextrun"/>
          <w:rFonts w:ascii="Arial" w:hAnsi="Arial" w:cs="Arial"/>
          <w:sz w:val="22"/>
          <w:szCs w:val="22"/>
        </w:rPr>
        <w:t>, 2017). It is also important to my practice when looking at the QTS Standards (Welsh Government, 2020) that learners can lead their learning but noting how the child wishes to do so, for example, does the child need options to support them due to additional learning needs or are they able to play completely independent (</w:t>
      </w:r>
      <w:proofErr w:type="spellStart"/>
      <w:r w:rsidRPr="006A5915">
        <w:rPr>
          <w:rStyle w:val="normaltextrun"/>
          <w:rFonts w:ascii="Arial" w:hAnsi="Arial" w:cs="Arial"/>
          <w:sz w:val="22"/>
          <w:szCs w:val="22"/>
        </w:rPr>
        <w:t>Bentenuto</w:t>
      </w:r>
      <w:proofErr w:type="spellEnd"/>
      <w:r w:rsidRPr="006A5915">
        <w:rPr>
          <w:rStyle w:val="normaltextrun"/>
          <w:rFonts w:ascii="Arial" w:hAnsi="Arial" w:cs="Arial"/>
          <w:sz w:val="22"/>
          <w:szCs w:val="22"/>
        </w:rPr>
        <w:t>, Falco &amp; Venuti, 2016); this is something that will be decided depending on individual learners needs. </w:t>
      </w:r>
      <w:r w:rsidRPr="006A5915">
        <w:rPr>
          <w:rStyle w:val="bcx2"/>
          <w:rFonts w:ascii="Arial" w:hAnsi="Arial" w:cs="Arial"/>
          <w:sz w:val="22"/>
          <w:szCs w:val="22"/>
        </w:rPr>
        <w:t> </w:t>
      </w:r>
      <w:r w:rsidRPr="006A5915">
        <w:rPr>
          <w:rFonts w:ascii="Arial" w:hAnsi="Arial" w:cs="Arial"/>
          <w:sz w:val="22"/>
          <w:szCs w:val="22"/>
        </w:rPr>
        <w:br/>
      </w:r>
      <w:r w:rsidRPr="006A5915">
        <w:rPr>
          <w:rStyle w:val="normaltextrun"/>
          <w:rFonts w:ascii="Arial" w:hAnsi="Arial" w:cs="Arial"/>
          <w:sz w:val="22"/>
          <w:szCs w:val="22"/>
        </w:rPr>
        <w:t>The role of COVID-19 was something that I knew I would consider before starting my observation as it is something I witnessed first-hand when working in a school before. Mental health is a role that is clearly important when considering how children learn and develop when looking at Bronfenbrenner’s ecological system; however, the argument of resilience outlined by Engler (2007) does lead to consider that every child is going to need a different level of input depending on their home environment and the impact that lockdown has had on their social skills. This links into the Pedagogical Principles (Donaldson, 2015) and the idea that good teaching supports social development and emotional development as well as considering the QTS Standard of differentiation and acknowledging the different needs of others. When considering Rolfe, Freshwater &amp; Jasper (2001) reflective model, the ‘What’ was questioning why Child A appeared to show signs of low self-esteem compared to his peers, the ‘So What?’ led me to consider the role of COVID-19 and just how much a child’s home environment can make a difference to each individual. However, the ‘Now What?’ was a reflection that I struggle with understanding; COVID-19 is considered to be unprecedented times meaning the true effect of the pandemic is yet to be known (</w:t>
      </w:r>
      <w:proofErr w:type="spellStart"/>
      <w:r w:rsidRPr="006A5915">
        <w:rPr>
          <w:rStyle w:val="normaltextrun"/>
          <w:rFonts w:ascii="Arial" w:hAnsi="Arial" w:cs="Arial"/>
          <w:sz w:val="22"/>
          <w:szCs w:val="22"/>
        </w:rPr>
        <w:t>Calbi</w:t>
      </w:r>
      <w:proofErr w:type="spellEnd"/>
      <w:r w:rsidRPr="006A5915">
        <w:rPr>
          <w:rStyle w:val="normaltextrun"/>
          <w:rFonts w:ascii="Arial" w:hAnsi="Arial" w:cs="Arial"/>
          <w:sz w:val="22"/>
          <w:szCs w:val="22"/>
        </w:rPr>
        <w:t xml:space="preserve"> et al., 2021). When looking at my own practice, I am still unsure how to manage learners with lower developmental social skills whilst maintaining a curriculum that meets the new progression steps.  </w:t>
      </w:r>
      <w:r w:rsidRPr="006A5915">
        <w:rPr>
          <w:rStyle w:val="bcx2"/>
          <w:rFonts w:ascii="Arial" w:hAnsi="Arial" w:cs="Arial"/>
          <w:sz w:val="22"/>
          <w:szCs w:val="22"/>
        </w:rPr>
        <w:t> </w:t>
      </w:r>
    </w:p>
    <w:p w14:paraId="7694329E" w14:textId="3252E9A8" w:rsidR="006A5915" w:rsidRDefault="006A5915" w:rsidP="006A5915">
      <w:pPr>
        <w:pStyle w:val="paragraph"/>
        <w:spacing w:line="360" w:lineRule="auto"/>
        <w:textAlignment w:val="baseline"/>
        <w:rPr>
          <w:rStyle w:val="bcx2"/>
          <w:rFonts w:ascii="Arial" w:hAnsi="Arial" w:cs="Arial"/>
          <w:sz w:val="22"/>
          <w:szCs w:val="22"/>
        </w:rPr>
      </w:pPr>
    </w:p>
    <w:p w14:paraId="31DA953E" w14:textId="77777777" w:rsidR="006A5915" w:rsidRDefault="006A5915" w:rsidP="006A5915">
      <w:pPr>
        <w:pStyle w:val="paragraph"/>
        <w:spacing w:line="360" w:lineRule="auto"/>
        <w:textAlignment w:val="baseline"/>
        <w:rPr>
          <w:rStyle w:val="bcx2"/>
          <w:rFonts w:ascii="Arial" w:hAnsi="Arial" w:cs="Arial"/>
          <w:sz w:val="22"/>
          <w:szCs w:val="22"/>
        </w:rPr>
      </w:pPr>
    </w:p>
    <w:p w14:paraId="3A55E186" w14:textId="68C6EBDA" w:rsidR="006A5915" w:rsidRPr="006A5915" w:rsidRDefault="006A5915" w:rsidP="006A5915">
      <w:pPr>
        <w:pStyle w:val="paragraph"/>
        <w:spacing w:line="360" w:lineRule="auto"/>
        <w:textAlignment w:val="baseline"/>
        <w:rPr>
          <w:rStyle w:val="bcx2"/>
          <w:rFonts w:ascii="Arial" w:hAnsi="Arial" w:cs="Arial"/>
          <w:b/>
          <w:bCs/>
          <w:sz w:val="28"/>
          <w:szCs w:val="28"/>
        </w:rPr>
      </w:pPr>
      <w:r>
        <w:rPr>
          <w:rStyle w:val="bcx2"/>
          <w:rFonts w:ascii="Arial" w:hAnsi="Arial" w:cs="Arial"/>
          <w:b/>
          <w:bCs/>
          <w:sz w:val="28"/>
          <w:szCs w:val="28"/>
        </w:rPr>
        <w:lastRenderedPageBreak/>
        <w:t>Conclusion:</w:t>
      </w:r>
    </w:p>
    <w:p w14:paraId="43DD5309" w14:textId="50A34752" w:rsidR="003D0D7D" w:rsidRPr="006A5915" w:rsidRDefault="003D0D7D" w:rsidP="006A5915">
      <w:pPr>
        <w:pStyle w:val="paragraph"/>
        <w:spacing w:line="360" w:lineRule="auto"/>
        <w:textAlignment w:val="baseline"/>
        <w:rPr>
          <w:rFonts w:ascii="Arial" w:hAnsi="Arial" w:cs="Arial"/>
          <w:sz w:val="22"/>
          <w:szCs w:val="22"/>
        </w:rPr>
      </w:pPr>
      <w:r w:rsidRPr="006A5915">
        <w:rPr>
          <w:rStyle w:val="normaltextrun"/>
          <w:rFonts w:ascii="Arial" w:hAnsi="Arial" w:cs="Arial"/>
          <w:sz w:val="22"/>
          <w:szCs w:val="22"/>
        </w:rPr>
        <w:t>To conclude, this critical incident was an activity that takes place every day in this setting, but also in many educational settings in Wales; this incident highlighted the role that teachers have in a child’s learning but also how much the child has their own role. When considering the work of Vygotsky (1978), it supports the idea that children need to learn from others and from watching peers achieve so they can mimic this behaviour. When looking at the QTS Standards, the idea of blended learning styles is not just an abstract idea, but something that has been seen as effective. The role of the teacher in this critical incident shows how adaptable they must be within the classroom; the teacher had planned to do Jolly Phonics however, she then listened to the learners to see if they wanted to do it again. Whilst the QTS standards (Welsh Government, 2015) states ‘Listen’, it also shows that teaching is about understanding the learners' non-verbal cues which is something that comes from reflective practice. This is something that I would take forward in my own practice once in the classroom. The critical incident also demonstrated that the needs of the learners were at the forefront of the planning and there was a focus on the well-being of the learners. To link this to the four purposes, the learners were given the learning opportunity to build up their confidence, face and overcome challenges, and form positive relationships with peers. Whilst this activity was a literacy-based lesson, the teacher highlighted that COVID-19 had had a negative effect on some of the learners' well-being and developmental progress meaning she tried to bring social skills and well-being into most of the activities she planned throughout the day. When considering the QTS Standards (Welsh Government, 2015), it not only meets the ‘Four Purposes for Learners’ criteria but also shows the understanding for progression in learning in that the teacher showed her awareness of how children learn and how social skills play a significant role in this. This has shown me how I can meet the criteria in subtle ways as well as in lesson planning.</w:t>
      </w:r>
      <w:r w:rsidRPr="00BD2B61">
        <w:rPr>
          <w:rStyle w:val="normaltextrun"/>
          <w:rFonts w:ascii="Arial" w:hAnsi="Arial" w:cs="Arial"/>
        </w:rPr>
        <w:t> </w:t>
      </w:r>
      <w:r w:rsidRPr="00BD2B61">
        <w:rPr>
          <w:rStyle w:val="eop"/>
          <w:rFonts w:ascii="Arial" w:hAnsi="Arial" w:cs="Arial"/>
        </w:rPr>
        <w:t> </w:t>
      </w:r>
    </w:p>
    <w:p w14:paraId="1BEB002B" w14:textId="129E6A88" w:rsidR="00924C8B" w:rsidRPr="00BD2B61" w:rsidRDefault="00924C8B">
      <w:pPr>
        <w:rPr>
          <w:rFonts w:ascii="Arial" w:hAnsi="Arial" w:cs="Arial"/>
          <w:sz w:val="24"/>
          <w:szCs w:val="24"/>
        </w:rPr>
      </w:pPr>
    </w:p>
    <w:p w14:paraId="62698C64" w14:textId="063BBFE2" w:rsidR="00430906" w:rsidRPr="00BD2B61" w:rsidRDefault="00430906">
      <w:pPr>
        <w:rPr>
          <w:rFonts w:ascii="Arial" w:hAnsi="Arial" w:cs="Arial"/>
          <w:sz w:val="24"/>
          <w:szCs w:val="24"/>
        </w:rPr>
      </w:pPr>
    </w:p>
    <w:p w14:paraId="3D3CF5A0" w14:textId="66A7E1A0" w:rsidR="00430906" w:rsidRPr="00BD2B61" w:rsidRDefault="00430906">
      <w:pPr>
        <w:rPr>
          <w:rFonts w:ascii="Arial" w:hAnsi="Arial" w:cs="Arial"/>
          <w:sz w:val="24"/>
          <w:szCs w:val="24"/>
        </w:rPr>
      </w:pPr>
    </w:p>
    <w:p w14:paraId="5187A38C" w14:textId="5B9A0554" w:rsidR="00430906" w:rsidRPr="00BD2B61" w:rsidRDefault="00430906">
      <w:pPr>
        <w:rPr>
          <w:rFonts w:ascii="Arial" w:hAnsi="Arial" w:cs="Arial"/>
          <w:sz w:val="24"/>
          <w:szCs w:val="24"/>
        </w:rPr>
      </w:pPr>
    </w:p>
    <w:p w14:paraId="3ECB4EB1" w14:textId="1896BAB7" w:rsidR="00430906" w:rsidRPr="00BD2B61" w:rsidRDefault="00430906"/>
    <w:p w14:paraId="6985ACDC" w14:textId="48455E78" w:rsidR="00430906" w:rsidRPr="00BD2B61" w:rsidRDefault="00430906"/>
    <w:p w14:paraId="284606AC" w14:textId="217ACF99" w:rsidR="00430906" w:rsidRPr="00BD2B61" w:rsidRDefault="00430906"/>
    <w:p w14:paraId="69060EF1" w14:textId="77777777" w:rsidR="006A5915" w:rsidRDefault="006A5915"/>
    <w:p w14:paraId="64EC493E" w14:textId="426CF529" w:rsidR="00430906" w:rsidRPr="006A5915" w:rsidRDefault="00430906">
      <w:pPr>
        <w:rPr>
          <w:rFonts w:ascii="Arial" w:hAnsi="Arial" w:cs="Arial"/>
          <w:b/>
          <w:bCs/>
          <w:sz w:val="28"/>
          <w:szCs w:val="28"/>
        </w:rPr>
      </w:pPr>
      <w:r w:rsidRPr="006A5915">
        <w:rPr>
          <w:rFonts w:ascii="Arial" w:hAnsi="Arial" w:cs="Arial"/>
          <w:b/>
          <w:bCs/>
          <w:sz w:val="28"/>
          <w:szCs w:val="28"/>
        </w:rPr>
        <w:lastRenderedPageBreak/>
        <w:t xml:space="preserve">Appendices: </w:t>
      </w:r>
    </w:p>
    <w:p w14:paraId="59A3CFA2" w14:textId="20EDC3C7" w:rsidR="00430906" w:rsidRPr="006A5915" w:rsidRDefault="00430906">
      <w:pPr>
        <w:rPr>
          <w:rFonts w:ascii="Arial" w:hAnsi="Arial" w:cs="Arial"/>
        </w:rPr>
      </w:pPr>
      <w:r w:rsidRPr="006A5915">
        <w:rPr>
          <w:rFonts w:ascii="Arial" w:hAnsi="Arial" w:cs="Arial"/>
        </w:rPr>
        <w:t>Appendix A:</w:t>
      </w:r>
    </w:p>
    <w:p w14:paraId="16F0112D" w14:textId="15FB45D5" w:rsidR="00430906" w:rsidRPr="00BD2B61" w:rsidRDefault="00430906">
      <w:r w:rsidRPr="00BD2B61">
        <w:rPr>
          <w:noProof/>
        </w:rPr>
        <w:drawing>
          <wp:anchor distT="0" distB="0" distL="114300" distR="114300" simplePos="0" relativeHeight="251658240" behindDoc="0" locked="0" layoutInCell="1" allowOverlap="1" wp14:anchorId="11A5FB73" wp14:editId="62C7C3EF">
            <wp:simplePos x="0" y="0"/>
            <wp:positionH relativeFrom="column">
              <wp:posOffset>167640</wp:posOffset>
            </wp:positionH>
            <wp:positionV relativeFrom="paragraph">
              <wp:posOffset>236220</wp:posOffset>
            </wp:positionV>
            <wp:extent cx="5731510" cy="3014980"/>
            <wp:effectExtent l="228600" t="228600" r="231140" b="223520"/>
            <wp:wrapNone/>
            <wp:docPr id="1" name="Picture 1" descr="Maslow&amp;#39;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amp;#39;s Hierarchy of Needs | Simply Psycholog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01498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41D638C8" w14:textId="77777777" w:rsidR="00430906" w:rsidRPr="00BD2B61" w:rsidRDefault="00430906"/>
    <w:p w14:paraId="20E6A1C4" w14:textId="600FDF39" w:rsidR="00430906" w:rsidRPr="00BD2B61" w:rsidRDefault="00430906"/>
    <w:p w14:paraId="23C8F2BB" w14:textId="6F14A428" w:rsidR="00430906" w:rsidRPr="00BD2B61" w:rsidRDefault="00430906"/>
    <w:p w14:paraId="05EA8387" w14:textId="0A087894" w:rsidR="00430906" w:rsidRPr="00BD2B61" w:rsidRDefault="00430906"/>
    <w:p w14:paraId="5DC496AD" w14:textId="59D5601C" w:rsidR="00430906" w:rsidRPr="00BD2B61" w:rsidRDefault="00430906"/>
    <w:p w14:paraId="69D4F646" w14:textId="77C96674" w:rsidR="00430906" w:rsidRPr="00BD2B61" w:rsidRDefault="00430906"/>
    <w:p w14:paraId="492BBD40" w14:textId="2E081B70" w:rsidR="00430906" w:rsidRPr="00BD2B61" w:rsidRDefault="00430906"/>
    <w:p w14:paraId="081173B4" w14:textId="6E20A23B" w:rsidR="00430906" w:rsidRPr="00BD2B61" w:rsidRDefault="00430906"/>
    <w:p w14:paraId="610A59B3" w14:textId="6520011D" w:rsidR="00430906" w:rsidRPr="00BD2B61" w:rsidRDefault="00430906"/>
    <w:p w14:paraId="17D7B49E" w14:textId="2F243AAA" w:rsidR="00430906" w:rsidRPr="00BD2B61" w:rsidRDefault="00430906"/>
    <w:p w14:paraId="224192E9" w14:textId="48ADBD40" w:rsidR="00430906" w:rsidRPr="00BD2B61" w:rsidRDefault="00430906"/>
    <w:p w14:paraId="4C421A77" w14:textId="42813C75" w:rsidR="00430906" w:rsidRPr="00BD2B61" w:rsidRDefault="00132063">
      <w:r w:rsidRPr="00BD2B61">
        <w:rPr>
          <w:noProof/>
        </w:rPr>
        <mc:AlternateContent>
          <mc:Choice Requires="wps">
            <w:drawing>
              <wp:anchor distT="0" distB="0" distL="114300" distR="114300" simplePos="0" relativeHeight="251662336" behindDoc="0" locked="0" layoutInCell="1" allowOverlap="1" wp14:anchorId="3F140E18" wp14:editId="2A7C7BBD">
                <wp:simplePos x="0" y="0"/>
                <wp:positionH relativeFrom="margin">
                  <wp:align>left</wp:align>
                </wp:positionH>
                <wp:positionV relativeFrom="paragraph">
                  <wp:posOffset>170815</wp:posOffset>
                </wp:positionV>
                <wp:extent cx="2194560" cy="335280"/>
                <wp:effectExtent l="0" t="0" r="0" b="7620"/>
                <wp:wrapNone/>
                <wp:docPr id="9" name="Text Box 9"/>
                <wp:cNvGraphicFramePr/>
                <a:graphic xmlns:a="http://schemas.openxmlformats.org/drawingml/2006/main">
                  <a:graphicData uri="http://schemas.microsoft.com/office/word/2010/wordprocessingShape">
                    <wps:wsp>
                      <wps:cNvSpPr txBox="1"/>
                      <wps:spPr>
                        <a:xfrm>
                          <a:off x="0" y="0"/>
                          <a:ext cx="2194560" cy="335280"/>
                        </a:xfrm>
                        <a:prstGeom prst="rect">
                          <a:avLst/>
                        </a:prstGeom>
                        <a:solidFill>
                          <a:schemeClr val="lt1"/>
                        </a:solidFill>
                        <a:ln w="6350">
                          <a:noFill/>
                        </a:ln>
                      </wps:spPr>
                      <wps:txbx>
                        <w:txbxContent>
                          <w:p w14:paraId="42BDCD65" w14:textId="0DC2CD19" w:rsidR="00132063" w:rsidRPr="006A5915" w:rsidRDefault="00132063" w:rsidP="00132063">
                            <w:pPr>
                              <w:rPr>
                                <w:rFonts w:ascii="Arial" w:hAnsi="Arial" w:cs="Arial"/>
                              </w:rPr>
                            </w:pPr>
                            <w:proofErr w:type="spellStart"/>
                            <w:r w:rsidRPr="006A5915">
                              <w:rPr>
                                <w:rFonts w:ascii="Arial" w:hAnsi="Arial" w:cs="Arial"/>
                              </w:rPr>
                              <w:t>SimplyPsychology</w:t>
                            </w:r>
                            <w:proofErr w:type="spellEnd"/>
                            <w:r w:rsidRPr="006A5915">
                              <w:rPr>
                                <w:rFonts w:ascii="Arial" w:hAnsi="Arial" w:cs="Arial"/>
                              </w:rPr>
                              <w:t>, 2020a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140E18" id="_x0000_t202" coordsize="21600,21600" o:spt="202" path="m,l,21600r21600,l21600,xe">
                <v:stroke joinstyle="miter"/>
                <v:path gradientshapeok="t" o:connecttype="rect"/>
              </v:shapetype>
              <v:shape id="Text Box 9" o:spid="_x0000_s1026" type="#_x0000_t202" style="position:absolute;margin-left:0;margin-top:13.45pt;width:172.8pt;height:26.4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" fillcolor="white [3201]" stroked="f" strokeweight=".5pt">
                <v:textbox>
                  <w:txbxContent>
                    <w:p w14:paraId="42BDCD65" w14:textId="0DC2CD19" w:rsidR="00132063" w:rsidRPr="006A5915" w:rsidRDefault="00132063" w:rsidP="00132063">
                      <w:pPr>
                        <w:rPr>
                          <w:rFonts w:ascii="Arial" w:hAnsi="Arial" w:cs="Arial"/>
                        </w:rPr>
                      </w:pPr>
                      <w:proofErr w:type="spellStart"/>
                      <w:r w:rsidRPr="006A5915">
                        <w:rPr>
                          <w:rFonts w:ascii="Arial" w:hAnsi="Arial" w:cs="Arial"/>
                        </w:rPr>
                        <w:t>SimplyPsychology</w:t>
                      </w:r>
                      <w:proofErr w:type="spellEnd"/>
                      <w:r w:rsidRPr="006A5915">
                        <w:rPr>
                          <w:rFonts w:ascii="Arial" w:hAnsi="Arial" w:cs="Arial"/>
                        </w:rPr>
                        <w:t>, 2020a</w:t>
                      </w:r>
                    </w:p>
                  </w:txbxContent>
                </v:textbox>
                <w10:wrap anchorx="margin"/>
              </v:shape>
            </w:pict>
          </mc:Fallback>
        </mc:AlternateContent>
      </w:r>
    </w:p>
    <w:p w14:paraId="6BEEC9BA" w14:textId="73D4B719" w:rsidR="00132063" w:rsidRPr="00BD2B61" w:rsidRDefault="00132063"/>
    <w:p w14:paraId="29207659" w14:textId="0893829F" w:rsidR="00430906" w:rsidRPr="006A5915" w:rsidRDefault="00430906">
      <w:pPr>
        <w:rPr>
          <w:rFonts w:ascii="Arial" w:hAnsi="Arial" w:cs="Arial"/>
        </w:rPr>
      </w:pPr>
      <w:r w:rsidRPr="006A5915">
        <w:rPr>
          <w:rFonts w:ascii="Arial" w:hAnsi="Arial" w:cs="Arial"/>
        </w:rPr>
        <w:t xml:space="preserve">Appendix B: </w:t>
      </w:r>
    </w:p>
    <w:p w14:paraId="462E78EE" w14:textId="2F724456" w:rsidR="00430906" w:rsidRPr="00BD2B61" w:rsidRDefault="006A5915">
      <w:r w:rsidRPr="00BD2B61">
        <w:rPr>
          <w:noProof/>
        </w:rPr>
        <mc:AlternateContent>
          <mc:Choice Requires="wps">
            <w:drawing>
              <wp:anchor distT="0" distB="0" distL="114300" distR="114300" simplePos="0" relativeHeight="251660288" behindDoc="0" locked="0" layoutInCell="1" allowOverlap="1" wp14:anchorId="5BA643B2" wp14:editId="7766E404">
                <wp:simplePos x="0" y="0"/>
                <wp:positionH relativeFrom="column">
                  <wp:posOffset>4648200</wp:posOffset>
                </wp:positionH>
                <wp:positionV relativeFrom="paragraph">
                  <wp:posOffset>158115</wp:posOffset>
                </wp:positionV>
                <wp:extent cx="1935480" cy="335280"/>
                <wp:effectExtent l="0" t="0" r="7620" b="7620"/>
                <wp:wrapNone/>
                <wp:docPr id="8" name="Text Box 8"/>
                <wp:cNvGraphicFramePr/>
                <a:graphic xmlns:a="http://schemas.openxmlformats.org/drawingml/2006/main">
                  <a:graphicData uri="http://schemas.microsoft.com/office/word/2010/wordprocessingShape">
                    <wps:wsp>
                      <wps:cNvSpPr txBox="1"/>
                      <wps:spPr>
                        <a:xfrm>
                          <a:off x="0" y="0"/>
                          <a:ext cx="1935480" cy="335280"/>
                        </a:xfrm>
                        <a:prstGeom prst="rect">
                          <a:avLst/>
                        </a:prstGeom>
                        <a:solidFill>
                          <a:schemeClr val="lt1"/>
                        </a:solidFill>
                        <a:ln w="6350">
                          <a:noFill/>
                        </a:ln>
                      </wps:spPr>
                      <wps:txbx>
                        <w:txbxContent>
                          <w:p w14:paraId="087E2E3F" w14:textId="04A3D3C9" w:rsidR="00132063" w:rsidRPr="006A5915" w:rsidRDefault="00132063">
                            <w:pPr>
                              <w:rPr>
                                <w:rFonts w:ascii="Arial" w:hAnsi="Arial" w:cs="Arial"/>
                              </w:rPr>
                            </w:pPr>
                            <w:proofErr w:type="spellStart"/>
                            <w:r w:rsidRPr="006A5915">
                              <w:rPr>
                                <w:rFonts w:ascii="Arial" w:hAnsi="Arial" w:cs="Arial"/>
                              </w:rPr>
                              <w:t>SimplyPsychology</w:t>
                            </w:r>
                            <w:proofErr w:type="spellEnd"/>
                            <w:r w:rsidRPr="006A5915">
                              <w:rPr>
                                <w:rFonts w:ascii="Arial" w:hAnsi="Arial" w:cs="Arial"/>
                              </w:rPr>
                              <w:t>, 2020b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643B2" id="Text Box 8" o:spid="_x0000_s1027" type="#_x0000_t202" style="position:absolute;margin-left:366pt;margin-top:12.45pt;width:152.4pt;height:2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" fillcolor="white [3201]" stroked="f" strokeweight=".5pt">
                <v:textbox>
                  <w:txbxContent>
                    <w:p w14:paraId="087E2E3F" w14:textId="04A3D3C9" w:rsidR="00132063" w:rsidRPr="006A5915" w:rsidRDefault="00132063">
                      <w:pPr>
                        <w:rPr>
                          <w:rFonts w:ascii="Arial" w:hAnsi="Arial" w:cs="Arial"/>
                        </w:rPr>
                      </w:pPr>
                      <w:proofErr w:type="spellStart"/>
                      <w:r w:rsidRPr="006A5915">
                        <w:rPr>
                          <w:rFonts w:ascii="Arial" w:hAnsi="Arial" w:cs="Arial"/>
                        </w:rPr>
                        <w:t>SimplyPsychology</w:t>
                      </w:r>
                      <w:proofErr w:type="spellEnd"/>
                      <w:r w:rsidRPr="006A5915">
                        <w:rPr>
                          <w:rFonts w:ascii="Arial" w:hAnsi="Arial" w:cs="Arial"/>
                        </w:rPr>
                        <w:t>, 2020b</w:t>
                      </w:r>
                    </w:p>
                  </w:txbxContent>
                </v:textbox>
              </v:shape>
            </w:pict>
          </mc:Fallback>
        </mc:AlternateContent>
      </w:r>
      <w:r w:rsidR="00BD2B61" w:rsidRPr="00BD2B61">
        <w:rPr>
          <w:noProof/>
        </w:rPr>
        <w:drawing>
          <wp:anchor distT="0" distB="0" distL="114300" distR="114300" simplePos="0" relativeHeight="251659264" behindDoc="0" locked="0" layoutInCell="1" allowOverlap="1" wp14:anchorId="025C517B" wp14:editId="11A3BB15">
            <wp:simplePos x="0" y="0"/>
            <wp:positionH relativeFrom="column">
              <wp:posOffset>68580</wp:posOffset>
            </wp:positionH>
            <wp:positionV relativeFrom="paragraph">
              <wp:posOffset>180975</wp:posOffset>
            </wp:positionV>
            <wp:extent cx="4216199" cy="4275455"/>
            <wp:effectExtent l="228600" t="228600" r="222885" b="220345"/>
            <wp:wrapNone/>
            <wp:docPr id="7" name="Picture 7" descr="A picture containing text,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devi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216199" cy="4275455"/>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1DB5868E" w14:textId="4DF73B56" w:rsidR="00430906" w:rsidRPr="00BD2B61" w:rsidRDefault="00430906"/>
    <w:p w14:paraId="56EEF083" w14:textId="7385CC20" w:rsidR="00430906" w:rsidRPr="00BD2B61" w:rsidRDefault="00430906"/>
    <w:p w14:paraId="03A28DDB" w14:textId="4286366E" w:rsidR="00430906" w:rsidRPr="00BD2B61" w:rsidRDefault="00430906"/>
    <w:p w14:paraId="2126156C" w14:textId="0D9FA177" w:rsidR="00430906" w:rsidRPr="00BD2B61" w:rsidRDefault="00430906"/>
    <w:p w14:paraId="4002089F" w14:textId="7659D404" w:rsidR="00430906" w:rsidRPr="00BD2B61" w:rsidRDefault="00430906"/>
    <w:p w14:paraId="6F278560" w14:textId="5A34B1AE" w:rsidR="00430906" w:rsidRPr="00BD2B61" w:rsidRDefault="00430906"/>
    <w:p w14:paraId="32913927" w14:textId="084A57F3" w:rsidR="00430906" w:rsidRPr="00BD2B61" w:rsidRDefault="00430906"/>
    <w:p w14:paraId="271CC365" w14:textId="1580C36C" w:rsidR="00430906" w:rsidRPr="00BD2B61" w:rsidRDefault="00430906"/>
    <w:p w14:paraId="07D5D5E3" w14:textId="317B1C2A" w:rsidR="00430906" w:rsidRPr="00BD2B61" w:rsidRDefault="00430906"/>
    <w:p w14:paraId="5AF441A9" w14:textId="6787D865" w:rsidR="00430906" w:rsidRPr="00BD2B61" w:rsidRDefault="00430906"/>
    <w:p w14:paraId="61857906" w14:textId="5880CF51" w:rsidR="00430906" w:rsidRPr="00BD2B61" w:rsidRDefault="00430906"/>
    <w:p w14:paraId="342E7175" w14:textId="74C371D0" w:rsidR="00430906" w:rsidRPr="00BD2B61" w:rsidRDefault="00430906"/>
    <w:p w14:paraId="1F5C5EE2" w14:textId="4C4C3C13" w:rsidR="00430906" w:rsidRPr="00BD2B61" w:rsidRDefault="00430906">
      <w:r w:rsidRPr="00BD2B61">
        <w:t xml:space="preserve">Appendix C: </w:t>
      </w:r>
    </w:p>
    <w:p w14:paraId="62054B3B" w14:textId="77777777" w:rsidR="00430906" w:rsidRPr="00BD2B61" w:rsidRDefault="00430906" w:rsidP="00430906">
      <w:pPr>
        <w:jc w:val="both"/>
        <w:rPr>
          <w:b/>
        </w:rPr>
      </w:pPr>
      <w:r w:rsidRPr="00BD2B61">
        <w:rPr>
          <w:b/>
        </w:rPr>
        <w:lastRenderedPageBreak/>
        <w:t>OBSERVATION / FIELD NOTES</w:t>
      </w:r>
    </w:p>
    <w:p w14:paraId="0023FE5D" w14:textId="77777777" w:rsidR="00430906" w:rsidRPr="00BD2B61" w:rsidRDefault="00430906" w:rsidP="00430906">
      <w:pPr>
        <w:rPr>
          <w:sz w:val="16"/>
          <w:szCs w:val="16"/>
        </w:rPr>
      </w:pPr>
    </w:p>
    <w:p w14:paraId="7FE1E6C9" w14:textId="77777777" w:rsidR="00430906" w:rsidRPr="00BD2B61" w:rsidRDefault="00430906" w:rsidP="00430906">
      <w:pPr>
        <w:rPr>
          <w:b/>
          <w:bCs/>
        </w:rPr>
      </w:pPr>
      <w:r w:rsidRPr="00BD2B61">
        <w:rPr>
          <w:b/>
          <w:bCs/>
        </w:rPr>
        <w:t>Record 1</w:t>
      </w:r>
    </w:p>
    <w:tbl>
      <w:tblPr>
        <w:tblStyle w:val="TableGrid"/>
        <w:tblW w:w="0" w:type="auto"/>
        <w:tblLook w:val="04A0" w:firstRow="1" w:lastRow="0" w:firstColumn="1" w:lastColumn="0" w:noHBand="0" w:noVBand="1"/>
      </w:tblPr>
      <w:tblGrid>
        <w:gridCol w:w="8926"/>
      </w:tblGrid>
      <w:tr w:rsidR="00BD2B61" w:rsidRPr="006A5915" w14:paraId="4F609242" w14:textId="77777777" w:rsidTr="00526343">
        <w:tc>
          <w:tcPr>
            <w:tcW w:w="8926" w:type="dxa"/>
          </w:tcPr>
          <w:p w14:paraId="185FA549" w14:textId="77777777" w:rsidR="00430906" w:rsidRPr="006A5915" w:rsidRDefault="00430906" w:rsidP="00526343">
            <w:pPr>
              <w:rPr>
                <w:rFonts w:ascii="Arial" w:hAnsi="Arial" w:cs="Arial"/>
              </w:rPr>
            </w:pPr>
            <w:r w:rsidRPr="006A5915">
              <w:rPr>
                <w:rFonts w:ascii="Arial" w:hAnsi="Arial" w:cs="Arial"/>
              </w:rPr>
              <w:t>Date and time, year group:</w:t>
            </w:r>
          </w:p>
          <w:p w14:paraId="2854918D" w14:textId="77777777" w:rsidR="00430906" w:rsidRPr="006A5915" w:rsidRDefault="00430906" w:rsidP="00526343">
            <w:pPr>
              <w:rPr>
                <w:rFonts w:ascii="Arial" w:hAnsi="Arial" w:cs="Arial"/>
              </w:rPr>
            </w:pPr>
            <w:r w:rsidRPr="006A5915">
              <w:rPr>
                <w:rFonts w:ascii="Arial" w:hAnsi="Arial" w:cs="Arial"/>
              </w:rPr>
              <w:t xml:space="preserve">22nd September 2021, Reception </w:t>
            </w:r>
            <w:proofErr w:type="gramStart"/>
            <w:r w:rsidRPr="006A5915">
              <w:rPr>
                <w:rFonts w:ascii="Arial" w:hAnsi="Arial" w:cs="Arial"/>
              </w:rPr>
              <w:t>Class,  12</w:t>
            </w:r>
            <w:proofErr w:type="gramEnd"/>
            <w:r w:rsidRPr="006A5915">
              <w:rPr>
                <w:rFonts w:ascii="Arial" w:hAnsi="Arial" w:cs="Arial"/>
              </w:rPr>
              <w:t xml:space="preserve">: 50pm </w:t>
            </w:r>
          </w:p>
        </w:tc>
      </w:tr>
      <w:tr w:rsidR="00BD2B61" w:rsidRPr="006A5915" w14:paraId="75E95618" w14:textId="77777777" w:rsidTr="00526343">
        <w:tc>
          <w:tcPr>
            <w:tcW w:w="8926" w:type="dxa"/>
          </w:tcPr>
          <w:p w14:paraId="46D7C51E" w14:textId="77777777" w:rsidR="00430906" w:rsidRPr="006A5915" w:rsidRDefault="00430906" w:rsidP="00526343">
            <w:pPr>
              <w:rPr>
                <w:rFonts w:ascii="Arial" w:hAnsi="Arial" w:cs="Arial"/>
              </w:rPr>
            </w:pPr>
            <w:r w:rsidRPr="006A5915">
              <w:rPr>
                <w:rFonts w:ascii="Arial" w:hAnsi="Arial" w:cs="Arial"/>
                <w:b/>
                <w:bCs/>
              </w:rPr>
              <w:t>Where and When:</w:t>
            </w:r>
            <w:r w:rsidRPr="006A5915">
              <w:rPr>
                <w:rFonts w:ascii="Arial" w:hAnsi="Arial" w:cs="Arial"/>
              </w:rPr>
              <w:t xml:space="preserve"> Context of the observation – subject/AOLE, general classroom context</w:t>
            </w:r>
          </w:p>
          <w:p w14:paraId="5EB1F340" w14:textId="77777777" w:rsidR="00430906" w:rsidRPr="006A5915" w:rsidRDefault="00430906" w:rsidP="00526343">
            <w:pPr>
              <w:rPr>
                <w:rFonts w:ascii="Arial" w:hAnsi="Arial" w:cs="Arial"/>
              </w:rPr>
            </w:pPr>
          </w:p>
          <w:p w14:paraId="6BCDD8E8" w14:textId="77777777" w:rsidR="00430906" w:rsidRPr="006A5915" w:rsidRDefault="00430906" w:rsidP="00526343">
            <w:pPr>
              <w:rPr>
                <w:rFonts w:ascii="Arial" w:hAnsi="Arial" w:cs="Arial"/>
              </w:rPr>
            </w:pPr>
            <w:r w:rsidRPr="006A5915">
              <w:rPr>
                <w:rFonts w:ascii="Arial" w:hAnsi="Arial" w:cs="Arial"/>
              </w:rPr>
              <w:t>Phonics lesson on the carpet after lunch. Children sat on the carpet all together, on their assigned spots. The children all sat in their spots without being asked or reminded of where their spot was.</w:t>
            </w:r>
          </w:p>
          <w:p w14:paraId="53072362" w14:textId="77777777" w:rsidR="00430906" w:rsidRPr="006A5915" w:rsidRDefault="00430906" w:rsidP="00526343">
            <w:pPr>
              <w:rPr>
                <w:rFonts w:ascii="Arial" w:hAnsi="Arial" w:cs="Arial"/>
              </w:rPr>
            </w:pPr>
            <w:r w:rsidRPr="006A5915">
              <w:rPr>
                <w:rFonts w:ascii="Arial" w:hAnsi="Arial" w:cs="Arial"/>
              </w:rPr>
              <w:t xml:space="preserve">The teacher had planned this as a literacy lesson and had only planned on completing the song once. </w:t>
            </w:r>
          </w:p>
          <w:p w14:paraId="53E53E0B" w14:textId="77777777" w:rsidR="00430906" w:rsidRPr="006A5915" w:rsidRDefault="00430906" w:rsidP="00526343">
            <w:pPr>
              <w:rPr>
                <w:rFonts w:ascii="Arial" w:hAnsi="Arial" w:cs="Arial"/>
              </w:rPr>
            </w:pPr>
          </w:p>
          <w:p w14:paraId="1C8A04DD" w14:textId="77777777" w:rsidR="00430906" w:rsidRPr="006A5915" w:rsidRDefault="00430906" w:rsidP="00526343">
            <w:pPr>
              <w:rPr>
                <w:rFonts w:ascii="Arial" w:hAnsi="Arial" w:cs="Arial"/>
              </w:rPr>
            </w:pPr>
          </w:p>
        </w:tc>
      </w:tr>
      <w:tr w:rsidR="00BD2B61" w:rsidRPr="006A5915" w14:paraId="0582DBFE" w14:textId="77777777" w:rsidTr="00526343">
        <w:tc>
          <w:tcPr>
            <w:tcW w:w="8926" w:type="dxa"/>
          </w:tcPr>
          <w:p w14:paraId="1398BF52" w14:textId="1DA9C735" w:rsidR="00430906" w:rsidRPr="006A5915" w:rsidRDefault="00430906" w:rsidP="00526343">
            <w:pPr>
              <w:rPr>
                <w:rFonts w:ascii="Arial" w:hAnsi="Arial" w:cs="Arial"/>
                <w:b/>
                <w:bCs/>
              </w:rPr>
            </w:pPr>
            <w:r w:rsidRPr="006A5915">
              <w:rPr>
                <w:rFonts w:ascii="Arial" w:hAnsi="Arial" w:cs="Arial"/>
                <w:b/>
                <w:bCs/>
                <w:lang w:val="en-US"/>
              </w:rPr>
              <w:t xml:space="preserve">What happened: </w:t>
            </w:r>
            <w:r w:rsidRPr="006A5915">
              <w:rPr>
                <w:rFonts w:ascii="Arial" w:hAnsi="Arial" w:cs="Arial"/>
                <w:lang w:val="en-US"/>
              </w:rPr>
              <w:t>a detailed description of the critical incident</w:t>
            </w:r>
            <w:r w:rsidR="00B07699">
              <w:rPr>
                <w:rFonts w:ascii="Arial" w:hAnsi="Arial" w:cs="Arial"/>
                <w:lang w:val="en-US"/>
              </w:rPr>
              <w:t xml:space="preserve"> </w:t>
            </w:r>
            <w:r w:rsidRPr="006A5915">
              <w:rPr>
                <w:rFonts w:ascii="Arial" w:hAnsi="Arial" w:cs="Arial"/>
                <w:lang w:val="en-US"/>
              </w:rPr>
              <w:t>(the more detail the better to refer to in your later work)</w:t>
            </w:r>
          </w:p>
          <w:p w14:paraId="65F07624" w14:textId="77777777" w:rsidR="00430906" w:rsidRPr="006A5915" w:rsidRDefault="00430906" w:rsidP="00526343">
            <w:pPr>
              <w:rPr>
                <w:rFonts w:ascii="Arial" w:hAnsi="Arial" w:cs="Arial"/>
                <w:bCs/>
                <w:lang w:val="en-US"/>
              </w:rPr>
            </w:pPr>
          </w:p>
          <w:p w14:paraId="54F13C9C" w14:textId="218878F2" w:rsidR="00430906" w:rsidRPr="006A5915" w:rsidRDefault="00430906" w:rsidP="00526343">
            <w:pPr>
              <w:rPr>
                <w:rFonts w:ascii="Arial" w:hAnsi="Arial" w:cs="Arial"/>
                <w:bCs/>
                <w:lang w:val="en-US"/>
              </w:rPr>
            </w:pPr>
            <w:r w:rsidRPr="006A5915">
              <w:rPr>
                <w:rFonts w:ascii="Arial" w:hAnsi="Arial" w:cs="Arial"/>
                <w:bCs/>
                <w:lang w:val="en-US"/>
              </w:rPr>
              <w:t xml:space="preserve">Children appeared very excited to do their phonics lesson around the screen. The phonics lesson was based on the </w:t>
            </w:r>
            <w:r w:rsidR="00B07699" w:rsidRPr="006A5915">
              <w:rPr>
                <w:rFonts w:ascii="Arial" w:hAnsi="Arial" w:cs="Arial"/>
                <w:bCs/>
                <w:lang w:val="en-US"/>
              </w:rPr>
              <w:t>YouTube</w:t>
            </w:r>
            <w:r w:rsidRPr="006A5915">
              <w:rPr>
                <w:rFonts w:ascii="Arial" w:hAnsi="Arial" w:cs="Arial"/>
                <w:bCs/>
                <w:lang w:val="en-US"/>
              </w:rPr>
              <w:t xml:space="preserve"> video ‘Jolly Phonics’ which is each sound being sung to a different nursery rhyme along with an action </w:t>
            </w:r>
            <w:proofErr w:type="spellStart"/>
            <w:r w:rsidRPr="006A5915">
              <w:rPr>
                <w:rFonts w:ascii="Arial" w:hAnsi="Arial" w:cs="Arial"/>
                <w:bCs/>
                <w:lang w:val="en-US"/>
              </w:rPr>
              <w:t>e.g</w:t>
            </w:r>
            <w:proofErr w:type="spellEnd"/>
            <w:r w:rsidRPr="006A5915">
              <w:rPr>
                <w:rFonts w:ascii="Arial" w:hAnsi="Arial" w:cs="Arial"/>
                <w:bCs/>
                <w:lang w:val="en-US"/>
              </w:rPr>
              <w:t xml:space="preserve"> the sound ‘a’ is sung to ‘Skip to my Lou’ and the action is pretending there is ant running up and down your arm. It was sung as a group song which encouraged all the children to sing along and when they didn’t know a sound, you could see them looking at their peers and then copying them. One child did not appear confident with the sounds, but after 5 letters, he started to join in but copying the boy next to him and paying little attention to the video on the screen. The children were all rewarded with Dojo points (good behavior points) for joining in and trying. The teacher could see that the children were engaging and enjoying, so she asked them if they would like to do it again. The children all said yes, including child A.  </w:t>
            </w:r>
          </w:p>
          <w:p w14:paraId="45AF1E57" w14:textId="77777777" w:rsidR="00430906" w:rsidRPr="006A5915" w:rsidRDefault="00430906" w:rsidP="00526343">
            <w:pPr>
              <w:rPr>
                <w:rFonts w:ascii="Arial" w:hAnsi="Arial" w:cs="Arial"/>
                <w:bCs/>
                <w:lang w:val="en-US"/>
              </w:rPr>
            </w:pPr>
          </w:p>
          <w:p w14:paraId="6A2BB822" w14:textId="77777777" w:rsidR="00430906" w:rsidRPr="006A5915" w:rsidRDefault="00430906" w:rsidP="00526343">
            <w:pPr>
              <w:rPr>
                <w:rFonts w:ascii="Arial" w:hAnsi="Arial" w:cs="Arial"/>
                <w:bCs/>
                <w:lang w:val="en-US"/>
              </w:rPr>
            </w:pPr>
          </w:p>
          <w:p w14:paraId="2A43E9F6" w14:textId="77777777" w:rsidR="00430906" w:rsidRPr="006A5915" w:rsidRDefault="00430906" w:rsidP="00526343">
            <w:pPr>
              <w:rPr>
                <w:rFonts w:ascii="Arial" w:hAnsi="Arial" w:cs="Arial"/>
              </w:rPr>
            </w:pPr>
          </w:p>
          <w:p w14:paraId="0A7354A4" w14:textId="77777777" w:rsidR="00430906" w:rsidRPr="006A5915" w:rsidRDefault="00430906" w:rsidP="00526343">
            <w:pPr>
              <w:ind w:left="720"/>
              <w:rPr>
                <w:rFonts w:ascii="Arial" w:hAnsi="Arial" w:cs="Arial"/>
              </w:rPr>
            </w:pPr>
          </w:p>
        </w:tc>
      </w:tr>
      <w:tr w:rsidR="00BD2B61" w:rsidRPr="006A5915" w14:paraId="53D83520" w14:textId="77777777" w:rsidTr="00526343">
        <w:tc>
          <w:tcPr>
            <w:tcW w:w="8926" w:type="dxa"/>
          </w:tcPr>
          <w:p w14:paraId="083E4C89" w14:textId="77777777" w:rsidR="00430906" w:rsidRPr="006A5915" w:rsidRDefault="00430906" w:rsidP="00526343">
            <w:pPr>
              <w:rPr>
                <w:rFonts w:ascii="Arial" w:hAnsi="Arial" w:cs="Arial"/>
                <w:b/>
              </w:rPr>
            </w:pPr>
            <w:r w:rsidRPr="006A5915">
              <w:rPr>
                <w:rFonts w:ascii="Arial" w:hAnsi="Arial" w:cs="Arial"/>
                <w:b/>
                <w:lang w:val="en-US"/>
              </w:rPr>
              <w:t xml:space="preserve">Areas of possible exploration: </w:t>
            </w:r>
            <w:r w:rsidRPr="006A5915">
              <w:rPr>
                <w:rFonts w:ascii="Arial" w:hAnsi="Arial" w:cs="Arial"/>
                <w:bCs/>
                <w:lang w:val="en-US"/>
              </w:rPr>
              <w:t>what you think could be” under the hood” in these incidents? What avenues of research could you consider?</w:t>
            </w:r>
          </w:p>
          <w:p w14:paraId="590ACC28" w14:textId="77777777" w:rsidR="00430906" w:rsidRPr="006A5915" w:rsidRDefault="00430906" w:rsidP="00526343">
            <w:pPr>
              <w:rPr>
                <w:rFonts w:ascii="Arial" w:hAnsi="Arial" w:cs="Arial"/>
              </w:rPr>
            </w:pPr>
          </w:p>
          <w:p w14:paraId="0E46F0B4" w14:textId="77777777" w:rsidR="00430906" w:rsidRPr="006A5915" w:rsidRDefault="00430906" w:rsidP="00526343">
            <w:pPr>
              <w:rPr>
                <w:rFonts w:ascii="Arial" w:hAnsi="Arial" w:cs="Arial"/>
              </w:rPr>
            </w:pPr>
            <w:r w:rsidRPr="006A5915">
              <w:rPr>
                <w:rFonts w:ascii="Arial" w:hAnsi="Arial" w:cs="Arial"/>
              </w:rPr>
              <w:t xml:space="preserve">- Lack of confidence and the role that COVID-19 has played in this. Also considering how mental health has an effect on development and learning in a classroom. </w:t>
            </w:r>
          </w:p>
          <w:p w14:paraId="528CD885" w14:textId="77777777" w:rsidR="00430906" w:rsidRPr="006A5915" w:rsidRDefault="00430906" w:rsidP="00526343">
            <w:pPr>
              <w:rPr>
                <w:rFonts w:ascii="Arial" w:hAnsi="Arial" w:cs="Arial"/>
              </w:rPr>
            </w:pPr>
            <w:r w:rsidRPr="006A5915">
              <w:rPr>
                <w:rFonts w:ascii="Arial" w:hAnsi="Arial" w:cs="Arial"/>
              </w:rPr>
              <w:t>- Bandura = links to the idea that children imitate those who surround them and mimic their behaviour. How important is social interaction in terms of learning?</w:t>
            </w:r>
          </w:p>
          <w:p w14:paraId="005B49D3" w14:textId="77777777" w:rsidR="00430906" w:rsidRPr="006A5915" w:rsidRDefault="00430906" w:rsidP="00526343">
            <w:pPr>
              <w:rPr>
                <w:rFonts w:ascii="Arial" w:hAnsi="Arial" w:cs="Arial"/>
              </w:rPr>
            </w:pPr>
            <w:r w:rsidRPr="006A5915">
              <w:rPr>
                <w:rFonts w:ascii="Arial" w:hAnsi="Arial" w:cs="Arial"/>
              </w:rPr>
              <w:t>- Vygotsky - Cognitive development stems from social interactions from guided learning within the zone of proximal development as children and their partner's co-construct knowledge. </w:t>
            </w:r>
          </w:p>
          <w:p w14:paraId="492BDF85" w14:textId="77777777" w:rsidR="00430906" w:rsidRPr="006A5915" w:rsidRDefault="00430906" w:rsidP="00526343">
            <w:pPr>
              <w:rPr>
                <w:rFonts w:ascii="Arial" w:hAnsi="Arial" w:cs="Arial"/>
              </w:rPr>
            </w:pPr>
            <w:r w:rsidRPr="006A5915">
              <w:rPr>
                <w:rFonts w:ascii="Arial" w:hAnsi="Arial" w:cs="Arial"/>
              </w:rPr>
              <w:t xml:space="preserve">- Four Purposes - are building their mental and emotional well-being by developing confidence, resilience and empathy, Face and overcome challenges. </w:t>
            </w:r>
          </w:p>
          <w:p w14:paraId="332AD02E" w14:textId="77777777" w:rsidR="00430906" w:rsidRPr="006A5915" w:rsidRDefault="00430906" w:rsidP="00526343">
            <w:pPr>
              <w:rPr>
                <w:rFonts w:ascii="Arial" w:hAnsi="Arial" w:cs="Arial"/>
              </w:rPr>
            </w:pPr>
            <w:r w:rsidRPr="006A5915">
              <w:rPr>
                <w:rFonts w:ascii="Arial" w:hAnsi="Arial" w:cs="Arial"/>
              </w:rPr>
              <w:t xml:space="preserve">- Piaget = Schemas. How do children build on their previous knowledge to create new </w:t>
            </w:r>
            <w:proofErr w:type="gramStart"/>
            <w:r w:rsidRPr="006A5915">
              <w:rPr>
                <w:rFonts w:ascii="Arial" w:hAnsi="Arial" w:cs="Arial"/>
              </w:rPr>
              <w:t>schemas.</w:t>
            </w:r>
            <w:proofErr w:type="gramEnd"/>
            <w:r w:rsidRPr="006A5915">
              <w:rPr>
                <w:rFonts w:ascii="Arial" w:hAnsi="Arial" w:cs="Arial"/>
              </w:rPr>
              <w:t xml:space="preserve"> </w:t>
            </w:r>
          </w:p>
          <w:p w14:paraId="0C8134EE" w14:textId="77777777" w:rsidR="00430906" w:rsidRPr="006A5915" w:rsidRDefault="00430906" w:rsidP="00526343">
            <w:pPr>
              <w:rPr>
                <w:rFonts w:ascii="Arial" w:hAnsi="Arial" w:cs="Arial"/>
              </w:rPr>
            </w:pPr>
          </w:p>
        </w:tc>
      </w:tr>
      <w:tr w:rsidR="00BD2B61" w:rsidRPr="006A5915" w14:paraId="57113CEF" w14:textId="77777777" w:rsidTr="00526343">
        <w:tc>
          <w:tcPr>
            <w:tcW w:w="8926" w:type="dxa"/>
          </w:tcPr>
          <w:p w14:paraId="287ADBFA" w14:textId="77777777" w:rsidR="00430906" w:rsidRPr="006A5915" w:rsidRDefault="00430906" w:rsidP="00526343">
            <w:pPr>
              <w:rPr>
                <w:rFonts w:ascii="Arial" w:hAnsi="Arial" w:cs="Arial"/>
                <w:bCs/>
              </w:rPr>
            </w:pPr>
            <w:r w:rsidRPr="006A5915">
              <w:rPr>
                <w:rFonts w:ascii="Arial" w:hAnsi="Arial" w:cs="Arial"/>
                <w:b/>
                <w:lang w:val="en-US"/>
              </w:rPr>
              <w:t xml:space="preserve">Notes: </w:t>
            </w:r>
            <w:r w:rsidRPr="006A5915">
              <w:rPr>
                <w:rFonts w:ascii="Arial" w:hAnsi="Arial" w:cs="Arial"/>
                <w:bCs/>
                <w:lang w:val="en-US"/>
              </w:rPr>
              <w:t>any details you can note (is it a busy environment, is it after lunch, are there lots of distractions, are directions made explicit - the more you can refer to the better here)</w:t>
            </w:r>
          </w:p>
          <w:p w14:paraId="0C55C703" w14:textId="77777777" w:rsidR="00430906" w:rsidRPr="006A5915" w:rsidRDefault="00430906" w:rsidP="00526343">
            <w:pPr>
              <w:rPr>
                <w:rFonts w:ascii="Arial" w:hAnsi="Arial" w:cs="Arial"/>
                <w:bCs/>
              </w:rPr>
            </w:pPr>
          </w:p>
          <w:p w14:paraId="51C0729D" w14:textId="0B94ABB7" w:rsidR="00430906" w:rsidRPr="006A5915" w:rsidRDefault="00430906" w:rsidP="00526343">
            <w:pPr>
              <w:rPr>
                <w:rFonts w:ascii="Arial" w:hAnsi="Arial" w:cs="Arial"/>
              </w:rPr>
            </w:pPr>
            <w:r w:rsidRPr="006A5915">
              <w:rPr>
                <w:rFonts w:ascii="Arial" w:hAnsi="Arial" w:cs="Arial"/>
              </w:rPr>
              <w:lastRenderedPageBreak/>
              <w:t xml:space="preserve">The children were told that they were going to do Jolly Phonics, this got mixed reactions from each child – some were happy and others seemed quite disappointed. It was directly after lunch and they were all sat on the carpet. They were told that it was okay if they didn’t know the sounds and that Dojo points would be given to those who were trying and that’s all she was looking for. </w:t>
            </w:r>
          </w:p>
          <w:p w14:paraId="5EF9D789" w14:textId="7028EF37" w:rsidR="00430906" w:rsidRPr="006A5915" w:rsidRDefault="00430906" w:rsidP="00526343">
            <w:pPr>
              <w:rPr>
                <w:rFonts w:ascii="Arial" w:hAnsi="Arial" w:cs="Arial"/>
              </w:rPr>
            </w:pPr>
            <w:r w:rsidRPr="006A5915">
              <w:rPr>
                <w:rFonts w:ascii="Arial" w:hAnsi="Arial" w:cs="Arial"/>
              </w:rPr>
              <w:t xml:space="preserve">Child A was one of the children who changed his </w:t>
            </w:r>
            <w:r w:rsidR="00B07699" w:rsidRPr="006A5915">
              <w:rPr>
                <w:rFonts w:ascii="Arial" w:hAnsi="Arial" w:cs="Arial"/>
              </w:rPr>
              <w:t>demeanour</w:t>
            </w:r>
            <w:r w:rsidRPr="006A5915">
              <w:rPr>
                <w:rFonts w:ascii="Arial" w:hAnsi="Arial" w:cs="Arial"/>
              </w:rPr>
              <w:t xml:space="preserve"> when </w:t>
            </w:r>
            <w:proofErr w:type="gramStart"/>
            <w:r w:rsidRPr="006A5915">
              <w:rPr>
                <w:rFonts w:ascii="Arial" w:hAnsi="Arial" w:cs="Arial"/>
              </w:rPr>
              <w:t>told</w:t>
            </w:r>
            <w:proofErr w:type="gramEnd"/>
            <w:r w:rsidRPr="006A5915">
              <w:rPr>
                <w:rFonts w:ascii="Arial" w:hAnsi="Arial" w:cs="Arial"/>
              </w:rPr>
              <w:t xml:space="preserve"> about Jolly Phonics, he slouched back and crossed his arms, he looked </w:t>
            </w:r>
            <w:r w:rsidR="00B07699" w:rsidRPr="006A5915">
              <w:rPr>
                <w:rFonts w:ascii="Arial" w:hAnsi="Arial" w:cs="Arial"/>
              </w:rPr>
              <w:t>visibly</w:t>
            </w:r>
            <w:r w:rsidRPr="006A5915">
              <w:rPr>
                <w:rFonts w:ascii="Arial" w:hAnsi="Arial" w:cs="Arial"/>
              </w:rPr>
              <w:t xml:space="preserve"> unhappy. </w:t>
            </w:r>
            <w:r w:rsidRPr="006A5915">
              <w:rPr>
                <w:rFonts w:ascii="Arial" w:hAnsi="Arial" w:cs="Arial"/>
              </w:rPr>
              <w:br/>
              <w:t xml:space="preserve">Added after the observation – on the next day, the class had a supply teacher and it was wet play which meant the children appeared to be less capable of sitting for longer periods of time. Whilst they did participate in the Jolly Phonics, it was noted that the children were moving around a lot more and did not complete it for the second time as their attention was not there. </w:t>
            </w:r>
          </w:p>
          <w:p w14:paraId="31CE8F31" w14:textId="77777777" w:rsidR="00430906" w:rsidRPr="006A5915" w:rsidRDefault="00430906" w:rsidP="00526343">
            <w:pPr>
              <w:rPr>
                <w:rFonts w:ascii="Arial" w:hAnsi="Arial" w:cs="Arial"/>
              </w:rPr>
            </w:pPr>
          </w:p>
          <w:p w14:paraId="5C581E45" w14:textId="77777777" w:rsidR="00430906" w:rsidRPr="006A5915" w:rsidRDefault="00430906" w:rsidP="00526343">
            <w:pPr>
              <w:rPr>
                <w:rFonts w:ascii="Arial" w:hAnsi="Arial" w:cs="Arial"/>
              </w:rPr>
            </w:pPr>
          </w:p>
          <w:p w14:paraId="3B8E243E" w14:textId="77777777" w:rsidR="00430906" w:rsidRPr="006A5915" w:rsidRDefault="00430906" w:rsidP="00526343">
            <w:pPr>
              <w:rPr>
                <w:rFonts w:ascii="Arial" w:hAnsi="Arial" w:cs="Arial"/>
              </w:rPr>
            </w:pPr>
          </w:p>
        </w:tc>
      </w:tr>
    </w:tbl>
    <w:p w14:paraId="4B5B7191" w14:textId="77777777" w:rsidR="00430906" w:rsidRPr="006A5915" w:rsidRDefault="00430906" w:rsidP="00430906">
      <w:pPr>
        <w:rPr>
          <w:rFonts w:ascii="Arial" w:hAnsi="Arial" w:cs="Arial"/>
        </w:rPr>
      </w:pPr>
    </w:p>
    <w:p w14:paraId="0E20B23A" w14:textId="77777777" w:rsidR="00430906" w:rsidRPr="006A5915" w:rsidRDefault="00430906" w:rsidP="00430906">
      <w:pPr>
        <w:rPr>
          <w:rFonts w:ascii="Arial" w:hAnsi="Arial" w:cs="Arial"/>
          <w:b/>
          <w:bCs/>
        </w:rPr>
      </w:pPr>
    </w:p>
    <w:p w14:paraId="176219CA" w14:textId="77777777" w:rsidR="00430906" w:rsidRPr="006A5915" w:rsidRDefault="00430906" w:rsidP="00430906">
      <w:pPr>
        <w:rPr>
          <w:rFonts w:ascii="Arial" w:hAnsi="Arial" w:cs="Arial"/>
          <w:b/>
          <w:bCs/>
        </w:rPr>
      </w:pPr>
    </w:p>
    <w:p w14:paraId="29840F22" w14:textId="77777777" w:rsidR="00430906" w:rsidRPr="006A5915" w:rsidRDefault="00430906" w:rsidP="00430906">
      <w:pPr>
        <w:rPr>
          <w:rFonts w:ascii="Arial" w:hAnsi="Arial" w:cs="Arial"/>
          <w:b/>
          <w:bCs/>
        </w:rPr>
      </w:pPr>
    </w:p>
    <w:p w14:paraId="4A456065" w14:textId="77777777" w:rsidR="00430906" w:rsidRPr="006A5915" w:rsidRDefault="00430906" w:rsidP="00430906">
      <w:pPr>
        <w:rPr>
          <w:rFonts w:ascii="Arial" w:hAnsi="Arial" w:cs="Arial"/>
          <w:b/>
          <w:bCs/>
        </w:rPr>
      </w:pPr>
    </w:p>
    <w:p w14:paraId="628FE2BF" w14:textId="77777777" w:rsidR="00430906" w:rsidRPr="006A5915" w:rsidRDefault="00430906" w:rsidP="00430906">
      <w:pPr>
        <w:rPr>
          <w:rFonts w:ascii="Arial" w:hAnsi="Arial" w:cs="Arial"/>
          <w:b/>
          <w:bCs/>
        </w:rPr>
      </w:pPr>
    </w:p>
    <w:p w14:paraId="44FAB458" w14:textId="77777777" w:rsidR="00430906" w:rsidRPr="006A5915" w:rsidRDefault="00430906" w:rsidP="00430906">
      <w:pPr>
        <w:rPr>
          <w:rFonts w:ascii="Arial" w:hAnsi="Arial" w:cs="Arial"/>
          <w:b/>
          <w:bCs/>
        </w:rPr>
      </w:pPr>
    </w:p>
    <w:p w14:paraId="60E57094" w14:textId="5191DF1D" w:rsidR="00430906" w:rsidRPr="006A5915" w:rsidRDefault="00430906" w:rsidP="00430906">
      <w:pPr>
        <w:rPr>
          <w:rFonts w:ascii="Arial" w:hAnsi="Arial" w:cs="Arial"/>
          <w:b/>
          <w:bCs/>
        </w:rPr>
      </w:pPr>
    </w:p>
    <w:p w14:paraId="64293F56" w14:textId="1D6FC459" w:rsidR="00430906" w:rsidRPr="006A5915" w:rsidRDefault="00430906" w:rsidP="00430906">
      <w:pPr>
        <w:rPr>
          <w:rFonts w:ascii="Arial" w:hAnsi="Arial" w:cs="Arial"/>
          <w:b/>
          <w:bCs/>
        </w:rPr>
      </w:pPr>
    </w:p>
    <w:p w14:paraId="63CC58B5" w14:textId="3173F172" w:rsidR="00430906" w:rsidRPr="006A5915" w:rsidRDefault="00430906" w:rsidP="00430906">
      <w:pPr>
        <w:rPr>
          <w:rFonts w:ascii="Arial" w:hAnsi="Arial" w:cs="Arial"/>
          <w:b/>
          <w:bCs/>
        </w:rPr>
      </w:pPr>
    </w:p>
    <w:p w14:paraId="48026626" w14:textId="1F15A170" w:rsidR="00430906" w:rsidRPr="006A5915" w:rsidRDefault="00430906" w:rsidP="00430906">
      <w:pPr>
        <w:rPr>
          <w:rFonts w:ascii="Arial" w:hAnsi="Arial" w:cs="Arial"/>
          <w:b/>
          <w:bCs/>
        </w:rPr>
      </w:pPr>
    </w:p>
    <w:p w14:paraId="1BDF132A" w14:textId="57EF050D" w:rsidR="00430906" w:rsidRPr="006A5915" w:rsidRDefault="00430906" w:rsidP="00430906">
      <w:pPr>
        <w:rPr>
          <w:rFonts w:ascii="Arial" w:hAnsi="Arial" w:cs="Arial"/>
          <w:b/>
          <w:bCs/>
        </w:rPr>
      </w:pPr>
    </w:p>
    <w:p w14:paraId="07A1B8EA" w14:textId="623F9FC7" w:rsidR="00430906" w:rsidRPr="006A5915" w:rsidRDefault="00430906" w:rsidP="00430906">
      <w:pPr>
        <w:rPr>
          <w:rFonts w:ascii="Arial" w:hAnsi="Arial" w:cs="Arial"/>
          <w:b/>
          <w:bCs/>
        </w:rPr>
      </w:pPr>
    </w:p>
    <w:p w14:paraId="3DE18D07" w14:textId="10EC296D" w:rsidR="00430906" w:rsidRPr="006A5915" w:rsidRDefault="00430906" w:rsidP="00430906">
      <w:pPr>
        <w:rPr>
          <w:rFonts w:ascii="Arial" w:hAnsi="Arial" w:cs="Arial"/>
          <w:b/>
          <w:bCs/>
        </w:rPr>
      </w:pPr>
    </w:p>
    <w:p w14:paraId="4EFDF2F1" w14:textId="7F5DF82A" w:rsidR="00430906" w:rsidRPr="006A5915" w:rsidRDefault="00430906" w:rsidP="00430906">
      <w:pPr>
        <w:rPr>
          <w:rFonts w:ascii="Arial" w:hAnsi="Arial" w:cs="Arial"/>
          <w:b/>
          <w:bCs/>
        </w:rPr>
      </w:pPr>
    </w:p>
    <w:p w14:paraId="530663AF" w14:textId="372B174D" w:rsidR="00430906" w:rsidRPr="006A5915" w:rsidRDefault="00430906" w:rsidP="00430906">
      <w:pPr>
        <w:rPr>
          <w:rFonts w:ascii="Arial" w:hAnsi="Arial" w:cs="Arial"/>
          <w:b/>
          <w:bCs/>
        </w:rPr>
      </w:pPr>
    </w:p>
    <w:p w14:paraId="0B29BFF0" w14:textId="5BB5214B" w:rsidR="00430906" w:rsidRPr="006A5915" w:rsidRDefault="00430906" w:rsidP="00430906">
      <w:pPr>
        <w:rPr>
          <w:rFonts w:ascii="Arial" w:hAnsi="Arial" w:cs="Arial"/>
          <w:b/>
          <w:bCs/>
        </w:rPr>
      </w:pPr>
    </w:p>
    <w:p w14:paraId="4ECB228C" w14:textId="61F928B4" w:rsidR="00430906" w:rsidRPr="006A5915" w:rsidRDefault="00430906" w:rsidP="00430906">
      <w:pPr>
        <w:rPr>
          <w:rFonts w:ascii="Arial" w:hAnsi="Arial" w:cs="Arial"/>
          <w:b/>
          <w:bCs/>
        </w:rPr>
      </w:pPr>
    </w:p>
    <w:p w14:paraId="2E9B650C" w14:textId="1A80472B" w:rsidR="00430906" w:rsidRPr="006A5915" w:rsidRDefault="00430906" w:rsidP="00430906">
      <w:pPr>
        <w:rPr>
          <w:rFonts w:ascii="Arial" w:hAnsi="Arial" w:cs="Arial"/>
          <w:b/>
          <w:bCs/>
        </w:rPr>
      </w:pPr>
    </w:p>
    <w:p w14:paraId="4636ECE0" w14:textId="442A2651" w:rsidR="00430906" w:rsidRPr="006A5915" w:rsidRDefault="00430906" w:rsidP="00430906">
      <w:pPr>
        <w:rPr>
          <w:rFonts w:ascii="Arial" w:hAnsi="Arial" w:cs="Arial"/>
          <w:b/>
          <w:bCs/>
        </w:rPr>
      </w:pPr>
    </w:p>
    <w:p w14:paraId="200CBC35" w14:textId="239CFB5F" w:rsidR="00430906" w:rsidRPr="006A5915" w:rsidRDefault="00430906" w:rsidP="00430906">
      <w:pPr>
        <w:rPr>
          <w:rFonts w:ascii="Arial" w:hAnsi="Arial" w:cs="Arial"/>
          <w:b/>
          <w:bCs/>
        </w:rPr>
      </w:pPr>
    </w:p>
    <w:p w14:paraId="594342D7" w14:textId="04681072" w:rsidR="00430906" w:rsidRPr="006A5915" w:rsidRDefault="00430906" w:rsidP="00430906">
      <w:pPr>
        <w:rPr>
          <w:rFonts w:ascii="Arial" w:hAnsi="Arial" w:cs="Arial"/>
          <w:b/>
          <w:bCs/>
        </w:rPr>
      </w:pPr>
    </w:p>
    <w:p w14:paraId="274BA3D5" w14:textId="77777777" w:rsidR="00430906" w:rsidRPr="006A5915" w:rsidRDefault="00430906" w:rsidP="00430906">
      <w:pPr>
        <w:rPr>
          <w:rFonts w:ascii="Arial" w:hAnsi="Arial" w:cs="Arial"/>
          <w:b/>
          <w:bCs/>
        </w:rPr>
      </w:pPr>
    </w:p>
    <w:p w14:paraId="38CA3332" w14:textId="77777777" w:rsidR="00C36D08" w:rsidRPr="006A5915" w:rsidRDefault="00C36D08" w:rsidP="00430906">
      <w:pPr>
        <w:rPr>
          <w:rFonts w:ascii="Arial" w:hAnsi="Arial" w:cs="Arial"/>
          <w:b/>
          <w:bCs/>
        </w:rPr>
      </w:pPr>
    </w:p>
    <w:p w14:paraId="5D1CCB16" w14:textId="58DD31BE" w:rsidR="00430906" w:rsidRPr="006A5915" w:rsidRDefault="00430906" w:rsidP="00430906">
      <w:pPr>
        <w:rPr>
          <w:rFonts w:ascii="Arial" w:hAnsi="Arial" w:cs="Arial"/>
          <w:b/>
          <w:bCs/>
        </w:rPr>
      </w:pPr>
      <w:r w:rsidRPr="006A5915">
        <w:rPr>
          <w:rFonts w:ascii="Arial" w:hAnsi="Arial" w:cs="Arial"/>
          <w:b/>
          <w:bCs/>
        </w:rPr>
        <w:t>Record 2</w:t>
      </w:r>
    </w:p>
    <w:tbl>
      <w:tblPr>
        <w:tblStyle w:val="TableGrid"/>
        <w:tblW w:w="0" w:type="auto"/>
        <w:tblLook w:val="04A0" w:firstRow="1" w:lastRow="0" w:firstColumn="1" w:lastColumn="0" w:noHBand="0" w:noVBand="1"/>
      </w:tblPr>
      <w:tblGrid>
        <w:gridCol w:w="8926"/>
      </w:tblGrid>
      <w:tr w:rsidR="00BD2B61" w:rsidRPr="006A5915" w14:paraId="09705E5A" w14:textId="77777777" w:rsidTr="00526343">
        <w:tc>
          <w:tcPr>
            <w:tcW w:w="8926" w:type="dxa"/>
          </w:tcPr>
          <w:p w14:paraId="34A7E55B" w14:textId="77777777" w:rsidR="00430906" w:rsidRPr="006A5915" w:rsidRDefault="00430906" w:rsidP="00526343">
            <w:pPr>
              <w:rPr>
                <w:rFonts w:ascii="Arial" w:hAnsi="Arial" w:cs="Arial"/>
              </w:rPr>
            </w:pPr>
            <w:r w:rsidRPr="006A5915">
              <w:rPr>
                <w:rFonts w:ascii="Arial" w:hAnsi="Arial" w:cs="Arial"/>
              </w:rPr>
              <w:t>Date and time, year group:</w:t>
            </w:r>
          </w:p>
          <w:p w14:paraId="2816B026" w14:textId="77777777" w:rsidR="00430906" w:rsidRPr="006A5915" w:rsidRDefault="00430906" w:rsidP="00526343">
            <w:pPr>
              <w:rPr>
                <w:rFonts w:ascii="Arial" w:hAnsi="Arial" w:cs="Arial"/>
              </w:rPr>
            </w:pPr>
            <w:r w:rsidRPr="006A5915">
              <w:rPr>
                <w:rFonts w:ascii="Arial" w:hAnsi="Arial" w:cs="Arial"/>
              </w:rPr>
              <w:t xml:space="preserve">22nd September 2021, Reception </w:t>
            </w:r>
            <w:proofErr w:type="gramStart"/>
            <w:r w:rsidRPr="006A5915">
              <w:rPr>
                <w:rFonts w:ascii="Arial" w:hAnsi="Arial" w:cs="Arial"/>
              </w:rPr>
              <w:t>Class,  12</w:t>
            </w:r>
            <w:proofErr w:type="gramEnd"/>
            <w:r w:rsidRPr="006A5915">
              <w:rPr>
                <w:rFonts w:ascii="Arial" w:hAnsi="Arial" w:cs="Arial"/>
              </w:rPr>
              <w:t>: 50pm</w:t>
            </w:r>
          </w:p>
        </w:tc>
      </w:tr>
      <w:tr w:rsidR="00BD2B61" w:rsidRPr="006A5915" w14:paraId="6FAB0D83" w14:textId="77777777" w:rsidTr="00526343">
        <w:tc>
          <w:tcPr>
            <w:tcW w:w="8926" w:type="dxa"/>
          </w:tcPr>
          <w:p w14:paraId="36E04D2E" w14:textId="77777777" w:rsidR="00430906" w:rsidRPr="006A5915" w:rsidRDefault="00430906" w:rsidP="00526343">
            <w:pPr>
              <w:rPr>
                <w:rFonts w:ascii="Arial" w:hAnsi="Arial" w:cs="Arial"/>
              </w:rPr>
            </w:pPr>
            <w:r w:rsidRPr="006A5915">
              <w:rPr>
                <w:rFonts w:ascii="Arial" w:hAnsi="Arial" w:cs="Arial"/>
                <w:b/>
                <w:bCs/>
              </w:rPr>
              <w:t>Where and When:</w:t>
            </w:r>
            <w:r w:rsidRPr="006A5915">
              <w:rPr>
                <w:rFonts w:ascii="Arial" w:hAnsi="Arial" w:cs="Arial"/>
              </w:rPr>
              <w:t xml:space="preserve"> Context of the observation – subject/AOLE, general classroom context</w:t>
            </w:r>
          </w:p>
          <w:p w14:paraId="55FDB72D" w14:textId="77777777" w:rsidR="00430906" w:rsidRPr="006A5915" w:rsidRDefault="00430906" w:rsidP="00526343">
            <w:pPr>
              <w:rPr>
                <w:rFonts w:ascii="Arial" w:hAnsi="Arial" w:cs="Arial"/>
              </w:rPr>
            </w:pPr>
          </w:p>
          <w:p w14:paraId="01690E8C" w14:textId="19BB2C00" w:rsidR="00430906" w:rsidRPr="006A5915" w:rsidRDefault="00EC1372" w:rsidP="00526343">
            <w:pPr>
              <w:rPr>
                <w:rFonts w:ascii="Arial" w:hAnsi="Arial" w:cs="Arial"/>
              </w:rPr>
            </w:pPr>
            <w:r w:rsidRPr="006A5915">
              <w:rPr>
                <w:rFonts w:ascii="Arial" w:hAnsi="Arial" w:cs="Arial"/>
              </w:rPr>
              <w:t>Reception</w:t>
            </w:r>
            <w:r w:rsidR="00430906" w:rsidRPr="006A5915">
              <w:rPr>
                <w:rFonts w:ascii="Arial" w:hAnsi="Arial" w:cs="Arial"/>
              </w:rPr>
              <w:t xml:space="preserve"> classroom, during activity time where they were having free play. The children were playing with toys out on the table and in the outdoor learning areas. No adult </w:t>
            </w:r>
            <w:r w:rsidRPr="006A5915">
              <w:rPr>
                <w:rFonts w:ascii="Arial" w:hAnsi="Arial" w:cs="Arial"/>
              </w:rPr>
              <w:t>guidance</w:t>
            </w:r>
            <w:r w:rsidR="00430906" w:rsidRPr="006A5915">
              <w:rPr>
                <w:rFonts w:ascii="Arial" w:hAnsi="Arial" w:cs="Arial"/>
              </w:rPr>
              <w:t xml:space="preserve">. </w:t>
            </w:r>
          </w:p>
          <w:p w14:paraId="365FB221" w14:textId="77777777" w:rsidR="00430906" w:rsidRPr="006A5915" w:rsidRDefault="00430906" w:rsidP="00526343">
            <w:pPr>
              <w:rPr>
                <w:rFonts w:ascii="Arial" w:hAnsi="Arial" w:cs="Arial"/>
              </w:rPr>
            </w:pPr>
          </w:p>
          <w:p w14:paraId="10416858" w14:textId="77777777" w:rsidR="00430906" w:rsidRPr="006A5915" w:rsidRDefault="00430906" w:rsidP="00526343">
            <w:pPr>
              <w:rPr>
                <w:rFonts w:ascii="Arial" w:hAnsi="Arial" w:cs="Arial"/>
              </w:rPr>
            </w:pPr>
          </w:p>
          <w:p w14:paraId="384CBA6E" w14:textId="77777777" w:rsidR="00430906" w:rsidRPr="006A5915" w:rsidRDefault="00430906" w:rsidP="00526343">
            <w:pPr>
              <w:rPr>
                <w:rFonts w:ascii="Arial" w:hAnsi="Arial" w:cs="Arial"/>
              </w:rPr>
            </w:pPr>
          </w:p>
          <w:p w14:paraId="7298EC38" w14:textId="77777777" w:rsidR="00430906" w:rsidRPr="006A5915" w:rsidRDefault="00430906" w:rsidP="00526343">
            <w:pPr>
              <w:rPr>
                <w:rFonts w:ascii="Arial" w:hAnsi="Arial" w:cs="Arial"/>
              </w:rPr>
            </w:pPr>
          </w:p>
        </w:tc>
      </w:tr>
      <w:tr w:rsidR="00BD2B61" w:rsidRPr="006A5915" w14:paraId="4A4EABF3" w14:textId="77777777" w:rsidTr="00526343">
        <w:tc>
          <w:tcPr>
            <w:tcW w:w="8926" w:type="dxa"/>
          </w:tcPr>
          <w:p w14:paraId="10324D75" w14:textId="77777777" w:rsidR="00430906" w:rsidRPr="006A5915" w:rsidRDefault="00430906" w:rsidP="00526343">
            <w:pPr>
              <w:rPr>
                <w:rFonts w:ascii="Arial" w:hAnsi="Arial" w:cs="Arial"/>
                <w:b/>
                <w:bCs/>
              </w:rPr>
            </w:pPr>
            <w:r w:rsidRPr="006A5915">
              <w:rPr>
                <w:rFonts w:ascii="Arial" w:hAnsi="Arial" w:cs="Arial"/>
                <w:b/>
                <w:bCs/>
                <w:lang w:val="en-US"/>
              </w:rPr>
              <w:t xml:space="preserve">What happened: </w:t>
            </w:r>
            <w:r w:rsidRPr="006A5915">
              <w:rPr>
                <w:rFonts w:ascii="Arial" w:hAnsi="Arial" w:cs="Arial"/>
                <w:lang w:val="en-US"/>
              </w:rPr>
              <w:t xml:space="preserve">a detailed description of the critical </w:t>
            </w:r>
            <w:proofErr w:type="gramStart"/>
            <w:r w:rsidRPr="006A5915">
              <w:rPr>
                <w:rFonts w:ascii="Arial" w:hAnsi="Arial" w:cs="Arial"/>
                <w:lang w:val="en-US"/>
              </w:rPr>
              <w:t>incident(</w:t>
            </w:r>
            <w:proofErr w:type="gramEnd"/>
            <w:r w:rsidRPr="006A5915">
              <w:rPr>
                <w:rFonts w:ascii="Arial" w:hAnsi="Arial" w:cs="Arial"/>
                <w:lang w:val="en-US"/>
              </w:rPr>
              <w:t>the more detail the better to refer to in your later work)</w:t>
            </w:r>
          </w:p>
          <w:p w14:paraId="74D24683" w14:textId="77777777" w:rsidR="00430906" w:rsidRPr="006A5915" w:rsidRDefault="00430906" w:rsidP="00526343">
            <w:pPr>
              <w:rPr>
                <w:rFonts w:ascii="Arial" w:hAnsi="Arial" w:cs="Arial"/>
                <w:bCs/>
                <w:lang w:val="en-US"/>
              </w:rPr>
            </w:pPr>
          </w:p>
          <w:p w14:paraId="41E7F498" w14:textId="61251A41" w:rsidR="00430906" w:rsidRPr="006A5915" w:rsidRDefault="00430906" w:rsidP="00526343">
            <w:pPr>
              <w:rPr>
                <w:rFonts w:ascii="Arial" w:hAnsi="Arial" w:cs="Arial"/>
              </w:rPr>
            </w:pPr>
            <w:r w:rsidRPr="006A5915">
              <w:rPr>
                <w:rFonts w:ascii="Arial" w:hAnsi="Arial" w:cs="Arial"/>
              </w:rPr>
              <w:t xml:space="preserve">The children were playing in both the classroom and the outdoor learning area – whilst the toys and activities were </w:t>
            </w:r>
            <w:r w:rsidR="00EC1372" w:rsidRPr="006A5915">
              <w:rPr>
                <w:rFonts w:ascii="Arial" w:hAnsi="Arial" w:cs="Arial"/>
              </w:rPr>
              <w:t>pre-selected</w:t>
            </w:r>
            <w:r w:rsidRPr="006A5915">
              <w:rPr>
                <w:rFonts w:ascii="Arial" w:hAnsi="Arial" w:cs="Arial"/>
              </w:rPr>
              <w:t xml:space="preserve"> by the teacher in the morning, there was no adult </w:t>
            </w:r>
            <w:r w:rsidR="00EC1372" w:rsidRPr="006A5915">
              <w:rPr>
                <w:rFonts w:ascii="Arial" w:hAnsi="Arial" w:cs="Arial"/>
              </w:rPr>
              <w:t>guidance</w:t>
            </w:r>
            <w:r w:rsidRPr="006A5915">
              <w:rPr>
                <w:rFonts w:ascii="Arial" w:hAnsi="Arial" w:cs="Arial"/>
              </w:rPr>
              <w:t xml:space="preserve"> in what they chose or how they played. The teacher put a ‘tidy up song’ on the interactive whiteboard. When the children heard the song, every child stopped what they were doing and began to tidy what they were playing with. They then started tidying other areas until the music stopped and then they sat on the carpet unprompted. </w:t>
            </w:r>
          </w:p>
          <w:p w14:paraId="7A9F3F5C" w14:textId="77777777" w:rsidR="00430906" w:rsidRPr="006A5915" w:rsidRDefault="00430906" w:rsidP="00526343">
            <w:pPr>
              <w:ind w:left="720"/>
              <w:rPr>
                <w:rFonts w:ascii="Arial" w:hAnsi="Arial" w:cs="Arial"/>
              </w:rPr>
            </w:pPr>
          </w:p>
        </w:tc>
      </w:tr>
      <w:tr w:rsidR="00BD2B61" w:rsidRPr="006A5915" w14:paraId="29A79AB7" w14:textId="77777777" w:rsidTr="00526343">
        <w:tc>
          <w:tcPr>
            <w:tcW w:w="8926" w:type="dxa"/>
          </w:tcPr>
          <w:p w14:paraId="4727691C" w14:textId="77777777" w:rsidR="00430906" w:rsidRPr="006A5915" w:rsidRDefault="00430906" w:rsidP="00526343">
            <w:pPr>
              <w:rPr>
                <w:rFonts w:ascii="Arial" w:hAnsi="Arial" w:cs="Arial"/>
                <w:b/>
              </w:rPr>
            </w:pPr>
            <w:r w:rsidRPr="006A5915">
              <w:rPr>
                <w:rFonts w:ascii="Arial" w:hAnsi="Arial" w:cs="Arial"/>
                <w:b/>
                <w:lang w:val="en-US"/>
              </w:rPr>
              <w:t xml:space="preserve">Areas of possible exploration: </w:t>
            </w:r>
            <w:r w:rsidRPr="006A5915">
              <w:rPr>
                <w:rFonts w:ascii="Arial" w:hAnsi="Arial" w:cs="Arial"/>
                <w:bCs/>
                <w:lang w:val="en-US"/>
              </w:rPr>
              <w:t>what you think could be” under the hood” in these incidents? What avenues of research could you consider?</w:t>
            </w:r>
          </w:p>
          <w:p w14:paraId="4DF83D39" w14:textId="77777777" w:rsidR="00430906" w:rsidRPr="006A5915" w:rsidRDefault="00430906" w:rsidP="00526343">
            <w:pPr>
              <w:rPr>
                <w:rFonts w:ascii="Arial" w:hAnsi="Arial" w:cs="Arial"/>
              </w:rPr>
            </w:pPr>
          </w:p>
          <w:p w14:paraId="47519CAE" w14:textId="77777777" w:rsidR="00430906" w:rsidRPr="006A5915" w:rsidRDefault="00430906" w:rsidP="00526343">
            <w:pPr>
              <w:rPr>
                <w:rFonts w:ascii="Arial" w:hAnsi="Arial" w:cs="Arial"/>
              </w:rPr>
            </w:pPr>
            <w:r w:rsidRPr="006A5915">
              <w:rPr>
                <w:rFonts w:ascii="Arial" w:hAnsi="Arial" w:cs="Arial"/>
              </w:rPr>
              <w:t xml:space="preserve">Behaviour management looking at operant conditioning </w:t>
            </w:r>
          </w:p>
          <w:p w14:paraId="20F4AB69" w14:textId="4BE6B0B1" w:rsidR="00430906" w:rsidRPr="006A5915" w:rsidRDefault="00430906" w:rsidP="00526343">
            <w:pPr>
              <w:rPr>
                <w:rFonts w:ascii="Arial" w:hAnsi="Arial" w:cs="Arial"/>
              </w:rPr>
            </w:pPr>
            <w:r w:rsidRPr="006A5915">
              <w:rPr>
                <w:rFonts w:ascii="Arial" w:hAnsi="Arial" w:cs="Arial"/>
              </w:rPr>
              <w:t xml:space="preserve">Different reward systems – </w:t>
            </w:r>
            <w:r w:rsidR="00EC1372" w:rsidRPr="006A5915">
              <w:rPr>
                <w:rFonts w:ascii="Arial" w:hAnsi="Arial" w:cs="Arial"/>
              </w:rPr>
              <w:t>positive</w:t>
            </w:r>
            <w:r w:rsidRPr="006A5915">
              <w:rPr>
                <w:rFonts w:ascii="Arial" w:hAnsi="Arial" w:cs="Arial"/>
              </w:rPr>
              <w:t xml:space="preserve"> reinforcement for tidying or negative punishment for refusal? Pros and cons. </w:t>
            </w:r>
          </w:p>
          <w:p w14:paraId="656099B5" w14:textId="77777777" w:rsidR="00430906" w:rsidRPr="006A5915" w:rsidRDefault="00430906" w:rsidP="00526343">
            <w:pPr>
              <w:rPr>
                <w:rFonts w:ascii="Arial" w:hAnsi="Arial" w:cs="Arial"/>
              </w:rPr>
            </w:pPr>
            <w:r w:rsidRPr="006A5915">
              <w:rPr>
                <w:rFonts w:ascii="Arial" w:hAnsi="Arial" w:cs="Arial"/>
              </w:rPr>
              <w:t>Mimicking others – do peers shape children’s behaviour and why do they shape more than adult guidance?</w:t>
            </w:r>
          </w:p>
          <w:p w14:paraId="45F5A84B" w14:textId="77777777" w:rsidR="00430906" w:rsidRPr="006A5915" w:rsidRDefault="00430906" w:rsidP="00526343">
            <w:pPr>
              <w:rPr>
                <w:rFonts w:ascii="Arial" w:hAnsi="Arial" w:cs="Arial"/>
              </w:rPr>
            </w:pPr>
            <w:r w:rsidRPr="006A5915">
              <w:rPr>
                <w:rFonts w:ascii="Arial" w:hAnsi="Arial" w:cs="Arial"/>
              </w:rPr>
              <w:t>Could a child’s home experience influence how they feel about tidying at school?</w:t>
            </w:r>
          </w:p>
          <w:p w14:paraId="7C462287" w14:textId="77777777" w:rsidR="00430906" w:rsidRPr="006A5915" w:rsidRDefault="00430906" w:rsidP="00526343">
            <w:pPr>
              <w:rPr>
                <w:rFonts w:ascii="Arial" w:hAnsi="Arial" w:cs="Arial"/>
              </w:rPr>
            </w:pPr>
          </w:p>
        </w:tc>
      </w:tr>
      <w:tr w:rsidR="00BD2B61" w:rsidRPr="006A5915" w14:paraId="14167881" w14:textId="77777777" w:rsidTr="00526343">
        <w:tc>
          <w:tcPr>
            <w:tcW w:w="8926" w:type="dxa"/>
          </w:tcPr>
          <w:p w14:paraId="1DE73A1F" w14:textId="77777777" w:rsidR="00430906" w:rsidRPr="006A5915" w:rsidRDefault="00430906" w:rsidP="00526343">
            <w:pPr>
              <w:rPr>
                <w:rFonts w:ascii="Arial" w:hAnsi="Arial" w:cs="Arial"/>
                <w:bCs/>
              </w:rPr>
            </w:pPr>
            <w:r w:rsidRPr="006A5915">
              <w:rPr>
                <w:rFonts w:ascii="Arial" w:hAnsi="Arial" w:cs="Arial"/>
                <w:b/>
                <w:lang w:val="en-US"/>
              </w:rPr>
              <w:t xml:space="preserve">Notes: </w:t>
            </w:r>
            <w:r w:rsidRPr="006A5915">
              <w:rPr>
                <w:rFonts w:ascii="Arial" w:hAnsi="Arial" w:cs="Arial"/>
                <w:bCs/>
                <w:lang w:val="en-US"/>
              </w:rPr>
              <w:t>any details you can note (is it a busy environment, is it after lunch, are there lots of distractions, are directions made explicit - the more you can refer to the better here)</w:t>
            </w:r>
          </w:p>
          <w:p w14:paraId="4AAD705B" w14:textId="77777777" w:rsidR="00430906" w:rsidRPr="006A5915" w:rsidRDefault="00430906" w:rsidP="00526343">
            <w:pPr>
              <w:rPr>
                <w:rFonts w:ascii="Arial" w:hAnsi="Arial" w:cs="Arial"/>
                <w:bCs/>
              </w:rPr>
            </w:pPr>
          </w:p>
          <w:p w14:paraId="7ABC3CA1" w14:textId="3A1E1F06" w:rsidR="00430906" w:rsidRPr="006A5915" w:rsidRDefault="00430906" w:rsidP="00526343">
            <w:pPr>
              <w:rPr>
                <w:rFonts w:ascii="Arial" w:hAnsi="Arial" w:cs="Arial"/>
              </w:rPr>
            </w:pPr>
            <w:r w:rsidRPr="006A5915">
              <w:rPr>
                <w:rFonts w:ascii="Arial" w:hAnsi="Arial" w:cs="Arial"/>
              </w:rPr>
              <w:t xml:space="preserve">This happened within the first half hour of the children being in the classroom. It was a very busy classroom at the time with some children still coming into school and others having been there for roughly half an hour. The song is used throughout the day and is the same song </w:t>
            </w:r>
            <w:r w:rsidR="00EC1372" w:rsidRPr="006A5915">
              <w:rPr>
                <w:rFonts w:ascii="Arial" w:hAnsi="Arial" w:cs="Arial"/>
              </w:rPr>
              <w:t>every day</w:t>
            </w:r>
            <w:r w:rsidRPr="006A5915">
              <w:rPr>
                <w:rFonts w:ascii="Arial" w:hAnsi="Arial" w:cs="Arial"/>
              </w:rPr>
              <w:t xml:space="preserve">. The children have been using this song since the start of the academic year meaning they have been using it for 3 weeks. The teacher did explain that at the beginning of the year, she did have to tell the children to tidy and encourage those who didn’t. She did say that at the start, some of the children did not receive Dojo Points but now they all </w:t>
            </w:r>
            <w:proofErr w:type="gramStart"/>
            <w:r w:rsidRPr="006A5915">
              <w:rPr>
                <w:rFonts w:ascii="Arial" w:hAnsi="Arial" w:cs="Arial"/>
              </w:rPr>
              <w:t>did</w:t>
            </w:r>
            <w:proofErr w:type="gramEnd"/>
            <w:r w:rsidRPr="006A5915">
              <w:rPr>
                <w:rFonts w:ascii="Arial" w:hAnsi="Arial" w:cs="Arial"/>
              </w:rPr>
              <w:t xml:space="preserve"> and she did not have to remind them about them as a reward. </w:t>
            </w:r>
          </w:p>
          <w:p w14:paraId="226EEA12" w14:textId="77777777" w:rsidR="00430906" w:rsidRPr="006A5915" w:rsidRDefault="00430906" w:rsidP="00526343">
            <w:pPr>
              <w:rPr>
                <w:rFonts w:ascii="Arial" w:hAnsi="Arial" w:cs="Arial"/>
              </w:rPr>
            </w:pPr>
          </w:p>
        </w:tc>
      </w:tr>
    </w:tbl>
    <w:p w14:paraId="3D1996AC" w14:textId="77777777" w:rsidR="00430906" w:rsidRPr="006A5915" w:rsidRDefault="00430906" w:rsidP="00430906">
      <w:pPr>
        <w:rPr>
          <w:rFonts w:ascii="Arial" w:hAnsi="Arial" w:cs="Arial"/>
        </w:rPr>
      </w:pPr>
    </w:p>
    <w:p w14:paraId="19B62BF7" w14:textId="77777777" w:rsidR="00430906" w:rsidRPr="006A5915" w:rsidRDefault="00430906" w:rsidP="00430906">
      <w:pPr>
        <w:rPr>
          <w:rFonts w:ascii="Arial" w:hAnsi="Arial" w:cs="Arial"/>
        </w:rPr>
      </w:pPr>
    </w:p>
    <w:p w14:paraId="757680BB" w14:textId="1BD8E19F" w:rsidR="00430906" w:rsidRPr="006A5915" w:rsidRDefault="00430906" w:rsidP="00430906">
      <w:pPr>
        <w:rPr>
          <w:rFonts w:ascii="Arial" w:hAnsi="Arial" w:cs="Arial"/>
        </w:rPr>
      </w:pPr>
    </w:p>
    <w:p w14:paraId="6A544FED" w14:textId="3F8B15A8" w:rsidR="00430906" w:rsidRPr="006A5915" w:rsidRDefault="00430906" w:rsidP="00430906">
      <w:pPr>
        <w:rPr>
          <w:rFonts w:ascii="Arial" w:hAnsi="Arial" w:cs="Arial"/>
        </w:rPr>
      </w:pPr>
    </w:p>
    <w:p w14:paraId="55CAB0B6" w14:textId="77777777" w:rsidR="00430906" w:rsidRPr="006A5915" w:rsidRDefault="00430906" w:rsidP="00430906">
      <w:pPr>
        <w:rPr>
          <w:rFonts w:ascii="Arial" w:hAnsi="Arial" w:cs="Arial"/>
        </w:rPr>
      </w:pPr>
    </w:p>
    <w:p w14:paraId="146DF1AD" w14:textId="77777777" w:rsidR="00C36D08" w:rsidRPr="006A5915" w:rsidRDefault="00C36D08" w:rsidP="00430906">
      <w:pPr>
        <w:rPr>
          <w:rFonts w:ascii="Arial" w:hAnsi="Arial" w:cs="Arial"/>
          <w:b/>
          <w:bCs/>
        </w:rPr>
      </w:pPr>
    </w:p>
    <w:p w14:paraId="5E3589E2" w14:textId="1039CCAE" w:rsidR="00430906" w:rsidRPr="006A5915" w:rsidRDefault="00430906" w:rsidP="00430906">
      <w:pPr>
        <w:rPr>
          <w:rFonts w:ascii="Arial" w:hAnsi="Arial" w:cs="Arial"/>
          <w:b/>
          <w:bCs/>
        </w:rPr>
      </w:pPr>
      <w:r w:rsidRPr="006A5915">
        <w:rPr>
          <w:rFonts w:ascii="Arial" w:hAnsi="Arial" w:cs="Arial"/>
          <w:b/>
          <w:bCs/>
        </w:rPr>
        <w:t>Record 3</w:t>
      </w:r>
    </w:p>
    <w:tbl>
      <w:tblPr>
        <w:tblStyle w:val="TableGrid"/>
        <w:tblW w:w="0" w:type="auto"/>
        <w:tblLook w:val="04A0" w:firstRow="1" w:lastRow="0" w:firstColumn="1" w:lastColumn="0" w:noHBand="0" w:noVBand="1"/>
      </w:tblPr>
      <w:tblGrid>
        <w:gridCol w:w="8926"/>
      </w:tblGrid>
      <w:tr w:rsidR="00BD2B61" w:rsidRPr="006A5915" w14:paraId="1A66F97A" w14:textId="77777777" w:rsidTr="00526343">
        <w:tc>
          <w:tcPr>
            <w:tcW w:w="8926" w:type="dxa"/>
          </w:tcPr>
          <w:p w14:paraId="46F78389" w14:textId="77777777" w:rsidR="00430906" w:rsidRPr="006A5915" w:rsidRDefault="00430906" w:rsidP="00526343">
            <w:pPr>
              <w:rPr>
                <w:rFonts w:ascii="Arial" w:hAnsi="Arial" w:cs="Arial"/>
              </w:rPr>
            </w:pPr>
            <w:r w:rsidRPr="006A5915">
              <w:rPr>
                <w:rFonts w:ascii="Arial" w:hAnsi="Arial" w:cs="Arial"/>
              </w:rPr>
              <w:t>Date and time, year group:</w:t>
            </w:r>
          </w:p>
          <w:p w14:paraId="207DEFD8" w14:textId="77777777" w:rsidR="00430906" w:rsidRPr="006A5915" w:rsidRDefault="00430906" w:rsidP="00526343">
            <w:pPr>
              <w:rPr>
                <w:rFonts w:ascii="Arial" w:hAnsi="Arial" w:cs="Arial"/>
              </w:rPr>
            </w:pPr>
            <w:r w:rsidRPr="006A5915">
              <w:rPr>
                <w:rFonts w:ascii="Arial" w:hAnsi="Arial" w:cs="Arial"/>
              </w:rPr>
              <w:t>23rd September 2021, Reception Class</w:t>
            </w:r>
          </w:p>
        </w:tc>
      </w:tr>
      <w:tr w:rsidR="00BD2B61" w:rsidRPr="006A5915" w14:paraId="73DBF93E" w14:textId="77777777" w:rsidTr="00526343">
        <w:tc>
          <w:tcPr>
            <w:tcW w:w="8926" w:type="dxa"/>
          </w:tcPr>
          <w:p w14:paraId="7B7D8626" w14:textId="77777777" w:rsidR="00430906" w:rsidRPr="006A5915" w:rsidRDefault="00430906" w:rsidP="00526343">
            <w:pPr>
              <w:rPr>
                <w:rFonts w:ascii="Arial" w:hAnsi="Arial" w:cs="Arial"/>
              </w:rPr>
            </w:pPr>
            <w:r w:rsidRPr="006A5915">
              <w:rPr>
                <w:rFonts w:ascii="Arial" w:hAnsi="Arial" w:cs="Arial"/>
                <w:b/>
                <w:bCs/>
              </w:rPr>
              <w:t>Where and When:</w:t>
            </w:r>
            <w:r w:rsidRPr="006A5915">
              <w:rPr>
                <w:rFonts w:ascii="Arial" w:hAnsi="Arial" w:cs="Arial"/>
              </w:rPr>
              <w:t xml:space="preserve"> Context of the observation – subject/AOLE, general classroom context</w:t>
            </w:r>
          </w:p>
          <w:p w14:paraId="19904EED" w14:textId="77777777" w:rsidR="00430906" w:rsidRPr="006A5915" w:rsidRDefault="00430906" w:rsidP="00430906">
            <w:pPr>
              <w:pStyle w:val="ListParagraph"/>
              <w:numPr>
                <w:ilvl w:val="0"/>
                <w:numId w:val="1"/>
              </w:numPr>
              <w:rPr>
                <w:rFonts w:ascii="Arial" w:hAnsi="Arial" w:cs="Arial"/>
                <w:sz w:val="22"/>
                <w:szCs w:val="22"/>
              </w:rPr>
            </w:pPr>
            <w:r w:rsidRPr="006A5915">
              <w:rPr>
                <w:rFonts w:ascii="Arial" w:hAnsi="Arial" w:cs="Arial"/>
                <w:sz w:val="22"/>
                <w:szCs w:val="22"/>
              </w:rPr>
              <w:t xml:space="preserve">Outdoor learning area, no specific AOLE as they learn through play. Water tuff tray being used along with a range of materials and shapes. </w:t>
            </w:r>
          </w:p>
          <w:p w14:paraId="50309BF5" w14:textId="77777777" w:rsidR="00430906" w:rsidRPr="006A5915" w:rsidRDefault="00430906" w:rsidP="00526343">
            <w:pPr>
              <w:pStyle w:val="ListParagraph"/>
              <w:rPr>
                <w:rFonts w:ascii="Arial" w:hAnsi="Arial" w:cs="Arial"/>
                <w:sz w:val="22"/>
                <w:szCs w:val="22"/>
              </w:rPr>
            </w:pPr>
          </w:p>
        </w:tc>
      </w:tr>
      <w:tr w:rsidR="00BD2B61" w:rsidRPr="006A5915" w14:paraId="77D3B975" w14:textId="77777777" w:rsidTr="00526343">
        <w:tc>
          <w:tcPr>
            <w:tcW w:w="8926" w:type="dxa"/>
          </w:tcPr>
          <w:p w14:paraId="58F5A74C" w14:textId="77777777" w:rsidR="00430906" w:rsidRPr="006A5915" w:rsidRDefault="00430906" w:rsidP="00526343">
            <w:pPr>
              <w:rPr>
                <w:rFonts w:ascii="Arial" w:hAnsi="Arial" w:cs="Arial"/>
                <w:b/>
                <w:bCs/>
              </w:rPr>
            </w:pPr>
            <w:r w:rsidRPr="006A5915">
              <w:rPr>
                <w:rFonts w:ascii="Arial" w:hAnsi="Arial" w:cs="Arial"/>
                <w:b/>
                <w:bCs/>
                <w:lang w:val="en-US"/>
              </w:rPr>
              <w:t xml:space="preserve">What happened: </w:t>
            </w:r>
            <w:r w:rsidRPr="006A5915">
              <w:rPr>
                <w:rFonts w:ascii="Arial" w:hAnsi="Arial" w:cs="Arial"/>
                <w:lang w:val="en-US"/>
              </w:rPr>
              <w:t xml:space="preserve">a detailed description of the critical </w:t>
            </w:r>
            <w:proofErr w:type="gramStart"/>
            <w:r w:rsidRPr="006A5915">
              <w:rPr>
                <w:rFonts w:ascii="Arial" w:hAnsi="Arial" w:cs="Arial"/>
                <w:lang w:val="en-US"/>
              </w:rPr>
              <w:t>incident(</w:t>
            </w:r>
            <w:proofErr w:type="gramEnd"/>
            <w:r w:rsidRPr="006A5915">
              <w:rPr>
                <w:rFonts w:ascii="Arial" w:hAnsi="Arial" w:cs="Arial"/>
                <w:lang w:val="en-US"/>
              </w:rPr>
              <w:t>the more detail the better to refer to in your later work)</w:t>
            </w:r>
          </w:p>
          <w:p w14:paraId="631FFE7A" w14:textId="77777777" w:rsidR="00430906" w:rsidRPr="006A5915" w:rsidRDefault="00430906" w:rsidP="00526343">
            <w:pPr>
              <w:rPr>
                <w:rFonts w:ascii="Arial" w:hAnsi="Arial" w:cs="Arial"/>
                <w:bCs/>
                <w:lang w:val="en-US"/>
              </w:rPr>
            </w:pPr>
          </w:p>
          <w:p w14:paraId="5D726F6D" w14:textId="77777777" w:rsidR="00430906" w:rsidRPr="006A5915" w:rsidRDefault="00430906" w:rsidP="00526343">
            <w:pPr>
              <w:rPr>
                <w:rFonts w:ascii="Arial" w:hAnsi="Arial" w:cs="Arial"/>
                <w:bCs/>
                <w:lang w:val="en-US"/>
              </w:rPr>
            </w:pPr>
            <w:r w:rsidRPr="006A5915">
              <w:rPr>
                <w:rFonts w:ascii="Arial" w:hAnsi="Arial" w:cs="Arial"/>
                <w:bCs/>
                <w:lang w:val="en-US"/>
              </w:rPr>
              <w:t xml:space="preserve">The children were all given the freedom to choose where they played, they are not limited to certain areas and do not have time limits for how long they must be there for. During this activity, 4 children were playing in the water with animal foam shapes, rocks, and shells. One of the children squashed his shape onto the plastic side of the tray and was extremely excited to see that it stuck to the side. He shouted for people to look. All the children then began to stick their animals to the side with one asking how. The children all began to give answers such as ‘is it sticky?’ upon removing it and feeling it with his hand, he said ‘no it’s not sticky it’s something else’. They then went around sticking the shapes on other objects such as windows, doors and then trying them on bricks and fences whilst asking why it didn’t stick. None of the questions were asked to an adult but to each other. They then moved on to try and stick the rocks and shells to various objects but stopped as ‘it just wasn’t working’. </w:t>
            </w:r>
          </w:p>
          <w:p w14:paraId="0A299206" w14:textId="77777777" w:rsidR="00430906" w:rsidRPr="006A5915" w:rsidRDefault="00430906" w:rsidP="00526343">
            <w:pPr>
              <w:ind w:left="720"/>
              <w:rPr>
                <w:rFonts w:ascii="Arial" w:hAnsi="Arial" w:cs="Arial"/>
              </w:rPr>
            </w:pPr>
          </w:p>
        </w:tc>
      </w:tr>
      <w:tr w:rsidR="00BD2B61" w:rsidRPr="006A5915" w14:paraId="412545CD" w14:textId="77777777" w:rsidTr="00526343">
        <w:tc>
          <w:tcPr>
            <w:tcW w:w="8926" w:type="dxa"/>
          </w:tcPr>
          <w:p w14:paraId="107EB013" w14:textId="77777777" w:rsidR="00430906" w:rsidRPr="006A5915" w:rsidRDefault="00430906" w:rsidP="00526343">
            <w:pPr>
              <w:rPr>
                <w:rFonts w:ascii="Arial" w:hAnsi="Arial" w:cs="Arial"/>
                <w:b/>
              </w:rPr>
            </w:pPr>
            <w:r w:rsidRPr="006A5915">
              <w:rPr>
                <w:rFonts w:ascii="Arial" w:hAnsi="Arial" w:cs="Arial"/>
                <w:b/>
                <w:lang w:val="en-US"/>
              </w:rPr>
              <w:t xml:space="preserve">Areas of possible exploration: </w:t>
            </w:r>
            <w:r w:rsidRPr="006A5915">
              <w:rPr>
                <w:rFonts w:ascii="Arial" w:hAnsi="Arial" w:cs="Arial"/>
                <w:bCs/>
                <w:lang w:val="en-US"/>
              </w:rPr>
              <w:t>what you think could be” under the hood” in these incidents? What avenues of research could you consider?</w:t>
            </w:r>
          </w:p>
          <w:p w14:paraId="67357209" w14:textId="77777777" w:rsidR="00430906" w:rsidRPr="006A5915" w:rsidRDefault="00430906" w:rsidP="00526343">
            <w:pPr>
              <w:rPr>
                <w:rFonts w:ascii="Arial" w:hAnsi="Arial" w:cs="Arial"/>
              </w:rPr>
            </w:pPr>
          </w:p>
          <w:p w14:paraId="0864B8C3" w14:textId="77777777" w:rsidR="00430906" w:rsidRPr="006A5915" w:rsidRDefault="00430906" w:rsidP="00430906">
            <w:pPr>
              <w:pStyle w:val="ListParagraph"/>
              <w:numPr>
                <w:ilvl w:val="0"/>
                <w:numId w:val="1"/>
              </w:numPr>
              <w:rPr>
                <w:rFonts w:ascii="Arial" w:hAnsi="Arial" w:cs="Arial"/>
                <w:sz w:val="22"/>
                <w:szCs w:val="22"/>
              </w:rPr>
            </w:pPr>
            <w:r w:rsidRPr="006A5915">
              <w:rPr>
                <w:rFonts w:ascii="Arial" w:hAnsi="Arial" w:cs="Arial"/>
                <w:sz w:val="22"/>
                <w:szCs w:val="22"/>
              </w:rPr>
              <w:t xml:space="preserve">Learning through play </w:t>
            </w:r>
          </w:p>
          <w:p w14:paraId="1B10BD20" w14:textId="77777777" w:rsidR="00430906" w:rsidRPr="006A5915" w:rsidRDefault="00430906" w:rsidP="00430906">
            <w:pPr>
              <w:pStyle w:val="ListParagraph"/>
              <w:numPr>
                <w:ilvl w:val="0"/>
                <w:numId w:val="1"/>
              </w:numPr>
              <w:rPr>
                <w:rFonts w:ascii="Arial" w:hAnsi="Arial" w:cs="Arial"/>
                <w:sz w:val="22"/>
                <w:szCs w:val="22"/>
              </w:rPr>
            </w:pPr>
            <w:r w:rsidRPr="006A5915">
              <w:rPr>
                <w:rFonts w:ascii="Arial" w:hAnsi="Arial" w:cs="Arial"/>
                <w:sz w:val="22"/>
                <w:szCs w:val="22"/>
              </w:rPr>
              <w:t xml:space="preserve">Montessori </w:t>
            </w:r>
          </w:p>
          <w:p w14:paraId="6C343583" w14:textId="77777777" w:rsidR="00430906" w:rsidRPr="006A5915" w:rsidRDefault="00430906" w:rsidP="00430906">
            <w:pPr>
              <w:pStyle w:val="ListParagraph"/>
              <w:numPr>
                <w:ilvl w:val="0"/>
                <w:numId w:val="1"/>
              </w:numPr>
              <w:rPr>
                <w:rFonts w:ascii="Arial" w:hAnsi="Arial" w:cs="Arial"/>
                <w:sz w:val="22"/>
                <w:szCs w:val="22"/>
              </w:rPr>
            </w:pPr>
            <w:r w:rsidRPr="006A5915">
              <w:rPr>
                <w:rFonts w:ascii="Arial" w:hAnsi="Arial" w:cs="Arial"/>
                <w:sz w:val="22"/>
                <w:szCs w:val="22"/>
              </w:rPr>
              <w:t xml:space="preserve">Peer learning </w:t>
            </w:r>
          </w:p>
          <w:p w14:paraId="29F5C7F8" w14:textId="77777777" w:rsidR="00430906" w:rsidRPr="006A5915" w:rsidRDefault="00430906" w:rsidP="00430906">
            <w:pPr>
              <w:pStyle w:val="ListParagraph"/>
              <w:numPr>
                <w:ilvl w:val="0"/>
                <w:numId w:val="1"/>
              </w:numPr>
              <w:rPr>
                <w:rFonts w:ascii="Arial" w:hAnsi="Arial" w:cs="Arial"/>
                <w:sz w:val="22"/>
                <w:szCs w:val="22"/>
              </w:rPr>
            </w:pPr>
            <w:r w:rsidRPr="006A5915">
              <w:rPr>
                <w:rFonts w:ascii="Arial" w:hAnsi="Arial" w:cs="Arial"/>
                <w:sz w:val="22"/>
                <w:szCs w:val="22"/>
              </w:rPr>
              <w:t xml:space="preserve">Inquisitive minds </w:t>
            </w:r>
          </w:p>
          <w:p w14:paraId="550545CA" w14:textId="77777777" w:rsidR="00430906" w:rsidRPr="006A5915" w:rsidRDefault="00430906" w:rsidP="00430906">
            <w:pPr>
              <w:pStyle w:val="ListParagraph"/>
              <w:numPr>
                <w:ilvl w:val="0"/>
                <w:numId w:val="1"/>
              </w:numPr>
              <w:rPr>
                <w:rFonts w:ascii="Arial" w:hAnsi="Arial" w:cs="Arial"/>
                <w:sz w:val="22"/>
                <w:szCs w:val="22"/>
              </w:rPr>
            </w:pPr>
            <w:r w:rsidRPr="006A5915">
              <w:rPr>
                <w:rFonts w:ascii="Arial" w:hAnsi="Arial" w:cs="Arial"/>
                <w:sz w:val="22"/>
                <w:szCs w:val="22"/>
              </w:rPr>
              <w:t>Vygotsky – More Knowledgable other</w:t>
            </w:r>
          </w:p>
          <w:p w14:paraId="46534846" w14:textId="77777777" w:rsidR="00430906" w:rsidRPr="006A5915" w:rsidRDefault="00430906" w:rsidP="00430906">
            <w:pPr>
              <w:pStyle w:val="ListParagraph"/>
              <w:numPr>
                <w:ilvl w:val="0"/>
                <w:numId w:val="1"/>
              </w:numPr>
              <w:rPr>
                <w:rFonts w:ascii="Arial" w:hAnsi="Arial" w:cs="Arial"/>
                <w:sz w:val="22"/>
                <w:szCs w:val="22"/>
              </w:rPr>
            </w:pPr>
            <w:r w:rsidRPr="006A5915">
              <w:rPr>
                <w:rFonts w:ascii="Arial" w:hAnsi="Arial" w:cs="Arial"/>
                <w:sz w:val="22"/>
                <w:szCs w:val="22"/>
              </w:rPr>
              <w:t>Four purposes – Creative and ambitious. .</w:t>
            </w:r>
          </w:p>
          <w:p w14:paraId="040882DF" w14:textId="77777777" w:rsidR="00430906" w:rsidRPr="006A5915" w:rsidRDefault="00430906" w:rsidP="00526343">
            <w:pPr>
              <w:rPr>
                <w:rFonts w:ascii="Arial" w:hAnsi="Arial" w:cs="Arial"/>
              </w:rPr>
            </w:pPr>
          </w:p>
          <w:p w14:paraId="55914588" w14:textId="77777777" w:rsidR="00430906" w:rsidRPr="006A5915" w:rsidRDefault="00430906" w:rsidP="00526343">
            <w:pPr>
              <w:rPr>
                <w:rFonts w:ascii="Arial" w:hAnsi="Arial" w:cs="Arial"/>
              </w:rPr>
            </w:pPr>
          </w:p>
        </w:tc>
      </w:tr>
      <w:tr w:rsidR="00BD2B61" w:rsidRPr="006A5915" w14:paraId="55D2FDA2" w14:textId="77777777" w:rsidTr="00526343">
        <w:tc>
          <w:tcPr>
            <w:tcW w:w="8926" w:type="dxa"/>
          </w:tcPr>
          <w:p w14:paraId="4DF3A9AE" w14:textId="77777777" w:rsidR="00430906" w:rsidRPr="006A5915" w:rsidRDefault="00430906" w:rsidP="00526343">
            <w:pPr>
              <w:rPr>
                <w:rFonts w:ascii="Arial" w:hAnsi="Arial" w:cs="Arial"/>
                <w:bCs/>
              </w:rPr>
            </w:pPr>
            <w:r w:rsidRPr="006A5915">
              <w:rPr>
                <w:rFonts w:ascii="Arial" w:hAnsi="Arial" w:cs="Arial"/>
                <w:b/>
                <w:lang w:val="en-US"/>
              </w:rPr>
              <w:t xml:space="preserve">Notes: </w:t>
            </w:r>
            <w:r w:rsidRPr="006A5915">
              <w:rPr>
                <w:rFonts w:ascii="Arial" w:hAnsi="Arial" w:cs="Arial"/>
                <w:bCs/>
                <w:lang w:val="en-US"/>
              </w:rPr>
              <w:t>any details you can note (is it a busy environment, is it after lunch, are there lots of distractions, are directions made explicit - the more you can refer to the better here)</w:t>
            </w:r>
          </w:p>
          <w:p w14:paraId="17C15ABF" w14:textId="77777777" w:rsidR="00430906" w:rsidRPr="006A5915" w:rsidRDefault="00430906" w:rsidP="00526343">
            <w:pPr>
              <w:rPr>
                <w:rFonts w:ascii="Arial" w:hAnsi="Arial" w:cs="Arial"/>
                <w:bCs/>
              </w:rPr>
            </w:pPr>
          </w:p>
          <w:p w14:paraId="6FC2FF64" w14:textId="77777777" w:rsidR="00430906" w:rsidRPr="006A5915" w:rsidRDefault="00430906" w:rsidP="00526343">
            <w:pPr>
              <w:rPr>
                <w:rFonts w:ascii="Arial" w:hAnsi="Arial" w:cs="Arial"/>
              </w:rPr>
            </w:pPr>
          </w:p>
          <w:p w14:paraId="26CC8D66" w14:textId="77777777" w:rsidR="00430906" w:rsidRPr="006A5915" w:rsidRDefault="00430906" w:rsidP="00430906">
            <w:pPr>
              <w:pStyle w:val="ListParagraph"/>
              <w:numPr>
                <w:ilvl w:val="0"/>
                <w:numId w:val="1"/>
              </w:numPr>
              <w:rPr>
                <w:rFonts w:ascii="Arial" w:hAnsi="Arial" w:cs="Arial"/>
                <w:sz w:val="22"/>
                <w:szCs w:val="22"/>
              </w:rPr>
            </w:pPr>
            <w:r w:rsidRPr="006A5915">
              <w:rPr>
                <w:rFonts w:ascii="Arial" w:hAnsi="Arial" w:cs="Arial"/>
                <w:sz w:val="22"/>
                <w:szCs w:val="22"/>
              </w:rPr>
              <w:t>This activity was not specifically designed for this exploration however it also wasn’t limited to a certain topic</w:t>
            </w:r>
          </w:p>
          <w:p w14:paraId="10595574" w14:textId="77777777" w:rsidR="00430906" w:rsidRPr="006A5915" w:rsidRDefault="00430906" w:rsidP="00430906">
            <w:pPr>
              <w:pStyle w:val="ListParagraph"/>
              <w:numPr>
                <w:ilvl w:val="0"/>
                <w:numId w:val="1"/>
              </w:numPr>
              <w:rPr>
                <w:rFonts w:ascii="Arial" w:hAnsi="Arial" w:cs="Arial"/>
                <w:sz w:val="22"/>
                <w:szCs w:val="22"/>
              </w:rPr>
            </w:pPr>
            <w:r w:rsidRPr="006A5915">
              <w:rPr>
                <w:rFonts w:ascii="Arial" w:hAnsi="Arial" w:cs="Arial"/>
                <w:sz w:val="22"/>
                <w:szCs w:val="22"/>
              </w:rPr>
              <w:t>Each child joined in on their own with no encouragement from peers or adults</w:t>
            </w:r>
          </w:p>
          <w:p w14:paraId="4E2FFCFC" w14:textId="77777777" w:rsidR="00430906" w:rsidRPr="006A5915" w:rsidRDefault="00430906" w:rsidP="00430906">
            <w:pPr>
              <w:pStyle w:val="ListParagraph"/>
              <w:numPr>
                <w:ilvl w:val="0"/>
                <w:numId w:val="1"/>
              </w:numPr>
              <w:rPr>
                <w:rFonts w:ascii="Arial" w:hAnsi="Arial" w:cs="Arial"/>
                <w:sz w:val="22"/>
                <w:szCs w:val="22"/>
              </w:rPr>
            </w:pPr>
            <w:r w:rsidRPr="006A5915">
              <w:rPr>
                <w:rFonts w:ascii="Arial" w:hAnsi="Arial" w:cs="Arial"/>
                <w:sz w:val="22"/>
                <w:szCs w:val="22"/>
              </w:rPr>
              <w:t xml:space="preserve">There were lots of other toys available such as a car mat, ipads, interactive whiteboard, and playdough. </w:t>
            </w:r>
          </w:p>
          <w:p w14:paraId="22093214" w14:textId="77777777" w:rsidR="00430906" w:rsidRPr="006A5915" w:rsidRDefault="00430906" w:rsidP="00430906">
            <w:pPr>
              <w:pStyle w:val="ListParagraph"/>
              <w:numPr>
                <w:ilvl w:val="0"/>
                <w:numId w:val="1"/>
              </w:numPr>
              <w:rPr>
                <w:rFonts w:ascii="Arial" w:hAnsi="Arial" w:cs="Arial"/>
                <w:sz w:val="22"/>
                <w:szCs w:val="22"/>
              </w:rPr>
            </w:pPr>
            <w:r w:rsidRPr="006A5915">
              <w:rPr>
                <w:rFonts w:ascii="Arial" w:hAnsi="Arial" w:cs="Arial"/>
                <w:sz w:val="22"/>
                <w:szCs w:val="22"/>
              </w:rPr>
              <w:t xml:space="preserve">There was no adult guidance and they did not attempt to seek adult input. </w:t>
            </w:r>
          </w:p>
        </w:tc>
      </w:tr>
    </w:tbl>
    <w:p w14:paraId="23A97873" w14:textId="1488F024" w:rsidR="00430906" w:rsidRPr="006A5915" w:rsidRDefault="00430906">
      <w:pPr>
        <w:rPr>
          <w:rFonts w:ascii="Arial" w:hAnsi="Arial" w:cs="Arial"/>
        </w:rPr>
      </w:pPr>
    </w:p>
    <w:p w14:paraId="687C2355" w14:textId="7D646504" w:rsidR="00BD2B61" w:rsidRPr="006A5915" w:rsidRDefault="00BD2B61">
      <w:pPr>
        <w:rPr>
          <w:rFonts w:ascii="Arial" w:hAnsi="Arial" w:cs="Arial"/>
        </w:rPr>
      </w:pPr>
    </w:p>
    <w:p w14:paraId="11B9C232" w14:textId="77777777" w:rsidR="006A5915" w:rsidRDefault="006A5915" w:rsidP="006A5915">
      <w:pPr>
        <w:rPr>
          <w:rFonts w:ascii="Arial" w:hAnsi="Arial" w:cs="Arial"/>
        </w:rPr>
      </w:pPr>
    </w:p>
    <w:p w14:paraId="38891492" w14:textId="0222F265" w:rsidR="00BD2B61" w:rsidRPr="006A5915" w:rsidRDefault="00BD2B61" w:rsidP="006A5915">
      <w:pPr>
        <w:rPr>
          <w:rFonts w:ascii="Arial" w:hAnsi="Arial" w:cs="Arial"/>
          <w:b/>
          <w:bCs/>
          <w:sz w:val="28"/>
          <w:szCs w:val="28"/>
        </w:rPr>
      </w:pPr>
      <w:r w:rsidRPr="006A5915">
        <w:rPr>
          <w:rFonts w:ascii="Arial" w:hAnsi="Arial" w:cs="Arial"/>
          <w:b/>
          <w:bCs/>
          <w:sz w:val="28"/>
          <w:szCs w:val="28"/>
        </w:rPr>
        <w:lastRenderedPageBreak/>
        <w:t xml:space="preserve">References: </w:t>
      </w:r>
    </w:p>
    <w:p w14:paraId="348C36E6" w14:textId="77777777" w:rsidR="006A5915" w:rsidRPr="006A5915" w:rsidRDefault="006A5915" w:rsidP="006A5915">
      <w:pPr>
        <w:rPr>
          <w:rFonts w:ascii="Arial" w:hAnsi="Arial" w:cs="Arial"/>
        </w:rPr>
      </w:pPr>
    </w:p>
    <w:p w14:paraId="7DE70398" w14:textId="77777777" w:rsidR="00BD2B61" w:rsidRPr="006A5915" w:rsidRDefault="00BD2B61" w:rsidP="006A5915">
      <w:pPr>
        <w:spacing w:line="360" w:lineRule="auto"/>
        <w:rPr>
          <w:rFonts w:ascii="Arial" w:eastAsia="Calibri" w:hAnsi="Arial" w:cs="Arial"/>
        </w:rPr>
      </w:pPr>
      <w:proofErr w:type="spellStart"/>
      <w:r w:rsidRPr="006A5915">
        <w:rPr>
          <w:rFonts w:ascii="Arial" w:eastAsia="Calibri" w:hAnsi="Arial" w:cs="Arial"/>
        </w:rPr>
        <w:t>Ashiabi</w:t>
      </w:r>
      <w:proofErr w:type="spellEnd"/>
      <w:r w:rsidRPr="006A5915">
        <w:rPr>
          <w:rFonts w:ascii="Arial" w:eastAsia="Calibri" w:hAnsi="Arial" w:cs="Arial"/>
        </w:rPr>
        <w:t xml:space="preserve">, G. &amp; O’Neil, K. (2015) ‘Child Social Development in Context: An Examination of Some Propositions in Bronfenbrenner’s Bioecological Theory’, </w:t>
      </w:r>
      <w:r w:rsidRPr="006A5915">
        <w:rPr>
          <w:rFonts w:ascii="Arial" w:eastAsia="Calibri" w:hAnsi="Arial" w:cs="Arial"/>
          <w:i/>
          <w:iCs/>
        </w:rPr>
        <w:t>SAGE Open</w:t>
      </w:r>
      <w:r w:rsidRPr="006A5915">
        <w:rPr>
          <w:rFonts w:ascii="Arial" w:eastAsia="Calibri" w:hAnsi="Arial" w:cs="Arial"/>
        </w:rPr>
        <w:t xml:space="preserve">. 5(2), pp. 1-18 Available at: </w:t>
      </w:r>
      <w:hyperlink r:id="rId9">
        <w:r w:rsidRPr="006A5915">
          <w:rPr>
            <w:rStyle w:val="Hyperlink"/>
            <w:rFonts w:ascii="Arial" w:eastAsia="Calibri" w:hAnsi="Arial" w:cs="Arial"/>
            <w:color w:val="auto"/>
            <w:u w:val="none"/>
          </w:rPr>
          <w:t>https://journals.sagepub.com/doi/full/10.1177/2158244015590840</w:t>
        </w:r>
      </w:hyperlink>
      <w:r w:rsidRPr="006A5915">
        <w:rPr>
          <w:rFonts w:ascii="Arial" w:eastAsia="Calibri" w:hAnsi="Arial" w:cs="Arial"/>
        </w:rPr>
        <w:t>. (Accessed: 12 October 2021).</w:t>
      </w:r>
    </w:p>
    <w:p w14:paraId="2281E744" w14:textId="77777777" w:rsidR="00BD2B61" w:rsidRPr="006A5915" w:rsidRDefault="00BD2B61" w:rsidP="006A5915">
      <w:pPr>
        <w:spacing w:line="360" w:lineRule="auto"/>
        <w:rPr>
          <w:rFonts w:ascii="Arial" w:eastAsia="Open Sans" w:hAnsi="Arial" w:cs="Arial"/>
        </w:rPr>
      </w:pPr>
      <w:r w:rsidRPr="006A5915">
        <w:rPr>
          <w:rFonts w:ascii="Arial" w:eastAsia="Open Sans" w:hAnsi="Arial" w:cs="Arial"/>
        </w:rPr>
        <w:t xml:space="preserve">Bandura, A. (1977) </w:t>
      </w:r>
      <w:r w:rsidRPr="006A5915">
        <w:rPr>
          <w:rFonts w:ascii="Arial" w:eastAsia="Open Sans" w:hAnsi="Arial" w:cs="Arial"/>
          <w:i/>
          <w:iCs/>
        </w:rPr>
        <w:t>Social learning theory.</w:t>
      </w:r>
      <w:r w:rsidRPr="006A5915">
        <w:rPr>
          <w:rFonts w:ascii="Arial" w:eastAsia="Open Sans" w:hAnsi="Arial" w:cs="Arial"/>
        </w:rPr>
        <w:t xml:space="preserve"> Englewood Cliffs, NJ: Prentice Hall.</w:t>
      </w:r>
    </w:p>
    <w:p w14:paraId="6C91D7B8" w14:textId="77777777" w:rsidR="00BD2B61" w:rsidRPr="006A5915" w:rsidRDefault="00BD2B61" w:rsidP="006A5915">
      <w:pPr>
        <w:spacing w:line="360" w:lineRule="auto"/>
        <w:rPr>
          <w:rFonts w:ascii="Arial" w:eastAsia="Calibri" w:hAnsi="Arial" w:cs="Arial"/>
        </w:rPr>
      </w:pPr>
      <w:proofErr w:type="spellStart"/>
      <w:r w:rsidRPr="006A5915">
        <w:rPr>
          <w:rFonts w:ascii="Arial" w:eastAsia="Calibri" w:hAnsi="Arial" w:cs="Arial"/>
        </w:rPr>
        <w:t>Bentenuto</w:t>
      </w:r>
      <w:proofErr w:type="spellEnd"/>
      <w:r w:rsidRPr="006A5915">
        <w:rPr>
          <w:rFonts w:ascii="Arial" w:eastAsia="Calibri" w:hAnsi="Arial" w:cs="Arial"/>
        </w:rPr>
        <w:t xml:space="preserve">, A., Falco, S., &amp; Venuti, P. (2016) ‘Mother-Child Play: A Comparison of Autism Spectrum Disorder, Down Syndrome, and Typical Development’, </w:t>
      </w:r>
      <w:r w:rsidRPr="006A5915">
        <w:rPr>
          <w:rFonts w:ascii="Arial" w:eastAsia="Calibri" w:hAnsi="Arial" w:cs="Arial"/>
          <w:i/>
          <w:iCs/>
        </w:rPr>
        <w:t xml:space="preserve">Front. Psychol. </w:t>
      </w:r>
      <w:r w:rsidRPr="006A5915">
        <w:rPr>
          <w:rFonts w:ascii="Arial" w:eastAsia="Calibri" w:hAnsi="Arial" w:cs="Arial"/>
        </w:rPr>
        <w:t xml:space="preserve">7(1829). Available at: </w:t>
      </w:r>
      <w:hyperlink r:id="rId10">
        <w:r w:rsidRPr="006A5915">
          <w:rPr>
            <w:rStyle w:val="Hyperlink"/>
            <w:rFonts w:ascii="Arial" w:eastAsia="Calibri" w:hAnsi="Arial" w:cs="Arial"/>
            <w:color w:val="auto"/>
            <w:u w:val="none"/>
          </w:rPr>
          <w:t>https://www.frontiersin.org/articles/10.3389/fpsyg.2016.01829/full</w:t>
        </w:r>
      </w:hyperlink>
      <w:r w:rsidRPr="006A5915">
        <w:rPr>
          <w:rFonts w:ascii="Arial" w:eastAsia="Calibri" w:hAnsi="Arial" w:cs="Arial"/>
        </w:rPr>
        <w:t xml:space="preserve">. (Accessed: 12 October 2021). </w:t>
      </w:r>
    </w:p>
    <w:p w14:paraId="320D9AA4"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BERA (2014) </w:t>
      </w:r>
      <w:r w:rsidRPr="006A5915">
        <w:rPr>
          <w:rFonts w:ascii="Arial" w:eastAsia="Calibri" w:hAnsi="Arial" w:cs="Arial"/>
          <w:i/>
          <w:iCs/>
        </w:rPr>
        <w:t xml:space="preserve">BERA 2014: A Year in Review. </w:t>
      </w:r>
      <w:r w:rsidRPr="006A5915">
        <w:rPr>
          <w:rFonts w:ascii="Arial" w:eastAsia="Calibri" w:hAnsi="Arial" w:cs="Arial"/>
        </w:rPr>
        <w:t xml:space="preserve">Available at: </w:t>
      </w:r>
      <w:hyperlink r:id="rId11" w:history="1">
        <w:r w:rsidRPr="006A5915">
          <w:rPr>
            <w:rStyle w:val="Hyperlink"/>
            <w:rFonts w:ascii="Arial" w:eastAsia="Calibri" w:hAnsi="Arial" w:cs="Arial"/>
            <w:color w:val="auto"/>
            <w:u w:val="none"/>
          </w:rPr>
          <w:t>https://www.bera.ac.uk/news/bera-2014-a-year-in-review</w:t>
        </w:r>
      </w:hyperlink>
      <w:r w:rsidRPr="006A5915">
        <w:rPr>
          <w:rFonts w:ascii="Arial" w:eastAsia="Calibri" w:hAnsi="Arial" w:cs="Arial"/>
        </w:rPr>
        <w:t xml:space="preserve">. (Accessed: 12 October 2021). </w:t>
      </w:r>
    </w:p>
    <w:p w14:paraId="4EF25587"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BERA (2018) </w:t>
      </w:r>
      <w:r w:rsidRPr="006A5915">
        <w:rPr>
          <w:rFonts w:ascii="Arial" w:eastAsia="Calibri" w:hAnsi="Arial" w:cs="Arial"/>
          <w:i/>
          <w:iCs/>
        </w:rPr>
        <w:t xml:space="preserve">Ethical Guidelines for Educational Research. </w:t>
      </w:r>
      <w:r w:rsidRPr="006A5915">
        <w:rPr>
          <w:rFonts w:ascii="Arial" w:eastAsia="Calibri" w:hAnsi="Arial" w:cs="Arial"/>
        </w:rPr>
        <w:t xml:space="preserve">Available at: </w:t>
      </w:r>
      <w:hyperlink r:id="rId12" w:history="1">
        <w:r w:rsidRPr="006A5915">
          <w:rPr>
            <w:rStyle w:val="Hyperlink"/>
            <w:rFonts w:ascii="Arial" w:eastAsia="Calibri" w:hAnsi="Arial" w:cs="Arial"/>
            <w:color w:val="auto"/>
            <w:u w:val="none"/>
          </w:rPr>
          <w:t>https://www.bera.ac.uk/publication/ethical-guidelines-for-educational-research-2018</w:t>
        </w:r>
      </w:hyperlink>
      <w:r w:rsidRPr="006A5915">
        <w:rPr>
          <w:rFonts w:ascii="Arial" w:eastAsia="Calibri" w:hAnsi="Arial" w:cs="Arial"/>
        </w:rPr>
        <w:t xml:space="preserve">. (Accessed; 12 October 2021). </w:t>
      </w:r>
    </w:p>
    <w:p w14:paraId="41C7EE9D" w14:textId="77777777" w:rsidR="00BD2B61" w:rsidRPr="006A5915" w:rsidRDefault="00BD2B61" w:rsidP="006A5915">
      <w:pPr>
        <w:spacing w:line="360" w:lineRule="auto"/>
        <w:rPr>
          <w:rFonts w:ascii="Arial" w:eastAsia="Calibri" w:hAnsi="Arial" w:cs="Arial"/>
        </w:rPr>
      </w:pPr>
      <w:r w:rsidRPr="006A5915">
        <w:rPr>
          <w:rStyle w:val="highlight"/>
          <w:rFonts w:ascii="Arial" w:hAnsi="Arial" w:cs="Arial"/>
        </w:rPr>
        <w:t>Bern</w:t>
      </w:r>
      <w:r w:rsidRPr="006A5915">
        <w:rPr>
          <w:rFonts w:ascii="Arial" w:hAnsi="Arial" w:cs="Arial"/>
        </w:rPr>
        <w:t xml:space="preserve">ier, S., Simpson, C. &amp; Rose, C. (2012) ‘Positive and Negative Reinforcement </w:t>
      </w:r>
      <w:r w:rsidRPr="006A5915">
        <w:rPr>
          <w:rFonts w:ascii="Arial" w:hAnsi="Arial" w:cs="Arial"/>
        </w:rPr>
        <w:br/>
        <w:t xml:space="preserve">in Increasing Compliance and Decreasing Problematic </w:t>
      </w:r>
      <w:proofErr w:type="spellStart"/>
      <w:r w:rsidRPr="006A5915">
        <w:rPr>
          <w:rFonts w:ascii="Arial" w:hAnsi="Arial" w:cs="Arial"/>
        </w:rPr>
        <w:t>Behavior</w:t>
      </w:r>
      <w:proofErr w:type="spellEnd"/>
      <w:r w:rsidRPr="006A5915">
        <w:rPr>
          <w:rFonts w:ascii="Arial" w:hAnsi="Arial" w:cs="Arial"/>
        </w:rPr>
        <w:t xml:space="preserve">’ National Teacher Education Journal, 5(1), 45-51. Available at: </w:t>
      </w:r>
      <w:hyperlink r:id="rId13" w:history="1">
        <w:r w:rsidRPr="006A5915">
          <w:rPr>
            <w:rStyle w:val="Hyperlink"/>
            <w:rFonts w:ascii="Arial" w:hAnsi="Arial" w:cs="Arial"/>
            <w:color w:val="auto"/>
            <w:u w:val="none"/>
          </w:rPr>
          <w:t>https://www.researchgate.net/profile/Chad-Rose/publication/235326783_Positive_and_negative_reinforcement_in_increasing_compliance_and_decreasing_problematic_behavior/links/02bfe513501c276de4000000/Positive-and-negative-reinforcement-in-increasing-compliance-and-decreasing-problematic-behavior.pdf</w:t>
        </w:r>
      </w:hyperlink>
      <w:r w:rsidRPr="006A5915">
        <w:rPr>
          <w:rFonts w:ascii="Arial" w:hAnsi="Arial" w:cs="Arial"/>
        </w:rPr>
        <w:t xml:space="preserve">. (Accessed: 11 October 2021). </w:t>
      </w:r>
    </w:p>
    <w:p w14:paraId="2E19DD52" w14:textId="77777777" w:rsidR="00BD2B61" w:rsidRPr="006A5915" w:rsidRDefault="00BD2B61" w:rsidP="006A5915">
      <w:pPr>
        <w:spacing w:line="360" w:lineRule="auto"/>
        <w:rPr>
          <w:rFonts w:ascii="Arial" w:eastAsia="Georgia" w:hAnsi="Arial" w:cs="Arial"/>
        </w:rPr>
      </w:pPr>
      <w:proofErr w:type="spellStart"/>
      <w:r w:rsidRPr="006A5915">
        <w:rPr>
          <w:rFonts w:ascii="Arial" w:eastAsia="Georgia" w:hAnsi="Arial" w:cs="Arial"/>
        </w:rPr>
        <w:t>Brendtro</w:t>
      </w:r>
      <w:proofErr w:type="spellEnd"/>
      <w:r w:rsidRPr="006A5915">
        <w:rPr>
          <w:rFonts w:ascii="Arial" w:eastAsia="Georgia" w:hAnsi="Arial" w:cs="Arial"/>
        </w:rPr>
        <w:t xml:space="preserve">, L., Mitchell, M., &amp; McCall, H. (2009) </w:t>
      </w:r>
      <w:r w:rsidRPr="006A5915">
        <w:rPr>
          <w:rFonts w:ascii="Arial" w:eastAsia="Georgia" w:hAnsi="Arial" w:cs="Arial"/>
          <w:i/>
          <w:iCs/>
        </w:rPr>
        <w:t>Deep Brain Learning: Pathways to potential with challenging youth.</w:t>
      </w:r>
      <w:r w:rsidRPr="006A5915">
        <w:rPr>
          <w:rFonts w:ascii="Arial" w:eastAsia="Georgia" w:hAnsi="Arial" w:cs="Arial"/>
        </w:rPr>
        <w:t xml:space="preserve"> Albion, MI: Starr Commonwealth</w:t>
      </w:r>
    </w:p>
    <w:p w14:paraId="314C55ED" w14:textId="77777777" w:rsidR="00BD2B61" w:rsidRPr="006A5915" w:rsidRDefault="00BD2B61" w:rsidP="006A5915">
      <w:pPr>
        <w:spacing w:line="360" w:lineRule="auto"/>
        <w:rPr>
          <w:rFonts w:ascii="Arial" w:eastAsia="Calibri" w:hAnsi="Arial" w:cs="Arial"/>
        </w:rPr>
      </w:pPr>
      <w:proofErr w:type="spellStart"/>
      <w:r w:rsidRPr="006A5915">
        <w:rPr>
          <w:rFonts w:ascii="Arial" w:eastAsia="Calibri" w:hAnsi="Arial" w:cs="Arial"/>
        </w:rPr>
        <w:t>Calbi</w:t>
      </w:r>
      <w:proofErr w:type="spellEnd"/>
      <w:r w:rsidRPr="006A5915">
        <w:rPr>
          <w:rFonts w:ascii="Arial" w:eastAsia="Calibri" w:hAnsi="Arial" w:cs="Arial"/>
        </w:rPr>
        <w:t xml:space="preserve">, M. et al. (2021) ‘The consequences of COVID-19 on social interactions: an online study on face covering’, </w:t>
      </w:r>
      <w:r w:rsidRPr="006A5915">
        <w:rPr>
          <w:rFonts w:ascii="Arial" w:eastAsia="Calibri" w:hAnsi="Arial" w:cs="Arial"/>
          <w:i/>
          <w:iCs/>
        </w:rPr>
        <w:t xml:space="preserve">Scientific Reports. </w:t>
      </w:r>
      <w:r w:rsidRPr="006A5915">
        <w:rPr>
          <w:rFonts w:ascii="Arial" w:eastAsia="Calibri" w:hAnsi="Arial" w:cs="Arial"/>
        </w:rPr>
        <w:t xml:space="preserve">11(2601), pp. 1-10. Available at: </w:t>
      </w:r>
      <w:hyperlink r:id="rId14">
        <w:r w:rsidRPr="006A5915">
          <w:rPr>
            <w:rStyle w:val="Hyperlink"/>
            <w:rFonts w:ascii="Arial" w:eastAsia="Calibri" w:hAnsi="Arial" w:cs="Arial"/>
            <w:color w:val="auto"/>
            <w:u w:val="none"/>
          </w:rPr>
          <w:t>https://www.nature.com/articles/s41598-021-81780-w</w:t>
        </w:r>
      </w:hyperlink>
      <w:r w:rsidRPr="006A5915">
        <w:rPr>
          <w:rFonts w:ascii="Arial" w:eastAsia="Calibri" w:hAnsi="Arial" w:cs="Arial"/>
        </w:rPr>
        <w:t xml:space="preserve">. (Accessed: 12 October 2021). </w:t>
      </w:r>
    </w:p>
    <w:p w14:paraId="58893558"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Chance, P. (2007) ‘The Ultimate Challenge: Prove B.F. Skinner Wrong’, </w:t>
      </w:r>
      <w:proofErr w:type="spellStart"/>
      <w:r w:rsidRPr="006A5915">
        <w:rPr>
          <w:rFonts w:ascii="Arial" w:eastAsia="Calibri" w:hAnsi="Arial" w:cs="Arial"/>
          <w:i/>
          <w:iCs/>
        </w:rPr>
        <w:t>Behav</w:t>
      </w:r>
      <w:proofErr w:type="spellEnd"/>
      <w:r w:rsidRPr="006A5915">
        <w:rPr>
          <w:rFonts w:ascii="Arial" w:eastAsia="Calibri" w:hAnsi="Arial" w:cs="Arial"/>
          <w:i/>
          <w:iCs/>
        </w:rPr>
        <w:t xml:space="preserve"> Anal. </w:t>
      </w:r>
      <w:r w:rsidRPr="006A5915">
        <w:rPr>
          <w:rFonts w:ascii="Arial" w:eastAsia="Calibri" w:hAnsi="Arial" w:cs="Arial"/>
        </w:rPr>
        <w:t xml:space="preserve">30(2), pp. 153-160. Available at: </w:t>
      </w:r>
      <w:hyperlink r:id="rId15">
        <w:r w:rsidRPr="006A5915">
          <w:rPr>
            <w:rStyle w:val="Hyperlink"/>
            <w:rFonts w:ascii="Arial" w:eastAsia="Calibri" w:hAnsi="Arial" w:cs="Arial"/>
            <w:color w:val="auto"/>
            <w:u w:val="none"/>
          </w:rPr>
          <w:t>https://www.ncbi.nlm.nih.gov/pmc/articles/PMC2203635/</w:t>
        </w:r>
      </w:hyperlink>
      <w:r w:rsidRPr="006A5915">
        <w:rPr>
          <w:rFonts w:ascii="Arial" w:eastAsia="Calibri" w:hAnsi="Arial" w:cs="Arial"/>
        </w:rPr>
        <w:t xml:space="preserve">. (Accessed: 12 October 2021). </w:t>
      </w:r>
    </w:p>
    <w:p w14:paraId="22D05F6A" w14:textId="77777777" w:rsidR="00BD2B61" w:rsidRPr="006A5915" w:rsidRDefault="00BD2B61" w:rsidP="006A5915">
      <w:pPr>
        <w:spacing w:line="360" w:lineRule="auto"/>
        <w:rPr>
          <w:rFonts w:ascii="Arial" w:hAnsi="Arial" w:cs="Arial"/>
        </w:rPr>
      </w:pPr>
      <w:r w:rsidRPr="006A5915">
        <w:rPr>
          <w:rFonts w:ascii="Arial" w:eastAsia="Georgia" w:hAnsi="Arial" w:cs="Arial"/>
        </w:rPr>
        <w:lastRenderedPageBreak/>
        <w:t xml:space="preserve">Conroy, M. et al. (2009) ‘Creating a Positive Classroom Atmosphere: Teachers’ Use of Effective Praise and Feedback’, </w:t>
      </w:r>
      <w:r w:rsidRPr="006A5915">
        <w:rPr>
          <w:rFonts w:ascii="Arial" w:eastAsia="Georgia" w:hAnsi="Arial" w:cs="Arial"/>
          <w:i/>
          <w:iCs/>
        </w:rPr>
        <w:t xml:space="preserve">Beyond Behaviour’. </w:t>
      </w:r>
      <w:r w:rsidRPr="006A5915">
        <w:rPr>
          <w:rFonts w:ascii="Arial" w:eastAsia="Georgia" w:hAnsi="Arial" w:cs="Arial"/>
        </w:rPr>
        <w:t xml:space="preserve">18(2), pp. 18-26. Available at: </w:t>
      </w:r>
      <w:hyperlink r:id="rId16">
        <w:r w:rsidRPr="006A5915">
          <w:rPr>
            <w:rStyle w:val="Hyperlink"/>
            <w:rFonts w:ascii="Arial" w:eastAsia="Georgia" w:hAnsi="Arial" w:cs="Arial"/>
            <w:color w:val="auto"/>
            <w:u w:val="none"/>
          </w:rPr>
          <w:t>https://eric.ed.gov/?id=EJ869681</w:t>
        </w:r>
      </w:hyperlink>
      <w:r w:rsidRPr="006A5915">
        <w:rPr>
          <w:rFonts w:ascii="Arial" w:eastAsia="Georgia" w:hAnsi="Arial" w:cs="Arial"/>
        </w:rPr>
        <w:t xml:space="preserve">. (Accessed: 12 October 2021). </w:t>
      </w:r>
      <w:r w:rsidRPr="006A5915">
        <w:rPr>
          <w:rFonts w:ascii="Arial" w:hAnsi="Arial" w:cs="Arial"/>
        </w:rPr>
        <w:br/>
      </w:r>
    </w:p>
    <w:p w14:paraId="2EE9354F"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Cottrell, S. (2017) </w:t>
      </w:r>
      <w:r w:rsidRPr="006A5915">
        <w:rPr>
          <w:rFonts w:ascii="Arial" w:eastAsia="Calibri" w:hAnsi="Arial" w:cs="Arial"/>
          <w:i/>
          <w:iCs/>
        </w:rPr>
        <w:t xml:space="preserve">Critical Thinking Skills: Effective Analysis, Argument and Reflection. </w:t>
      </w:r>
      <w:r w:rsidRPr="006A5915">
        <w:rPr>
          <w:rFonts w:ascii="Arial" w:eastAsia="Calibri" w:hAnsi="Arial" w:cs="Arial"/>
        </w:rPr>
        <w:t>3</w:t>
      </w:r>
      <w:r w:rsidRPr="006A5915">
        <w:rPr>
          <w:rFonts w:ascii="Arial" w:eastAsia="Calibri" w:hAnsi="Arial" w:cs="Arial"/>
          <w:vertAlign w:val="superscript"/>
        </w:rPr>
        <w:t>rd</w:t>
      </w:r>
      <w:r w:rsidRPr="006A5915">
        <w:rPr>
          <w:rFonts w:ascii="Arial" w:eastAsia="Calibri" w:hAnsi="Arial" w:cs="Arial"/>
        </w:rPr>
        <w:t xml:space="preserve"> </w:t>
      </w:r>
      <w:proofErr w:type="spellStart"/>
      <w:r w:rsidRPr="006A5915">
        <w:rPr>
          <w:rFonts w:ascii="Arial" w:eastAsia="Calibri" w:hAnsi="Arial" w:cs="Arial"/>
        </w:rPr>
        <w:t>edn</w:t>
      </w:r>
      <w:proofErr w:type="spellEnd"/>
      <w:r w:rsidRPr="006A5915">
        <w:rPr>
          <w:rFonts w:ascii="Arial" w:eastAsia="Calibri" w:hAnsi="Arial" w:cs="Arial"/>
        </w:rPr>
        <w:t xml:space="preserve">. London: Palgrave Macmillan. </w:t>
      </w:r>
    </w:p>
    <w:p w14:paraId="43AEDC55" w14:textId="77777777" w:rsidR="00BD2B61" w:rsidRPr="006A5915" w:rsidRDefault="00BD2B61" w:rsidP="006A5915">
      <w:pPr>
        <w:spacing w:line="360" w:lineRule="auto"/>
        <w:rPr>
          <w:rFonts w:ascii="Arial" w:eastAsia="Open Sans" w:hAnsi="Arial" w:cs="Arial"/>
        </w:rPr>
      </w:pPr>
      <w:r w:rsidRPr="006A5915">
        <w:rPr>
          <w:rFonts w:ascii="Arial" w:eastAsia="Open Sans" w:hAnsi="Arial" w:cs="Arial"/>
        </w:rPr>
        <w:t xml:space="preserve">Cullen, F. &amp; Wilcox, P. (2010) </w:t>
      </w:r>
      <w:proofErr w:type="spellStart"/>
      <w:r w:rsidRPr="006A5915">
        <w:rPr>
          <w:rFonts w:ascii="Arial" w:eastAsia="Open Sans" w:hAnsi="Arial" w:cs="Arial"/>
          <w:i/>
          <w:iCs/>
        </w:rPr>
        <w:t>Encyclopedia</w:t>
      </w:r>
      <w:proofErr w:type="spellEnd"/>
      <w:r w:rsidRPr="006A5915">
        <w:rPr>
          <w:rFonts w:ascii="Arial" w:eastAsia="Open Sans" w:hAnsi="Arial" w:cs="Arial"/>
          <w:i/>
          <w:iCs/>
        </w:rPr>
        <w:t xml:space="preserve"> of criminological theory. </w:t>
      </w:r>
      <w:r w:rsidRPr="006A5915">
        <w:rPr>
          <w:rFonts w:ascii="Arial" w:eastAsia="Open Sans" w:hAnsi="Arial" w:cs="Arial"/>
        </w:rPr>
        <w:t>UK: SAGE Publications, Inc</w:t>
      </w:r>
    </w:p>
    <w:p w14:paraId="26479168"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Dewey, J. (1933) </w:t>
      </w:r>
      <w:r w:rsidRPr="006A5915">
        <w:rPr>
          <w:rFonts w:ascii="Arial" w:eastAsia="Calibri" w:hAnsi="Arial" w:cs="Arial"/>
          <w:i/>
          <w:iCs/>
        </w:rPr>
        <w:t xml:space="preserve">How We Think: A Restatement of the Relation of Reflective Thinking to the Educative Process. </w:t>
      </w:r>
      <w:r w:rsidRPr="006A5915">
        <w:rPr>
          <w:rFonts w:ascii="Arial" w:eastAsia="Calibri" w:hAnsi="Arial" w:cs="Arial"/>
        </w:rPr>
        <w:t xml:space="preserve">Boston: DC Heath and Company. </w:t>
      </w:r>
    </w:p>
    <w:p w14:paraId="22A2052B" w14:textId="77777777" w:rsidR="00BD2B61" w:rsidRPr="006A5915" w:rsidRDefault="00BD2B61" w:rsidP="006A5915">
      <w:pPr>
        <w:spacing w:line="360" w:lineRule="auto"/>
        <w:rPr>
          <w:rFonts w:ascii="Arial" w:eastAsia="Arial" w:hAnsi="Arial" w:cs="Arial"/>
        </w:rPr>
      </w:pPr>
      <w:r w:rsidRPr="006A5915">
        <w:rPr>
          <w:rFonts w:ascii="Arial" w:eastAsia="Calibri" w:hAnsi="Arial" w:cs="Arial"/>
        </w:rPr>
        <w:t xml:space="preserve">Donaldson, G. (2015) </w:t>
      </w:r>
      <w:r w:rsidRPr="006A5915">
        <w:rPr>
          <w:rFonts w:ascii="Arial" w:eastAsia="Calibri" w:hAnsi="Arial" w:cs="Arial"/>
          <w:i/>
          <w:iCs/>
        </w:rPr>
        <w:t xml:space="preserve">Successful Futures: Independent Review of Curriculum and Assessment Arrangements in Wales. </w:t>
      </w:r>
      <w:r w:rsidRPr="006A5915">
        <w:rPr>
          <w:rFonts w:ascii="Arial" w:eastAsia="Calibri" w:hAnsi="Arial" w:cs="Arial"/>
        </w:rPr>
        <w:t xml:space="preserve">Available at: </w:t>
      </w:r>
      <w:hyperlink r:id="rId17">
        <w:r w:rsidRPr="006A5915">
          <w:rPr>
            <w:rStyle w:val="Hyperlink"/>
            <w:rFonts w:ascii="Arial" w:eastAsia="Arial" w:hAnsi="Arial" w:cs="Arial"/>
            <w:color w:val="auto"/>
            <w:u w:val="none"/>
          </w:rPr>
          <w:t>https://www.nasuwt.org.uk/asset/A788604C-3046-4005-A1EA0EAFF023E0DD/</w:t>
        </w:r>
      </w:hyperlink>
      <w:r w:rsidRPr="006A5915">
        <w:rPr>
          <w:rFonts w:ascii="Arial" w:eastAsia="Arial" w:hAnsi="Arial" w:cs="Arial"/>
        </w:rPr>
        <w:t xml:space="preserve">. (Accessed: 27 September 2021). </w:t>
      </w:r>
    </w:p>
    <w:p w14:paraId="3CAD19EA" w14:textId="77777777" w:rsidR="00BD2B61" w:rsidRPr="006A5915" w:rsidRDefault="00BD2B61" w:rsidP="006A5915">
      <w:pPr>
        <w:spacing w:line="360" w:lineRule="auto"/>
        <w:rPr>
          <w:rFonts w:ascii="Arial" w:eastAsia="Georgia" w:hAnsi="Arial" w:cs="Arial"/>
        </w:rPr>
      </w:pPr>
      <w:r w:rsidRPr="006A5915">
        <w:rPr>
          <w:rFonts w:ascii="Arial" w:eastAsia="Georgia" w:hAnsi="Arial" w:cs="Arial"/>
        </w:rPr>
        <w:t xml:space="preserve">Dweck, C. (2007) ‘The perils and promises of praise’, </w:t>
      </w:r>
      <w:r w:rsidRPr="006A5915">
        <w:rPr>
          <w:rFonts w:ascii="Arial" w:eastAsia="Georgia" w:hAnsi="Arial" w:cs="Arial"/>
          <w:i/>
          <w:iCs/>
        </w:rPr>
        <w:t xml:space="preserve">Educational Leadership. </w:t>
      </w:r>
      <w:r w:rsidRPr="006A5915">
        <w:rPr>
          <w:rFonts w:ascii="Arial" w:eastAsia="Georgia" w:hAnsi="Arial" w:cs="Arial"/>
        </w:rPr>
        <w:t xml:space="preserve">65(2), pp. 34-39. Available at: </w:t>
      </w:r>
      <w:hyperlink r:id="rId18">
        <w:r w:rsidRPr="006A5915">
          <w:rPr>
            <w:rStyle w:val="Hyperlink"/>
            <w:rFonts w:ascii="Arial" w:eastAsia="Georgia" w:hAnsi="Arial" w:cs="Arial"/>
            <w:color w:val="auto"/>
            <w:u w:val="none"/>
          </w:rPr>
          <w:t>https://eric.ed.gov/?id=EJ777079</w:t>
        </w:r>
      </w:hyperlink>
      <w:r w:rsidRPr="006A5915">
        <w:rPr>
          <w:rFonts w:ascii="Arial" w:eastAsia="Georgia" w:hAnsi="Arial" w:cs="Arial"/>
        </w:rPr>
        <w:t xml:space="preserve">. (Accessed: 12 October 2021). </w:t>
      </w:r>
    </w:p>
    <w:p w14:paraId="57C7F0EF" w14:textId="77777777" w:rsidR="00BD2B61" w:rsidRPr="006A5915" w:rsidRDefault="00BD2B61" w:rsidP="006A5915">
      <w:pPr>
        <w:spacing w:line="360" w:lineRule="auto"/>
        <w:rPr>
          <w:rFonts w:ascii="Arial" w:eastAsia="Open Sans" w:hAnsi="Arial" w:cs="Arial"/>
        </w:rPr>
      </w:pPr>
      <w:proofErr w:type="spellStart"/>
      <w:r w:rsidRPr="006A5915">
        <w:rPr>
          <w:rFonts w:ascii="Arial" w:eastAsia="Open Sans" w:hAnsi="Arial" w:cs="Arial"/>
        </w:rPr>
        <w:t>Eggan</w:t>
      </w:r>
      <w:proofErr w:type="spellEnd"/>
      <w:r w:rsidRPr="006A5915">
        <w:rPr>
          <w:rFonts w:ascii="Arial" w:eastAsia="Open Sans" w:hAnsi="Arial" w:cs="Arial"/>
        </w:rPr>
        <w:t xml:space="preserve">, P. &amp; Kauchak, D. (2004) </w:t>
      </w:r>
      <w:r w:rsidRPr="006A5915">
        <w:rPr>
          <w:rFonts w:ascii="Arial" w:eastAsia="Open Sans" w:hAnsi="Arial" w:cs="Arial"/>
          <w:i/>
          <w:iCs/>
        </w:rPr>
        <w:t xml:space="preserve">Educational Psychology: Windows on Classrooms. </w:t>
      </w:r>
      <w:r w:rsidRPr="006A5915">
        <w:rPr>
          <w:rFonts w:ascii="Arial" w:eastAsia="Open Sans" w:hAnsi="Arial" w:cs="Arial"/>
        </w:rPr>
        <w:t xml:space="preserve">London: Pearson. </w:t>
      </w:r>
    </w:p>
    <w:p w14:paraId="2C72F33E"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Eleby, C. (2009) </w:t>
      </w:r>
      <w:r w:rsidRPr="006A5915">
        <w:rPr>
          <w:rFonts w:ascii="Arial" w:eastAsia="Calibri" w:hAnsi="Arial" w:cs="Arial"/>
          <w:i/>
          <w:iCs/>
        </w:rPr>
        <w:t xml:space="preserve">The Impact of a Student’s Lack of Social Skills on their Academic Skills in High School. </w:t>
      </w:r>
      <w:r w:rsidRPr="006A5915">
        <w:rPr>
          <w:rFonts w:ascii="Arial" w:eastAsia="Calibri" w:hAnsi="Arial" w:cs="Arial"/>
        </w:rPr>
        <w:t xml:space="preserve">M.Ed. University of Missouri-Columbia. </w:t>
      </w:r>
    </w:p>
    <w:p w14:paraId="50EA5303"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Engler, K. (2007) </w:t>
      </w:r>
      <w:r w:rsidRPr="006A5915">
        <w:rPr>
          <w:rFonts w:ascii="Arial" w:eastAsia="Calibri" w:hAnsi="Arial" w:cs="Arial"/>
          <w:i/>
          <w:iCs/>
        </w:rPr>
        <w:t>A look at how the ecological systems theory may be inadequate</w:t>
      </w:r>
      <w:r w:rsidRPr="006A5915">
        <w:rPr>
          <w:rFonts w:ascii="Arial" w:eastAsia="Calibri" w:hAnsi="Arial" w:cs="Arial"/>
        </w:rPr>
        <w:t xml:space="preserve">. A Capstone project, </w:t>
      </w:r>
      <w:r w:rsidRPr="006A5915">
        <w:rPr>
          <w:rFonts w:ascii="Arial" w:hAnsi="Arial" w:cs="Arial"/>
        </w:rPr>
        <w:br/>
      </w:r>
      <w:r w:rsidRPr="006A5915">
        <w:rPr>
          <w:rFonts w:ascii="Arial" w:eastAsia="Calibri" w:hAnsi="Arial" w:cs="Arial"/>
        </w:rPr>
        <w:t>Winona State University</w:t>
      </w:r>
    </w:p>
    <w:p w14:paraId="487F6A7D" w14:textId="77777777" w:rsidR="00BD2B61" w:rsidRPr="006A5915" w:rsidRDefault="00BD2B61" w:rsidP="006A5915">
      <w:pPr>
        <w:spacing w:line="360" w:lineRule="auto"/>
        <w:rPr>
          <w:rFonts w:ascii="Arial" w:eastAsia="Calibri" w:hAnsi="Arial" w:cs="Arial"/>
        </w:rPr>
      </w:pPr>
      <w:proofErr w:type="spellStart"/>
      <w:r w:rsidRPr="006A5915">
        <w:rPr>
          <w:rFonts w:ascii="Arial" w:eastAsia="Calibri" w:hAnsi="Arial" w:cs="Arial"/>
        </w:rPr>
        <w:t>Engzell</w:t>
      </w:r>
      <w:proofErr w:type="spellEnd"/>
      <w:r w:rsidRPr="006A5915">
        <w:rPr>
          <w:rFonts w:ascii="Arial" w:eastAsia="Calibri" w:hAnsi="Arial" w:cs="Arial"/>
        </w:rPr>
        <w:t xml:space="preserve">, P., Frey, A. &amp; </w:t>
      </w:r>
      <w:proofErr w:type="spellStart"/>
      <w:r w:rsidRPr="006A5915">
        <w:rPr>
          <w:rFonts w:ascii="Arial" w:eastAsia="Calibri" w:hAnsi="Arial" w:cs="Arial"/>
        </w:rPr>
        <w:t>Verhagen</w:t>
      </w:r>
      <w:proofErr w:type="spellEnd"/>
      <w:r w:rsidRPr="006A5915">
        <w:rPr>
          <w:rFonts w:ascii="Arial" w:eastAsia="Calibri" w:hAnsi="Arial" w:cs="Arial"/>
        </w:rPr>
        <w:t xml:space="preserve">, M. (2021) ‘Learning loss due to school closures during the COVID-19 pandemic’, </w:t>
      </w:r>
      <w:r w:rsidRPr="006A5915">
        <w:rPr>
          <w:rFonts w:ascii="Arial" w:eastAsia="Calibri" w:hAnsi="Arial" w:cs="Arial"/>
          <w:i/>
          <w:iCs/>
        </w:rPr>
        <w:t xml:space="preserve">PNAS. </w:t>
      </w:r>
      <w:r w:rsidRPr="006A5915">
        <w:rPr>
          <w:rFonts w:ascii="Arial" w:eastAsia="Calibri" w:hAnsi="Arial" w:cs="Arial"/>
        </w:rPr>
        <w:t xml:space="preserve">118(17), pp. 1-7. Available at: </w:t>
      </w:r>
      <w:hyperlink r:id="rId19">
        <w:r w:rsidRPr="006A5915">
          <w:rPr>
            <w:rStyle w:val="Hyperlink"/>
            <w:rFonts w:ascii="Arial" w:eastAsia="Calibri" w:hAnsi="Arial" w:cs="Arial"/>
            <w:color w:val="auto"/>
            <w:u w:val="none"/>
          </w:rPr>
          <w:t>https://www.pnas.org/content/pnas/118/17/e2022376118.full.pdf</w:t>
        </w:r>
      </w:hyperlink>
      <w:r w:rsidRPr="006A5915">
        <w:rPr>
          <w:rFonts w:ascii="Arial" w:eastAsia="Calibri" w:hAnsi="Arial" w:cs="Arial"/>
        </w:rPr>
        <w:t xml:space="preserve"> (Accessed: 12 October 2021). </w:t>
      </w:r>
    </w:p>
    <w:p w14:paraId="5B25136D"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Estyn (2014) </w:t>
      </w:r>
      <w:r w:rsidRPr="006A5915">
        <w:rPr>
          <w:rFonts w:ascii="Arial" w:eastAsia="Calibri" w:hAnsi="Arial" w:cs="Arial"/>
          <w:i/>
          <w:iCs/>
        </w:rPr>
        <w:t xml:space="preserve">A report on </w:t>
      </w:r>
      <w:r w:rsidRPr="006A5915">
        <w:rPr>
          <w:rFonts w:ascii="Arial" w:eastAsia="Calibri" w:hAnsi="Arial" w:cs="Arial"/>
          <w:i/>
          <w:iCs/>
          <w:highlight w:val="black"/>
        </w:rPr>
        <w:t>Gorseinon Primary School</w:t>
      </w:r>
      <w:r w:rsidRPr="006A5915">
        <w:rPr>
          <w:rFonts w:ascii="Arial" w:eastAsia="Calibri" w:hAnsi="Arial" w:cs="Arial"/>
          <w:i/>
          <w:iCs/>
        </w:rPr>
        <w:t xml:space="preserve">. </w:t>
      </w:r>
      <w:r w:rsidRPr="006A5915">
        <w:rPr>
          <w:rFonts w:ascii="Arial" w:eastAsia="Calibri" w:hAnsi="Arial" w:cs="Arial"/>
        </w:rPr>
        <w:t xml:space="preserve">Available at: </w:t>
      </w:r>
      <w:hyperlink r:id="rId20" w:history="1">
        <w:r w:rsidRPr="006A5915">
          <w:rPr>
            <w:rStyle w:val="Hyperlink"/>
            <w:rFonts w:ascii="Arial" w:eastAsia="Calibri" w:hAnsi="Arial" w:cs="Arial"/>
            <w:color w:val="auto"/>
            <w:u w:val="none"/>
          </w:rPr>
          <w:t>https://www.estyn.gov.wales/system/files/2020-08/Inspection%2520report%</w:t>
        </w:r>
        <w:r w:rsidRPr="006A5915">
          <w:rPr>
            <w:rStyle w:val="Hyperlink"/>
            <w:rFonts w:ascii="Arial" w:eastAsia="Calibri" w:hAnsi="Arial" w:cs="Arial"/>
            <w:color w:val="auto"/>
            <w:highlight w:val="black"/>
            <w:u w:val="none"/>
          </w:rPr>
          <w:t>2520Gorseinon%2520Primary%2520School</w:t>
        </w:r>
        <w:r w:rsidRPr="006A5915">
          <w:rPr>
            <w:rStyle w:val="Hyperlink"/>
            <w:rFonts w:ascii="Arial" w:eastAsia="Calibri" w:hAnsi="Arial" w:cs="Arial"/>
            <w:color w:val="auto"/>
            <w:u w:val="none"/>
          </w:rPr>
          <w:t>%25202014%2520%2528English%2520only%2529_0.pdf.pdf.pdf.pdf.pdf.pdf.pdf.pdf.pdf.pdf.pdf.pdf.pdf.pdf.pdf.pdf.pdf.pdf.pdf.pdf</w:t>
        </w:r>
      </w:hyperlink>
    </w:p>
    <w:p w14:paraId="38672A85"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lastRenderedPageBreak/>
        <w:t xml:space="preserve">Fennis, B. &amp; </w:t>
      </w:r>
      <w:proofErr w:type="spellStart"/>
      <w:r w:rsidRPr="006A5915">
        <w:rPr>
          <w:rFonts w:ascii="Arial" w:eastAsia="Calibri" w:hAnsi="Arial" w:cs="Arial"/>
        </w:rPr>
        <w:t>Wiebenga</w:t>
      </w:r>
      <w:proofErr w:type="spellEnd"/>
      <w:r w:rsidRPr="006A5915">
        <w:rPr>
          <w:rFonts w:ascii="Arial" w:eastAsia="Calibri" w:hAnsi="Arial" w:cs="Arial"/>
        </w:rPr>
        <w:t xml:space="preserve">, J. (2015) ‘Disordered environments prompt mere goal pursuit’, </w:t>
      </w:r>
      <w:r w:rsidRPr="006A5915">
        <w:rPr>
          <w:rFonts w:ascii="Arial" w:eastAsia="Calibri" w:hAnsi="Arial" w:cs="Arial"/>
          <w:i/>
          <w:iCs/>
        </w:rPr>
        <w:t>J. Environ. Psychol.</w:t>
      </w:r>
      <w:r w:rsidRPr="006A5915">
        <w:rPr>
          <w:rFonts w:ascii="Arial" w:eastAsia="Calibri" w:hAnsi="Arial" w:cs="Arial"/>
        </w:rPr>
        <w:t xml:space="preserve"> 43(9), pp. 226–237. </w:t>
      </w:r>
      <w:proofErr w:type="spellStart"/>
      <w:r w:rsidRPr="006A5915">
        <w:rPr>
          <w:rFonts w:ascii="Arial" w:eastAsia="Calibri" w:hAnsi="Arial" w:cs="Arial"/>
        </w:rPr>
        <w:t>doi</w:t>
      </w:r>
      <w:proofErr w:type="spellEnd"/>
      <w:r w:rsidRPr="006A5915">
        <w:rPr>
          <w:rFonts w:ascii="Arial" w:eastAsia="Calibri" w:hAnsi="Arial" w:cs="Arial"/>
        </w:rPr>
        <w:t xml:space="preserve">: 10.1016/j.jenvp.2015.07.005. (Accessed: 12 October 2021). </w:t>
      </w:r>
    </w:p>
    <w:p w14:paraId="68D6F5B3" w14:textId="77777777" w:rsidR="00BD2B61" w:rsidRPr="006A5915" w:rsidRDefault="00BD2B61" w:rsidP="006A5915">
      <w:pPr>
        <w:spacing w:line="360" w:lineRule="auto"/>
        <w:rPr>
          <w:rFonts w:ascii="Arial" w:eastAsia="Calibri" w:hAnsi="Arial" w:cs="Arial"/>
        </w:rPr>
      </w:pPr>
      <w:proofErr w:type="spellStart"/>
      <w:r w:rsidRPr="006A5915">
        <w:rPr>
          <w:rFonts w:ascii="Arial" w:eastAsia="Calibri" w:hAnsi="Arial" w:cs="Arial"/>
        </w:rPr>
        <w:t>Fergert</w:t>
      </w:r>
      <w:proofErr w:type="spellEnd"/>
      <w:r w:rsidRPr="006A5915">
        <w:rPr>
          <w:rFonts w:ascii="Arial" w:eastAsia="Calibri" w:hAnsi="Arial" w:cs="Arial"/>
        </w:rPr>
        <w:t xml:space="preserve">, J. et al. (2020) ‘Challenges and burden of the Coronavirus 2019 (COVID-19) pandemic for child and adolescent mental health: a narrative review to highlight clinical and research needs in the acute phase and the long return to normality’, </w:t>
      </w:r>
      <w:r w:rsidRPr="006A5915">
        <w:rPr>
          <w:rFonts w:ascii="Arial" w:eastAsia="Calibri" w:hAnsi="Arial" w:cs="Arial"/>
          <w:i/>
          <w:iCs/>
        </w:rPr>
        <w:t xml:space="preserve">Child </w:t>
      </w:r>
      <w:proofErr w:type="spellStart"/>
      <w:r w:rsidRPr="006A5915">
        <w:rPr>
          <w:rFonts w:ascii="Arial" w:eastAsia="Calibri" w:hAnsi="Arial" w:cs="Arial"/>
          <w:i/>
          <w:iCs/>
        </w:rPr>
        <w:t>Adolesc</w:t>
      </w:r>
      <w:proofErr w:type="spellEnd"/>
      <w:r w:rsidRPr="006A5915">
        <w:rPr>
          <w:rFonts w:ascii="Arial" w:eastAsia="Calibri" w:hAnsi="Arial" w:cs="Arial"/>
          <w:i/>
          <w:iCs/>
        </w:rPr>
        <w:t xml:space="preserve"> Psychiatry </w:t>
      </w:r>
      <w:proofErr w:type="spellStart"/>
      <w:r w:rsidRPr="006A5915">
        <w:rPr>
          <w:rFonts w:ascii="Arial" w:eastAsia="Calibri" w:hAnsi="Arial" w:cs="Arial"/>
          <w:i/>
          <w:iCs/>
        </w:rPr>
        <w:t>Ment</w:t>
      </w:r>
      <w:proofErr w:type="spellEnd"/>
      <w:r w:rsidRPr="006A5915">
        <w:rPr>
          <w:rFonts w:ascii="Arial" w:eastAsia="Calibri" w:hAnsi="Arial" w:cs="Arial"/>
          <w:i/>
          <w:iCs/>
        </w:rPr>
        <w:t xml:space="preserve"> Health. </w:t>
      </w:r>
      <w:r w:rsidRPr="006A5915">
        <w:rPr>
          <w:rFonts w:ascii="Arial" w:eastAsia="Calibri" w:hAnsi="Arial" w:cs="Arial"/>
        </w:rPr>
        <w:t xml:space="preserve">14(20), pp. 1-11. Available at: </w:t>
      </w:r>
      <w:hyperlink r:id="rId21" w:history="1">
        <w:r w:rsidRPr="006A5915">
          <w:rPr>
            <w:rStyle w:val="Hyperlink"/>
            <w:rFonts w:ascii="Arial" w:eastAsia="Calibri" w:hAnsi="Arial" w:cs="Arial"/>
            <w:color w:val="auto"/>
            <w:u w:val="none"/>
          </w:rPr>
          <w:t>https://www.ncbi.nlm.nih.gov/pmc/articles/PMC7216870/pdf/13034_2020_Article_329.pdf</w:t>
        </w:r>
      </w:hyperlink>
      <w:r w:rsidRPr="006A5915">
        <w:rPr>
          <w:rFonts w:ascii="Arial" w:eastAsia="Calibri" w:hAnsi="Arial" w:cs="Arial"/>
        </w:rPr>
        <w:t xml:space="preserve">. (Accessed: 12 October 2021). </w:t>
      </w:r>
    </w:p>
    <w:p w14:paraId="199CB583" w14:textId="77777777" w:rsidR="00BD2B61" w:rsidRPr="006A5915" w:rsidRDefault="00BD2B61" w:rsidP="006A5915">
      <w:pPr>
        <w:spacing w:line="360" w:lineRule="auto"/>
        <w:rPr>
          <w:rFonts w:ascii="Arial" w:eastAsia="Georgia" w:hAnsi="Arial" w:cs="Arial"/>
        </w:rPr>
      </w:pPr>
      <w:r w:rsidRPr="006A5915">
        <w:rPr>
          <w:rFonts w:ascii="Arial" w:eastAsia="Georgia" w:hAnsi="Arial" w:cs="Arial"/>
        </w:rPr>
        <w:t xml:space="preserve">Finlay, L. (2008) </w:t>
      </w:r>
      <w:r w:rsidRPr="006A5915">
        <w:rPr>
          <w:rFonts w:ascii="Arial" w:eastAsia="Georgia" w:hAnsi="Arial" w:cs="Arial"/>
          <w:i/>
          <w:iCs/>
        </w:rPr>
        <w:t xml:space="preserve">Reflecting on Reflective Practice. </w:t>
      </w:r>
      <w:r w:rsidRPr="006A5915">
        <w:rPr>
          <w:rFonts w:ascii="Arial" w:eastAsia="Georgia" w:hAnsi="Arial" w:cs="Arial"/>
        </w:rPr>
        <w:t xml:space="preserve">Available at: </w:t>
      </w:r>
      <w:hyperlink r:id="rId22">
        <w:r w:rsidRPr="006A5915">
          <w:rPr>
            <w:rStyle w:val="Hyperlink"/>
            <w:rFonts w:ascii="Arial" w:eastAsia="Georgia" w:hAnsi="Arial" w:cs="Arial"/>
            <w:color w:val="auto"/>
            <w:u w:val="none"/>
          </w:rPr>
          <w:t>https://ncsce.net/wp-content/uploads/2016/10/Finlay-2008-Reflecting-on-reflective-practice-PBPL-paper-52.pdf</w:t>
        </w:r>
      </w:hyperlink>
      <w:r w:rsidRPr="006A5915">
        <w:rPr>
          <w:rFonts w:ascii="Arial" w:eastAsia="Georgia" w:hAnsi="Arial" w:cs="Arial"/>
        </w:rPr>
        <w:t xml:space="preserve">. (Accessed: 4 October 2021). </w:t>
      </w:r>
    </w:p>
    <w:p w14:paraId="2BEC2221"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Fisher, R. (2005) </w:t>
      </w:r>
      <w:r w:rsidRPr="006A5915">
        <w:rPr>
          <w:rFonts w:ascii="Arial" w:eastAsia="Calibri" w:hAnsi="Arial" w:cs="Arial"/>
          <w:i/>
          <w:iCs/>
        </w:rPr>
        <w:t xml:space="preserve">Teaching children to learn. </w:t>
      </w:r>
      <w:r w:rsidRPr="006A5915">
        <w:rPr>
          <w:rFonts w:ascii="Arial" w:eastAsia="Calibri" w:hAnsi="Arial" w:cs="Arial"/>
        </w:rPr>
        <w:t>2</w:t>
      </w:r>
      <w:r w:rsidRPr="006A5915">
        <w:rPr>
          <w:rFonts w:ascii="Arial" w:eastAsia="Calibri" w:hAnsi="Arial" w:cs="Arial"/>
          <w:vertAlign w:val="superscript"/>
        </w:rPr>
        <w:t>nd</w:t>
      </w:r>
      <w:r w:rsidRPr="006A5915">
        <w:rPr>
          <w:rFonts w:ascii="Arial" w:eastAsia="Calibri" w:hAnsi="Arial" w:cs="Arial"/>
        </w:rPr>
        <w:t xml:space="preserve"> </w:t>
      </w:r>
      <w:proofErr w:type="spellStart"/>
      <w:r w:rsidRPr="006A5915">
        <w:rPr>
          <w:rFonts w:ascii="Arial" w:eastAsia="Calibri" w:hAnsi="Arial" w:cs="Arial"/>
        </w:rPr>
        <w:t>edn</w:t>
      </w:r>
      <w:proofErr w:type="spellEnd"/>
      <w:r w:rsidRPr="006A5915">
        <w:rPr>
          <w:rFonts w:ascii="Arial" w:eastAsia="Calibri" w:hAnsi="Arial" w:cs="Arial"/>
        </w:rPr>
        <w:t>. Cheltenham: Nelson Thornes.</w:t>
      </w:r>
    </w:p>
    <w:p w14:paraId="1CE62707" w14:textId="77777777" w:rsidR="00BD2B61" w:rsidRPr="006A5915" w:rsidRDefault="00BD2B61" w:rsidP="006A5915">
      <w:pPr>
        <w:spacing w:line="360" w:lineRule="auto"/>
        <w:rPr>
          <w:rFonts w:ascii="Arial" w:eastAsia="Georgia" w:hAnsi="Arial" w:cs="Arial"/>
        </w:rPr>
      </w:pPr>
      <w:r w:rsidRPr="006A5915">
        <w:rPr>
          <w:rFonts w:ascii="Arial" w:eastAsia="Georgia" w:hAnsi="Arial" w:cs="Arial"/>
        </w:rPr>
        <w:t xml:space="preserve">Freitas, F. &amp; Leonard, L. (2011) ‘Maslow’s hierarchy of needs and student academic success’, </w:t>
      </w:r>
      <w:r w:rsidRPr="006A5915">
        <w:rPr>
          <w:rFonts w:ascii="Arial" w:eastAsia="Georgia" w:hAnsi="Arial" w:cs="Arial"/>
          <w:i/>
          <w:iCs/>
        </w:rPr>
        <w:t xml:space="preserve">Teaching and Learning in Nursing. </w:t>
      </w:r>
      <w:r w:rsidRPr="006A5915">
        <w:rPr>
          <w:rFonts w:ascii="Arial" w:eastAsia="Georgia" w:hAnsi="Arial" w:cs="Arial"/>
        </w:rPr>
        <w:t xml:space="preserve">6(1), pp. 9-13. Available at: </w:t>
      </w:r>
      <w:hyperlink r:id="rId23">
        <w:r w:rsidRPr="006A5915">
          <w:rPr>
            <w:rStyle w:val="Hyperlink"/>
            <w:rFonts w:ascii="Arial" w:eastAsia="Georgia" w:hAnsi="Arial" w:cs="Arial"/>
            <w:color w:val="auto"/>
            <w:u w:val="none"/>
          </w:rPr>
          <w:t>https://www.sciencedirect.com/science/article/pii/S1557308710000491</w:t>
        </w:r>
      </w:hyperlink>
      <w:r w:rsidRPr="006A5915">
        <w:rPr>
          <w:rFonts w:ascii="Arial" w:eastAsia="Georgia" w:hAnsi="Arial" w:cs="Arial"/>
        </w:rPr>
        <w:t xml:space="preserve">. (Accessed: 12 October 2021). </w:t>
      </w:r>
    </w:p>
    <w:p w14:paraId="4474059E"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Gov.uk (2021) </w:t>
      </w:r>
      <w:r w:rsidRPr="006A5915">
        <w:rPr>
          <w:rFonts w:ascii="Arial" w:eastAsia="Calibri" w:hAnsi="Arial" w:cs="Arial"/>
          <w:i/>
          <w:iCs/>
        </w:rPr>
        <w:t xml:space="preserve">Research and analysis: Learning during the pandemic: review of research from England. </w:t>
      </w:r>
      <w:r w:rsidRPr="006A5915">
        <w:rPr>
          <w:rFonts w:ascii="Arial" w:eastAsia="Calibri" w:hAnsi="Arial" w:cs="Arial"/>
        </w:rPr>
        <w:t xml:space="preserve">Available at: </w:t>
      </w:r>
      <w:hyperlink r:id="rId24">
        <w:r w:rsidRPr="006A5915">
          <w:rPr>
            <w:rStyle w:val="Hyperlink"/>
            <w:rFonts w:ascii="Arial" w:eastAsia="Calibri" w:hAnsi="Arial" w:cs="Arial"/>
            <w:color w:val="auto"/>
            <w:u w:val="none"/>
          </w:rPr>
          <w:t>https://www.gov.uk/government/publications/learning-during-the-pandemic/learning-during-the-pandemic-review-of-research-from-england</w:t>
        </w:r>
      </w:hyperlink>
      <w:r w:rsidRPr="006A5915">
        <w:rPr>
          <w:rFonts w:ascii="Arial" w:eastAsia="Calibri" w:hAnsi="Arial" w:cs="Arial"/>
        </w:rPr>
        <w:t>. (Accessed: 12 October 2021)</w:t>
      </w:r>
    </w:p>
    <w:p w14:paraId="32086294"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Green, J., McLaughlin, K. &amp; </w:t>
      </w:r>
      <w:proofErr w:type="spellStart"/>
      <w:r w:rsidRPr="006A5915">
        <w:rPr>
          <w:rFonts w:ascii="Arial" w:eastAsia="Calibri" w:hAnsi="Arial" w:cs="Arial"/>
        </w:rPr>
        <w:t>Alegría</w:t>
      </w:r>
      <w:proofErr w:type="spellEnd"/>
      <w:r w:rsidRPr="006A5915">
        <w:rPr>
          <w:rFonts w:ascii="Arial" w:eastAsia="Calibri" w:hAnsi="Arial" w:cs="Arial"/>
        </w:rPr>
        <w:t xml:space="preserve">, M. (2013) ‘School mental health resources and adolescent mental health service use’, </w:t>
      </w:r>
      <w:r w:rsidRPr="006A5915">
        <w:rPr>
          <w:rFonts w:ascii="Arial" w:eastAsia="Calibri" w:hAnsi="Arial" w:cs="Arial"/>
          <w:i/>
          <w:iCs/>
        </w:rPr>
        <w:t xml:space="preserve">J Am </w:t>
      </w:r>
      <w:proofErr w:type="spellStart"/>
      <w:r w:rsidRPr="006A5915">
        <w:rPr>
          <w:rFonts w:ascii="Arial" w:eastAsia="Calibri" w:hAnsi="Arial" w:cs="Arial"/>
          <w:i/>
          <w:iCs/>
        </w:rPr>
        <w:t>Acad</w:t>
      </w:r>
      <w:proofErr w:type="spellEnd"/>
      <w:r w:rsidRPr="006A5915">
        <w:rPr>
          <w:rFonts w:ascii="Arial" w:eastAsia="Calibri" w:hAnsi="Arial" w:cs="Arial"/>
          <w:i/>
          <w:iCs/>
        </w:rPr>
        <w:t xml:space="preserve"> Child Psychiatry.</w:t>
      </w:r>
      <w:r w:rsidRPr="006A5915">
        <w:rPr>
          <w:rFonts w:ascii="Arial" w:eastAsia="Calibri" w:hAnsi="Arial" w:cs="Arial"/>
        </w:rPr>
        <w:t xml:space="preserve"> 52(2), pp. 501–510. Available at: </w:t>
      </w:r>
      <w:hyperlink r:id="rId25">
        <w:r w:rsidRPr="006A5915">
          <w:rPr>
            <w:rStyle w:val="Hyperlink"/>
            <w:rFonts w:ascii="Arial" w:eastAsia="Calibri" w:hAnsi="Arial" w:cs="Arial"/>
            <w:color w:val="auto"/>
            <w:u w:val="none"/>
          </w:rPr>
          <w:t>https://pubmed.ncbi.nlm.nih.gov/23622851/</w:t>
        </w:r>
      </w:hyperlink>
      <w:r w:rsidRPr="006A5915">
        <w:rPr>
          <w:rFonts w:ascii="Arial" w:eastAsia="Calibri" w:hAnsi="Arial" w:cs="Arial"/>
        </w:rPr>
        <w:t xml:space="preserve">. (Accessed: 12 October 2021). </w:t>
      </w:r>
    </w:p>
    <w:p w14:paraId="06BA9BFD" w14:textId="77777777" w:rsidR="00BD2B61" w:rsidRPr="006A5915" w:rsidRDefault="00BD2B61" w:rsidP="006A5915">
      <w:pPr>
        <w:spacing w:line="360" w:lineRule="auto"/>
        <w:rPr>
          <w:rFonts w:ascii="Arial" w:eastAsia="Open Sans" w:hAnsi="Arial" w:cs="Arial"/>
        </w:rPr>
      </w:pPr>
      <w:r w:rsidRPr="006A5915">
        <w:rPr>
          <w:rFonts w:ascii="Arial" w:eastAsia="Open Sans" w:hAnsi="Arial" w:cs="Arial"/>
        </w:rPr>
        <w:t xml:space="preserve">Grimmer, T. (2017) </w:t>
      </w:r>
      <w:r w:rsidRPr="006A5915">
        <w:rPr>
          <w:rFonts w:ascii="Arial" w:eastAsia="Open Sans" w:hAnsi="Arial" w:cs="Arial"/>
          <w:i/>
          <w:iCs/>
        </w:rPr>
        <w:t>Observing and developing schematic behaviour in young children a professional’s guide for supporting children’s learning, play and development</w:t>
      </w:r>
      <w:r w:rsidRPr="006A5915">
        <w:rPr>
          <w:rFonts w:ascii="Arial" w:eastAsia="Open Sans" w:hAnsi="Arial" w:cs="Arial"/>
        </w:rPr>
        <w:t>. London: Jessica Kingsley Publishers.</w:t>
      </w:r>
    </w:p>
    <w:p w14:paraId="3FFEF2AE" w14:textId="77777777" w:rsidR="00BD2B61" w:rsidRPr="006A5915" w:rsidRDefault="00BD2B61" w:rsidP="006A5915">
      <w:pPr>
        <w:spacing w:line="360" w:lineRule="auto"/>
        <w:rPr>
          <w:rFonts w:ascii="Arial" w:eastAsia="Open Sans" w:hAnsi="Arial" w:cs="Arial"/>
        </w:rPr>
      </w:pPr>
      <w:r w:rsidRPr="006A5915">
        <w:rPr>
          <w:rFonts w:ascii="Arial" w:eastAsia="Open Sans" w:hAnsi="Arial" w:cs="Arial"/>
        </w:rPr>
        <w:t xml:space="preserve">Hargreaves, J. &amp; Page, L. (2013) </w:t>
      </w:r>
      <w:r w:rsidRPr="006A5915">
        <w:rPr>
          <w:rFonts w:ascii="Arial" w:eastAsia="Open Sans" w:hAnsi="Arial" w:cs="Arial"/>
          <w:i/>
          <w:iCs/>
        </w:rPr>
        <w:t xml:space="preserve">Reflective Practice. </w:t>
      </w:r>
      <w:r w:rsidRPr="006A5915">
        <w:rPr>
          <w:rFonts w:ascii="Arial" w:eastAsia="Open Sans" w:hAnsi="Arial" w:cs="Arial"/>
        </w:rPr>
        <w:t xml:space="preserve">Cambridge: Polity Press. </w:t>
      </w:r>
    </w:p>
    <w:p w14:paraId="32B0D8C6" w14:textId="77777777" w:rsidR="00BD2B61" w:rsidRPr="006A5915" w:rsidRDefault="00BD2B61" w:rsidP="006A5915">
      <w:pPr>
        <w:spacing w:line="360" w:lineRule="auto"/>
        <w:rPr>
          <w:rFonts w:ascii="Arial" w:eastAsia="Georgia" w:hAnsi="Arial" w:cs="Arial"/>
        </w:rPr>
      </w:pPr>
      <w:r w:rsidRPr="006A5915">
        <w:rPr>
          <w:rFonts w:ascii="Arial" w:eastAsia="Georgia" w:hAnsi="Arial" w:cs="Arial"/>
        </w:rPr>
        <w:t>Hoque, R. (2013) ‘Effect of reinforcement on teaching–learning process’. I</w:t>
      </w:r>
      <w:r w:rsidRPr="006A5915">
        <w:rPr>
          <w:rFonts w:ascii="Arial" w:eastAsia="Georgia" w:hAnsi="Arial" w:cs="Arial"/>
          <w:i/>
          <w:iCs/>
        </w:rPr>
        <w:t xml:space="preserve">OSR Journal </w:t>
      </w:r>
      <w:r w:rsidRPr="006A5915">
        <w:rPr>
          <w:rFonts w:ascii="Arial" w:hAnsi="Arial" w:cs="Arial"/>
        </w:rPr>
        <w:br/>
      </w:r>
      <w:r w:rsidRPr="006A5915">
        <w:rPr>
          <w:rFonts w:ascii="Arial" w:eastAsia="Georgia" w:hAnsi="Arial" w:cs="Arial"/>
          <w:i/>
          <w:iCs/>
        </w:rPr>
        <w:t xml:space="preserve">Of Humanities </w:t>
      </w:r>
      <w:proofErr w:type="gramStart"/>
      <w:r w:rsidRPr="006A5915">
        <w:rPr>
          <w:rFonts w:ascii="Arial" w:eastAsia="Georgia" w:hAnsi="Arial" w:cs="Arial"/>
          <w:i/>
          <w:iCs/>
        </w:rPr>
        <w:t>And</w:t>
      </w:r>
      <w:proofErr w:type="gramEnd"/>
      <w:r w:rsidRPr="006A5915">
        <w:rPr>
          <w:rFonts w:ascii="Arial" w:eastAsia="Georgia" w:hAnsi="Arial" w:cs="Arial"/>
          <w:i/>
          <w:iCs/>
        </w:rPr>
        <w:t xml:space="preserve"> Social Science. </w:t>
      </w:r>
      <w:r w:rsidRPr="006A5915">
        <w:rPr>
          <w:rFonts w:ascii="Arial" w:eastAsia="Georgia" w:hAnsi="Arial" w:cs="Arial"/>
        </w:rPr>
        <w:t xml:space="preserve">7(1), pp. 13-16. </w:t>
      </w:r>
      <w:hyperlink r:id="rId26">
        <w:r w:rsidRPr="006A5915">
          <w:rPr>
            <w:rStyle w:val="Hyperlink"/>
            <w:rFonts w:ascii="Arial" w:eastAsia="Georgia" w:hAnsi="Arial" w:cs="Arial"/>
            <w:color w:val="auto"/>
            <w:u w:val="none"/>
          </w:rPr>
          <w:t>https://doi.org/10.9790/0837-0711316</w:t>
        </w:r>
      </w:hyperlink>
      <w:r w:rsidRPr="006A5915">
        <w:rPr>
          <w:rFonts w:ascii="Arial" w:eastAsia="Georgia" w:hAnsi="Arial" w:cs="Arial"/>
        </w:rPr>
        <w:t xml:space="preserve">. (Accessed: 12 October 2021). </w:t>
      </w:r>
    </w:p>
    <w:p w14:paraId="4578FC6C"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lastRenderedPageBreak/>
        <w:t xml:space="preserve">Hoskins, K. &amp; Smedley, S. (2018) ‘Protecting and extending Froebelian principles in practice: Exploring the importance of learning through play’, </w:t>
      </w:r>
      <w:r w:rsidRPr="006A5915">
        <w:rPr>
          <w:rFonts w:ascii="Arial" w:eastAsia="Calibri" w:hAnsi="Arial" w:cs="Arial"/>
          <w:i/>
          <w:iCs/>
        </w:rPr>
        <w:t xml:space="preserve">Journal of </w:t>
      </w:r>
      <w:proofErr w:type="spellStart"/>
      <w:r w:rsidRPr="006A5915">
        <w:rPr>
          <w:rFonts w:ascii="Arial" w:eastAsia="Calibri" w:hAnsi="Arial" w:cs="Arial"/>
          <w:i/>
          <w:iCs/>
        </w:rPr>
        <w:t>Eary</w:t>
      </w:r>
      <w:proofErr w:type="spellEnd"/>
      <w:r w:rsidRPr="006A5915">
        <w:rPr>
          <w:rFonts w:ascii="Arial" w:eastAsia="Calibri" w:hAnsi="Arial" w:cs="Arial"/>
          <w:i/>
          <w:iCs/>
        </w:rPr>
        <w:t xml:space="preserve"> Childhood Research. </w:t>
      </w:r>
      <w:r w:rsidRPr="006A5915">
        <w:rPr>
          <w:rFonts w:ascii="Arial" w:eastAsia="Calibri" w:hAnsi="Arial" w:cs="Arial"/>
        </w:rPr>
        <w:t>17(2). Pp. 73-87. Available at:</w:t>
      </w:r>
      <w:r w:rsidRPr="006A5915">
        <w:rPr>
          <w:rFonts w:ascii="Arial" w:eastAsia="Calibri" w:hAnsi="Arial" w:cs="Arial"/>
          <w:i/>
          <w:iCs/>
        </w:rPr>
        <w:t xml:space="preserve"> </w:t>
      </w:r>
      <w:hyperlink r:id="rId27">
        <w:r w:rsidRPr="006A5915">
          <w:rPr>
            <w:rStyle w:val="Hyperlink"/>
            <w:rFonts w:ascii="Arial" w:eastAsia="Calibri" w:hAnsi="Arial" w:cs="Arial"/>
            <w:color w:val="auto"/>
            <w:u w:val="none"/>
          </w:rPr>
          <w:t>https://journals.sagepub.com/doi/full/10.1177/1476718X18809114</w:t>
        </w:r>
      </w:hyperlink>
      <w:r w:rsidRPr="006A5915">
        <w:rPr>
          <w:rFonts w:ascii="Arial" w:eastAsia="Calibri" w:hAnsi="Arial" w:cs="Arial"/>
        </w:rPr>
        <w:t xml:space="preserve">. (Accessed: 13 October 2021). </w:t>
      </w:r>
    </w:p>
    <w:p w14:paraId="4D788291" w14:textId="77777777" w:rsidR="00BD2B61" w:rsidRPr="006A5915" w:rsidRDefault="00BD2B61" w:rsidP="006A5915">
      <w:pPr>
        <w:spacing w:line="360" w:lineRule="auto"/>
        <w:rPr>
          <w:rFonts w:ascii="Arial" w:eastAsia="Arial" w:hAnsi="Arial" w:cs="Arial"/>
        </w:rPr>
      </w:pPr>
      <w:r w:rsidRPr="006A5915">
        <w:rPr>
          <w:rFonts w:ascii="Arial" w:eastAsia="Arial" w:hAnsi="Arial" w:cs="Arial"/>
        </w:rPr>
        <w:t xml:space="preserve">Howard, J. and McInnes, K. (2012) ‘The Impact of children’s perception of an activity as play rather than not play on emotional well-being’, </w:t>
      </w:r>
      <w:r w:rsidRPr="006A5915">
        <w:rPr>
          <w:rFonts w:ascii="Arial" w:eastAsia="Arial" w:hAnsi="Arial" w:cs="Arial"/>
          <w:i/>
          <w:iCs/>
        </w:rPr>
        <w:t xml:space="preserve">Child: care, </w:t>
      </w:r>
      <w:proofErr w:type="gramStart"/>
      <w:r w:rsidRPr="006A5915">
        <w:rPr>
          <w:rFonts w:ascii="Arial" w:eastAsia="Arial" w:hAnsi="Arial" w:cs="Arial"/>
          <w:i/>
          <w:iCs/>
        </w:rPr>
        <w:t>health</w:t>
      </w:r>
      <w:proofErr w:type="gramEnd"/>
      <w:r w:rsidRPr="006A5915">
        <w:rPr>
          <w:rFonts w:ascii="Arial" w:eastAsia="Arial" w:hAnsi="Arial" w:cs="Arial"/>
          <w:i/>
          <w:iCs/>
        </w:rPr>
        <w:t xml:space="preserve"> and development. </w:t>
      </w:r>
      <w:r w:rsidRPr="006A5915">
        <w:rPr>
          <w:rFonts w:ascii="Arial" w:eastAsia="Arial" w:hAnsi="Arial" w:cs="Arial"/>
        </w:rPr>
        <w:t xml:space="preserve">39(5) pp. 737-742. </w:t>
      </w:r>
      <w:hyperlink r:id="rId28">
        <w:r w:rsidRPr="006A5915">
          <w:rPr>
            <w:rStyle w:val="Hyperlink"/>
            <w:rFonts w:ascii="Arial" w:eastAsia="Arial" w:hAnsi="Arial" w:cs="Arial"/>
            <w:color w:val="auto"/>
            <w:u w:val="none"/>
          </w:rPr>
          <w:t>https://doi.org/10.1111/j.1365-2214.2012.01405.x</w:t>
        </w:r>
      </w:hyperlink>
      <w:r w:rsidRPr="006A5915">
        <w:rPr>
          <w:rFonts w:ascii="Arial" w:eastAsia="Arial" w:hAnsi="Arial" w:cs="Arial"/>
        </w:rPr>
        <w:t xml:space="preserve">. (Accessed: 12 October 2021). </w:t>
      </w:r>
    </w:p>
    <w:p w14:paraId="2335CB85" w14:textId="77777777" w:rsidR="00BD2B61" w:rsidRPr="006A5915" w:rsidRDefault="00BD2B61" w:rsidP="006A5915">
      <w:pPr>
        <w:spacing w:line="360" w:lineRule="auto"/>
        <w:rPr>
          <w:rFonts w:ascii="Arial" w:eastAsia="Georgia" w:hAnsi="Arial" w:cs="Arial"/>
        </w:rPr>
      </w:pPr>
      <w:proofErr w:type="spellStart"/>
      <w:r w:rsidRPr="006A5915">
        <w:rPr>
          <w:rFonts w:ascii="Arial" w:eastAsia="Georgia" w:hAnsi="Arial" w:cs="Arial"/>
        </w:rPr>
        <w:t>Hulac</w:t>
      </w:r>
      <w:proofErr w:type="spellEnd"/>
      <w:r w:rsidRPr="006A5915">
        <w:rPr>
          <w:rFonts w:ascii="Arial" w:eastAsia="Georgia" w:hAnsi="Arial" w:cs="Arial"/>
        </w:rPr>
        <w:t xml:space="preserve">, D. et al. (2016) ‘Using variable interval reinforcement schedules to support students in the classroom: An </w:t>
      </w:r>
      <w:r w:rsidRPr="006A5915">
        <w:rPr>
          <w:rFonts w:ascii="Arial" w:hAnsi="Arial" w:cs="Arial"/>
        </w:rPr>
        <w:br/>
      </w:r>
      <w:r w:rsidRPr="006A5915">
        <w:rPr>
          <w:rFonts w:ascii="Arial" w:eastAsia="Georgia" w:hAnsi="Arial" w:cs="Arial"/>
        </w:rPr>
        <w:t xml:space="preserve">introduction with illustrative examples’, </w:t>
      </w:r>
      <w:r w:rsidRPr="006A5915">
        <w:rPr>
          <w:rFonts w:ascii="Arial" w:eastAsia="Georgia" w:hAnsi="Arial" w:cs="Arial"/>
          <w:i/>
          <w:iCs/>
        </w:rPr>
        <w:t xml:space="preserve">Journal of Educational Research and Practice. </w:t>
      </w:r>
      <w:r w:rsidRPr="006A5915">
        <w:rPr>
          <w:rFonts w:ascii="Arial" w:eastAsia="Georgia" w:hAnsi="Arial" w:cs="Arial"/>
        </w:rPr>
        <w:t xml:space="preserve"> </w:t>
      </w:r>
      <w:r w:rsidRPr="006A5915">
        <w:rPr>
          <w:rFonts w:ascii="Arial" w:hAnsi="Arial" w:cs="Arial"/>
        </w:rPr>
        <w:br/>
      </w:r>
      <w:r w:rsidRPr="006A5915">
        <w:rPr>
          <w:rFonts w:ascii="Arial" w:eastAsia="Georgia" w:hAnsi="Arial" w:cs="Arial"/>
        </w:rPr>
        <w:t xml:space="preserve">6(1), pp. 90-96. </w:t>
      </w:r>
      <w:hyperlink r:id="rId29">
        <w:r w:rsidRPr="006A5915">
          <w:rPr>
            <w:rStyle w:val="Hyperlink"/>
            <w:rFonts w:ascii="Arial" w:eastAsia="Georgia" w:hAnsi="Arial" w:cs="Arial"/>
            <w:color w:val="auto"/>
            <w:u w:val="none"/>
          </w:rPr>
          <w:t>https://doi.org/10.5590/jerap.2016.06.1.06</w:t>
        </w:r>
      </w:hyperlink>
      <w:r w:rsidRPr="006A5915">
        <w:rPr>
          <w:rFonts w:ascii="Arial" w:eastAsia="Georgia" w:hAnsi="Arial" w:cs="Arial"/>
        </w:rPr>
        <w:t xml:space="preserve">. (Accessed: 12 October 2021). </w:t>
      </w:r>
    </w:p>
    <w:p w14:paraId="61CD74CC" w14:textId="77777777" w:rsidR="00BD2B61" w:rsidRPr="006A5915" w:rsidRDefault="00BD2B61" w:rsidP="006A5915">
      <w:pPr>
        <w:spacing w:line="360" w:lineRule="auto"/>
        <w:rPr>
          <w:rFonts w:ascii="Arial" w:eastAsia="Calibri" w:hAnsi="Arial" w:cs="Arial"/>
        </w:rPr>
      </w:pPr>
      <w:r w:rsidRPr="006A5915">
        <w:rPr>
          <w:rFonts w:ascii="Arial" w:hAnsi="Arial" w:cs="Arial"/>
        </w:rPr>
        <w:t xml:space="preserve">Institute for Social &amp; Economic Research (2021) </w:t>
      </w:r>
      <w:r w:rsidRPr="006A5915">
        <w:rPr>
          <w:rFonts w:ascii="Arial" w:hAnsi="Arial" w:cs="Arial"/>
          <w:i/>
          <w:iCs/>
        </w:rPr>
        <w:t xml:space="preserve">School Closures and children’s emotional and behavioural difficulties. </w:t>
      </w:r>
      <w:r w:rsidRPr="006A5915">
        <w:rPr>
          <w:rFonts w:ascii="Arial" w:hAnsi="Arial" w:cs="Arial"/>
        </w:rPr>
        <w:t xml:space="preserve">Available at: </w:t>
      </w:r>
      <w:hyperlink r:id="rId30" w:history="1">
        <w:r w:rsidRPr="006A5915">
          <w:rPr>
            <w:rStyle w:val="Hyperlink"/>
            <w:rFonts w:ascii="Arial" w:eastAsia="Calibri" w:hAnsi="Arial" w:cs="Arial"/>
            <w:color w:val="auto"/>
            <w:u w:val="none"/>
          </w:rPr>
          <w:t>https://www.iser.essex.ac.uk/files/projects/school-closures/SDQnote2021_final.pdf</w:t>
        </w:r>
      </w:hyperlink>
      <w:r w:rsidRPr="006A5915">
        <w:rPr>
          <w:rStyle w:val="Hyperlink"/>
          <w:rFonts w:ascii="Arial" w:eastAsia="Calibri" w:hAnsi="Arial" w:cs="Arial"/>
          <w:color w:val="auto"/>
          <w:u w:val="none"/>
        </w:rPr>
        <w:t xml:space="preserve">. (Accessed: 12 October 2021). </w:t>
      </w:r>
    </w:p>
    <w:p w14:paraId="22069AE4"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Joffe, V. &amp; Black, E. (2012) ‘Social, emotional, and </w:t>
      </w:r>
      <w:proofErr w:type="spellStart"/>
      <w:r w:rsidRPr="006A5915">
        <w:rPr>
          <w:rFonts w:ascii="Arial" w:eastAsia="Calibri" w:hAnsi="Arial" w:cs="Arial"/>
        </w:rPr>
        <w:t>behavioral</w:t>
      </w:r>
      <w:proofErr w:type="spellEnd"/>
      <w:r w:rsidRPr="006A5915">
        <w:rPr>
          <w:rFonts w:ascii="Arial" w:eastAsia="Calibri" w:hAnsi="Arial" w:cs="Arial"/>
        </w:rPr>
        <w:t xml:space="preserve"> functioning of secondary students with low academic and language performance: Perspectives from students, teachers, and parents’, </w:t>
      </w:r>
      <w:r w:rsidRPr="006A5915">
        <w:rPr>
          <w:rFonts w:ascii="Arial" w:eastAsia="Calibri" w:hAnsi="Arial" w:cs="Arial"/>
          <w:i/>
          <w:iCs/>
        </w:rPr>
        <w:t>Language, Speech, and Hearing Services in Schools.</w:t>
      </w:r>
      <w:r w:rsidRPr="006A5915">
        <w:rPr>
          <w:rFonts w:ascii="Arial" w:eastAsia="Calibri" w:hAnsi="Arial" w:cs="Arial"/>
        </w:rPr>
        <w:t xml:space="preserve"> 43(), pp. 461–473. Available at: </w:t>
      </w:r>
      <w:hyperlink r:id="rId31">
        <w:r w:rsidRPr="006A5915">
          <w:rPr>
            <w:rStyle w:val="Hyperlink"/>
            <w:rFonts w:ascii="Arial" w:eastAsia="Calibri" w:hAnsi="Arial" w:cs="Arial"/>
            <w:color w:val="auto"/>
            <w:u w:val="none"/>
          </w:rPr>
          <w:t>https://pubmed.ncbi.nlm.nih.gov/22826365/</w:t>
        </w:r>
      </w:hyperlink>
      <w:r w:rsidRPr="006A5915">
        <w:rPr>
          <w:rFonts w:ascii="Arial" w:eastAsia="Calibri" w:hAnsi="Arial" w:cs="Arial"/>
        </w:rPr>
        <w:t xml:space="preserve">. (Accessed: 13 October 2021). </w:t>
      </w:r>
    </w:p>
    <w:p w14:paraId="7270DC11" w14:textId="77777777" w:rsidR="00BD2B61" w:rsidRPr="006A5915" w:rsidRDefault="00BD2B61" w:rsidP="006A5915">
      <w:pPr>
        <w:spacing w:line="360" w:lineRule="auto"/>
        <w:rPr>
          <w:rFonts w:ascii="Arial" w:eastAsia="Calibri" w:hAnsi="Arial" w:cs="Arial"/>
        </w:rPr>
      </w:pPr>
      <w:proofErr w:type="spellStart"/>
      <w:r w:rsidRPr="006A5915">
        <w:rPr>
          <w:rFonts w:ascii="Arial" w:eastAsia="Calibri" w:hAnsi="Arial" w:cs="Arial"/>
        </w:rPr>
        <w:t>Lickenbrock</w:t>
      </w:r>
      <w:proofErr w:type="spellEnd"/>
      <w:r w:rsidRPr="006A5915">
        <w:rPr>
          <w:rFonts w:ascii="Arial" w:eastAsia="Calibri" w:hAnsi="Arial" w:cs="Arial"/>
        </w:rPr>
        <w:t xml:space="preserve">, D. &amp; </w:t>
      </w:r>
      <w:proofErr w:type="spellStart"/>
      <w:r w:rsidRPr="006A5915">
        <w:rPr>
          <w:rFonts w:ascii="Arial" w:eastAsia="Calibri" w:hAnsi="Arial" w:cs="Arial"/>
        </w:rPr>
        <w:t>Braungart-Rieker</w:t>
      </w:r>
      <w:proofErr w:type="spellEnd"/>
      <w:r w:rsidRPr="006A5915">
        <w:rPr>
          <w:rFonts w:ascii="Arial" w:eastAsia="Calibri" w:hAnsi="Arial" w:cs="Arial"/>
        </w:rPr>
        <w:t xml:space="preserve">, J. (2015) ‘Examining antecedents of infant attachment security with mothers and fathers: An ecological systems perspective’, </w:t>
      </w:r>
      <w:r w:rsidRPr="006A5915">
        <w:rPr>
          <w:rFonts w:ascii="Arial" w:eastAsia="Calibri" w:hAnsi="Arial" w:cs="Arial"/>
          <w:i/>
          <w:iCs/>
        </w:rPr>
        <w:t xml:space="preserve">Infant Behaviour Development. </w:t>
      </w:r>
      <w:r w:rsidRPr="006A5915">
        <w:rPr>
          <w:rFonts w:ascii="Arial" w:eastAsia="Calibri" w:hAnsi="Arial" w:cs="Arial"/>
        </w:rPr>
        <w:t xml:space="preserve">39(1), pp. 173-187. Available at: </w:t>
      </w:r>
      <w:hyperlink r:id="rId32">
        <w:r w:rsidRPr="006A5915">
          <w:rPr>
            <w:rStyle w:val="Hyperlink"/>
            <w:rFonts w:ascii="Arial" w:eastAsia="Calibri" w:hAnsi="Arial" w:cs="Arial"/>
            <w:color w:val="auto"/>
            <w:u w:val="none"/>
          </w:rPr>
          <w:t>https://www.ncbi.nlm.nih.gov/pmc/articles/PMC4418933/</w:t>
        </w:r>
      </w:hyperlink>
      <w:r w:rsidRPr="006A5915">
        <w:rPr>
          <w:rFonts w:ascii="Arial" w:eastAsia="Calibri" w:hAnsi="Arial" w:cs="Arial"/>
        </w:rPr>
        <w:t xml:space="preserve">. (Accessed: 13 October 2021). </w:t>
      </w:r>
    </w:p>
    <w:p w14:paraId="6EB75DB3"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Littleton, K. et al. (2005) ‘Talking and thinking together at Key Stage 1’, </w:t>
      </w:r>
      <w:r w:rsidRPr="006A5915">
        <w:rPr>
          <w:rFonts w:ascii="Arial" w:eastAsia="Calibri" w:hAnsi="Arial" w:cs="Arial"/>
          <w:i/>
          <w:iCs/>
        </w:rPr>
        <w:t xml:space="preserve">An International Research Journal. </w:t>
      </w:r>
      <w:r w:rsidRPr="006A5915">
        <w:rPr>
          <w:rFonts w:ascii="Arial" w:eastAsia="Calibri" w:hAnsi="Arial" w:cs="Arial"/>
        </w:rPr>
        <w:t xml:space="preserve">25(2), pp. 167-182. Available at: </w:t>
      </w:r>
      <w:hyperlink r:id="rId33" w:history="1">
        <w:r w:rsidRPr="006A5915">
          <w:rPr>
            <w:rStyle w:val="Hyperlink"/>
            <w:rFonts w:ascii="Arial" w:eastAsia="Calibri" w:hAnsi="Arial" w:cs="Arial"/>
            <w:color w:val="auto"/>
            <w:u w:val="none"/>
          </w:rPr>
          <w:t>https://www.tandfonline.com/doi/full/10.1080/09575140500128129</w:t>
        </w:r>
      </w:hyperlink>
      <w:r w:rsidRPr="006A5915">
        <w:rPr>
          <w:rFonts w:ascii="Arial" w:eastAsia="Calibri" w:hAnsi="Arial" w:cs="Arial"/>
        </w:rPr>
        <w:t xml:space="preserve">. (Accessed: 12 October 2021). </w:t>
      </w:r>
    </w:p>
    <w:p w14:paraId="0B92A107" w14:textId="77777777" w:rsidR="00BD2B61" w:rsidRPr="006A5915" w:rsidRDefault="00BD2B61" w:rsidP="006A5915">
      <w:pPr>
        <w:spacing w:line="360" w:lineRule="auto"/>
        <w:rPr>
          <w:rFonts w:ascii="Arial" w:eastAsia="Calibri" w:hAnsi="Arial" w:cs="Arial"/>
        </w:rPr>
      </w:pPr>
      <w:proofErr w:type="spellStart"/>
      <w:r w:rsidRPr="006A5915">
        <w:rPr>
          <w:rFonts w:ascii="Arial" w:eastAsia="Calibri" w:hAnsi="Arial" w:cs="Arial"/>
        </w:rPr>
        <w:t>MacBlain</w:t>
      </w:r>
      <w:proofErr w:type="spellEnd"/>
      <w:r w:rsidRPr="006A5915">
        <w:rPr>
          <w:rFonts w:ascii="Arial" w:eastAsia="Calibri" w:hAnsi="Arial" w:cs="Arial"/>
        </w:rPr>
        <w:t xml:space="preserve">, S. (2018) </w:t>
      </w:r>
      <w:r w:rsidRPr="006A5915">
        <w:rPr>
          <w:rFonts w:ascii="Arial" w:eastAsia="Calibri" w:hAnsi="Arial" w:cs="Arial"/>
          <w:i/>
          <w:iCs/>
        </w:rPr>
        <w:t xml:space="preserve">Learning Theories for Early Years Practice. </w:t>
      </w:r>
      <w:r w:rsidRPr="006A5915">
        <w:rPr>
          <w:rFonts w:ascii="Arial" w:eastAsia="Calibri" w:hAnsi="Arial" w:cs="Arial"/>
        </w:rPr>
        <w:t xml:space="preserve">London: SAGE Publications. </w:t>
      </w:r>
    </w:p>
    <w:p w14:paraId="13384CE8"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Mann, K., Gordon, J. &amp; MacLeod, A. (2009) ‘Reflection and Reflective Practice in Health Professions Education: A Systematic Review’, </w:t>
      </w:r>
      <w:r w:rsidRPr="006A5915">
        <w:rPr>
          <w:rFonts w:ascii="Arial" w:eastAsia="Calibri" w:hAnsi="Arial" w:cs="Arial"/>
          <w:i/>
          <w:iCs/>
        </w:rPr>
        <w:t xml:space="preserve">Advances in health sciences education: theory and practice. </w:t>
      </w:r>
      <w:r w:rsidRPr="006A5915">
        <w:rPr>
          <w:rFonts w:ascii="Arial" w:eastAsia="Calibri" w:hAnsi="Arial" w:cs="Arial"/>
        </w:rPr>
        <w:t xml:space="preserve">14(4), pp. 595-621. Available at: </w:t>
      </w:r>
      <w:hyperlink r:id="rId34" w:history="1">
        <w:r w:rsidRPr="006A5915">
          <w:rPr>
            <w:rStyle w:val="Hyperlink"/>
            <w:rFonts w:ascii="Arial" w:eastAsia="Calibri" w:hAnsi="Arial" w:cs="Arial"/>
            <w:color w:val="auto"/>
            <w:u w:val="none"/>
          </w:rPr>
          <w:t>https://www.proquest.com/docview/2259153430?accountid=130472&amp;pq-origsite=primo</w:t>
        </w:r>
      </w:hyperlink>
      <w:r w:rsidRPr="006A5915">
        <w:rPr>
          <w:rFonts w:ascii="Arial" w:eastAsia="Calibri" w:hAnsi="Arial" w:cs="Arial"/>
        </w:rPr>
        <w:t xml:space="preserve">. (Accessed: 12 October 2021). </w:t>
      </w:r>
    </w:p>
    <w:p w14:paraId="71EB1F12" w14:textId="77777777" w:rsidR="00BD2B61" w:rsidRPr="006A5915" w:rsidRDefault="00BD2B61" w:rsidP="006A5915">
      <w:pPr>
        <w:spacing w:line="360" w:lineRule="auto"/>
        <w:rPr>
          <w:rFonts w:ascii="Arial" w:eastAsia="Calibri" w:hAnsi="Arial" w:cs="Arial"/>
        </w:rPr>
      </w:pPr>
      <w:proofErr w:type="spellStart"/>
      <w:r w:rsidRPr="006A5915">
        <w:rPr>
          <w:rFonts w:ascii="Arial" w:eastAsia="Calibri" w:hAnsi="Arial" w:cs="Arial"/>
        </w:rPr>
        <w:t>Mantasiah</w:t>
      </w:r>
      <w:proofErr w:type="spellEnd"/>
      <w:r w:rsidRPr="006A5915">
        <w:rPr>
          <w:rFonts w:ascii="Arial" w:eastAsia="Calibri" w:hAnsi="Arial" w:cs="Arial"/>
        </w:rPr>
        <w:t xml:space="preserve">, R. et al. (2021) ‘Assessing Verbal Positive Reinforcement of Teachers during School from Home in the Covid-19 Pandemic Era’, </w:t>
      </w:r>
      <w:r w:rsidRPr="006A5915">
        <w:rPr>
          <w:rFonts w:ascii="Arial" w:eastAsia="Calibri" w:hAnsi="Arial" w:cs="Arial"/>
          <w:i/>
          <w:iCs/>
        </w:rPr>
        <w:t xml:space="preserve">International Journal of Instruction. </w:t>
      </w:r>
      <w:r w:rsidRPr="006A5915">
        <w:rPr>
          <w:rFonts w:ascii="Arial" w:eastAsia="Calibri" w:hAnsi="Arial" w:cs="Arial"/>
        </w:rPr>
        <w:t xml:space="preserve">14(2), pp. 1037-1050. Available at: https://files.eric.ed.gov/fulltext/EJ1291214.pdf. (Accessed: 12 October 2021). </w:t>
      </w:r>
    </w:p>
    <w:p w14:paraId="6413D79E" w14:textId="77777777" w:rsidR="00BD2B61" w:rsidRPr="006A5915" w:rsidRDefault="00BD2B61" w:rsidP="006A5915">
      <w:pPr>
        <w:spacing w:line="360" w:lineRule="auto"/>
        <w:rPr>
          <w:rFonts w:ascii="Arial" w:eastAsia="Georgia" w:hAnsi="Arial" w:cs="Arial"/>
        </w:rPr>
      </w:pPr>
      <w:r w:rsidRPr="006A5915">
        <w:rPr>
          <w:rFonts w:ascii="Arial" w:eastAsia="Georgia" w:hAnsi="Arial" w:cs="Arial"/>
        </w:rPr>
        <w:t xml:space="preserve">McKay, E. (2008) </w:t>
      </w:r>
      <w:r w:rsidRPr="006A5915">
        <w:rPr>
          <w:rFonts w:ascii="Arial" w:eastAsia="Georgia" w:hAnsi="Arial" w:cs="Arial"/>
          <w:i/>
          <w:iCs/>
        </w:rPr>
        <w:t>Reflective practice: doing, being and becoming a reflective practitioner. Skills for Practice in Occupational Therapy.</w:t>
      </w:r>
      <w:r w:rsidRPr="006A5915">
        <w:rPr>
          <w:rFonts w:ascii="Arial" w:eastAsia="Georgia" w:hAnsi="Arial" w:cs="Arial"/>
        </w:rPr>
        <w:t xml:space="preserve"> Oxford: Elsevier Ltd.</w:t>
      </w:r>
    </w:p>
    <w:p w14:paraId="6843BFC2"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Miller, L. (2008) ‘Stress and resilience in law enforcement training and practice’, I</w:t>
      </w:r>
      <w:r w:rsidRPr="006A5915">
        <w:rPr>
          <w:rFonts w:ascii="Arial" w:eastAsia="Calibri" w:hAnsi="Arial" w:cs="Arial"/>
          <w:i/>
          <w:iCs/>
        </w:rPr>
        <w:t xml:space="preserve">nternational Journal of </w:t>
      </w:r>
      <w:r w:rsidRPr="006A5915">
        <w:rPr>
          <w:rFonts w:ascii="Arial" w:hAnsi="Arial" w:cs="Arial"/>
        </w:rPr>
        <w:br/>
      </w:r>
      <w:r w:rsidRPr="006A5915">
        <w:rPr>
          <w:rFonts w:ascii="Arial" w:eastAsia="Calibri" w:hAnsi="Arial" w:cs="Arial"/>
          <w:i/>
          <w:iCs/>
        </w:rPr>
        <w:t>Emergency Mental Health.</w:t>
      </w:r>
      <w:r w:rsidRPr="006A5915">
        <w:rPr>
          <w:rFonts w:ascii="Arial" w:eastAsia="Calibri" w:hAnsi="Arial" w:cs="Arial"/>
        </w:rPr>
        <w:t xml:space="preserve"> 10(2), pp. 109-124. Available at: </w:t>
      </w:r>
      <w:hyperlink r:id="rId35">
        <w:r w:rsidRPr="006A5915">
          <w:rPr>
            <w:rStyle w:val="Hyperlink"/>
            <w:rFonts w:ascii="Arial" w:eastAsia="Calibri" w:hAnsi="Arial" w:cs="Arial"/>
            <w:color w:val="auto"/>
            <w:u w:val="none"/>
          </w:rPr>
          <w:t>https://psycnet.apa.org/record/2008-11418-004</w:t>
        </w:r>
      </w:hyperlink>
      <w:r w:rsidRPr="006A5915">
        <w:rPr>
          <w:rFonts w:ascii="Arial" w:eastAsia="Calibri" w:hAnsi="Arial" w:cs="Arial"/>
        </w:rPr>
        <w:t xml:space="preserve">. (Accessed: 12 October 2021). </w:t>
      </w:r>
    </w:p>
    <w:p w14:paraId="0A205CE2"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Owens, M. et al. (2012) ‘Anxiety and depression in academic performance: an exploration of the mediating factors of worry and working memory’, </w:t>
      </w:r>
      <w:r w:rsidRPr="006A5915">
        <w:rPr>
          <w:rFonts w:ascii="Arial" w:eastAsia="Calibri" w:hAnsi="Arial" w:cs="Arial"/>
          <w:i/>
          <w:iCs/>
        </w:rPr>
        <w:t xml:space="preserve">School </w:t>
      </w:r>
      <w:proofErr w:type="spellStart"/>
      <w:r w:rsidRPr="006A5915">
        <w:rPr>
          <w:rFonts w:ascii="Arial" w:eastAsia="Calibri" w:hAnsi="Arial" w:cs="Arial"/>
          <w:i/>
          <w:iCs/>
        </w:rPr>
        <w:t>Psychol</w:t>
      </w:r>
      <w:proofErr w:type="spellEnd"/>
      <w:r w:rsidRPr="006A5915">
        <w:rPr>
          <w:rFonts w:ascii="Arial" w:eastAsia="Calibri" w:hAnsi="Arial" w:cs="Arial"/>
          <w:i/>
          <w:iCs/>
        </w:rPr>
        <w:t xml:space="preserve"> Int</w:t>
      </w:r>
      <w:r w:rsidRPr="006A5915">
        <w:rPr>
          <w:rFonts w:ascii="Arial" w:eastAsia="Calibri" w:hAnsi="Arial" w:cs="Arial"/>
        </w:rPr>
        <w:t xml:space="preserve">. 33(4), pp. 433–449. </w:t>
      </w:r>
      <w:hyperlink r:id="rId36">
        <w:r w:rsidRPr="006A5915">
          <w:rPr>
            <w:rStyle w:val="Hyperlink"/>
            <w:rFonts w:ascii="Arial" w:eastAsia="Calibri" w:hAnsi="Arial" w:cs="Arial"/>
            <w:color w:val="auto"/>
            <w:u w:val="none"/>
          </w:rPr>
          <w:t>https://psycnet.apa.org/record/2012-18616-004</w:t>
        </w:r>
      </w:hyperlink>
      <w:r w:rsidRPr="006A5915">
        <w:rPr>
          <w:rFonts w:ascii="Arial" w:eastAsia="Calibri" w:hAnsi="Arial" w:cs="Arial"/>
        </w:rPr>
        <w:t xml:space="preserve">. (Accessed: 11 October 2021). </w:t>
      </w:r>
    </w:p>
    <w:p w14:paraId="1697F0B1" w14:textId="77777777" w:rsidR="00BD2B61" w:rsidRPr="006A5915" w:rsidRDefault="00BD2B61" w:rsidP="006A5915">
      <w:pPr>
        <w:spacing w:line="360" w:lineRule="auto"/>
        <w:rPr>
          <w:rFonts w:ascii="Arial" w:eastAsia="Georgia" w:hAnsi="Arial" w:cs="Arial"/>
        </w:rPr>
      </w:pPr>
      <w:r w:rsidRPr="006A5915">
        <w:rPr>
          <w:rFonts w:ascii="Arial" w:eastAsia="Georgia" w:hAnsi="Arial" w:cs="Arial"/>
        </w:rPr>
        <w:t xml:space="preserve">Piaget, J. (1957). </w:t>
      </w:r>
      <w:r w:rsidRPr="006A5915">
        <w:rPr>
          <w:rFonts w:ascii="Arial" w:eastAsia="Georgia" w:hAnsi="Arial" w:cs="Arial"/>
          <w:i/>
          <w:iCs/>
        </w:rPr>
        <w:t>Construction of reality in the child.</w:t>
      </w:r>
      <w:r w:rsidRPr="006A5915">
        <w:rPr>
          <w:rFonts w:ascii="Arial" w:eastAsia="Georgia" w:hAnsi="Arial" w:cs="Arial"/>
        </w:rPr>
        <w:t xml:space="preserve"> London: Routledge &amp; Kegan Paul.</w:t>
      </w:r>
    </w:p>
    <w:p w14:paraId="5DF97EAE" w14:textId="77777777" w:rsidR="00BD2B61" w:rsidRPr="006A5915" w:rsidRDefault="00BD2B61" w:rsidP="006A5915">
      <w:pPr>
        <w:spacing w:line="360" w:lineRule="auto"/>
        <w:rPr>
          <w:rFonts w:ascii="Arial" w:eastAsia="Calibri" w:hAnsi="Arial" w:cs="Arial"/>
        </w:rPr>
      </w:pPr>
      <w:proofErr w:type="spellStart"/>
      <w:r w:rsidRPr="006A5915">
        <w:rPr>
          <w:rFonts w:ascii="Arial" w:eastAsia="Calibri" w:hAnsi="Arial" w:cs="Arial"/>
        </w:rPr>
        <w:t>Pokhrel</w:t>
      </w:r>
      <w:proofErr w:type="spellEnd"/>
      <w:r w:rsidRPr="006A5915">
        <w:rPr>
          <w:rFonts w:ascii="Arial" w:eastAsia="Calibri" w:hAnsi="Arial" w:cs="Arial"/>
        </w:rPr>
        <w:t xml:space="preserve">, S. &amp; Chhetri, R. (2021) ‘A Literature Review on Impact of COVID-19 Pandemic on Teaching and Learning’, </w:t>
      </w:r>
      <w:r w:rsidRPr="006A5915">
        <w:rPr>
          <w:rFonts w:ascii="Arial" w:eastAsia="Calibri" w:hAnsi="Arial" w:cs="Arial"/>
          <w:i/>
          <w:iCs/>
        </w:rPr>
        <w:t xml:space="preserve">Higher Education for the Future. </w:t>
      </w:r>
      <w:r w:rsidRPr="006A5915">
        <w:rPr>
          <w:rFonts w:ascii="Arial" w:eastAsia="Calibri" w:hAnsi="Arial" w:cs="Arial"/>
        </w:rPr>
        <w:t xml:space="preserve">8(1), pp. 133-141. Available at: </w:t>
      </w:r>
      <w:hyperlink r:id="rId37">
        <w:r w:rsidRPr="006A5915">
          <w:rPr>
            <w:rStyle w:val="Hyperlink"/>
            <w:rFonts w:ascii="Arial" w:eastAsia="Calibri" w:hAnsi="Arial" w:cs="Arial"/>
            <w:color w:val="auto"/>
            <w:u w:val="none"/>
          </w:rPr>
          <w:t>https://journals.sagepub.com/doi/full/10.1177/2347631120983481</w:t>
        </w:r>
      </w:hyperlink>
      <w:r w:rsidRPr="006A5915">
        <w:rPr>
          <w:rFonts w:ascii="Arial" w:eastAsia="Calibri" w:hAnsi="Arial" w:cs="Arial"/>
        </w:rPr>
        <w:t xml:space="preserve"> (Accessed: 12 October 2021). </w:t>
      </w:r>
    </w:p>
    <w:p w14:paraId="477DC4E2"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Pritchard, A. (2009) </w:t>
      </w:r>
      <w:r w:rsidRPr="006A5915">
        <w:rPr>
          <w:rFonts w:ascii="Arial" w:eastAsia="Calibri" w:hAnsi="Arial" w:cs="Arial"/>
          <w:i/>
          <w:iCs/>
        </w:rPr>
        <w:t xml:space="preserve">Ways of Learning: Learning Theories and Learning Styles in the Classroom. </w:t>
      </w:r>
      <w:r w:rsidRPr="006A5915">
        <w:rPr>
          <w:rFonts w:ascii="Arial" w:eastAsia="Calibri" w:hAnsi="Arial" w:cs="Arial"/>
        </w:rPr>
        <w:t>2</w:t>
      </w:r>
      <w:r w:rsidRPr="006A5915">
        <w:rPr>
          <w:rFonts w:ascii="Arial" w:eastAsia="Calibri" w:hAnsi="Arial" w:cs="Arial"/>
          <w:vertAlign w:val="superscript"/>
        </w:rPr>
        <w:t>nd</w:t>
      </w:r>
      <w:r w:rsidRPr="006A5915">
        <w:rPr>
          <w:rFonts w:ascii="Arial" w:eastAsia="Calibri" w:hAnsi="Arial" w:cs="Arial"/>
        </w:rPr>
        <w:t xml:space="preserve"> </w:t>
      </w:r>
      <w:proofErr w:type="spellStart"/>
      <w:r w:rsidRPr="006A5915">
        <w:rPr>
          <w:rFonts w:ascii="Arial" w:eastAsia="Calibri" w:hAnsi="Arial" w:cs="Arial"/>
        </w:rPr>
        <w:t>edn</w:t>
      </w:r>
      <w:proofErr w:type="spellEnd"/>
      <w:r w:rsidRPr="006A5915">
        <w:rPr>
          <w:rFonts w:ascii="Arial" w:eastAsia="Calibri" w:hAnsi="Arial" w:cs="Arial"/>
        </w:rPr>
        <w:t xml:space="preserve">. Abington: Routledge. </w:t>
      </w:r>
    </w:p>
    <w:p w14:paraId="3EF6EC9E"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Pritchard, A. (2014</w:t>
      </w:r>
      <w:r w:rsidRPr="006A5915">
        <w:rPr>
          <w:rFonts w:ascii="Arial" w:eastAsia="Calibri" w:hAnsi="Arial" w:cs="Arial"/>
          <w:i/>
          <w:iCs/>
        </w:rPr>
        <w:t xml:space="preserve">) Ways of </w:t>
      </w:r>
      <w:proofErr w:type="gramStart"/>
      <w:r w:rsidRPr="006A5915">
        <w:rPr>
          <w:rFonts w:ascii="Arial" w:eastAsia="Calibri" w:hAnsi="Arial" w:cs="Arial"/>
          <w:i/>
          <w:iCs/>
        </w:rPr>
        <w:t>learning :</w:t>
      </w:r>
      <w:proofErr w:type="gramEnd"/>
      <w:r w:rsidRPr="006A5915">
        <w:rPr>
          <w:rFonts w:ascii="Arial" w:eastAsia="Calibri" w:hAnsi="Arial" w:cs="Arial"/>
          <w:i/>
          <w:iCs/>
        </w:rPr>
        <w:t xml:space="preserve"> learning theories and learning styles in the classroom. </w:t>
      </w:r>
      <w:r w:rsidRPr="006A5915">
        <w:rPr>
          <w:rFonts w:ascii="Arial" w:eastAsia="Calibri" w:hAnsi="Arial" w:cs="Arial"/>
        </w:rPr>
        <w:t>3</w:t>
      </w:r>
      <w:r w:rsidRPr="006A5915">
        <w:rPr>
          <w:rFonts w:ascii="Arial" w:eastAsia="Calibri" w:hAnsi="Arial" w:cs="Arial"/>
          <w:vertAlign w:val="superscript"/>
        </w:rPr>
        <w:t>rd</w:t>
      </w:r>
      <w:r w:rsidRPr="006A5915">
        <w:rPr>
          <w:rFonts w:ascii="Arial" w:eastAsia="Calibri" w:hAnsi="Arial" w:cs="Arial"/>
        </w:rPr>
        <w:t xml:space="preserve"> </w:t>
      </w:r>
      <w:proofErr w:type="spellStart"/>
      <w:r w:rsidRPr="006A5915">
        <w:rPr>
          <w:rFonts w:ascii="Arial" w:eastAsia="Calibri" w:hAnsi="Arial" w:cs="Arial"/>
        </w:rPr>
        <w:t>edn</w:t>
      </w:r>
      <w:proofErr w:type="spellEnd"/>
      <w:r w:rsidRPr="006A5915">
        <w:rPr>
          <w:rFonts w:ascii="Arial" w:eastAsia="Calibri" w:hAnsi="Arial" w:cs="Arial"/>
        </w:rPr>
        <w:t>. Milton Park, Abingdon, Oxon: Routledge.</w:t>
      </w:r>
    </w:p>
    <w:p w14:paraId="21E02D10" w14:textId="77777777" w:rsidR="00BD2B61" w:rsidRPr="006A5915" w:rsidRDefault="00BD2B61" w:rsidP="006A5915">
      <w:pPr>
        <w:spacing w:line="360" w:lineRule="auto"/>
        <w:rPr>
          <w:rFonts w:ascii="Arial" w:eastAsia="Georgia" w:hAnsi="Arial" w:cs="Arial"/>
        </w:rPr>
      </w:pPr>
      <w:proofErr w:type="spellStart"/>
      <w:r w:rsidRPr="006A5915">
        <w:rPr>
          <w:rFonts w:ascii="Arial" w:eastAsia="Georgia" w:hAnsi="Arial" w:cs="Arial"/>
        </w:rPr>
        <w:t>Reinschluessel</w:t>
      </w:r>
      <w:proofErr w:type="spellEnd"/>
      <w:r w:rsidRPr="006A5915">
        <w:rPr>
          <w:rFonts w:ascii="Arial" w:eastAsia="Georgia" w:hAnsi="Arial" w:cs="Arial"/>
        </w:rPr>
        <w:t xml:space="preserve">, A. &amp; </w:t>
      </w:r>
      <w:proofErr w:type="spellStart"/>
      <w:r w:rsidRPr="006A5915">
        <w:rPr>
          <w:rFonts w:ascii="Arial" w:eastAsia="Georgia" w:hAnsi="Arial" w:cs="Arial"/>
        </w:rPr>
        <w:t>Mandryk</w:t>
      </w:r>
      <w:proofErr w:type="spellEnd"/>
      <w:r w:rsidRPr="006A5915">
        <w:rPr>
          <w:rFonts w:ascii="Arial" w:eastAsia="Georgia" w:hAnsi="Arial" w:cs="Arial"/>
        </w:rPr>
        <w:t xml:space="preserve">, R. (2016) ‘Using positive reinforcement in neurofeedback games for training self-regulation', </w:t>
      </w:r>
      <w:r w:rsidRPr="006A5915">
        <w:rPr>
          <w:rFonts w:ascii="Arial" w:eastAsia="Georgia" w:hAnsi="Arial" w:cs="Arial"/>
          <w:i/>
          <w:iCs/>
        </w:rPr>
        <w:t xml:space="preserve">CHI PLAY '16: The annual symposium on Computer-Human Interaction in Play. </w:t>
      </w:r>
      <w:r w:rsidRPr="006A5915">
        <w:rPr>
          <w:rFonts w:ascii="Arial" w:eastAsia="Georgia" w:hAnsi="Arial" w:cs="Arial"/>
        </w:rPr>
        <w:t>Association for Computing Machinery, New York, 16</w:t>
      </w:r>
      <w:r w:rsidRPr="006A5915">
        <w:rPr>
          <w:rFonts w:ascii="Arial" w:eastAsia="Georgia" w:hAnsi="Arial" w:cs="Arial"/>
          <w:vertAlign w:val="superscript"/>
        </w:rPr>
        <w:t>th</w:t>
      </w:r>
      <w:r w:rsidRPr="006A5915">
        <w:rPr>
          <w:rFonts w:ascii="Arial" w:eastAsia="Georgia" w:hAnsi="Arial" w:cs="Arial"/>
        </w:rPr>
        <w:t xml:space="preserve">- 19th October. Available at:  </w:t>
      </w:r>
      <w:hyperlink r:id="rId38">
        <w:r w:rsidRPr="006A5915">
          <w:rPr>
            <w:rStyle w:val="Hyperlink"/>
            <w:rFonts w:ascii="Arial" w:eastAsia="Georgia" w:hAnsi="Arial" w:cs="Arial"/>
            <w:color w:val="auto"/>
            <w:u w:val="none"/>
          </w:rPr>
          <w:t>https://dl.acm.org/doi/abs/10.1145/2967934.2968085</w:t>
        </w:r>
      </w:hyperlink>
      <w:r w:rsidRPr="006A5915">
        <w:rPr>
          <w:rFonts w:ascii="Arial" w:eastAsia="Georgia" w:hAnsi="Arial" w:cs="Arial"/>
        </w:rPr>
        <w:t xml:space="preserve">. (Accessed: 12 October 2021). </w:t>
      </w:r>
    </w:p>
    <w:p w14:paraId="302D731D" w14:textId="77777777" w:rsidR="00BD2B61" w:rsidRPr="006A5915" w:rsidRDefault="00BD2B61" w:rsidP="006A5915">
      <w:pPr>
        <w:spacing w:line="360" w:lineRule="auto"/>
        <w:rPr>
          <w:rFonts w:ascii="Arial" w:eastAsia="Calibri" w:hAnsi="Arial" w:cs="Arial"/>
        </w:rPr>
      </w:pPr>
      <w:r w:rsidRPr="006A5915">
        <w:rPr>
          <w:rFonts w:ascii="Arial" w:hAnsi="Arial" w:cs="Arial"/>
        </w:rPr>
        <w:t xml:space="preserve">Rolfe, G., Freshwater, D. &amp; Jasper, M. (2001) </w:t>
      </w:r>
      <w:r w:rsidRPr="006A5915">
        <w:rPr>
          <w:rFonts w:ascii="Arial" w:hAnsi="Arial" w:cs="Arial"/>
          <w:i/>
          <w:iCs/>
        </w:rPr>
        <w:t xml:space="preserve">Critical reflection in nursing and the helping </w:t>
      </w:r>
      <w:r w:rsidRPr="006A5915">
        <w:rPr>
          <w:rFonts w:ascii="Arial" w:hAnsi="Arial" w:cs="Arial"/>
          <w:i/>
          <w:iCs/>
        </w:rPr>
        <w:br/>
        <w:t>professions: a user’s guide</w:t>
      </w:r>
      <w:r w:rsidRPr="006A5915">
        <w:rPr>
          <w:rFonts w:ascii="Arial" w:hAnsi="Arial" w:cs="Arial"/>
        </w:rPr>
        <w:t>. Basingstoke: Palgrave Macmillan.</w:t>
      </w:r>
    </w:p>
    <w:p w14:paraId="5AA5F121"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lastRenderedPageBreak/>
        <w:t xml:space="preserve">Ruiz, M, (2021) ‘Pandemic Natives, Pandemic Immigrants: effects of Covid-19 confinement on the wellbeing of children in preschool education’, </w:t>
      </w:r>
      <w:r w:rsidRPr="006A5915">
        <w:rPr>
          <w:rFonts w:ascii="Arial" w:eastAsia="Calibri" w:hAnsi="Arial" w:cs="Arial"/>
          <w:i/>
          <w:iCs/>
        </w:rPr>
        <w:t xml:space="preserve">European Early Childhood Education Research Journal. </w:t>
      </w:r>
      <w:hyperlink r:id="rId39">
        <w:r w:rsidRPr="006A5915">
          <w:rPr>
            <w:rStyle w:val="Hyperlink"/>
            <w:rFonts w:ascii="Arial" w:eastAsia="Calibri" w:hAnsi="Arial" w:cs="Arial"/>
            <w:color w:val="auto"/>
            <w:u w:val="none"/>
          </w:rPr>
          <w:t>https://doi.org/10.1080/1350293X.2021.1985559</w:t>
        </w:r>
      </w:hyperlink>
      <w:r w:rsidRPr="006A5915">
        <w:rPr>
          <w:rFonts w:ascii="Arial" w:eastAsia="Calibri" w:hAnsi="Arial" w:cs="Arial"/>
        </w:rPr>
        <w:t xml:space="preserve">. (Accessed: 12 October 2021). </w:t>
      </w:r>
    </w:p>
    <w:p w14:paraId="2B2077C6"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Save the Children (2013)</w:t>
      </w:r>
      <w:r w:rsidRPr="006A5915">
        <w:rPr>
          <w:rFonts w:ascii="Arial" w:eastAsia="Calibri" w:hAnsi="Arial" w:cs="Arial"/>
          <w:i/>
          <w:iCs/>
        </w:rPr>
        <w:t xml:space="preserve"> Child Poverty snapshots. The Local Picture in Wales. </w:t>
      </w:r>
      <w:r w:rsidRPr="006A5915">
        <w:rPr>
          <w:rFonts w:ascii="Arial" w:eastAsia="Calibri" w:hAnsi="Arial" w:cs="Arial"/>
        </w:rPr>
        <w:t>Available at:</w:t>
      </w:r>
      <w:r w:rsidRPr="006A5915">
        <w:rPr>
          <w:rFonts w:ascii="Arial" w:eastAsia="Calibri" w:hAnsi="Arial" w:cs="Arial"/>
          <w:i/>
          <w:iCs/>
        </w:rPr>
        <w:t xml:space="preserve"> </w:t>
      </w:r>
      <w:hyperlink r:id="rId40">
        <w:r w:rsidRPr="006A5915">
          <w:rPr>
            <w:rStyle w:val="Hyperlink"/>
            <w:rFonts w:ascii="Arial" w:eastAsia="Calibri" w:hAnsi="Arial" w:cs="Arial"/>
            <w:color w:val="auto"/>
            <w:u w:val="none"/>
          </w:rPr>
          <w:t>http://www.savethechildren.org.uk/sites/default/files/docs/Child-PovertySnapshots-English.pdf</w:t>
        </w:r>
      </w:hyperlink>
      <w:r w:rsidRPr="006A5915">
        <w:rPr>
          <w:rFonts w:ascii="Arial" w:eastAsia="Calibri" w:hAnsi="Arial" w:cs="Arial"/>
        </w:rPr>
        <w:t xml:space="preserve"> (Accessed: 27 September 2021). </w:t>
      </w:r>
    </w:p>
    <w:p w14:paraId="179FB947" w14:textId="77777777" w:rsidR="00BD2B61" w:rsidRPr="006A5915" w:rsidRDefault="00BD2B61" w:rsidP="006A5915">
      <w:pPr>
        <w:spacing w:line="360" w:lineRule="auto"/>
        <w:rPr>
          <w:rFonts w:ascii="Arial" w:eastAsia="Georgia" w:hAnsi="Arial" w:cs="Arial"/>
        </w:rPr>
      </w:pPr>
      <w:r w:rsidRPr="006A5915">
        <w:rPr>
          <w:rFonts w:ascii="Arial" w:eastAsia="Georgia" w:hAnsi="Arial" w:cs="Arial"/>
        </w:rPr>
        <w:t xml:space="preserve">Schon, D. (1983) </w:t>
      </w:r>
      <w:r w:rsidRPr="006A5915">
        <w:rPr>
          <w:rFonts w:ascii="Arial" w:eastAsia="Georgia" w:hAnsi="Arial" w:cs="Arial"/>
          <w:i/>
          <w:iCs/>
        </w:rPr>
        <w:t>The reflective practitioner</w:t>
      </w:r>
      <w:r w:rsidRPr="006A5915">
        <w:rPr>
          <w:rFonts w:ascii="Arial" w:eastAsia="Georgia" w:hAnsi="Arial" w:cs="Arial"/>
        </w:rPr>
        <w:t>. New York: Basic Books.</w:t>
      </w:r>
    </w:p>
    <w:p w14:paraId="6593A42B" w14:textId="77777777" w:rsidR="00BD2B61" w:rsidRPr="006A5915" w:rsidRDefault="00BD2B61" w:rsidP="006A5915">
      <w:pPr>
        <w:spacing w:line="360" w:lineRule="auto"/>
        <w:rPr>
          <w:rFonts w:ascii="Arial" w:eastAsia="Georgia" w:hAnsi="Arial" w:cs="Arial"/>
        </w:rPr>
      </w:pPr>
      <w:proofErr w:type="spellStart"/>
      <w:r w:rsidRPr="006A5915">
        <w:rPr>
          <w:rFonts w:ascii="Arial" w:eastAsia="Georgia" w:hAnsi="Arial" w:cs="Arial"/>
        </w:rPr>
        <w:t>SimplyPsychology</w:t>
      </w:r>
      <w:proofErr w:type="spellEnd"/>
      <w:r w:rsidRPr="006A5915">
        <w:rPr>
          <w:rFonts w:ascii="Arial" w:eastAsia="Georgia" w:hAnsi="Arial" w:cs="Arial"/>
        </w:rPr>
        <w:t xml:space="preserve"> (2020a) </w:t>
      </w:r>
      <w:r w:rsidRPr="006A5915">
        <w:rPr>
          <w:rFonts w:ascii="Arial" w:eastAsia="Georgia" w:hAnsi="Arial" w:cs="Arial"/>
          <w:i/>
          <w:iCs/>
        </w:rPr>
        <w:t>Maslow’s Hierarchy of Needs.</w:t>
      </w:r>
      <w:r w:rsidRPr="006A5915">
        <w:rPr>
          <w:rFonts w:ascii="Arial" w:eastAsia="Georgia" w:hAnsi="Arial" w:cs="Arial"/>
        </w:rPr>
        <w:t xml:space="preserve"> [image]. Available at: </w:t>
      </w:r>
      <w:hyperlink r:id="rId41" w:history="1">
        <w:r w:rsidRPr="006A5915">
          <w:rPr>
            <w:rStyle w:val="Hyperlink"/>
            <w:rFonts w:ascii="Arial" w:eastAsia="Georgia" w:hAnsi="Arial" w:cs="Arial"/>
            <w:color w:val="auto"/>
            <w:u w:val="none"/>
          </w:rPr>
          <w:t>https://www.simplypsychology.org/maslow.html</w:t>
        </w:r>
      </w:hyperlink>
      <w:r w:rsidRPr="006A5915">
        <w:rPr>
          <w:rFonts w:ascii="Arial" w:eastAsia="Georgia" w:hAnsi="Arial" w:cs="Arial"/>
        </w:rPr>
        <w:t xml:space="preserve">. (Accessed: 12 October 2021). </w:t>
      </w:r>
    </w:p>
    <w:p w14:paraId="6C0DFB7B" w14:textId="77777777" w:rsidR="00BD2B61" w:rsidRPr="006A5915" w:rsidRDefault="00BD2B61" w:rsidP="006A5915">
      <w:pPr>
        <w:spacing w:line="360" w:lineRule="auto"/>
        <w:rPr>
          <w:rFonts w:ascii="Arial" w:eastAsia="Georgia" w:hAnsi="Arial" w:cs="Arial"/>
        </w:rPr>
      </w:pPr>
      <w:proofErr w:type="spellStart"/>
      <w:r w:rsidRPr="006A5915">
        <w:rPr>
          <w:rFonts w:ascii="Arial" w:eastAsia="Georgia" w:hAnsi="Arial" w:cs="Arial"/>
        </w:rPr>
        <w:t>SimplyPsychology</w:t>
      </w:r>
      <w:proofErr w:type="spellEnd"/>
      <w:r w:rsidRPr="006A5915">
        <w:rPr>
          <w:rFonts w:ascii="Arial" w:eastAsia="Georgia" w:hAnsi="Arial" w:cs="Arial"/>
        </w:rPr>
        <w:t xml:space="preserve"> (2020b) </w:t>
      </w:r>
      <w:r w:rsidRPr="006A5915">
        <w:rPr>
          <w:rFonts w:ascii="Arial" w:eastAsia="Georgia" w:hAnsi="Arial" w:cs="Arial"/>
          <w:i/>
          <w:iCs/>
        </w:rPr>
        <w:t xml:space="preserve">Bronfenbrenner’s Ecological Systems Theory. </w:t>
      </w:r>
      <w:r w:rsidRPr="006A5915">
        <w:rPr>
          <w:rFonts w:ascii="Arial" w:eastAsia="Georgia" w:hAnsi="Arial" w:cs="Arial"/>
        </w:rPr>
        <w:t xml:space="preserve">[image]. Available at: </w:t>
      </w:r>
      <w:hyperlink r:id="rId42" w:history="1">
        <w:r w:rsidRPr="006A5915">
          <w:rPr>
            <w:rStyle w:val="Hyperlink"/>
            <w:rFonts w:ascii="Arial" w:eastAsia="Georgia" w:hAnsi="Arial" w:cs="Arial"/>
            <w:color w:val="auto"/>
            <w:u w:val="none"/>
          </w:rPr>
          <w:t>https://www.simplypsychology.org/Bronfenbrenner.html</w:t>
        </w:r>
      </w:hyperlink>
      <w:r w:rsidRPr="006A5915">
        <w:rPr>
          <w:rFonts w:ascii="Arial" w:eastAsia="Georgia" w:hAnsi="Arial" w:cs="Arial"/>
        </w:rPr>
        <w:t xml:space="preserve">. (Accessed: 11 October 2021).  </w:t>
      </w:r>
    </w:p>
    <w:p w14:paraId="6F75932B" w14:textId="77777777" w:rsidR="00BD2B61" w:rsidRPr="006A5915" w:rsidRDefault="00BD2B61" w:rsidP="006A5915">
      <w:pPr>
        <w:spacing w:after="0" w:line="360" w:lineRule="auto"/>
        <w:rPr>
          <w:rFonts w:ascii="Arial" w:eastAsia="Times New Roman" w:hAnsi="Arial" w:cs="Arial"/>
        </w:rPr>
      </w:pPr>
      <w:r w:rsidRPr="006A5915">
        <w:rPr>
          <w:rFonts w:ascii="Arial" w:eastAsia="Times New Roman" w:hAnsi="Arial" w:cs="Arial"/>
        </w:rPr>
        <w:t xml:space="preserve">Skinner, B. F. (1953). </w:t>
      </w:r>
      <w:r w:rsidRPr="006A5915">
        <w:rPr>
          <w:rFonts w:ascii="Arial" w:eastAsia="Times New Roman" w:hAnsi="Arial" w:cs="Arial"/>
          <w:i/>
          <w:iCs/>
        </w:rPr>
        <w:t xml:space="preserve">Science and human </w:t>
      </w:r>
      <w:proofErr w:type="spellStart"/>
      <w:r w:rsidRPr="006A5915">
        <w:rPr>
          <w:rFonts w:ascii="Arial" w:eastAsia="Times New Roman" w:hAnsi="Arial" w:cs="Arial"/>
          <w:i/>
          <w:iCs/>
        </w:rPr>
        <w:t>behavior</w:t>
      </w:r>
      <w:proofErr w:type="spellEnd"/>
      <w:r w:rsidRPr="006A5915">
        <w:rPr>
          <w:rFonts w:ascii="Arial" w:eastAsia="Times New Roman" w:hAnsi="Arial" w:cs="Arial"/>
          <w:i/>
          <w:iCs/>
        </w:rPr>
        <w:t>.</w:t>
      </w:r>
      <w:r w:rsidRPr="006A5915">
        <w:rPr>
          <w:rFonts w:ascii="Arial" w:eastAsia="Times New Roman" w:hAnsi="Arial" w:cs="Arial"/>
        </w:rPr>
        <w:t xml:space="preserve"> Macmillan. </w:t>
      </w:r>
    </w:p>
    <w:p w14:paraId="0C9BD1A2" w14:textId="77777777" w:rsidR="00BD2B61" w:rsidRPr="006A5915" w:rsidRDefault="00BD2B61" w:rsidP="006A5915">
      <w:pPr>
        <w:spacing w:after="0" w:line="360" w:lineRule="auto"/>
        <w:rPr>
          <w:rFonts w:ascii="Arial" w:eastAsia="Times New Roman" w:hAnsi="Arial" w:cs="Arial"/>
        </w:rPr>
      </w:pPr>
    </w:p>
    <w:p w14:paraId="50C5F4D0"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The Lego Foundation (2017) </w:t>
      </w:r>
      <w:r w:rsidRPr="006A5915">
        <w:rPr>
          <w:rFonts w:ascii="Arial" w:eastAsia="Calibri" w:hAnsi="Arial" w:cs="Arial"/>
          <w:i/>
          <w:iCs/>
        </w:rPr>
        <w:t xml:space="preserve">Learning Through Play: a review of the literature. </w:t>
      </w:r>
      <w:r w:rsidRPr="006A5915">
        <w:rPr>
          <w:rFonts w:ascii="Arial" w:eastAsia="Calibri" w:hAnsi="Arial" w:cs="Arial"/>
        </w:rPr>
        <w:t xml:space="preserve">Available at: </w:t>
      </w:r>
      <w:hyperlink r:id="rId43">
        <w:r w:rsidRPr="006A5915">
          <w:rPr>
            <w:rStyle w:val="Hyperlink"/>
            <w:rFonts w:ascii="Arial" w:eastAsia="Calibri" w:hAnsi="Arial" w:cs="Arial"/>
            <w:color w:val="auto"/>
            <w:u w:val="none"/>
          </w:rPr>
          <w:t>https://www.legofoundation.com/media/1063/learning-through-play_web.pdf</w:t>
        </w:r>
      </w:hyperlink>
      <w:r w:rsidRPr="006A5915">
        <w:rPr>
          <w:rFonts w:ascii="Arial" w:eastAsia="Calibri" w:hAnsi="Arial" w:cs="Arial"/>
        </w:rPr>
        <w:t xml:space="preserve">. (Accessed: 12 October 2021). </w:t>
      </w:r>
    </w:p>
    <w:p w14:paraId="554DBBE8" w14:textId="77777777" w:rsidR="00BD2B61" w:rsidRPr="006A5915" w:rsidRDefault="00BD2B61" w:rsidP="006A5915">
      <w:pPr>
        <w:spacing w:line="360" w:lineRule="auto"/>
        <w:rPr>
          <w:rFonts w:ascii="Arial" w:eastAsia="Arial" w:hAnsi="Arial" w:cs="Arial"/>
        </w:rPr>
      </w:pPr>
      <w:r w:rsidRPr="006A5915">
        <w:rPr>
          <w:rFonts w:ascii="Arial" w:eastAsia="Arial" w:hAnsi="Arial" w:cs="Arial"/>
        </w:rPr>
        <w:t xml:space="preserve">Tovey, H. (2017) </w:t>
      </w:r>
      <w:r w:rsidRPr="006A5915">
        <w:rPr>
          <w:rFonts w:ascii="Arial" w:eastAsia="Arial" w:hAnsi="Arial" w:cs="Arial"/>
          <w:i/>
          <w:iCs/>
        </w:rPr>
        <w:t xml:space="preserve">Bringing the Froebel Approach to your Early Years Practice. </w:t>
      </w:r>
      <w:r w:rsidRPr="006A5915">
        <w:rPr>
          <w:rFonts w:ascii="Arial" w:eastAsia="Arial" w:hAnsi="Arial" w:cs="Arial"/>
        </w:rPr>
        <w:t>2</w:t>
      </w:r>
      <w:r w:rsidRPr="006A5915">
        <w:rPr>
          <w:rFonts w:ascii="Arial" w:eastAsia="Arial" w:hAnsi="Arial" w:cs="Arial"/>
          <w:vertAlign w:val="superscript"/>
        </w:rPr>
        <w:t>nd</w:t>
      </w:r>
      <w:r w:rsidRPr="006A5915">
        <w:rPr>
          <w:rFonts w:ascii="Arial" w:eastAsia="Arial" w:hAnsi="Arial" w:cs="Arial"/>
        </w:rPr>
        <w:t xml:space="preserve"> ed. Oxon: Routledge.</w:t>
      </w:r>
    </w:p>
    <w:p w14:paraId="222EA626" w14:textId="77777777" w:rsidR="00BD2B61" w:rsidRPr="006A5915" w:rsidRDefault="00BD2B61" w:rsidP="006A5915">
      <w:pPr>
        <w:spacing w:line="360" w:lineRule="auto"/>
        <w:rPr>
          <w:rFonts w:ascii="Arial" w:eastAsia="Arial" w:hAnsi="Arial" w:cs="Arial"/>
        </w:rPr>
      </w:pPr>
      <w:r w:rsidRPr="006A5915">
        <w:rPr>
          <w:rFonts w:ascii="Arial" w:hAnsi="Arial" w:cs="Arial"/>
        </w:rPr>
        <w:t xml:space="preserve">Tripp, D. (1993) </w:t>
      </w:r>
      <w:r w:rsidRPr="006A5915">
        <w:rPr>
          <w:rStyle w:val="Emphasis"/>
          <w:rFonts w:ascii="Arial" w:hAnsi="Arial" w:cs="Arial"/>
        </w:rPr>
        <w:t>Critical Incidents in Teaching: Developing Professional Judgement</w:t>
      </w:r>
      <w:r w:rsidRPr="006A5915">
        <w:rPr>
          <w:rFonts w:ascii="Arial" w:hAnsi="Arial" w:cs="Arial"/>
        </w:rPr>
        <w:t>. London: Routledge.</w:t>
      </w:r>
    </w:p>
    <w:p w14:paraId="72A8C4BC" w14:textId="77777777" w:rsidR="00BD2B61" w:rsidRPr="006A5915" w:rsidRDefault="00BD2B61" w:rsidP="006A5915">
      <w:pPr>
        <w:spacing w:line="360" w:lineRule="auto"/>
        <w:rPr>
          <w:rFonts w:ascii="Arial" w:eastAsia="Open Sans" w:hAnsi="Arial" w:cs="Arial"/>
        </w:rPr>
      </w:pPr>
      <w:r w:rsidRPr="006A5915">
        <w:rPr>
          <w:rFonts w:ascii="Arial" w:eastAsia="Open Sans" w:hAnsi="Arial" w:cs="Arial"/>
        </w:rPr>
        <w:t xml:space="preserve">Vygotsky, L. (1978) </w:t>
      </w:r>
      <w:r w:rsidRPr="006A5915">
        <w:rPr>
          <w:rFonts w:ascii="Arial" w:eastAsia="Open Sans" w:hAnsi="Arial" w:cs="Arial"/>
          <w:i/>
          <w:iCs/>
        </w:rPr>
        <w:t>Mind in society</w:t>
      </w:r>
      <w:r w:rsidRPr="006A5915">
        <w:rPr>
          <w:rFonts w:ascii="Arial" w:eastAsia="Open Sans" w:hAnsi="Arial" w:cs="Arial"/>
        </w:rPr>
        <w:t>. Cambridge: Harvard University Press.</w:t>
      </w:r>
    </w:p>
    <w:p w14:paraId="4F9064B2" w14:textId="77777777" w:rsidR="00BD2B61" w:rsidRPr="006A5915" w:rsidRDefault="00BD2B61" w:rsidP="006A5915">
      <w:pPr>
        <w:spacing w:line="360" w:lineRule="auto"/>
        <w:rPr>
          <w:rFonts w:ascii="Arial" w:eastAsia="Open Sans" w:hAnsi="Arial" w:cs="Arial"/>
        </w:rPr>
      </w:pPr>
      <w:r w:rsidRPr="006A5915">
        <w:rPr>
          <w:rFonts w:ascii="Arial" w:eastAsia="Open Sans" w:hAnsi="Arial" w:cs="Arial"/>
        </w:rPr>
        <w:t xml:space="preserve">Welsh Government (2014) </w:t>
      </w:r>
      <w:r w:rsidRPr="006A5915">
        <w:rPr>
          <w:rFonts w:ascii="Arial" w:eastAsia="Open Sans" w:hAnsi="Arial" w:cs="Arial"/>
          <w:i/>
          <w:iCs/>
        </w:rPr>
        <w:t xml:space="preserve">Wales – a Play Friendly Country. </w:t>
      </w:r>
      <w:r w:rsidRPr="006A5915">
        <w:rPr>
          <w:rFonts w:ascii="Arial" w:eastAsia="Open Sans" w:hAnsi="Arial" w:cs="Arial"/>
        </w:rPr>
        <w:t xml:space="preserve">Available at: </w:t>
      </w:r>
      <w:hyperlink r:id="rId44" w:history="1">
        <w:r w:rsidRPr="006A5915">
          <w:rPr>
            <w:rStyle w:val="Hyperlink"/>
            <w:rFonts w:ascii="Arial" w:eastAsia="Open Sans" w:hAnsi="Arial" w:cs="Arial"/>
            <w:color w:val="auto"/>
            <w:u w:val="none"/>
          </w:rPr>
          <w:t>https://gov.wales/sites/default/files/publications/2019-07/wales-a-play-friendly-country.pdf</w:t>
        </w:r>
      </w:hyperlink>
      <w:r w:rsidRPr="006A5915">
        <w:rPr>
          <w:rFonts w:ascii="Arial" w:eastAsia="Open Sans" w:hAnsi="Arial" w:cs="Arial"/>
        </w:rPr>
        <w:t xml:space="preserve">. (Accessed: 11 October 2021). </w:t>
      </w:r>
    </w:p>
    <w:p w14:paraId="7173D900" w14:textId="77777777" w:rsidR="00BD2B61" w:rsidRPr="006A5915" w:rsidRDefault="00BD2B61" w:rsidP="006A5915">
      <w:pPr>
        <w:spacing w:line="360" w:lineRule="auto"/>
        <w:rPr>
          <w:rFonts w:ascii="Arial" w:eastAsia="Georgia" w:hAnsi="Arial" w:cs="Arial"/>
        </w:rPr>
      </w:pPr>
      <w:r w:rsidRPr="006A5915">
        <w:rPr>
          <w:rFonts w:ascii="Arial" w:eastAsia="Georgia" w:hAnsi="Arial" w:cs="Arial"/>
        </w:rPr>
        <w:t xml:space="preserve">Welsh Government (2017) </w:t>
      </w:r>
      <w:r w:rsidRPr="006A5915">
        <w:rPr>
          <w:rFonts w:ascii="Arial" w:eastAsia="Georgia" w:hAnsi="Arial" w:cs="Arial"/>
          <w:i/>
          <w:iCs/>
        </w:rPr>
        <w:t xml:space="preserve">Professional Standards for Teaching and Leadership. </w:t>
      </w:r>
      <w:r w:rsidRPr="006A5915">
        <w:rPr>
          <w:rFonts w:ascii="Arial" w:eastAsia="Georgia" w:hAnsi="Arial" w:cs="Arial"/>
        </w:rPr>
        <w:t xml:space="preserve">Available at: </w:t>
      </w:r>
      <w:hyperlink r:id="rId45">
        <w:r w:rsidRPr="006A5915">
          <w:rPr>
            <w:rStyle w:val="Hyperlink"/>
            <w:rFonts w:ascii="Arial" w:eastAsia="Georgia" w:hAnsi="Arial" w:cs="Arial"/>
            <w:color w:val="auto"/>
            <w:u w:val="none"/>
          </w:rPr>
          <w:t>https://hwb.gov.wales/api/storage/19bc948b-8a3f-41e0-944a-7bf2cadf7d18/professional-standards-for-teaching-and-leadership-interactive-pdf-for-pc.pdf</w:t>
        </w:r>
      </w:hyperlink>
      <w:r w:rsidRPr="006A5915">
        <w:rPr>
          <w:rFonts w:ascii="Arial" w:eastAsia="Georgia" w:hAnsi="Arial" w:cs="Arial"/>
        </w:rPr>
        <w:t xml:space="preserve">. (Accessed: 5 October 2021). </w:t>
      </w:r>
    </w:p>
    <w:p w14:paraId="0458DB20" w14:textId="77777777" w:rsidR="00BD2B61" w:rsidRPr="006A5915" w:rsidRDefault="00BD2B61" w:rsidP="006A5915">
      <w:pPr>
        <w:spacing w:line="360" w:lineRule="auto"/>
        <w:rPr>
          <w:rFonts w:ascii="Arial" w:eastAsia="Calibri" w:hAnsi="Arial" w:cs="Arial"/>
        </w:rPr>
      </w:pPr>
      <w:r w:rsidRPr="006A5915">
        <w:rPr>
          <w:rFonts w:ascii="Arial" w:eastAsia="Calibri" w:hAnsi="Arial" w:cs="Arial"/>
        </w:rPr>
        <w:t xml:space="preserve">Welsh Government (2020) </w:t>
      </w:r>
      <w:r w:rsidRPr="006A5915">
        <w:rPr>
          <w:rFonts w:ascii="Arial" w:eastAsia="Calibri" w:hAnsi="Arial" w:cs="Arial"/>
          <w:i/>
          <w:iCs/>
        </w:rPr>
        <w:t xml:space="preserve">Professional Standards. </w:t>
      </w:r>
      <w:r w:rsidRPr="006A5915">
        <w:rPr>
          <w:rFonts w:ascii="Arial" w:eastAsia="Calibri" w:hAnsi="Arial" w:cs="Arial"/>
        </w:rPr>
        <w:t xml:space="preserve">Available at: </w:t>
      </w:r>
      <w:hyperlink r:id="rId46">
        <w:r w:rsidRPr="006A5915">
          <w:rPr>
            <w:rStyle w:val="Hyperlink"/>
            <w:rFonts w:ascii="Arial" w:eastAsia="Calibri" w:hAnsi="Arial" w:cs="Arial"/>
            <w:color w:val="auto"/>
            <w:u w:val="none"/>
          </w:rPr>
          <w:t>https://hwb.gov.wales/professional-development/professional-standards/</w:t>
        </w:r>
      </w:hyperlink>
      <w:r w:rsidRPr="006A5915">
        <w:rPr>
          <w:rFonts w:ascii="Arial" w:eastAsia="Calibri" w:hAnsi="Arial" w:cs="Arial"/>
        </w:rPr>
        <w:t xml:space="preserve"> (Accessed: 12 October 2021). </w:t>
      </w:r>
    </w:p>
    <w:p w14:paraId="5FDB137E" w14:textId="77777777" w:rsidR="00BD2B61" w:rsidRPr="006A5915" w:rsidRDefault="00BD2B61" w:rsidP="006A5915">
      <w:pPr>
        <w:spacing w:line="360" w:lineRule="auto"/>
        <w:rPr>
          <w:rFonts w:ascii="Arial" w:eastAsia="Georgia" w:hAnsi="Arial" w:cs="Arial"/>
        </w:rPr>
      </w:pPr>
      <w:r w:rsidRPr="006A5915">
        <w:rPr>
          <w:rFonts w:ascii="Arial" w:eastAsia="Georgia" w:hAnsi="Arial" w:cs="Arial"/>
        </w:rPr>
        <w:lastRenderedPageBreak/>
        <w:t xml:space="preserve">Wheatley, K. et al. (2009) ‘Improving </w:t>
      </w:r>
      <w:proofErr w:type="spellStart"/>
      <w:r w:rsidRPr="006A5915">
        <w:rPr>
          <w:rFonts w:ascii="Arial" w:eastAsia="Georgia" w:hAnsi="Arial" w:cs="Arial"/>
        </w:rPr>
        <w:t>Behavior</w:t>
      </w:r>
      <w:proofErr w:type="spellEnd"/>
      <w:r w:rsidRPr="006A5915">
        <w:rPr>
          <w:rFonts w:ascii="Arial" w:eastAsia="Georgia" w:hAnsi="Arial" w:cs="Arial"/>
        </w:rPr>
        <w:t xml:space="preserve"> through Differential Reinforcement: A Praise Note System for </w:t>
      </w:r>
      <w:proofErr w:type="spellStart"/>
      <w:r w:rsidRPr="006A5915">
        <w:rPr>
          <w:rFonts w:ascii="Arial" w:eastAsia="Georgia" w:hAnsi="Arial" w:cs="Arial"/>
        </w:rPr>
        <w:t>Elementry</w:t>
      </w:r>
      <w:proofErr w:type="spellEnd"/>
      <w:r w:rsidRPr="006A5915">
        <w:rPr>
          <w:rFonts w:ascii="Arial" w:eastAsia="Georgia" w:hAnsi="Arial" w:cs="Arial"/>
        </w:rPr>
        <w:t xml:space="preserve"> School Students’, </w:t>
      </w:r>
      <w:r w:rsidRPr="006A5915">
        <w:rPr>
          <w:rFonts w:ascii="Arial" w:eastAsia="Georgia" w:hAnsi="Arial" w:cs="Arial"/>
          <w:i/>
          <w:iCs/>
        </w:rPr>
        <w:t xml:space="preserve">Education and </w:t>
      </w:r>
      <w:proofErr w:type="spellStart"/>
      <w:r w:rsidRPr="006A5915">
        <w:rPr>
          <w:rFonts w:ascii="Arial" w:eastAsia="Georgia" w:hAnsi="Arial" w:cs="Arial"/>
          <w:i/>
          <w:iCs/>
        </w:rPr>
        <w:t>Treatement</w:t>
      </w:r>
      <w:proofErr w:type="spellEnd"/>
      <w:r w:rsidRPr="006A5915">
        <w:rPr>
          <w:rFonts w:ascii="Arial" w:eastAsia="Georgia" w:hAnsi="Arial" w:cs="Arial"/>
          <w:i/>
          <w:iCs/>
        </w:rPr>
        <w:t xml:space="preserve"> of Children. </w:t>
      </w:r>
      <w:r w:rsidRPr="006A5915">
        <w:rPr>
          <w:rFonts w:ascii="Arial" w:eastAsia="Georgia" w:hAnsi="Arial" w:cs="Arial"/>
        </w:rPr>
        <w:t xml:space="preserve">32(4), pp. 551-571. Available at: </w:t>
      </w:r>
      <w:hyperlink r:id="rId47">
        <w:r w:rsidRPr="006A5915">
          <w:rPr>
            <w:rStyle w:val="Hyperlink"/>
            <w:rFonts w:ascii="Arial" w:eastAsia="Georgia" w:hAnsi="Arial" w:cs="Arial"/>
            <w:color w:val="auto"/>
            <w:u w:val="none"/>
          </w:rPr>
          <w:t>https://eric.ed.gov/?id=EJ859070</w:t>
        </w:r>
      </w:hyperlink>
      <w:r w:rsidRPr="006A5915">
        <w:rPr>
          <w:rFonts w:ascii="Arial" w:eastAsia="Georgia" w:hAnsi="Arial" w:cs="Arial"/>
        </w:rPr>
        <w:t xml:space="preserve">. (Accessed: 12 October 2021). </w:t>
      </w:r>
    </w:p>
    <w:p w14:paraId="7287C3CE" w14:textId="77777777" w:rsidR="00BD2B61" w:rsidRPr="006A5915" w:rsidRDefault="00BD2B61" w:rsidP="006A5915">
      <w:pPr>
        <w:spacing w:line="360" w:lineRule="auto"/>
        <w:rPr>
          <w:rFonts w:ascii="Arial" w:eastAsia="Calibri" w:hAnsi="Arial" w:cs="Arial"/>
        </w:rPr>
      </w:pPr>
      <w:proofErr w:type="spellStart"/>
      <w:r w:rsidRPr="006A5915">
        <w:rPr>
          <w:rFonts w:ascii="Arial" w:eastAsia="Calibri" w:hAnsi="Arial" w:cs="Arial"/>
        </w:rPr>
        <w:t>Zeichner</w:t>
      </w:r>
      <w:proofErr w:type="spellEnd"/>
      <w:r w:rsidRPr="006A5915">
        <w:rPr>
          <w:rFonts w:ascii="Arial" w:eastAsia="Calibri" w:hAnsi="Arial" w:cs="Arial"/>
        </w:rPr>
        <w:t xml:space="preserve">, K. and Liston, D. (1996) </w:t>
      </w:r>
      <w:r w:rsidRPr="006A5915">
        <w:rPr>
          <w:rFonts w:ascii="Arial" w:eastAsia="Calibri" w:hAnsi="Arial" w:cs="Arial"/>
          <w:i/>
          <w:iCs/>
        </w:rPr>
        <w:t xml:space="preserve">Reflective Teaching: An Introduction. </w:t>
      </w:r>
      <w:r w:rsidRPr="006A5915">
        <w:rPr>
          <w:rFonts w:ascii="Arial" w:eastAsia="Calibri" w:hAnsi="Arial" w:cs="Arial"/>
        </w:rPr>
        <w:t xml:space="preserve">Mahwah, NJ: Lawrence Erlbaum Associates. </w:t>
      </w:r>
    </w:p>
    <w:p w14:paraId="5D6F996A" w14:textId="77777777" w:rsidR="00BD2B61" w:rsidRPr="006A5915" w:rsidRDefault="00BD2B61" w:rsidP="006A5915">
      <w:pPr>
        <w:spacing w:line="360" w:lineRule="auto"/>
        <w:rPr>
          <w:rFonts w:ascii="Arial" w:eastAsia="Calibri" w:hAnsi="Arial" w:cs="Arial"/>
        </w:rPr>
      </w:pPr>
      <w:proofErr w:type="spellStart"/>
      <w:r w:rsidRPr="006A5915">
        <w:rPr>
          <w:rFonts w:ascii="Arial" w:eastAsia="Calibri" w:hAnsi="Arial" w:cs="Arial"/>
        </w:rPr>
        <w:t>Zwozdiak</w:t>
      </w:r>
      <w:proofErr w:type="spellEnd"/>
      <w:r w:rsidRPr="006A5915">
        <w:rPr>
          <w:rFonts w:ascii="Arial" w:eastAsia="Calibri" w:hAnsi="Arial" w:cs="Arial"/>
        </w:rPr>
        <w:t xml:space="preserve">-Myers, P. (2012) </w:t>
      </w:r>
      <w:r w:rsidRPr="006A5915">
        <w:rPr>
          <w:rFonts w:ascii="Arial" w:eastAsia="Calibri" w:hAnsi="Arial" w:cs="Arial"/>
          <w:i/>
          <w:iCs/>
        </w:rPr>
        <w:t>The teacher’s reflective practice handbook: becoming an extended professional through capturing evidence-informed practice</w:t>
      </w:r>
      <w:r w:rsidRPr="006A5915">
        <w:rPr>
          <w:rFonts w:ascii="Arial" w:eastAsia="Calibri" w:hAnsi="Arial" w:cs="Arial"/>
        </w:rPr>
        <w:t xml:space="preserve">. London: Routledge. </w:t>
      </w:r>
    </w:p>
    <w:p w14:paraId="7F46B1D0" w14:textId="77777777" w:rsidR="00BD2B61" w:rsidRPr="006A5915" w:rsidRDefault="00BD2B61">
      <w:pPr>
        <w:rPr>
          <w:rFonts w:ascii="Arial" w:hAnsi="Arial" w:cs="Arial"/>
        </w:rPr>
      </w:pPr>
    </w:p>
    <w:sectPr w:rsidR="00BD2B61" w:rsidRPr="006A5915">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2F716" w14:textId="77777777" w:rsidR="009539F4" w:rsidRDefault="009539F4" w:rsidP="00EA3B22">
      <w:pPr>
        <w:spacing w:after="0" w:line="240" w:lineRule="auto"/>
      </w:pPr>
      <w:r>
        <w:separator/>
      </w:r>
    </w:p>
  </w:endnote>
  <w:endnote w:type="continuationSeparator" w:id="0">
    <w:p w14:paraId="0BCC6AD2" w14:textId="77777777" w:rsidR="009539F4" w:rsidRDefault="009539F4" w:rsidP="00EA3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445677"/>
      <w:docPartObj>
        <w:docPartGallery w:val="Page Numbers (Bottom of Page)"/>
        <w:docPartUnique/>
      </w:docPartObj>
    </w:sdtPr>
    <w:sdtEndPr>
      <w:rPr>
        <w:noProof/>
      </w:rPr>
    </w:sdtEndPr>
    <w:sdtContent>
      <w:p w14:paraId="318E3089" w14:textId="1D031C3E" w:rsidR="00EA3B22" w:rsidRDefault="00EA3B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6DBCBA" w14:textId="77777777" w:rsidR="00EA3B22" w:rsidRDefault="00EA3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FC8C6" w14:textId="77777777" w:rsidR="009539F4" w:rsidRDefault="009539F4" w:rsidP="00EA3B22">
      <w:pPr>
        <w:spacing w:after="0" w:line="240" w:lineRule="auto"/>
      </w:pPr>
      <w:r>
        <w:separator/>
      </w:r>
    </w:p>
  </w:footnote>
  <w:footnote w:type="continuationSeparator" w:id="0">
    <w:p w14:paraId="19718C3C" w14:textId="77777777" w:rsidR="009539F4" w:rsidRDefault="009539F4" w:rsidP="00EA3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3EDA7" w14:textId="218C713F" w:rsidR="00EA3B22" w:rsidRDefault="00EA3B22">
    <w:pPr>
      <w:pStyle w:val="Header"/>
    </w:pPr>
    <w:r>
      <w:t>1903033</w:t>
    </w:r>
    <w:r>
      <w:ptab w:relativeTo="margin" w:alignment="center" w:leader="none"/>
    </w:r>
    <w:r>
      <w:t>ECAD6007</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F976D7"/>
    <w:multiLevelType w:val="hybridMultilevel"/>
    <w:tmpl w:val="C70C9AA6"/>
    <w:lvl w:ilvl="0" w:tplc="3CE4476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D7D"/>
    <w:rsid w:val="00132063"/>
    <w:rsid w:val="003D0D7D"/>
    <w:rsid w:val="00430906"/>
    <w:rsid w:val="004E1D83"/>
    <w:rsid w:val="006A5915"/>
    <w:rsid w:val="006A6358"/>
    <w:rsid w:val="007C4F7E"/>
    <w:rsid w:val="00924C8B"/>
    <w:rsid w:val="009539F4"/>
    <w:rsid w:val="00B07699"/>
    <w:rsid w:val="00B960EA"/>
    <w:rsid w:val="00BD2B61"/>
    <w:rsid w:val="00C36D08"/>
    <w:rsid w:val="00E3112D"/>
    <w:rsid w:val="00EA3B22"/>
    <w:rsid w:val="00EC029E"/>
    <w:rsid w:val="00EC1372"/>
    <w:rsid w:val="00FD2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59DE"/>
  <w15:chartTrackingRefBased/>
  <w15:docId w15:val="{61BFF662-3FB3-4E68-B304-2D6A0B91D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D0D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D0D7D"/>
  </w:style>
  <w:style w:type="character" w:customStyle="1" w:styleId="eop">
    <w:name w:val="eop"/>
    <w:basedOn w:val="DefaultParagraphFont"/>
    <w:rsid w:val="003D0D7D"/>
  </w:style>
  <w:style w:type="character" w:customStyle="1" w:styleId="bcx2">
    <w:name w:val="bcx2"/>
    <w:basedOn w:val="DefaultParagraphFont"/>
    <w:rsid w:val="003D0D7D"/>
  </w:style>
  <w:style w:type="character" w:styleId="Hyperlink">
    <w:name w:val="Hyperlink"/>
    <w:basedOn w:val="DefaultParagraphFont"/>
    <w:uiPriority w:val="99"/>
    <w:unhideWhenUsed/>
    <w:rsid w:val="00430906"/>
    <w:rPr>
      <w:color w:val="0563C1" w:themeColor="hyperlink"/>
      <w:u w:val="single"/>
    </w:rPr>
  </w:style>
  <w:style w:type="character" w:styleId="UnresolvedMention">
    <w:name w:val="Unresolved Mention"/>
    <w:basedOn w:val="DefaultParagraphFont"/>
    <w:uiPriority w:val="99"/>
    <w:semiHidden/>
    <w:unhideWhenUsed/>
    <w:rsid w:val="00430906"/>
    <w:rPr>
      <w:color w:val="605E5C"/>
      <w:shd w:val="clear" w:color="auto" w:fill="E1DFDD"/>
    </w:rPr>
  </w:style>
  <w:style w:type="table" w:styleId="TableGrid">
    <w:name w:val="Table Grid"/>
    <w:basedOn w:val="TableNormal"/>
    <w:uiPriority w:val="39"/>
    <w:rsid w:val="0043090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0906"/>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 w:type="character" w:styleId="Emphasis">
    <w:name w:val="Emphasis"/>
    <w:basedOn w:val="DefaultParagraphFont"/>
    <w:uiPriority w:val="20"/>
    <w:qFormat/>
    <w:rsid w:val="00BD2B61"/>
    <w:rPr>
      <w:i/>
      <w:iCs/>
    </w:rPr>
  </w:style>
  <w:style w:type="character" w:customStyle="1" w:styleId="highlight">
    <w:name w:val="highlight"/>
    <w:basedOn w:val="DefaultParagraphFont"/>
    <w:rsid w:val="00BD2B61"/>
  </w:style>
  <w:style w:type="paragraph" w:styleId="Header">
    <w:name w:val="header"/>
    <w:basedOn w:val="Normal"/>
    <w:link w:val="HeaderChar"/>
    <w:uiPriority w:val="99"/>
    <w:unhideWhenUsed/>
    <w:rsid w:val="00EA3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B22"/>
  </w:style>
  <w:style w:type="paragraph" w:styleId="Footer">
    <w:name w:val="footer"/>
    <w:basedOn w:val="Normal"/>
    <w:link w:val="FooterChar"/>
    <w:uiPriority w:val="99"/>
    <w:unhideWhenUsed/>
    <w:rsid w:val="00EA3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B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656861">
      <w:bodyDiv w:val="1"/>
      <w:marLeft w:val="0"/>
      <w:marRight w:val="0"/>
      <w:marTop w:val="0"/>
      <w:marBottom w:val="0"/>
      <w:divBdr>
        <w:top w:val="none" w:sz="0" w:space="0" w:color="auto"/>
        <w:left w:val="none" w:sz="0" w:space="0" w:color="auto"/>
        <w:bottom w:val="none" w:sz="0" w:space="0" w:color="auto"/>
        <w:right w:val="none" w:sz="0" w:space="0" w:color="auto"/>
      </w:divBdr>
      <w:divsChild>
        <w:div w:id="1680964413">
          <w:marLeft w:val="0"/>
          <w:marRight w:val="0"/>
          <w:marTop w:val="0"/>
          <w:marBottom w:val="0"/>
          <w:divBdr>
            <w:top w:val="none" w:sz="0" w:space="0" w:color="auto"/>
            <w:left w:val="none" w:sz="0" w:space="0" w:color="auto"/>
            <w:bottom w:val="none" w:sz="0" w:space="0" w:color="auto"/>
            <w:right w:val="none" w:sz="0" w:space="0" w:color="auto"/>
          </w:divBdr>
        </w:div>
        <w:div w:id="1856573529">
          <w:marLeft w:val="0"/>
          <w:marRight w:val="0"/>
          <w:marTop w:val="0"/>
          <w:marBottom w:val="0"/>
          <w:divBdr>
            <w:top w:val="none" w:sz="0" w:space="0" w:color="auto"/>
            <w:left w:val="none" w:sz="0" w:space="0" w:color="auto"/>
            <w:bottom w:val="none" w:sz="0" w:space="0" w:color="auto"/>
            <w:right w:val="none" w:sz="0" w:space="0" w:color="auto"/>
          </w:divBdr>
        </w:div>
        <w:div w:id="548960488">
          <w:marLeft w:val="0"/>
          <w:marRight w:val="0"/>
          <w:marTop w:val="0"/>
          <w:marBottom w:val="0"/>
          <w:divBdr>
            <w:top w:val="none" w:sz="0" w:space="0" w:color="auto"/>
            <w:left w:val="none" w:sz="0" w:space="0" w:color="auto"/>
            <w:bottom w:val="none" w:sz="0" w:space="0" w:color="auto"/>
            <w:right w:val="none" w:sz="0" w:space="0" w:color="auto"/>
          </w:divBdr>
        </w:div>
        <w:div w:id="144514627">
          <w:marLeft w:val="0"/>
          <w:marRight w:val="0"/>
          <w:marTop w:val="0"/>
          <w:marBottom w:val="0"/>
          <w:divBdr>
            <w:top w:val="none" w:sz="0" w:space="0" w:color="auto"/>
            <w:left w:val="none" w:sz="0" w:space="0" w:color="auto"/>
            <w:bottom w:val="none" w:sz="0" w:space="0" w:color="auto"/>
            <w:right w:val="none" w:sz="0" w:space="0" w:color="auto"/>
          </w:divBdr>
        </w:div>
        <w:div w:id="2114668585">
          <w:marLeft w:val="0"/>
          <w:marRight w:val="0"/>
          <w:marTop w:val="0"/>
          <w:marBottom w:val="0"/>
          <w:divBdr>
            <w:top w:val="none" w:sz="0" w:space="0" w:color="auto"/>
            <w:left w:val="none" w:sz="0" w:space="0" w:color="auto"/>
            <w:bottom w:val="none" w:sz="0" w:space="0" w:color="auto"/>
            <w:right w:val="none" w:sz="0" w:space="0" w:color="auto"/>
          </w:divBdr>
        </w:div>
        <w:div w:id="1926841261">
          <w:marLeft w:val="0"/>
          <w:marRight w:val="0"/>
          <w:marTop w:val="0"/>
          <w:marBottom w:val="0"/>
          <w:divBdr>
            <w:top w:val="none" w:sz="0" w:space="0" w:color="auto"/>
            <w:left w:val="none" w:sz="0" w:space="0" w:color="auto"/>
            <w:bottom w:val="none" w:sz="0" w:space="0" w:color="auto"/>
            <w:right w:val="none" w:sz="0" w:space="0" w:color="auto"/>
          </w:divBdr>
        </w:div>
        <w:div w:id="1759250587">
          <w:marLeft w:val="0"/>
          <w:marRight w:val="0"/>
          <w:marTop w:val="0"/>
          <w:marBottom w:val="0"/>
          <w:divBdr>
            <w:top w:val="none" w:sz="0" w:space="0" w:color="auto"/>
            <w:left w:val="none" w:sz="0" w:space="0" w:color="auto"/>
            <w:bottom w:val="none" w:sz="0" w:space="0" w:color="auto"/>
            <w:right w:val="none" w:sz="0" w:space="0" w:color="auto"/>
          </w:divBdr>
        </w:div>
        <w:div w:id="560823720">
          <w:marLeft w:val="0"/>
          <w:marRight w:val="0"/>
          <w:marTop w:val="0"/>
          <w:marBottom w:val="0"/>
          <w:divBdr>
            <w:top w:val="none" w:sz="0" w:space="0" w:color="auto"/>
            <w:left w:val="none" w:sz="0" w:space="0" w:color="auto"/>
            <w:bottom w:val="none" w:sz="0" w:space="0" w:color="auto"/>
            <w:right w:val="none" w:sz="0" w:space="0" w:color="auto"/>
          </w:divBdr>
        </w:div>
        <w:div w:id="974726114">
          <w:marLeft w:val="0"/>
          <w:marRight w:val="0"/>
          <w:marTop w:val="0"/>
          <w:marBottom w:val="0"/>
          <w:divBdr>
            <w:top w:val="none" w:sz="0" w:space="0" w:color="auto"/>
            <w:left w:val="none" w:sz="0" w:space="0" w:color="auto"/>
            <w:bottom w:val="none" w:sz="0" w:space="0" w:color="auto"/>
            <w:right w:val="none" w:sz="0" w:space="0" w:color="auto"/>
          </w:divBdr>
        </w:div>
        <w:div w:id="812797513">
          <w:marLeft w:val="0"/>
          <w:marRight w:val="0"/>
          <w:marTop w:val="0"/>
          <w:marBottom w:val="0"/>
          <w:divBdr>
            <w:top w:val="none" w:sz="0" w:space="0" w:color="auto"/>
            <w:left w:val="none" w:sz="0" w:space="0" w:color="auto"/>
            <w:bottom w:val="none" w:sz="0" w:space="0" w:color="auto"/>
            <w:right w:val="none" w:sz="0" w:space="0" w:color="auto"/>
          </w:divBdr>
        </w:div>
        <w:div w:id="1461069038">
          <w:marLeft w:val="0"/>
          <w:marRight w:val="0"/>
          <w:marTop w:val="0"/>
          <w:marBottom w:val="0"/>
          <w:divBdr>
            <w:top w:val="none" w:sz="0" w:space="0" w:color="auto"/>
            <w:left w:val="none" w:sz="0" w:space="0" w:color="auto"/>
            <w:bottom w:val="none" w:sz="0" w:space="0" w:color="auto"/>
            <w:right w:val="none" w:sz="0" w:space="0" w:color="auto"/>
          </w:divBdr>
        </w:div>
        <w:div w:id="1495103787">
          <w:marLeft w:val="0"/>
          <w:marRight w:val="0"/>
          <w:marTop w:val="0"/>
          <w:marBottom w:val="0"/>
          <w:divBdr>
            <w:top w:val="none" w:sz="0" w:space="0" w:color="auto"/>
            <w:left w:val="none" w:sz="0" w:space="0" w:color="auto"/>
            <w:bottom w:val="none" w:sz="0" w:space="0" w:color="auto"/>
            <w:right w:val="none" w:sz="0" w:space="0" w:color="auto"/>
          </w:divBdr>
        </w:div>
        <w:div w:id="416483684">
          <w:marLeft w:val="0"/>
          <w:marRight w:val="0"/>
          <w:marTop w:val="0"/>
          <w:marBottom w:val="0"/>
          <w:divBdr>
            <w:top w:val="none" w:sz="0" w:space="0" w:color="auto"/>
            <w:left w:val="none" w:sz="0" w:space="0" w:color="auto"/>
            <w:bottom w:val="none" w:sz="0" w:space="0" w:color="auto"/>
            <w:right w:val="none" w:sz="0" w:space="0" w:color="auto"/>
          </w:divBdr>
        </w:div>
        <w:div w:id="1194538478">
          <w:marLeft w:val="0"/>
          <w:marRight w:val="0"/>
          <w:marTop w:val="0"/>
          <w:marBottom w:val="0"/>
          <w:divBdr>
            <w:top w:val="none" w:sz="0" w:space="0" w:color="auto"/>
            <w:left w:val="none" w:sz="0" w:space="0" w:color="auto"/>
            <w:bottom w:val="none" w:sz="0" w:space="0" w:color="auto"/>
            <w:right w:val="none" w:sz="0" w:space="0" w:color="auto"/>
          </w:divBdr>
        </w:div>
        <w:div w:id="2021160824">
          <w:marLeft w:val="0"/>
          <w:marRight w:val="0"/>
          <w:marTop w:val="0"/>
          <w:marBottom w:val="0"/>
          <w:divBdr>
            <w:top w:val="none" w:sz="0" w:space="0" w:color="auto"/>
            <w:left w:val="none" w:sz="0" w:space="0" w:color="auto"/>
            <w:bottom w:val="none" w:sz="0" w:space="0" w:color="auto"/>
            <w:right w:val="none" w:sz="0" w:space="0" w:color="auto"/>
          </w:divBdr>
        </w:div>
        <w:div w:id="1797407181">
          <w:marLeft w:val="0"/>
          <w:marRight w:val="0"/>
          <w:marTop w:val="0"/>
          <w:marBottom w:val="0"/>
          <w:divBdr>
            <w:top w:val="none" w:sz="0" w:space="0" w:color="auto"/>
            <w:left w:val="none" w:sz="0" w:space="0" w:color="auto"/>
            <w:bottom w:val="none" w:sz="0" w:space="0" w:color="auto"/>
            <w:right w:val="none" w:sz="0" w:space="0" w:color="auto"/>
          </w:divBdr>
        </w:div>
        <w:div w:id="2120250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Chad-Rose/publication/235326783_Positive_and_negative_reinforcement_in_increasing_compliance_and_decreasing_problematic_behavior/links/02bfe513501c276de4000000/Positive-and-negative-reinforcement-in-increasing-compliance-and-decreasing-problematic-behavior.pdf" TargetMode="External"/><Relationship Id="rId18" Type="http://schemas.openxmlformats.org/officeDocument/2006/relationships/hyperlink" Target="https://eric.ed.gov/?id=EJ777079" TargetMode="External"/><Relationship Id="rId26" Type="http://schemas.openxmlformats.org/officeDocument/2006/relationships/hyperlink" Target="https://doi.org/10.9790/0837-0711316" TargetMode="External"/><Relationship Id="rId39" Type="http://schemas.openxmlformats.org/officeDocument/2006/relationships/hyperlink" Target="https://doi.org/10.1080/1350293X.2021.1985559" TargetMode="External"/><Relationship Id="rId21" Type="http://schemas.openxmlformats.org/officeDocument/2006/relationships/hyperlink" Target="https://www.ncbi.nlm.nih.gov/pmc/articles/PMC7216870/pdf/13034_2020_Article_329.pdf" TargetMode="External"/><Relationship Id="rId34" Type="http://schemas.openxmlformats.org/officeDocument/2006/relationships/hyperlink" Target="https://www.proquest.com/docview/2259153430?accountid=130472&amp;pq-origsite=primo" TargetMode="External"/><Relationship Id="rId42" Type="http://schemas.openxmlformats.org/officeDocument/2006/relationships/hyperlink" Target="https://www.simplypsychology.org/Bronfenbrenner.html" TargetMode="External"/><Relationship Id="rId47" Type="http://schemas.openxmlformats.org/officeDocument/2006/relationships/hyperlink" Target="https://eric.ed.gov/?id=EJ859070" TargetMode="External"/><Relationship Id="rId50"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eric.ed.gov/?id=EJ869681" TargetMode="External"/><Relationship Id="rId29" Type="http://schemas.openxmlformats.org/officeDocument/2006/relationships/hyperlink" Target="https://doi.org/10.5590/jerap.2016.06.1.06" TargetMode="External"/><Relationship Id="rId11" Type="http://schemas.openxmlformats.org/officeDocument/2006/relationships/hyperlink" Target="https://www.bera.ac.uk/news/bera-2014-a-year-in-review" TargetMode="External"/><Relationship Id="rId24" Type="http://schemas.openxmlformats.org/officeDocument/2006/relationships/hyperlink" Target="https://www.gov.uk/government/publications/learning-during-the-pandemic/learning-during-the-pandemic-review-of-research-from-england" TargetMode="External"/><Relationship Id="rId32" Type="http://schemas.openxmlformats.org/officeDocument/2006/relationships/hyperlink" Target="https://www.ncbi.nlm.nih.gov/pmc/articles/PMC4418933/" TargetMode="External"/><Relationship Id="rId37" Type="http://schemas.openxmlformats.org/officeDocument/2006/relationships/hyperlink" Target="https://journals.sagepub.com/doi/full/10.1177/2347631120983481" TargetMode="External"/><Relationship Id="rId40" Type="http://schemas.openxmlformats.org/officeDocument/2006/relationships/hyperlink" Target="http://www.savethechildren.org.uk/sites/default/files/docs/Child-PovertySnapshots-English.pdf" TargetMode="External"/><Relationship Id="rId45"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footnotes" Target="footnotes.xml"/><Relationship Id="rId15" Type="http://schemas.openxmlformats.org/officeDocument/2006/relationships/hyperlink" Target="https://www.ncbi.nlm.nih.gov/pmc/articles/PMC2203635/" TargetMode="External"/><Relationship Id="rId23" Type="http://schemas.openxmlformats.org/officeDocument/2006/relationships/hyperlink" Target="https://www.sciencedirect.com/science/article/pii/S1557308710000491" TargetMode="External"/><Relationship Id="rId28" Type="http://schemas.openxmlformats.org/officeDocument/2006/relationships/hyperlink" Target="https://doi.org/10.1111/j.1365-2214.2012.01405.x" TargetMode="External"/><Relationship Id="rId36" Type="http://schemas.openxmlformats.org/officeDocument/2006/relationships/hyperlink" Target="https://psycnet.apa.org/record/2012-18616-004" TargetMode="External"/><Relationship Id="rId49" Type="http://schemas.openxmlformats.org/officeDocument/2006/relationships/footer" Target="footer1.xml"/><Relationship Id="rId10" Type="http://schemas.openxmlformats.org/officeDocument/2006/relationships/hyperlink" Target="https://www.frontiersin.org/articles/10.3389/fpsyg.2016.01829/full" TargetMode="External"/><Relationship Id="rId19" Type="http://schemas.openxmlformats.org/officeDocument/2006/relationships/hyperlink" Target="https://www.pnas.org/content/pnas/118/17/e2022376118.full.pdf" TargetMode="External"/><Relationship Id="rId31" Type="http://schemas.openxmlformats.org/officeDocument/2006/relationships/hyperlink" Target="https://pubmed.ncbi.nlm.nih.gov/22826365/" TargetMode="External"/><Relationship Id="rId44" Type="http://schemas.openxmlformats.org/officeDocument/2006/relationships/hyperlink" Target="https://gov.wales/sites/default/files/publications/2019-07/wales-a-play-friendly-country.pdf" TargetMode="External"/><Relationship Id="rId4" Type="http://schemas.openxmlformats.org/officeDocument/2006/relationships/webSettings" Target="webSettings.xml"/><Relationship Id="rId9" Type="http://schemas.openxmlformats.org/officeDocument/2006/relationships/hyperlink" Target="https://journals.sagepub.com/doi/full/10.1177/2158244015590840" TargetMode="External"/><Relationship Id="rId14" Type="http://schemas.openxmlformats.org/officeDocument/2006/relationships/hyperlink" Target="https://www.nature.com/articles/s41598-021-81780-w" TargetMode="External"/><Relationship Id="rId22" Type="http://schemas.openxmlformats.org/officeDocument/2006/relationships/hyperlink" Target="https://ncsce.net/wp-content/uploads/2016/10/Finlay-2008-Reflecting-on-reflective-practice-PBPL-paper-52.pdf" TargetMode="External"/><Relationship Id="rId27" Type="http://schemas.openxmlformats.org/officeDocument/2006/relationships/hyperlink" Target="https://journals.sagepub.com/doi/full/10.1177/1476718X18809114" TargetMode="External"/><Relationship Id="rId30" Type="http://schemas.openxmlformats.org/officeDocument/2006/relationships/hyperlink" Target="https://www.iser.essex.ac.uk/files/projects/school-closures/SDQnote2021_final.pdf" TargetMode="External"/><Relationship Id="rId35" Type="http://schemas.openxmlformats.org/officeDocument/2006/relationships/hyperlink" Target="https://psycnet.apa.org/record/2008-11418-004" TargetMode="External"/><Relationship Id="rId43" Type="http://schemas.openxmlformats.org/officeDocument/2006/relationships/hyperlink" Target="https://www.legofoundation.com/media/1063/learning-through-play_web.pdf" TargetMode="External"/><Relationship Id="rId48"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bera.ac.uk/publication/ethical-guidelines-for-educational-research-2018" TargetMode="External"/><Relationship Id="rId17" Type="http://schemas.openxmlformats.org/officeDocument/2006/relationships/hyperlink" Target="https://www.nasuwt.org.uk/asset/A788604C-3046-4005-A1EA0EAFF023E0DD/" TargetMode="External"/><Relationship Id="rId25" Type="http://schemas.openxmlformats.org/officeDocument/2006/relationships/hyperlink" Target="https://pubmed.ncbi.nlm.nih.gov/23622851/" TargetMode="External"/><Relationship Id="rId33" Type="http://schemas.openxmlformats.org/officeDocument/2006/relationships/hyperlink" Target="https://www.tandfonline.com/doi/full/10.1080/09575140500128129" TargetMode="External"/><Relationship Id="rId38" Type="http://schemas.openxmlformats.org/officeDocument/2006/relationships/hyperlink" Target="https://dl.acm.org/doi/abs/10.1145/2967934.2968085" TargetMode="External"/><Relationship Id="rId46" Type="http://schemas.openxmlformats.org/officeDocument/2006/relationships/hyperlink" Target="https://hwb.gov.wales/professional-development/professional-standards/" TargetMode="External"/><Relationship Id="rId20" Type="http://schemas.openxmlformats.org/officeDocument/2006/relationships/hyperlink" Target="https://www.estyn.gov.wales/system/files/2020-08/Inspection%2520report%2520Gorseinon%2520Primary%2520School%25202014%2520%2528English%2520only%2529_0.pdf.pdf.pdf.pdf.pdf.pdf.pdf.pdf.pdf.pdf.pdf.pdf.pdf.pdf.pdf.pdf.pdf.pdf.pdf.pdf" TargetMode="External"/><Relationship Id="rId41" Type="http://schemas.openxmlformats.org/officeDocument/2006/relationships/hyperlink" Target="https://www.simplypsychology.org/maslow.html"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7656</Words>
  <Characters>43644</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Daly</dc:creator>
  <cp:keywords/>
  <dc:description/>
  <cp:lastModifiedBy>Hannah Daly</cp:lastModifiedBy>
  <cp:revision>2</cp:revision>
  <dcterms:created xsi:type="dcterms:W3CDTF">2021-10-28T14:50:00Z</dcterms:created>
  <dcterms:modified xsi:type="dcterms:W3CDTF">2021-10-28T14:50:00Z</dcterms:modified>
</cp:coreProperties>
</file>