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DB1039">
      <w:pPr>
        <w:jc w:val="center"/>
        <w:rPr>
          <w:sz w:val="34"/>
          <w:szCs w:val="34"/>
        </w:rPr>
      </w:pPr>
      <w:r>
        <w:drawing>
          <wp:inline distT="0" distB="0" distL="0" distR="0">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234785"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816225" cy="673100"/>
                    </a:xfrm>
                    <a:prstGeom prst="rect">
                      <a:avLst/>
                    </a:prstGeom>
                    <a:noFill/>
                    <a:ln>
                      <a:noFill/>
                    </a:ln>
                  </pic:spPr>
                </pic:pic>
              </a:graphicData>
            </a:graphic>
          </wp:inline>
        </w:drawing>
      </w:r>
    </w:p>
    <w:p w14:paraId="5E674813">
      <w:pPr>
        <w:spacing w:line="240" w:lineRule="auto"/>
        <w:jc w:val="center"/>
        <w:rPr>
          <w:sz w:val="38"/>
          <w:szCs w:val="38"/>
        </w:rPr>
      </w:pPr>
      <w:r>
        <w:rPr>
          <w:sz w:val="38"/>
          <w:szCs w:val="38"/>
        </w:rPr>
        <w:t>Master of Business Administration</w:t>
      </w:r>
    </w:p>
    <w:p w14:paraId="6BDC1828">
      <w:pPr>
        <w:spacing w:line="240" w:lineRule="auto"/>
        <w:jc w:val="center"/>
        <w:rPr>
          <w:sz w:val="32"/>
          <w:szCs w:val="32"/>
        </w:rPr>
      </w:pPr>
      <w:r>
        <w:rPr>
          <w:sz w:val="32"/>
          <w:szCs w:val="32"/>
        </w:rPr>
        <w:t>International Business pathway</w:t>
      </w:r>
    </w:p>
    <w:p w14:paraId="0B9564E3">
      <w:pPr>
        <w:jc w:val="center"/>
        <w:rPr>
          <w:sz w:val="28"/>
          <w:szCs w:val="28"/>
        </w:rPr>
      </w:pPr>
    </w:p>
    <w:p w14:paraId="7014428D">
      <w:pPr>
        <w:jc w:val="center"/>
        <w:rPr>
          <w:sz w:val="28"/>
          <w:szCs w:val="28"/>
        </w:rPr>
      </w:pPr>
      <w:r>
        <w:rPr>
          <w:sz w:val="28"/>
          <w:szCs w:val="28"/>
        </w:rPr>
        <w:drawing>
          <wp:inline distT="0" distB="0" distL="0" distR="0">
            <wp:extent cx="2257425" cy="2257425"/>
            <wp:effectExtent l="0" t="0" r="13335" b="13335"/>
            <wp:docPr id="732040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040943"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257425" cy="2257425"/>
                    </a:xfrm>
                    <a:prstGeom prst="rect">
                      <a:avLst/>
                    </a:prstGeom>
                    <a:noFill/>
                    <a:ln>
                      <a:noFill/>
                    </a:ln>
                  </pic:spPr>
                </pic:pic>
              </a:graphicData>
            </a:graphic>
          </wp:inline>
        </w:drawing>
      </w:r>
    </w:p>
    <w:p w14:paraId="0A41E62F">
      <w:pPr>
        <w:jc w:val="center"/>
        <w:rPr>
          <w:color w:val="EE0000"/>
          <w:sz w:val="32"/>
          <w:szCs w:val="32"/>
        </w:rPr>
      </w:pPr>
      <w:r>
        <w:rPr>
          <w:b/>
          <w:bCs/>
          <w:color w:val="EE0000"/>
          <w:sz w:val="48"/>
          <w:szCs w:val="48"/>
        </w:rPr>
        <w:t>Contemporary employability skills</w:t>
      </w:r>
    </w:p>
    <w:p w14:paraId="12D2BA15">
      <w:pPr>
        <w:jc w:val="center"/>
        <w:rPr>
          <w:sz w:val="28"/>
          <w:szCs w:val="28"/>
        </w:rPr>
      </w:pPr>
      <w:r>
        <w:rPr>
          <w:sz w:val="28"/>
          <w:szCs w:val="28"/>
        </w:rPr>
        <w:t xml:space="preserve">Assessment </w:t>
      </w:r>
      <w:r>
        <w:rPr>
          <w:color w:val="EE0000"/>
          <w:sz w:val="28"/>
          <w:szCs w:val="28"/>
        </w:rPr>
        <w:t>1: Individual report</w:t>
      </w:r>
      <w:r>
        <w:rPr>
          <w:sz w:val="28"/>
          <w:szCs w:val="28"/>
        </w:rPr>
        <w:t xml:space="preserve">. Weight: </w:t>
      </w:r>
      <w:r>
        <w:rPr>
          <w:color w:val="EE0000"/>
          <w:sz w:val="28"/>
          <w:szCs w:val="28"/>
        </w:rPr>
        <w:t>50%</w:t>
      </w:r>
    </w:p>
    <w:p w14:paraId="4C6BD933">
      <w:pPr>
        <w:rPr>
          <w:b/>
          <w:bCs/>
          <w:sz w:val="28"/>
          <w:szCs w:val="28"/>
        </w:rPr>
      </w:pPr>
    </w:p>
    <w:p w14:paraId="30903C42">
      <w:pPr>
        <w:rPr>
          <w:rFonts w:hint="default"/>
          <w:sz w:val="28"/>
          <w:szCs w:val="28"/>
          <w:lang w:val="en-US"/>
        </w:rPr>
      </w:pPr>
      <w:r>
        <w:rPr>
          <w:b/>
          <w:bCs/>
          <w:sz w:val="28"/>
          <w:szCs w:val="28"/>
        </w:rPr>
        <w:t>Module name:</w:t>
      </w:r>
      <w:r>
        <w:rPr>
          <w:rFonts w:hint="default"/>
          <w:b/>
          <w:bCs/>
          <w:sz w:val="28"/>
          <w:szCs w:val="28"/>
          <w:lang w:val="en-US"/>
        </w:rPr>
        <w:t xml:space="preserve"> </w:t>
      </w:r>
      <w:r>
        <w:rPr>
          <w:rFonts w:hint="default"/>
          <w:b w:val="0"/>
          <w:bCs w:val="0"/>
          <w:sz w:val="28"/>
          <w:szCs w:val="28"/>
          <w:lang w:val="en-US"/>
        </w:rPr>
        <w:t xml:space="preserve">Strategic Management </w:t>
      </w:r>
    </w:p>
    <w:p w14:paraId="20EB9B74">
      <w:pPr>
        <w:rPr>
          <w:rFonts w:hint="default"/>
          <w:sz w:val="28"/>
          <w:szCs w:val="28"/>
          <w:lang w:val="en-US"/>
        </w:rPr>
      </w:pPr>
      <w:r>
        <w:rPr>
          <w:b/>
          <w:bCs/>
          <w:sz w:val="28"/>
          <w:szCs w:val="28"/>
        </w:rPr>
        <w:t>Module code</w:t>
      </w:r>
      <w:r>
        <w:rPr>
          <w:sz w:val="28"/>
          <w:szCs w:val="28"/>
        </w:rPr>
        <w:t>:</w:t>
      </w:r>
      <w:r>
        <w:rPr>
          <w:rFonts w:hint="default"/>
          <w:sz w:val="28"/>
          <w:szCs w:val="28"/>
          <w:lang w:val="en-US"/>
        </w:rPr>
        <w:t xml:space="preserve"> </w:t>
      </w:r>
      <w:r>
        <w:rPr>
          <w:rFonts w:hint="default"/>
          <w:b w:val="0"/>
          <w:bCs w:val="0"/>
          <w:sz w:val="28"/>
          <w:szCs w:val="28"/>
          <w:lang w:val="en-US"/>
        </w:rPr>
        <w:t>LCMB7003</w:t>
      </w:r>
    </w:p>
    <w:p w14:paraId="7F526F09">
      <w:pPr>
        <w:rPr>
          <w:rFonts w:hint="default"/>
          <w:sz w:val="28"/>
          <w:szCs w:val="28"/>
          <w:lang w:val="en-US"/>
        </w:rPr>
      </w:pPr>
      <w:r>
        <w:rPr>
          <w:b/>
          <w:bCs/>
          <w:sz w:val="28"/>
          <w:szCs w:val="28"/>
        </w:rPr>
        <w:t>Lecturer name</w:t>
      </w:r>
      <w:r>
        <w:rPr>
          <w:sz w:val="28"/>
          <w:szCs w:val="28"/>
        </w:rPr>
        <w:t xml:space="preserve">: </w:t>
      </w:r>
      <w:r>
        <w:rPr>
          <w:rFonts w:hint="default"/>
          <w:sz w:val="28"/>
          <w:szCs w:val="28"/>
          <w:lang w:val="en-US"/>
        </w:rPr>
        <w:t>Hoang Nguyen</w:t>
      </w:r>
      <w:bookmarkStart w:id="20" w:name="_GoBack"/>
      <w:bookmarkEnd w:id="20"/>
    </w:p>
    <w:p w14:paraId="56B962A2">
      <w:pPr>
        <w:rPr>
          <w:sz w:val="28"/>
          <w:szCs w:val="28"/>
        </w:rPr>
      </w:pPr>
    </w:p>
    <w:p w14:paraId="16ADC80D">
      <w:pPr>
        <w:rPr>
          <w:rFonts w:hint="default"/>
          <w:sz w:val="28"/>
          <w:szCs w:val="28"/>
          <w:lang w:val="en-US"/>
        </w:rPr>
      </w:pPr>
      <w:r>
        <w:rPr>
          <w:b/>
          <w:bCs/>
          <w:sz w:val="28"/>
          <w:szCs w:val="28"/>
        </w:rPr>
        <w:t>Student name</w:t>
      </w:r>
      <w:r>
        <w:rPr>
          <w:sz w:val="28"/>
          <w:szCs w:val="28"/>
        </w:rPr>
        <w:t>:</w:t>
      </w:r>
      <w:r>
        <w:rPr>
          <w:rFonts w:hint="default"/>
          <w:sz w:val="28"/>
          <w:szCs w:val="28"/>
          <w:lang w:val="en-US"/>
        </w:rPr>
        <w:t xml:space="preserve"> Makwana Jatin</w:t>
      </w:r>
    </w:p>
    <w:p w14:paraId="582D5529">
      <w:pPr>
        <w:rPr>
          <w:rFonts w:hint="default"/>
          <w:sz w:val="28"/>
          <w:szCs w:val="28"/>
          <w:lang w:val="en-US"/>
        </w:rPr>
      </w:pPr>
      <w:r>
        <w:rPr>
          <w:b/>
          <w:bCs/>
          <w:sz w:val="28"/>
          <w:szCs w:val="28"/>
        </w:rPr>
        <w:t>Student ID</w:t>
      </w:r>
      <w:r>
        <w:rPr>
          <w:sz w:val="28"/>
          <w:szCs w:val="28"/>
        </w:rPr>
        <w:t>:</w:t>
      </w:r>
      <w:r>
        <w:rPr>
          <w:rFonts w:hint="default"/>
          <w:sz w:val="28"/>
          <w:szCs w:val="28"/>
          <w:lang w:val="en-US"/>
        </w:rPr>
        <w:t xml:space="preserve"> 2507163</w:t>
      </w:r>
    </w:p>
    <w:p w14:paraId="0E881BC0">
      <w:pPr>
        <w:rPr>
          <w:sz w:val="28"/>
          <w:szCs w:val="28"/>
        </w:rPr>
      </w:pPr>
    </w:p>
    <w:p w14:paraId="2DB6CFEA">
      <w:pPr>
        <w:rPr>
          <w:rFonts w:hint="default"/>
          <w:sz w:val="28"/>
          <w:szCs w:val="28"/>
          <w:lang w:val="en-US"/>
        </w:rPr>
      </w:pPr>
      <w:r>
        <w:rPr>
          <w:b/>
          <w:bCs/>
          <w:sz w:val="28"/>
          <w:szCs w:val="28"/>
        </w:rPr>
        <w:t>Word count</w:t>
      </w:r>
      <w:r>
        <w:rPr>
          <w:sz w:val="28"/>
          <w:szCs w:val="28"/>
        </w:rPr>
        <w:t>:</w:t>
      </w:r>
      <w:r>
        <w:rPr>
          <w:rFonts w:hint="default"/>
          <w:sz w:val="28"/>
          <w:szCs w:val="28"/>
          <w:lang w:val="en-US"/>
        </w:rPr>
        <w:t xml:space="preserve"> 5421</w:t>
      </w:r>
    </w:p>
    <w:p w14:paraId="12DEB06D">
      <w:pPr>
        <w:rPr>
          <w:rFonts w:hint="default"/>
          <w:sz w:val="28"/>
          <w:szCs w:val="28"/>
          <w:lang w:val="en-US"/>
        </w:rPr>
      </w:pPr>
      <w:r>
        <w:rPr>
          <w:b/>
          <w:bCs/>
          <w:sz w:val="28"/>
          <w:szCs w:val="28"/>
        </w:rPr>
        <w:t>Submission date</w:t>
      </w:r>
      <w:r>
        <w:rPr>
          <w:sz w:val="28"/>
          <w:szCs w:val="28"/>
        </w:rPr>
        <w:t>:</w:t>
      </w:r>
      <w:r>
        <w:rPr>
          <w:rFonts w:hint="default"/>
          <w:sz w:val="28"/>
          <w:szCs w:val="28"/>
          <w:lang w:val="en-US"/>
        </w:rPr>
        <w:t xml:space="preserve"> 11 August 2026</w:t>
      </w:r>
    </w:p>
    <w:p w14:paraId="25524037">
      <w:pPr>
        <w:spacing w:line="360" w:lineRule="auto"/>
        <w:rPr>
          <w:sz w:val="24"/>
          <w:szCs w:val="24"/>
        </w:rPr>
      </w:pPr>
    </w:p>
    <w:p w14:paraId="7857326D">
      <w:pPr>
        <w:spacing w:line="360" w:lineRule="auto"/>
        <w:rPr>
          <w:sz w:val="24"/>
          <w:szCs w:val="24"/>
        </w:rPr>
      </w:pPr>
    </w:p>
    <w:p w14:paraId="75A6F361">
      <w:pPr>
        <w:rPr>
          <w:b/>
          <w:sz w:val="24"/>
          <w:szCs w:val="24"/>
        </w:rPr>
      </w:pPr>
      <w:r>
        <w:rPr>
          <w:szCs w:val="24"/>
        </w:rPr>
        <w:br w:type="page"/>
      </w:r>
    </w:p>
    <w:p w14:paraId="44366A4C">
      <w:pPr>
        <w:pStyle w:val="2"/>
        <w:rPr>
          <w:szCs w:val="24"/>
        </w:rPr>
      </w:pPr>
      <w:r>
        <w:rPr>
          <w:szCs w:val="24"/>
        </w:rPr>
        <w:t>AI use acknowledgement</w:t>
      </w:r>
    </w:p>
    <w:p w14:paraId="7AB86B5A">
      <w:pPr>
        <w:pStyle w:val="30"/>
        <w:spacing w:line="360" w:lineRule="auto"/>
        <w:rPr>
          <w:rFonts w:ascii="Arial" w:hAnsi="Arial" w:cs="Arial"/>
          <w:sz w:val="24"/>
          <w:szCs w:val="24"/>
        </w:rPr>
      </w:pPr>
      <w:r>
        <w:rPr>
          <w:rFonts w:ascii="Arial" w:hAnsi="Arial" w:cs="Arial"/>
          <w:sz w:val="24"/>
          <w:szCs w:val="24"/>
        </w:rPr>
        <w:t>I confirm that I have not used any AI tools in the research and creation of this</w:t>
      </w:r>
    </w:p>
    <w:p w14:paraId="0FFB627F">
      <w:pPr>
        <w:pStyle w:val="30"/>
        <w:spacing w:line="360" w:lineRule="auto"/>
        <w:rPr>
          <w:rFonts w:ascii="Arial" w:hAnsi="Arial" w:cs="Arial"/>
          <w:sz w:val="24"/>
          <w:szCs w:val="24"/>
        </w:rPr>
      </w:pPr>
      <w:r>
        <w:rPr>
          <w:rFonts w:ascii="Arial" w:hAnsi="Arial" w:cs="Arial"/>
          <w:sz w:val="24"/>
          <w:szCs w:val="24"/>
        </w:rPr>
        <w:t>assignment. I confirm that I have not presented any AI generated materials as my own</w:t>
      </w:r>
    </w:p>
    <w:p w14:paraId="39FE4CEC">
      <w:pPr>
        <w:pStyle w:val="30"/>
        <w:spacing w:line="360" w:lineRule="auto"/>
        <w:rPr>
          <w:rFonts w:ascii="Arial" w:hAnsi="Arial" w:cs="Arial"/>
          <w:sz w:val="24"/>
          <w:szCs w:val="24"/>
        </w:rPr>
      </w:pPr>
      <w:r>
        <w:rPr>
          <w:rFonts w:ascii="Arial" w:hAnsi="Arial" w:cs="Arial"/>
          <w:sz w:val="24"/>
          <w:szCs w:val="24"/>
        </w:rPr>
        <w:t>work. I confirm I have copies of my drafts, notes, and other resources I used, which I</w:t>
      </w:r>
    </w:p>
    <w:p w14:paraId="6BD9C8B5">
      <w:pPr>
        <w:pStyle w:val="30"/>
        <w:spacing w:line="360" w:lineRule="auto"/>
        <w:rPr>
          <w:rFonts w:ascii="Arial" w:hAnsi="Arial" w:cs="Arial"/>
          <w:sz w:val="24"/>
          <w:szCs w:val="24"/>
        </w:rPr>
      </w:pPr>
      <w:r>
        <w:rPr>
          <w:rFonts w:ascii="Arial" w:hAnsi="Arial" w:cs="Arial"/>
          <w:sz w:val="24"/>
          <w:szCs w:val="24"/>
        </w:rPr>
        <w:t>may be asked to provide in evidence.</w:t>
      </w:r>
    </w:p>
    <w:p w14:paraId="58AAA297">
      <w:pPr>
        <w:spacing w:line="360" w:lineRule="auto"/>
        <w:rPr>
          <w:sz w:val="24"/>
          <w:szCs w:val="24"/>
        </w:rPr>
      </w:pPr>
      <w:r>
        <w:rPr>
          <w:sz w:val="24"/>
          <w:szCs w:val="24"/>
        </w:rPr>
        <w:br w:type="page"/>
      </w:r>
    </w:p>
    <w:p w14:paraId="252C6661">
      <w:pPr>
        <w:spacing w:line="360" w:lineRule="auto"/>
        <w:rPr>
          <w:sz w:val="24"/>
          <w:szCs w:val="24"/>
        </w:rPr>
      </w:pPr>
    </w:p>
    <w:sdt>
      <w:sdtPr>
        <w:rPr>
          <w:rFonts w:ascii="Arial" w:hAnsi="Arial" w:eastAsia="Arial" w:cs="Arial"/>
          <w:color w:val="000000" w:themeColor="text1"/>
          <w:sz w:val="24"/>
          <w:szCs w:val="24"/>
          <w:lang w:val="en-GB" w:eastAsia="en-IN"/>
          <w14:textFill>
            <w14:solidFill>
              <w14:schemeClr w14:val="tx1"/>
            </w14:solidFill>
          </w14:textFill>
        </w:rPr>
        <w:id w:val="-162241747"/>
        <w:docPartObj>
          <w:docPartGallery w:val="Table of Contents"/>
          <w:docPartUnique/>
        </w:docPartObj>
      </w:sdtPr>
      <w:sdtEndPr>
        <w:rPr>
          <w:rFonts w:ascii="Arial" w:hAnsi="Arial" w:eastAsia="Arial" w:cs="Arial"/>
          <w:b/>
          <w:bCs/>
          <w:color w:val="auto"/>
          <w:sz w:val="24"/>
          <w:szCs w:val="24"/>
          <w:lang w:val="en-GB" w:eastAsia="en-IN"/>
        </w:rPr>
      </w:sdtEndPr>
      <w:sdtContent>
        <w:p w14:paraId="1A53C4AC">
          <w:pPr>
            <w:pStyle w:val="25"/>
            <w:spacing w:line="360" w:lineRule="auto"/>
            <w:jc w:val="center"/>
            <w:rPr>
              <w:rFonts w:ascii="Arial" w:hAnsi="Arial" w:cs="Arial"/>
              <w:b/>
              <w:color w:val="000000" w:themeColor="text1"/>
              <w:sz w:val="24"/>
              <w:szCs w:val="24"/>
              <w:lang w:val="en-GB"/>
              <w14:textFill>
                <w14:solidFill>
                  <w14:schemeClr w14:val="tx1"/>
                </w14:solidFill>
              </w14:textFill>
            </w:rPr>
          </w:pPr>
          <w:r>
            <w:rPr>
              <w:rFonts w:ascii="Arial" w:hAnsi="Arial" w:cs="Arial"/>
              <w:b/>
              <w:color w:val="000000" w:themeColor="text1"/>
              <w:sz w:val="24"/>
              <w:szCs w:val="24"/>
              <w:lang w:val="en-GB"/>
              <w14:textFill>
                <w14:solidFill>
                  <w14:schemeClr w14:val="tx1"/>
                </w14:solidFill>
              </w14:textFill>
            </w:rPr>
            <w:t>Table of Contents</w:t>
          </w:r>
        </w:p>
        <w:p w14:paraId="5E236E3B">
          <w:pPr>
            <w:pStyle w:val="17"/>
            <w:tabs>
              <w:tab w:val="right" w:leader="dot" w:pos="9350"/>
            </w:tabs>
            <w:spacing w:line="360" w:lineRule="auto"/>
            <w:jc w:val="both"/>
            <w:rPr>
              <w:rFonts w:eastAsiaTheme="minorEastAsia"/>
              <w:sz w:val="24"/>
              <w:szCs w:val="24"/>
            </w:rPr>
          </w:pPr>
          <w:r>
            <w:rPr>
              <w:sz w:val="24"/>
              <w:szCs w:val="24"/>
            </w:rPr>
            <w:fldChar w:fldCharType="begin"/>
          </w:r>
          <w:r>
            <w:rPr>
              <w:sz w:val="24"/>
              <w:szCs w:val="24"/>
            </w:rPr>
            <w:instrText xml:space="preserve"> TOC \o "1-3" \h \z \u </w:instrText>
          </w:r>
          <w:r>
            <w:rPr>
              <w:sz w:val="24"/>
              <w:szCs w:val="24"/>
            </w:rPr>
            <w:fldChar w:fldCharType="separate"/>
          </w:r>
          <w:r>
            <w:fldChar w:fldCharType="begin"/>
          </w:r>
          <w:r>
            <w:instrText xml:space="preserve"> HYPERLINK \l "_Toc237124885" </w:instrText>
          </w:r>
          <w:r>
            <w:fldChar w:fldCharType="separate"/>
          </w:r>
          <w:r>
            <w:rPr>
              <w:rStyle w:val="14"/>
              <w:sz w:val="24"/>
              <w:szCs w:val="24"/>
            </w:rPr>
            <w:t>Section 1:</w:t>
          </w:r>
          <w:r>
            <w:rPr>
              <w:sz w:val="24"/>
              <w:szCs w:val="24"/>
            </w:rPr>
            <w:tab/>
          </w:r>
          <w:r>
            <w:rPr>
              <w:sz w:val="24"/>
              <w:szCs w:val="24"/>
            </w:rPr>
            <w:fldChar w:fldCharType="begin"/>
          </w:r>
          <w:r>
            <w:rPr>
              <w:sz w:val="24"/>
              <w:szCs w:val="24"/>
            </w:rPr>
            <w:instrText xml:space="preserve"> PAGEREF _Toc237124885 \h </w:instrText>
          </w:r>
          <w:r>
            <w:rPr>
              <w:sz w:val="24"/>
              <w:szCs w:val="24"/>
            </w:rPr>
            <w:fldChar w:fldCharType="separate"/>
          </w:r>
          <w:r>
            <w:rPr>
              <w:sz w:val="24"/>
              <w:szCs w:val="24"/>
            </w:rPr>
            <w:t>3</w:t>
          </w:r>
          <w:r>
            <w:rPr>
              <w:sz w:val="24"/>
              <w:szCs w:val="24"/>
            </w:rPr>
            <w:fldChar w:fldCharType="end"/>
          </w:r>
          <w:r>
            <w:rPr>
              <w:sz w:val="24"/>
              <w:szCs w:val="24"/>
            </w:rPr>
            <w:fldChar w:fldCharType="end"/>
          </w:r>
        </w:p>
        <w:p w14:paraId="1048AA93">
          <w:pPr>
            <w:pStyle w:val="18"/>
            <w:tabs>
              <w:tab w:val="right" w:leader="dot" w:pos="9350"/>
            </w:tabs>
            <w:spacing w:line="360" w:lineRule="auto"/>
            <w:jc w:val="both"/>
            <w:rPr>
              <w:rFonts w:eastAsiaTheme="minorEastAsia"/>
              <w:sz w:val="24"/>
              <w:szCs w:val="24"/>
            </w:rPr>
          </w:pPr>
          <w:r>
            <w:fldChar w:fldCharType="begin"/>
          </w:r>
          <w:r>
            <w:instrText xml:space="preserve"> HYPERLINK \l "_Toc237124886" </w:instrText>
          </w:r>
          <w:r>
            <w:fldChar w:fldCharType="separate"/>
          </w:r>
          <w:r>
            <w:rPr>
              <w:rStyle w:val="14"/>
              <w:sz w:val="24"/>
              <w:szCs w:val="24"/>
            </w:rPr>
            <w:t>Organisational Context and Overview</w:t>
          </w:r>
          <w:r>
            <w:rPr>
              <w:sz w:val="24"/>
              <w:szCs w:val="24"/>
            </w:rPr>
            <w:tab/>
          </w:r>
          <w:r>
            <w:rPr>
              <w:sz w:val="24"/>
              <w:szCs w:val="24"/>
            </w:rPr>
            <w:fldChar w:fldCharType="begin"/>
          </w:r>
          <w:r>
            <w:rPr>
              <w:sz w:val="24"/>
              <w:szCs w:val="24"/>
            </w:rPr>
            <w:instrText xml:space="preserve"> PAGEREF _Toc237124886 \h </w:instrText>
          </w:r>
          <w:r>
            <w:rPr>
              <w:sz w:val="24"/>
              <w:szCs w:val="24"/>
            </w:rPr>
            <w:fldChar w:fldCharType="separate"/>
          </w:r>
          <w:r>
            <w:rPr>
              <w:sz w:val="24"/>
              <w:szCs w:val="24"/>
            </w:rPr>
            <w:t>3</w:t>
          </w:r>
          <w:r>
            <w:rPr>
              <w:sz w:val="24"/>
              <w:szCs w:val="24"/>
            </w:rPr>
            <w:fldChar w:fldCharType="end"/>
          </w:r>
          <w:r>
            <w:rPr>
              <w:sz w:val="24"/>
              <w:szCs w:val="24"/>
            </w:rPr>
            <w:fldChar w:fldCharType="end"/>
          </w:r>
        </w:p>
        <w:p w14:paraId="4EC47469">
          <w:pPr>
            <w:pStyle w:val="19"/>
            <w:tabs>
              <w:tab w:val="right" w:leader="dot" w:pos="9350"/>
            </w:tabs>
            <w:spacing w:line="360" w:lineRule="auto"/>
            <w:jc w:val="both"/>
            <w:rPr>
              <w:rFonts w:eastAsiaTheme="minorEastAsia"/>
              <w:sz w:val="24"/>
              <w:szCs w:val="24"/>
            </w:rPr>
          </w:pPr>
          <w:r>
            <w:fldChar w:fldCharType="begin"/>
          </w:r>
          <w:r>
            <w:instrText xml:space="preserve"> HYPERLINK \l "_Toc237124887" </w:instrText>
          </w:r>
          <w:r>
            <w:fldChar w:fldCharType="separate"/>
          </w:r>
          <w:r>
            <w:rPr>
              <w:rStyle w:val="14"/>
              <w:sz w:val="24"/>
              <w:szCs w:val="24"/>
            </w:rPr>
            <w:t>Organisation overview:</w:t>
          </w:r>
          <w:r>
            <w:rPr>
              <w:sz w:val="24"/>
              <w:szCs w:val="24"/>
            </w:rPr>
            <w:tab/>
          </w:r>
          <w:r>
            <w:rPr>
              <w:sz w:val="24"/>
              <w:szCs w:val="24"/>
            </w:rPr>
            <w:fldChar w:fldCharType="begin"/>
          </w:r>
          <w:r>
            <w:rPr>
              <w:sz w:val="24"/>
              <w:szCs w:val="24"/>
            </w:rPr>
            <w:instrText xml:space="preserve"> PAGEREF _Toc237124887 \h </w:instrText>
          </w:r>
          <w:r>
            <w:rPr>
              <w:sz w:val="24"/>
              <w:szCs w:val="24"/>
            </w:rPr>
            <w:fldChar w:fldCharType="separate"/>
          </w:r>
          <w:r>
            <w:rPr>
              <w:sz w:val="24"/>
              <w:szCs w:val="24"/>
            </w:rPr>
            <w:t>3</w:t>
          </w:r>
          <w:r>
            <w:rPr>
              <w:sz w:val="24"/>
              <w:szCs w:val="24"/>
            </w:rPr>
            <w:fldChar w:fldCharType="end"/>
          </w:r>
          <w:r>
            <w:rPr>
              <w:sz w:val="24"/>
              <w:szCs w:val="24"/>
            </w:rPr>
            <w:fldChar w:fldCharType="end"/>
          </w:r>
        </w:p>
        <w:p w14:paraId="61B2C406">
          <w:pPr>
            <w:pStyle w:val="19"/>
            <w:tabs>
              <w:tab w:val="right" w:leader="dot" w:pos="9350"/>
            </w:tabs>
            <w:spacing w:line="360" w:lineRule="auto"/>
            <w:jc w:val="both"/>
            <w:rPr>
              <w:rFonts w:eastAsiaTheme="minorEastAsia"/>
              <w:sz w:val="24"/>
              <w:szCs w:val="24"/>
            </w:rPr>
          </w:pPr>
          <w:r>
            <w:fldChar w:fldCharType="begin"/>
          </w:r>
          <w:r>
            <w:instrText xml:space="preserve"> HYPERLINK \l "_Toc237124888" </w:instrText>
          </w:r>
          <w:r>
            <w:fldChar w:fldCharType="separate"/>
          </w:r>
          <w:r>
            <w:rPr>
              <w:rStyle w:val="14"/>
              <w:sz w:val="24"/>
              <w:szCs w:val="24"/>
            </w:rPr>
            <w:t>Mission, vision, business model</w:t>
          </w:r>
          <w:r>
            <w:rPr>
              <w:sz w:val="24"/>
              <w:szCs w:val="24"/>
            </w:rPr>
            <w:tab/>
          </w:r>
          <w:r>
            <w:rPr>
              <w:sz w:val="24"/>
              <w:szCs w:val="24"/>
            </w:rPr>
            <w:fldChar w:fldCharType="begin"/>
          </w:r>
          <w:r>
            <w:rPr>
              <w:sz w:val="24"/>
              <w:szCs w:val="24"/>
            </w:rPr>
            <w:instrText xml:space="preserve"> PAGEREF _Toc237124888 \h </w:instrText>
          </w:r>
          <w:r>
            <w:rPr>
              <w:sz w:val="24"/>
              <w:szCs w:val="24"/>
            </w:rPr>
            <w:fldChar w:fldCharType="separate"/>
          </w:r>
          <w:r>
            <w:rPr>
              <w:sz w:val="24"/>
              <w:szCs w:val="24"/>
            </w:rPr>
            <w:t>4</w:t>
          </w:r>
          <w:r>
            <w:rPr>
              <w:sz w:val="24"/>
              <w:szCs w:val="24"/>
            </w:rPr>
            <w:fldChar w:fldCharType="end"/>
          </w:r>
          <w:r>
            <w:rPr>
              <w:sz w:val="24"/>
              <w:szCs w:val="24"/>
            </w:rPr>
            <w:fldChar w:fldCharType="end"/>
          </w:r>
        </w:p>
        <w:p w14:paraId="2216F8E4">
          <w:pPr>
            <w:pStyle w:val="19"/>
            <w:tabs>
              <w:tab w:val="right" w:leader="dot" w:pos="9350"/>
            </w:tabs>
            <w:spacing w:line="360" w:lineRule="auto"/>
            <w:jc w:val="both"/>
            <w:rPr>
              <w:rFonts w:eastAsiaTheme="minorEastAsia"/>
              <w:sz w:val="24"/>
              <w:szCs w:val="24"/>
            </w:rPr>
          </w:pPr>
          <w:r>
            <w:fldChar w:fldCharType="begin"/>
          </w:r>
          <w:r>
            <w:instrText xml:space="preserve"> HYPERLINK \l "_Toc237124889" </w:instrText>
          </w:r>
          <w:r>
            <w:fldChar w:fldCharType="separate"/>
          </w:r>
          <w:r>
            <w:rPr>
              <w:rStyle w:val="14"/>
              <w:sz w:val="24"/>
              <w:szCs w:val="24"/>
            </w:rPr>
            <w:t>Key competitors</w:t>
          </w:r>
          <w:r>
            <w:rPr>
              <w:sz w:val="24"/>
              <w:szCs w:val="24"/>
            </w:rPr>
            <w:tab/>
          </w:r>
          <w:r>
            <w:rPr>
              <w:sz w:val="24"/>
              <w:szCs w:val="24"/>
            </w:rPr>
            <w:fldChar w:fldCharType="begin"/>
          </w:r>
          <w:r>
            <w:rPr>
              <w:sz w:val="24"/>
              <w:szCs w:val="24"/>
            </w:rPr>
            <w:instrText xml:space="preserve"> PAGEREF _Toc237124889 \h </w:instrText>
          </w:r>
          <w:r>
            <w:rPr>
              <w:sz w:val="24"/>
              <w:szCs w:val="24"/>
            </w:rPr>
            <w:fldChar w:fldCharType="separate"/>
          </w:r>
          <w:r>
            <w:rPr>
              <w:sz w:val="24"/>
              <w:szCs w:val="24"/>
            </w:rPr>
            <w:t>4</w:t>
          </w:r>
          <w:r>
            <w:rPr>
              <w:sz w:val="24"/>
              <w:szCs w:val="24"/>
            </w:rPr>
            <w:fldChar w:fldCharType="end"/>
          </w:r>
          <w:r>
            <w:rPr>
              <w:sz w:val="24"/>
              <w:szCs w:val="24"/>
            </w:rPr>
            <w:fldChar w:fldCharType="end"/>
          </w:r>
        </w:p>
        <w:p w14:paraId="66570D14">
          <w:pPr>
            <w:pStyle w:val="18"/>
            <w:tabs>
              <w:tab w:val="right" w:leader="dot" w:pos="9350"/>
            </w:tabs>
            <w:spacing w:line="360" w:lineRule="auto"/>
            <w:jc w:val="both"/>
            <w:rPr>
              <w:rFonts w:eastAsiaTheme="minorEastAsia"/>
              <w:sz w:val="24"/>
              <w:szCs w:val="24"/>
            </w:rPr>
          </w:pPr>
          <w:r>
            <w:fldChar w:fldCharType="begin"/>
          </w:r>
          <w:r>
            <w:instrText xml:space="preserve"> HYPERLINK \l "_Toc237124890" </w:instrText>
          </w:r>
          <w:r>
            <w:fldChar w:fldCharType="separate"/>
          </w:r>
          <w:r>
            <w:rPr>
              <w:rStyle w:val="14"/>
              <w:sz w:val="24"/>
              <w:szCs w:val="24"/>
            </w:rPr>
            <w:t>External and Internal Analysis</w:t>
          </w:r>
          <w:r>
            <w:rPr>
              <w:sz w:val="24"/>
              <w:szCs w:val="24"/>
            </w:rPr>
            <w:tab/>
          </w:r>
          <w:r>
            <w:rPr>
              <w:sz w:val="24"/>
              <w:szCs w:val="24"/>
            </w:rPr>
            <w:fldChar w:fldCharType="begin"/>
          </w:r>
          <w:r>
            <w:rPr>
              <w:sz w:val="24"/>
              <w:szCs w:val="24"/>
            </w:rPr>
            <w:instrText xml:space="preserve"> PAGEREF _Toc237124890 \h </w:instrText>
          </w:r>
          <w:r>
            <w:rPr>
              <w:sz w:val="24"/>
              <w:szCs w:val="24"/>
            </w:rPr>
            <w:fldChar w:fldCharType="separate"/>
          </w:r>
          <w:r>
            <w:rPr>
              <w:sz w:val="24"/>
              <w:szCs w:val="24"/>
            </w:rPr>
            <w:t>5</w:t>
          </w:r>
          <w:r>
            <w:rPr>
              <w:sz w:val="24"/>
              <w:szCs w:val="24"/>
            </w:rPr>
            <w:fldChar w:fldCharType="end"/>
          </w:r>
          <w:r>
            <w:rPr>
              <w:sz w:val="24"/>
              <w:szCs w:val="24"/>
            </w:rPr>
            <w:fldChar w:fldCharType="end"/>
          </w:r>
        </w:p>
        <w:p w14:paraId="349DB8B2">
          <w:pPr>
            <w:pStyle w:val="19"/>
            <w:tabs>
              <w:tab w:val="right" w:leader="dot" w:pos="9350"/>
            </w:tabs>
            <w:spacing w:line="360" w:lineRule="auto"/>
            <w:jc w:val="both"/>
            <w:rPr>
              <w:rFonts w:eastAsiaTheme="minorEastAsia"/>
              <w:sz w:val="24"/>
              <w:szCs w:val="24"/>
            </w:rPr>
          </w:pPr>
          <w:r>
            <w:fldChar w:fldCharType="begin"/>
          </w:r>
          <w:r>
            <w:instrText xml:space="preserve"> HYPERLINK \l "_Toc237124891" </w:instrText>
          </w:r>
          <w:r>
            <w:fldChar w:fldCharType="separate"/>
          </w:r>
          <w:r>
            <w:rPr>
              <w:rStyle w:val="14"/>
              <w:sz w:val="24"/>
              <w:szCs w:val="24"/>
            </w:rPr>
            <w:t>PESTLE framework</w:t>
          </w:r>
          <w:r>
            <w:rPr>
              <w:sz w:val="24"/>
              <w:szCs w:val="24"/>
            </w:rPr>
            <w:tab/>
          </w:r>
          <w:r>
            <w:rPr>
              <w:sz w:val="24"/>
              <w:szCs w:val="24"/>
            </w:rPr>
            <w:fldChar w:fldCharType="begin"/>
          </w:r>
          <w:r>
            <w:rPr>
              <w:sz w:val="24"/>
              <w:szCs w:val="24"/>
            </w:rPr>
            <w:instrText xml:space="preserve"> PAGEREF _Toc237124891 \h </w:instrText>
          </w:r>
          <w:r>
            <w:rPr>
              <w:sz w:val="24"/>
              <w:szCs w:val="24"/>
            </w:rPr>
            <w:fldChar w:fldCharType="separate"/>
          </w:r>
          <w:r>
            <w:rPr>
              <w:sz w:val="24"/>
              <w:szCs w:val="24"/>
            </w:rPr>
            <w:t>5</w:t>
          </w:r>
          <w:r>
            <w:rPr>
              <w:sz w:val="24"/>
              <w:szCs w:val="24"/>
            </w:rPr>
            <w:fldChar w:fldCharType="end"/>
          </w:r>
          <w:r>
            <w:rPr>
              <w:sz w:val="24"/>
              <w:szCs w:val="24"/>
            </w:rPr>
            <w:fldChar w:fldCharType="end"/>
          </w:r>
        </w:p>
        <w:p w14:paraId="21C344E1">
          <w:pPr>
            <w:pStyle w:val="19"/>
            <w:tabs>
              <w:tab w:val="right" w:leader="dot" w:pos="9350"/>
            </w:tabs>
            <w:spacing w:line="360" w:lineRule="auto"/>
            <w:jc w:val="both"/>
            <w:rPr>
              <w:rFonts w:eastAsiaTheme="minorEastAsia"/>
              <w:sz w:val="24"/>
              <w:szCs w:val="24"/>
            </w:rPr>
          </w:pPr>
          <w:r>
            <w:fldChar w:fldCharType="begin"/>
          </w:r>
          <w:r>
            <w:instrText xml:space="preserve"> HYPERLINK \l "_Toc237124892" </w:instrText>
          </w:r>
          <w:r>
            <w:fldChar w:fldCharType="separate"/>
          </w:r>
          <w:r>
            <w:rPr>
              <w:rStyle w:val="14"/>
              <w:sz w:val="24"/>
              <w:szCs w:val="24"/>
            </w:rPr>
            <w:t>VRIO</w:t>
          </w:r>
          <w:r>
            <w:rPr>
              <w:sz w:val="24"/>
              <w:szCs w:val="24"/>
            </w:rPr>
            <w:tab/>
          </w:r>
          <w:r>
            <w:rPr>
              <w:sz w:val="24"/>
              <w:szCs w:val="24"/>
            </w:rPr>
            <w:fldChar w:fldCharType="begin"/>
          </w:r>
          <w:r>
            <w:rPr>
              <w:sz w:val="24"/>
              <w:szCs w:val="24"/>
            </w:rPr>
            <w:instrText xml:space="preserve"> PAGEREF _Toc237124892 \h </w:instrText>
          </w:r>
          <w:r>
            <w:rPr>
              <w:sz w:val="24"/>
              <w:szCs w:val="24"/>
            </w:rPr>
            <w:fldChar w:fldCharType="separate"/>
          </w:r>
          <w:r>
            <w:rPr>
              <w:sz w:val="24"/>
              <w:szCs w:val="24"/>
            </w:rPr>
            <w:t>7</w:t>
          </w:r>
          <w:r>
            <w:rPr>
              <w:sz w:val="24"/>
              <w:szCs w:val="24"/>
            </w:rPr>
            <w:fldChar w:fldCharType="end"/>
          </w:r>
          <w:r>
            <w:rPr>
              <w:sz w:val="24"/>
              <w:szCs w:val="24"/>
            </w:rPr>
            <w:fldChar w:fldCharType="end"/>
          </w:r>
        </w:p>
        <w:p w14:paraId="5B3638C3">
          <w:pPr>
            <w:pStyle w:val="19"/>
            <w:tabs>
              <w:tab w:val="right" w:leader="dot" w:pos="9350"/>
            </w:tabs>
            <w:spacing w:line="360" w:lineRule="auto"/>
            <w:jc w:val="both"/>
            <w:rPr>
              <w:rFonts w:eastAsiaTheme="minorEastAsia"/>
              <w:sz w:val="24"/>
              <w:szCs w:val="24"/>
            </w:rPr>
          </w:pPr>
          <w:r>
            <w:fldChar w:fldCharType="begin"/>
          </w:r>
          <w:r>
            <w:instrText xml:space="preserve"> HYPERLINK \l "_Toc237124893" </w:instrText>
          </w:r>
          <w:r>
            <w:fldChar w:fldCharType="separate"/>
          </w:r>
          <w:r>
            <w:rPr>
              <w:rStyle w:val="14"/>
              <w:sz w:val="24"/>
              <w:szCs w:val="24"/>
            </w:rPr>
            <w:t>SWOT analysis</w:t>
          </w:r>
          <w:r>
            <w:rPr>
              <w:sz w:val="24"/>
              <w:szCs w:val="24"/>
            </w:rPr>
            <w:tab/>
          </w:r>
          <w:r>
            <w:rPr>
              <w:sz w:val="24"/>
              <w:szCs w:val="24"/>
            </w:rPr>
            <w:fldChar w:fldCharType="begin"/>
          </w:r>
          <w:r>
            <w:rPr>
              <w:sz w:val="24"/>
              <w:szCs w:val="24"/>
            </w:rPr>
            <w:instrText xml:space="preserve"> PAGEREF _Toc237124893 \h </w:instrText>
          </w:r>
          <w:r>
            <w:rPr>
              <w:sz w:val="24"/>
              <w:szCs w:val="24"/>
            </w:rPr>
            <w:fldChar w:fldCharType="separate"/>
          </w:r>
          <w:r>
            <w:rPr>
              <w:sz w:val="24"/>
              <w:szCs w:val="24"/>
            </w:rPr>
            <w:t>9</w:t>
          </w:r>
          <w:r>
            <w:rPr>
              <w:sz w:val="24"/>
              <w:szCs w:val="24"/>
            </w:rPr>
            <w:fldChar w:fldCharType="end"/>
          </w:r>
          <w:r>
            <w:rPr>
              <w:sz w:val="24"/>
              <w:szCs w:val="24"/>
            </w:rPr>
            <w:fldChar w:fldCharType="end"/>
          </w:r>
        </w:p>
        <w:p w14:paraId="4A2C868D">
          <w:pPr>
            <w:pStyle w:val="18"/>
            <w:tabs>
              <w:tab w:val="right" w:leader="dot" w:pos="9350"/>
            </w:tabs>
            <w:spacing w:line="360" w:lineRule="auto"/>
            <w:jc w:val="both"/>
            <w:rPr>
              <w:rFonts w:eastAsiaTheme="minorEastAsia"/>
              <w:sz w:val="24"/>
              <w:szCs w:val="24"/>
            </w:rPr>
          </w:pPr>
          <w:r>
            <w:fldChar w:fldCharType="begin"/>
          </w:r>
          <w:r>
            <w:instrText xml:space="preserve"> HYPERLINK \l "_Toc237124894" </w:instrText>
          </w:r>
          <w:r>
            <w:fldChar w:fldCharType="separate"/>
          </w:r>
          <w:r>
            <w:rPr>
              <w:rStyle w:val="14"/>
              <w:sz w:val="24"/>
              <w:szCs w:val="24"/>
            </w:rPr>
            <w:t>Comprehensive and holistic view of the organisation</w:t>
          </w:r>
          <w:r>
            <w:rPr>
              <w:sz w:val="24"/>
              <w:szCs w:val="24"/>
            </w:rPr>
            <w:tab/>
          </w:r>
          <w:r>
            <w:rPr>
              <w:sz w:val="24"/>
              <w:szCs w:val="24"/>
            </w:rPr>
            <w:fldChar w:fldCharType="begin"/>
          </w:r>
          <w:r>
            <w:rPr>
              <w:sz w:val="24"/>
              <w:szCs w:val="24"/>
            </w:rPr>
            <w:instrText xml:space="preserve"> PAGEREF _Toc237124894 \h </w:instrText>
          </w:r>
          <w:r>
            <w:rPr>
              <w:sz w:val="24"/>
              <w:szCs w:val="24"/>
            </w:rPr>
            <w:fldChar w:fldCharType="separate"/>
          </w:r>
          <w:r>
            <w:rPr>
              <w:sz w:val="24"/>
              <w:szCs w:val="24"/>
            </w:rPr>
            <w:t>10</w:t>
          </w:r>
          <w:r>
            <w:rPr>
              <w:sz w:val="24"/>
              <w:szCs w:val="24"/>
            </w:rPr>
            <w:fldChar w:fldCharType="end"/>
          </w:r>
          <w:r>
            <w:rPr>
              <w:sz w:val="24"/>
              <w:szCs w:val="24"/>
            </w:rPr>
            <w:fldChar w:fldCharType="end"/>
          </w:r>
        </w:p>
        <w:p w14:paraId="2932B6C6">
          <w:pPr>
            <w:pStyle w:val="19"/>
            <w:tabs>
              <w:tab w:val="right" w:leader="dot" w:pos="9350"/>
            </w:tabs>
            <w:spacing w:line="360" w:lineRule="auto"/>
            <w:jc w:val="both"/>
            <w:rPr>
              <w:rFonts w:eastAsiaTheme="minorEastAsia"/>
              <w:sz w:val="24"/>
              <w:szCs w:val="24"/>
            </w:rPr>
          </w:pPr>
          <w:r>
            <w:fldChar w:fldCharType="begin"/>
          </w:r>
          <w:r>
            <w:instrText xml:space="preserve"> HYPERLINK \l "_Toc237124895" </w:instrText>
          </w:r>
          <w:r>
            <w:fldChar w:fldCharType="separate"/>
          </w:r>
          <w:r>
            <w:rPr>
              <w:rStyle w:val="14"/>
              <w:sz w:val="24"/>
              <w:szCs w:val="24"/>
            </w:rPr>
            <w:t>CSR and business objective</w:t>
          </w:r>
          <w:r>
            <w:rPr>
              <w:sz w:val="24"/>
              <w:szCs w:val="24"/>
            </w:rPr>
            <w:tab/>
          </w:r>
          <w:r>
            <w:rPr>
              <w:sz w:val="24"/>
              <w:szCs w:val="24"/>
            </w:rPr>
            <w:fldChar w:fldCharType="begin"/>
          </w:r>
          <w:r>
            <w:rPr>
              <w:sz w:val="24"/>
              <w:szCs w:val="24"/>
            </w:rPr>
            <w:instrText xml:space="preserve"> PAGEREF _Toc237124895 \h </w:instrText>
          </w:r>
          <w:r>
            <w:rPr>
              <w:sz w:val="24"/>
              <w:szCs w:val="24"/>
            </w:rPr>
            <w:fldChar w:fldCharType="separate"/>
          </w:r>
          <w:r>
            <w:rPr>
              <w:sz w:val="24"/>
              <w:szCs w:val="24"/>
            </w:rPr>
            <w:t>10</w:t>
          </w:r>
          <w:r>
            <w:rPr>
              <w:sz w:val="24"/>
              <w:szCs w:val="24"/>
            </w:rPr>
            <w:fldChar w:fldCharType="end"/>
          </w:r>
          <w:r>
            <w:rPr>
              <w:sz w:val="24"/>
              <w:szCs w:val="24"/>
            </w:rPr>
            <w:fldChar w:fldCharType="end"/>
          </w:r>
        </w:p>
        <w:p w14:paraId="199AA4D2">
          <w:pPr>
            <w:pStyle w:val="19"/>
            <w:tabs>
              <w:tab w:val="right" w:leader="dot" w:pos="9350"/>
            </w:tabs>
            <w:spacing w:line="360" w:lineRule="auto"/>
            <w:jc w:val="both"/>
            <w:rPr>
              <w:rFonts w:eastAsiaTheme="minorEastAsia"/>
              <w:sz w:val="24"/>
              <w:szCs w:val="24"/>
            </w:rPr>
          </w:pPr>
          <w:r>
            <w:fldChar w:fldCharType="begin"/>
          </w:r>
          <w:r>
            <w:instrText xml:space="preserve"> HYPERLINK \l "_Toc237124896" </w:instrText>
          </w:r>
          <w:r>
            <w:fldChar w:fldCharType="separate"/>
          </w:r>
          <w:r>
            <w:rPr>
              <w:rStyle w:val="14"/>
              <w:sz w:val="24"/>
              <w:szCs w:val="24"/>
            </w:rPr>
            <w:t>Balanced scorecard</w:t>
          </w:r>
          <w:r>
            <w:rPr>
              <w:sz w:val="24"/>
              <w:szCs w:val="24"/>
            </w:rPr>
            <w:tab/>
          </w:r>
          <w:r>
            <w:rPr>
              <w:sz w:val="24"/>
              <w:szCs w:val="24"/>
            </w:rPr>
            <w:fldChar w:fldCharType="begin"/>
          </w:r>
          <w:r>
            <w:rPr>
              <w:sz w:val="24"/>
              <w:szCs w:val="24"/>
            </w:rPr>
            <w:instrText xml:space="preserve"> PAGEREF _Toc237124896 \h </w:instrText>
          </w:r>
          <w:r>
            <w:rPr>
              <w:sz w:val="24"/>
              <w:szCs w:val="24"/>
            </w:rPr>
            <w:fldChar w:fldCharType="separate"/>
          </w:r>
          <w:r>
            <w:rPr>
              <w:sz w:val="24"/>
              <w:szCs w:val="24"/>
            </w:rPr>
            <w:t>12</w:t>
          </w:r>
          <w:r>
            <w:rPr>
              <w:sz w:val="24"/>
              <w:szCs w:val="24"/>
            </w:rPr>
            <w:fldChar w:fldCharType="end"/>
          </w:r>
          <w:r>
            <w:rPr>
              <w:sz w:val="24"/>
              <w:szCs w:val="24"/>
            </w:rPr>
            <w:fldChar w:fldCharType="end"/>
          </w:r>
        </w:p>
        <w:p w14:paraId="5CB1CC6D">
          <w:pPr>
            <w:pStyle w:val="18"/>
            <w:tabs>
              <w:tab w:val="right" w:leader="dot" w:pos="9350"/>
            </w:tabs>
            <w:spacing w:line="360" w:lineRule="auto"/>
            <w:jc w:val="both"/>
            <w:rPr>
              <w:rFonts w:eastAsiaTheme="minorEastAsia"/>
              <w:sz w:val="24"/>
              <w:szCs w:val="24"/>
            </w:rPr>
          </w:pPr>
          <w:r>
            <w:fldChar w:fldCharType="begin"/>
          </w:r>
          <w:r>
            <w:instrText xml:space="preserve"> HYPERLINK \l "_Toc237124897" </w:instrText>
          </w:r>
          <w:r>
            <w:fldChar w:fldCharType="separate"/>
          </w:r>
          <w:r>
            <w:rPr>
              <w:rStyle w:val="14"/>
              <w:sz w:val="24"/>
              <w:szCs w:val="24"/>
            </w:rPr>
            <w:t>Strategic Choices and Implementation</w:t>
          </w:r>
          <w:r>
            <w:rPr>
              <w:sz w:val="24"/>
              <w:szCs w:val="24"/>
            </w:rPr>
            <w:tab/>
          </w:r>
          <w:r>
            <w:rPr>
              <w:sz w:val="24"/>
              <w:szCs w:val="24"/>
            </w:rPr>
            <w:fldChar w:fldCharType="begin"/>
          </w:r>
          <w:r>
            <w:rPr>
              <w:sz w:val="24"/>
              <w:szCs w:val="24"/>
            </w:rPr>
            <w:instrText xml:space="preserve"> PAGEREF _Toc237124897 \h </w:instrText>
          </w:r>
          <w:r>
            <w:rPr>
              <w:sz w:val="24"/>
              <w:szCs w:val="24"/>
            </w:rPr>
            <w:fldChar w:fldCharType="separate"/>
          </w:r>
          <w:r>
            <w:rPr>
              <w:sz w:val="24"/>
              <w:szCs w:val="24"/>
            </w:rPr>
            <w:t>17</w:t>
          </w:r>
          <w:r>
            <w:rPr>
              <w:sz w:val="24"/>
              <w:szCs w:val="24"/>
            </w:rPr>
            <w:fldChar w:fldCharType="end"/>
          </w:r>
          <w:r>
            <w:rPr>
              <w:sz w:val="24"/>
              <w:szCs w:val="24"/>
            </w:rPr>
            <w:fldChar w:fldCharType="end"/>
          </w:r>
        </w:p>
        <w:p w14:paraId="2BFC5E05">
          <w:pPr>
            <w:pStyle w:val="19"/>
            <w:tabs>
              <w:tab w:val="right" w:leader="dot" w:pos="9350"/>
            </w:tabs>
            <w:spacing w:line="360" w:lineRule="auto"/>
            <w:jc w:val="both"/>
            <w:rPr>
              <w:rFonts w:eastAsiaTheme="minorEastAsia"/>
              <w:sz w:val="24"/>
              <w:szCs w:val="24"/>
            </w:rPr>
          </w:pPr>
          <w:r>
            <w:fldChar w:fldCharType="begin"/>
          </w:r>
          <w:r>
            <w:instrText xml:space="preserve"> HYPERLINK \l "_Toc237124898" </w:instrText>
          </w:r>
          <w:r>
            <w:fldChar w:fldCharType="separate"/>
          </w:r>
          <w:r>
            <w:rPr>
              <w:rStyle w:val="14"/>
              <w:sz w:val="24"/>
              <w:szCs w:val="24"/>
            </w:rPr>
            <w:t>Strategic choice of IKEA</w:t>
          </w:r>
          <w:r>
            <w:rPr>
              <w:sz w:val="24"/>
              <w:szCs w:val="24"/>
            </w:rPr>
            <w:tab/>
          </w:r>
          <w:r>
            <w:rPr>
              <w:sz w:val="24"/>
              <w:szCs w:val="24"/>
            </w:rPr>
            <w:fldChar w:fldCharType="begin"/>
          </w:r>
          <w:r>
            <w:rPr>
              <w:sz w:val="24"/>
              <w:szCs w:val="24"/>
            </w:rPr>
            <w:instrText xml:space="preserve"> PAGEREF _Toc237124898 \h </w:instrText>
          </w:r>
          <w:r>
            <w:rPr>
              <w:sz w:val="24"/>
              <w:szCs w:val="24"/>
            </w:rPr>
            <w:fldChar w:fldCharType="separate"/>
          </w:r>
          <w:r>
            <w:rPr>
              <w:sz w:val="24"/>
              <w:szCs w:val="24"/>
            </w:rPr>
            <w:t>17</w:t>
          </w:r>
          <w:r>
            <w:rPr>
              <w:sz w:val="24"/>
              <w:szCs w:val="24"/>
            </w:rPr>
            <w:fldChar w:fldCharType="end"/>
          </w:r>
          <w:r>
            <w:rPr>
              <w:sz w:val="24"/>
              <w:szCs w:val="24"/>
            </w:rPr>
            <w:fldChar w:fldCharType="end"/>
          </w:r>
        </w:p>
        <w:p w14:paraId="0BAFB94A">
          <w:pPr>
            <w:pStyle w:val="19"/>
            <w:tabs>
              <w:tab w:val="right" w:leader="dot" w:pos="9350"/>
            </w:tabs>
            <w:spacing w:line="360" w:lineRule="auto"/>
            <w:jc w:val="both"/>
            <w:rPr>
              <w:rFonts w:eastAsiaTheme="minorEastAsia"/>
              <w:sz w:val="24"/>
              <w:szCs w:val="24"/>
            </w:rPr>
          </w:pPr>
          <w:r>
            <w:fldChar w:fldCharType="begin"/>
          </w:r>
          <w:r>
            <w:instrText xml:space="preserve"> HYPERLINK \l "_Toc237124899" </w:instrText>
          </w:r>
          <w:r>
            <w:fldChar w:fldCharType="separate"/>
          </w:r>
          <w:r>
            <w:rPr>
              <w:rStyle w:val="14"/>
              <w:sz w:val="24"/>
              <w:szCs w:val="24"/>
            </w:rPr>
            <w:t>Appropriate strategy for the organisation</w:t>
          </w:r>
          <w:r>
            <w:rPr>
              <w:sz w:val="24"/>
              <w:szCs w:val="24"/>
            </w:rPr>
            <w:tab/>
          </w:r>
          <w:r>
            <w:rPr>
              <w:sz w:val="24"/>
              <w:szCs w:val="24"/>
            </w:rPr>
            <w:fldChar w:fldCharType="begin"/>
          </w:r>
          <w:r>
            <w:rPr>
              <w:sz w:val="24"/>
              <w:szCs w:val="24"/>
            </w:rPr>
            <w:instrText xml:space="preserve"> PAGEREF _Toc237124899 \h </w:instrText>
          </w:r>
          <w:r>
            <w:rPr>
              <w:sz w:val="24"/>
              <w:szCs w:val="24"/>
            </w:rPr>
            <w:fldChar w:fldCharType="separate"/>
          </w:r>
          <w:r>
            <w:rPr>
              <w:sz w:val="24"/>
              <w:szCs w:val="24"/>
            </w:rPr>
            <w:t>20</w:t>
          </w:r>
          <w:r>
            <w:rPr>
              <w:sz w:val="24"/>
              <w:szCs w:val="24"/>
            </w:rPr>
            <w:fldChar w:fldCharType="end"/>
          </w:r>
          <w:r>
            <w:rPr>
              <w:sz w:val="24"/>
              <w:szCs w:val="24"/>
            </w:rPr>
            <w:fldChar w:fldCharType="end"/>
          </w:r>
        </w:p>
        <w:p w14:paraId="6F640CB1">
          <w:pPr>
            <w:pStyle w:val="19"/>
            <w:tabs>
              <w:tab w:val="right" w:leader="dot" w:pos="9350"/>
            </w:tabs>
            <w:spacing w:line="360" w:lineRule="auto"/>
            <w:jc w:val="both"/>
            <w:rPr>
              <w:rFonts w:eastAsiaTheme="minorEastAsia"/>
              <w:sz w:val="24"/>
              <w:szCs w:val="24"/>
            </w:rPr>
          </w:pPr>
          <w:r>
            <w:fldChar w:fldCharType="begin"/>
          </w:r>
          <w:r>
            <w:instrText xml:space="preserve"> HYPERLINK \l "_Toc237124900" </w:instrText>
          </w:r>
          <w:r>
            <w:fldChar w:fldCharType="separate"/>
          </w:r>
          <w:r>
            <w:rPr>
              <w:rStyle w:val="14"/>
              <w:sz w:val="24"/>
              <w:szCs w:val="24"/>
            </w:rPr>
            <w:t>Recommendation</w:t>
          </w:r>
          <w:r>
            <w:rPr>
              <w:sz w:val="24"/>
              <w:szCs w:val="24"/>
            </w:rPr>
            <w:tab/>
          </w:r>
          <w:r>
            <w:rPr>
              <w:sz w:val="24"/>
              <w:szCs w:val="24"/>
            </w:rPr>
            <w:fldChar w:fldCharType="begin"/>
          </w:r>
          <w:r>
            <w:rPr>
              <w:sz w:val="24"/>
              <w:szCs w:val="24"/>
            </w:rPr>
            <w:instrText xml:space="preserve"> PAGEREF _Toc237124900 \h </w:instrText>
          </w:r>
          <w:r>
            <w:rPr>
              <w:sz w:val="24"/>
              <w:szCs w:val="24"/>
            </w:rPr>
            <w:fldChar w:fldCharType="separate"/>
          </w:r>
          <w:r>
            <w:rPr>
              <w:sz w:val="24"/>
              <w:szCs w:val="24"/>
            </w:rPr>
            <w:t>20</w:t>
          </w:r>
          <w:r>
            <w:rPr>
              <w:sz w:val="24"/>
              <w:szCs w:val="24"/>
            </w:rPr>
            <w:fldChar w:fldCharType="end"/>
          </w:r>
          <w:r>
            <w:rPr>
              <w:sz w:val="24"/>
              <w:szCs w:val="24"/>
            </w:rPr>
            <w:fldChar w:fldCharType="end"/>
          </w:r>
        </w:p>
        <w:p w14:paraId="6C47E712">
          <w:pPr>
            <w:pStyle w:val="19"/>
            <w:tabs>
              <w:tab w:val="right" w:leader="dot" w:pos="9350"/>
            </w:tabs>
            <w:spacing w:line="360" w:lineRule="auto"/>
            <w:jc w:val="both"/>
            <w:rPr>
              <w:rFonts w:eastAsiaTheme="minorEastAsia"/>
              <w:sz w:val="24"/>
              <w:szCs w:val="24"/>
            </w:rPr>
          </w:pPr>
          <w:r>
            <w:fldChar w:fldCharType="begin"/>
          </w:r>
          <w:r>
            <w:instrText xml:space="preserve"> HYPERLINK \l "_Toc237124901" </w:instrText>
          </w:r>
          <w:r>
            <w:fldChar w:fldCharType="separate"/>
          </w:r>
          <w:r>
            <w:rPr>
              <w:rStyle w:val="14"/>
              <w:sz w:val="24"/>
              <w:szCs w:val="24"/>
            </w:rPr>
            <w:t>Potential challenges and proposed solution</w:t>
          </w:r>
          <w:r>
            <w:rPr>
              <w:sz w:val="24"/>
              <w:szCs w:val="24"/>
            </w:rPr>
            <w:tab/>
          </w:r>
          <w:r>
            <w:rPr>
              <w:sz w:val="24"/>
              <w:szCs w:val="24"/>
            </w:rPr>
            <w:fldChar w:fldCharType="begin"/>
          </w:r>
          <w:r>
            <w:rPr>
              <w:sz w:val="24"/>
              <w:szCs w:val="24"/>
            </w:rPr>
            <w:instrText xml:space="preserve"> PAGEREF _Toc237124901 \h </w:instrText>
          </w:r>
          <w:r>
            <w:rPr>
              <w:sz w:val="24"/>
              <w:szCs w:val="24"/>
            </w:rPr>
            <w:fldChar w:fldCharType="separate"/>
          </w:r>
          <w:r>
            <w:rPr>
              <w:sz w:val="24"/>
              <w:szCs w:val="24"/>
            </w:rPr>
            <w:t>22</w:t>
          </w:r>
          <w:r>
            <w:rPr>
              <w:sz w:val="24"/>
              <w:szCs w:val="24"/>
            </w:rPr>
            <w:fldChar w:fldCharType="end"/>
          </w:r>
          <w:r>
            <w:rPr>
              <w:sz w:val="24"/>
              <w:szCs w:val="24"/>
            </w:rPr>
            <w:fldChar w:fldCharType="end"/>
          </w:r>
        </w:p>
        <w:p w14:paraId="1D7898A6">
          <w:pPr>
            <w:pStyle w:val="17"/>
            <w:tabs>
              <w:tab w:val="right" w:leader="dot" w:pos="9350"/>
            </w:tabs>
            <w:spacing w:line="360" w:lineRule="auto"/>
            <w:jc w:val="both"/>
            <w:rPr>
              <w:rFonts w:eastAsiaTheme="minorEastAsia"/>
              <w:sz w:val="24"/>
              <w:szCs w:val="24"/>
            </w:rPr>
          </w:pPr>
          <w:r>
            <w:fldChar w:fldCharType="begin"/>
          </w:r>
          <w:r>
            <w:instrText xml:space="preserve"> HYPERLINK \l "_Toc237124902" </w:instrText>
          </w:r>
          <w:r>
            <w:fldChar w:fldCharType="separate"/>
          </w:r>
          <w:r>
            <w:rPr>
              <w:rStyle w:val="14"/>
              <w:sz w:val="24"/>
              <w:szCs w:val="24"/>
            </w:rPr>
            <w:t>Section 2</w:t>
          </w:r>
          <w:r>
            <w:rPr>
              <w:sz w:val="24"/>
              <w:szCs w:val="24"/>
            </w:rPr>
            <w:tab/>
          </w:r>
          <w:r>
            <w:rPr>
              <w:sz w:val="24"/>
              <w:szCs w:val="24"/>
            </w:rPr>
            <w:fldChar w:fldCharType="begin"/>
          </w:r>
          <w:r>
            <w:rPr>
              <w:sz w:val="24"/>
              <w:szCs w:val="24"/>
            </w:rPr>
            <w:instrText xml:space="preserve"> PAGEREF _Toc237124902 \h </w:instrText>
          </w:r>
          <w:r>
            <w:rPr>
              <w:sz w:val="24"/>
              <w:szCs w:val="24"/>
            </w:rPr>
            <w:fldChar w:fldCharType="separate"/>
          </w:r>
          <w:r>
            <w:rPr>
              <w:sz w:val="24"/>
              <w:szCs w:val="24"/>
            </w:rPr>
            <w:t>23</w:t>
          </w:r>
          <w:r>
            <w:rPr>
              <w:sz w:val="24"/>
              <w:szCs w:val="24"/>
            </w:rPr>
            <w:fldChar w:fldCharType="end"/>
          </w:r>
          <w:r>
            <w:rPr>
              <w:sz w:val="24"/>
              <w:szCs w:val="24"/>
            </w:rPr>
            <w:fldChar w:fldCharType="end"/>
          </w:r>
        </w:p>
        <w:p w14:paraId="3684DC91">
          <w:pPr>
            <w:pStyle w:val="18"/>
            <w:tabs>
              <w:tab w:val="right" w:leader="dot" w:pos="9350"/>
            </w:tabs>
            <w:spacing w:line="360" w:lineRule="auto"/>
            <w:jc w:val="both"/>
            <w:rPr>
              <w:rFonts w:eastAsiaTheme="minorEastAsia"/>
              <w:sz w:val="24"/>
              <w:szCs w:val="24"/>
            </w:rPr>
          </w:pPr>
          <w:r>
            <w:fldChar w:fldCharType="begin"/>
          </w:r>
          <w:r>
            <w:instrText xml:space="preserve"> HYPERLINK \l "_Toc237124903" </w:instrText>
          </w:r>
          <w:r>
            <w:fldChar w:fldCharType="separate"/>
          </w:r>
          <w:r>
            <w:rPr>
              <w:rStyle w:val="14"/>
              <w:sz w:val="24"/>
              <w:szCs w:val="24"/>
            </w:rPr>
            <w:t>Reflection</w:t>
          </w:r>
          <w:r>
            <w:rPr>
              <w:sz w:val="24"/>
              <w:szCs w:val="24"/>
            </w:rPr>
            <w:tab/>
          </w:r>
          <w:r>
            <w:rPr>
              <w:sz w:val="24"/>
              <w:szCs w:val="24"/>
            </w:rPr>
            <w:fldChar w:fldCharType="begin"/>
          </w:r>
          <w:r>
            <w:rPr>
              <w:sz w:val="24"/>
              <w:szCs w:val="24"/>
            </w:rPr>
            <w:instrText xml:space="preserve"> PAGEREF _Toc237124903 \h </w:instrText>
          </w:r>
          <w:r>
            <w:rPr>
              <w:sz w:val="24"/>
              <w:szCs w:val="24"/>
            </w:rPr>
            <w:fldChar w:fldCharType="separate"/>
          </w:r>
          <w:r>
            <w:rPr>
              <w:sz w:val="24"/>
              <w:szCs w:val="24"/>
            </w:rPr>
            <w:t>23</w:t>
          </w:r>
          <w:r>
            <w:rPr>
              <w:sz w:val="24"/>
              <w:szCs w:val="24"/>
            </w:rPr>
            <w:fldChar w:fldCharType="end"/>
          </w:r>
          <w:r>
            <w:rPr>
              <w:sz w:val="24"/>
              <w:szCs w:val="24"/>
            </w:rPr>
            <w:fldChar w:fldCharType="end"/>
          </w:r>
        </w:p>
        <w:p w14:paraId="220E6C5C">
          <w:pPr>
            <w:pStyle w:val="17"/>
            <w:tabs>
              <w:tab w:val="right" w:leader="dot" w:pos="9350"/>
            </w:tabs>
            <w:spacing w:line="360" w:lineRule="auto"/>
            <w:jc w:val="both"/>
            <w:rPr>
              <w:rFonts w:eastAsiaTheme="minorEastAsia"/>
              <w:sz w:val="24"/>
              <w:szCs w:val="24"/>
            </w:rPr>
          </w:pPr>
          <w:r>
            <w:fldChar w:fldCharType="begin"/>
          </w:r>
          <w:r>
            <w:instrText xml:space="preserve"> HYPERLINK \l "_Toc237124904" </w:instrText>
          </w:r>
          <w:r>
            <w:fldChar w:fldCharType="separate"/>
          </w:r>
          <w:r>
            <w:rPr>
              <w:rStyle w:val="14"/>
              <w:sz w:val="24"/>
              <w:szCs w:val="24"/>
            </w:rPr>
            <w:t>References</w:t>
          </w:r>
          <w:r>
            <w:rPr>
              <w:sz w:val="24"/>
              <w:szCs w:val="24"/>
            </w:rPr>
            <w:tab/>
          </w:r>
          <w:r>
            <w:rPr>
              <w:sz w:val="24"/>
              <w:szCs w:val="24"/>
            </w:rPr>
            <w:fldChar w:fldCharType="begin"/>
          </w:r>
          <w:r>
            <w:rPr>
              <w:sz w:val="24"/>
              <w:szCs w:val="24"/>
            </w:rPr>
            <w:instrText xml:space="preserve"> PAGEREF _Toc237124904 \h </w:instrText>
          </w:r>
          <w:r>
            <w:rPr>
              <w:sz w:val="24"/>
              <w:szCs w:val="24"/>
            </w:rPr>
            <w:fldChar w:fldCharType="separate"/>
          </w:r>
          <w:r>
            <w:rPr>
              <w:sz w:val="24"/>
              <w:szCs w:val="24"/>
            </w:rPr>
            <w:t>26</w:t>
          </w:r>
          <w:r>
            <w:rPr>
              <w:sz w:val="24"/>
              <w:szCs w:val="24"/>
            </w:rPr>
            <w:fldChar w:fldCharType="end"/>
          </w:r>
          <w:r>
            <w:rPr>
              <w:sz w:val="24"/>
              <w:szCs w:val="24"/>
            </w:rPr>
            <w:fldChar w:fldCharType="end"/>
          </w:r>
        </w:p>
        <w:p w14:paraId="1AACBD40">
          <w:pPr>
            <w:spacing w:line="360" w:lineRule="auto"/>
            <w:jc w:val="both"/>
            <w:rPr>
              <w:sz w:val="24"/>
              <w:szCs w:val="24"/>
            </w:rPr>
          </w:pPr>
          <w:r>
            <w:rPr>
              <w:b/>
              <w:bCs/>
              <w:sz w:val="24"/>
              <w:szCs w:val="24"/>
            </w:rPr>
            <w:fldChar w:fldCharType="end"/>
          </w:r>
        </w:p>
      </w:sdtContent>
    </w:sdt>
    <w:p w14:paraId="3C6246A2">
      <w:pPr>
        <w:spacing w:line="360" w:lineRule="auto"/>
        <w:jc w:val="both"/>
        <w:rPr>
          <w:rFonts w:eastAsia="Times New Roman"/>
          <w:b/>
          <w:bCs/>
          <w:sz w:val="24"/>
          <w:szCs w:val="24"/>
        </w:rPr>
      </w:pPr>
    </w:p>
    <w:p w14:paraId="012B2DD8">
      <w:pPr>
        <w:spacing w:line="360" w:lineRule="auto"/>
        <w:rPr>
          <w:b/>
          <w:sz w:val="24"/>
          <w:szCs w:val="24"/>
        </w:rPr>
      </w:pPr>
      <w:r>
        <w:rPr>
          <w:sz w:val="24"/>
          <w:szCs w:val="24"/>
        </w:rPr>
        <w:br w:type="page"/>
      </w:r>
    </w:p>
    <w:p w14:paraId="02D90EDC">
      <w:pPr>
        <w:pStyle w:val="2"/>
        <w:rPr>
          <w:szCs w:val="24"/>
        </w:rPr>
      </w:pPr>
      <w:bookmarkStart w:id="0" w:name="_Toc237124885"/>
      <w:r>
        <w:rPr>
          <w:szCs w:val="24"/>
        </w:rPr>
        <w:t>Section 1:</w:t>
      </w:r>
      <w:bookmarkEnd w:id="0"/>
      <w:r>
        <w:rPr>
          <w:szCs w:val="24"/>
        </w:rPr>
        <w:t xml:space="preserve"> </w:t>
      </w:r>
    </w:p>
    <w:p w14:paraId="4E159094">
      <w:pPr>
        <w:pStyle w:val="3"/>
        <w:rPr>
          <w:szCs w:val="24"/>
        </w:rPr>
      </w:pPr>
      <w:bookmarkStart w:id="1" w:name="_Toc237124886"/>
      <w:r>
        <w:rPr>
          <w:szCs w:val="24"/>
        </w:rPr>
        <w:t>Organisational Context and Overview</w:t>
      </w:r>
      <w:bookmarkEnd w:id="1"/>
      <w:r>
        <w:rPr>
          <w:szCs w:val="24"/>
        </w:rPr>
        <w:t xml:space="preserve"> </w:t>
      </w:r>
    </w:p>
    <w:p w14:paraId="2C584A0B">
      <w:pPr>
        <w:pStyle w:val="4"/>
        <w:rPr>
          <w:szCs w:val="24"/>
        </w:rPr>
      </w:pPr>
      <w:bookmarkStart w:id="2" w:name="_Toc237124887"/>
      <w:r>
        <w:rPr>
          <w:szCs w:val="24"/>
        </w:rPr>
        <w:t>Organisation overview:</w:t>
      </w:r>
      <w:bookmarkEnd w:id="2"/>
    </w:p>
    <w:p w14:paraId="521D5E63">
      <w:pPr>
        <w:spacing w:line="360" w:lineRule="auto"/>
        <w:jc w:val="both"/>
        <w:rPr>
          <w:rFonts w:eastAsia="Times New Roman"/>
          <w:sz w:val="24"/>
          <w:szCs w:val="24"/>
        </w:rPr>
      </w:pPr>
      <w:r>
        <w:rPr>
          <w:rFonts w:eastAsia="Times New Roman"/>
          <w:sz w:val="24"/>
          <w:szCs w:val="24"/>
        </w:rPr>
        <w:t xml:space="preserve">IKEA was established in 1974 and has since developed a retail network comprising large warehouse stores, smaller planning studios, and integrated digital shopping platforms. The company was founded by Ingvar Kamprad. In the early years, he imported pens, watches and nylon stockings; later, he added furniture to the range (IKEA, 2026a).  In Germany, IKEA operates its largest and one of its most significant markets worldwide, with a network of 54 stores across the country. The largest IKEA store is located in Berlin, Tempelhof, with about 42,971 sq meters (IKEA, 2026 b). In Germany in 2024, the company achieved a revenue of €6.16 billion, indicating that Germany remains one of IKEA's largest and most profitable markets globally. (Yahoo Finance, 2024).  However, in 2024, the company experienced a fall in revenue of 4.3% in Germany and a global decline of 5.3%, largely due to lower price cuts on core products to attract cash-strapped consumers and gain market share in competitive markets (Yahoo Finance, 2024). </w:t>
      </w:r>
    </w:p>
    <w:p w14:paraId="4BBAE65D">
      <w:pPr>
        <w:spacing w:line="360" w:lineRule="auto"/>
        <w:jc w:val="center"/>
        <w:rPr>
          <w:rFonts w:eastAsia="Times New Roman"/>
          <w:sz w:val="24"/>
          <w:szCs w:val="24"/>
        </w:rPr>
      </w:pPr>
      <w:r>
        <w:rPr>
          <w:rFonts w:eastAsia="Times New Roman"/>
          <w:sz w:val="24"/>
          <w:szCs w:val="24"/>
        </w:rPr>
        <w:drawing>
          <wp:inline distT="114300" distB="114300" distL="114300" distR="114300">
            <wp:extent cx="4632960" cy="30861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referRelativeResize="0"/>
                  </pic:nvPicPr>
                  <pic:blipFill>
                    <a:blip r:embed="rId9"/>
                    <a:srcRect/>
                    <a:stretch>
                      <a:fillRect/>
                    </a:stretch>
                  </pic:blipFill>
                  <pic:spPr>
                    <a:xfrm>
                      <a:off x="0" y="0"/>
                      <a:ext cx="4636454" cy="3088180"/>
                    </a:xfrm>
                    <a:prstGeom prst="rect">
                      <a:avLst/>
                    </a:prstGeom>
                  </pic:spPr>
                </pic:pic>
              </a:graphicData>
            </a:graphic>
          </wp:inline>
        </w:drawing>
      </w:r>
    </w:p>
    <w:p w14:paraId="5C2454ED">
      <w:pPr>
        <w:spacing w:line="360" w:lineRule="auto"/>
        <w:jc w:val="center"/>
        <w:rPr>
          <w:rFonts w:eastAsia="Times New Roman"/>
          <w:sz w:val="24"/>
          <w:szCs w:val="24"/>
        </w:rPr>
      </w:pPr>
      <w:r>
        <w:rPr>
          <w:rFonts w:eastAsia="Times New Roman"/>
          <w:sz w:val="24"/>
          <w:szCs w:val="24"/>
        </w:rPr>
        <w:t>Figure 1: sales share of IKEA in 2025 by region</w:t>
      </w:r>
    </w:p>
    <w:p w14:paraId="78DAEB73">
      <w:pPr>
        <w:spacing w:line="360" w:lineRule="auto"/>
        <w:jc w:val="center"/>
        <w:rPr>
          <w:rFonts w:eastAsia="Times New Roman"/>
          <w:sz w:val="24"/>
          <w:szCs w:val="24"/>
        </w:rPr>
      </w:pPr>
      <w:r>
        <w:rPr>
          <w:rFonts w:eastAsia="Times New Roman"/>
          <w:sz w:val="24"/>
          <w:szCs w:val="24"/>
        </w:rPr>
        <w:t>(Source: Statista, 2025)</w:t>
      </w:r>
    </w:p>
    <w:p w14:paraId="01879570">
      <w:pPr>
        <w:pStyle w:val="4"/>
        <w:rPr>
          <w:szCs w:val="24"/>
        </w:rPr>
      </w:pPr>
      <w:bookmarkStart w:id="3" w:name="_Toc237124888"/>
      <w:r>
        <w:rPr>
          <w:szCs w:val="24"/>
        </w:rPr>
        <w:t>Mission, vision, business model</w:t>
      </w:r>
      <w:bookmarkEnd w:id="3"/>
    </w:p>
    <w:p w14:paraId="497CAA80">
      <w:pPr>
        <w:spacing w:line="360" w:lineRule="auto"/>
        <w:jc w:val="both"/>
        <w:rPr>
          <w:rFonts w:eastAsia="Times New Roman"/>
          <w:sz w:val="24"/>
          <w:szCs w:val="24"/>
        </w:rPr>
      </w:pPr>
      <w:r>
        <w:rPr>
          <w:rFonts w:eastAsia="Times New Roman"/>
          <w:b/>
          <w:bCs/>
          <w:sz w:val="24"/>
          <w:szCs w:val="24"/>
        </w:rPr>
        <w:t>Mission-</w:t>
      </w:r>
      <w:r>
        <w:rPr>
          <w:rFonts w:eastAsia="Times New Roman"/>
          <w:sz w:val="24"/>
          <w:szCs w:val="24"/>
        </w:rPr>
        <w:t xml:space="preserve"> The mission of IKEA is to offer well-designed, functional home furnishing furniture at low prices to customers. Moreover, its mission is to penetrate the localised market and adopt sustainable operations, focusing on the demographic who can afford them, expand on massive suburban warehouses and integrate an omnichannel strategy (Stratrix, 2025). </w:t>
      </w:r>
    </w:p>
    <w:p w14:paraId="4EA5CEE9">
      <w:pPr>
        <w:spacing w:line="360" w:lineRule="auto"/>
        <w:jc w:val="both"/>
        <w:rPr>
          <w:rFonts w:eastAsia="Times New Roman"/>
          <w:sz w:val="24"/>
          <w:szCs w:val="24"/>
        </w:rPr>
      </w:pPr>
      <w:r>
        <w:rPr>
          <w:rFonts w:eastAsia="Times New Roman"/>
          <w:b/>
          <w:bCs/>
          <w:sz w:val="24"/>
          <w:szCs w:val="24"/>
        </w:rPr>
        <w:t xml:space="preserve">Vision- </w:t>
      </w:r>
      <w:r>
        <w:rPr>
          <w:rFonts w:eastAsia="Times New Roman"/>
          <w:sz w:val="24"/>
          <w:szCs w:val="24"/>
        </w:rPr>
        <w:t xml:space="preserve">IKEA's vision is to create a better everyday life for the many people by making sustainable, well-designed, and affordable home furnishings accessible while creating a positive impact on people and the planet. The company aims to adopt a sustainable approach and generate a positive impact on communities where they source raw materials, along with helping customers live a sustainable life (IKEA, 2026c). </w:t>
      </w:r>
    </w:p>
    <w:p w14:paraId="49FFA0DA">
      <w:pPr>
        <w:spacing w:line="360" w:lineRule="auto"/>
        <w:jc w:val="both"/>
        <w:rPr>
          <w:rFonts w:eastAsia="Times New Roman"/>
          <w:sz w:val="24"/>
          <w:szCs w:val="24"/>
        </w:rPr>
      </w:pPr>
      <w:r>
        <w:rPr>
          <w:rFonts w:eastAsia="Times New Roman"/>
          <w:b/>
          <w:bCs/>
          <w:sz w:val="24"/>
          <w:szCs w:val="24"/>
        </w:rPr>
        <w:t>Business model-</w:t>
      </w:r>
      <w:r>
        <w:rPr>
          <w:rFonts w:eastAsia="Times New Roman"/>
          <w:sz w:val="24"/>
          <w:szCs w:val="24"/>
        </w:rPr>
        <w:t xml:space="preserve"> IKEA's business model focuses on low-cost, vertically integrated retail and franchises built around flat-pack design, democratic design, customer co-creation and immersive super stores (IKEA, 2026d). The company's business model aims to provide the privileges of adaptation and create psychological mechanisms through flat-pack, DIY assembly that increase the value of the product while reducing costs. Its key competitive advantage is its extensive knowledge about the customers.  </w:t>
      </w:r>
    </w:p>
    <w:p w14:paraId="6ECAADB9">
      <w:pPr>
        <w:pStyle w:val="4"/>
        <w:rPr>
          <w:szCs w:val="24"/>
        </w:rPr>
      </w:pPr>
      <w:bookmarkStart w:id="4" w:name="_Toc237124889"/>
      <w:r>
        <w:rPr>
          <w:szCs w:val="24"/>
        </w:rPr>
        <w:t>Key competitors</w:t>
      </w:r>
      <w:bookmarkEnd w:id="4"/>
    </w:p>
    <w:p w14:paraId="4216941D">
      <w:pPr>
        <w:spacing w:line="360" w:lineRule="auto"/>
        <w:jc w:val="both"/>
        <w:rPr>
          <w:rFonts w:eastAsia="Times New Roman"/>
          <w:sz w:val="24"/>
          <w:szCs w:val="24"/>
        </w:rPr>
      </w:pPr>
      <w:r>
        <w:rPr>
          <w:rFonts w:eastAsia="Times New Roman"/>
          <w:sz w:val="24"/>
          <w:szCs w:val="24"/>
        </w:rPr>
        <w:t xml:space="preserve">The German furniture retail industry is characterised by intense competition, driven by growing consumer demand for affordable, high-quality, and sustainable home furnishing products, alongside the rapid expansion of omnichannel retailing. The German furniture retail market is projected to generate approximately US$52.26 billion in revenue in 2025 and is expected to grow at a compound annual growth rate (CAGR) of 4.12% between 2025 and 2030. It is driven by increasing consumer demand for sustainable, functional, and digitally enabled home furnishing solutions. In Germany, the key competitors of IKEA in the furniture retail industry are XXXLutz, KG, Nobilia AB, Roller and Home 24 (Motor intelligence, 2025). In 2025, IKEA held a dominant position in the German furniture retail market, accounting for 15.4% of total industry sales (Statista, 2025). IKEA commands high online engagement of digital visits, which increased by about 4.6% in 2025, eventually increasing e-commerce transactions (INGKA, 2025). In the midst of inflation, the company faced global declines of 5.3% in fiscal 2024 due to high inflation, rising interest rates, and variable consumer demand and cut prices on products. Online visitors grew, but physical store visits dropped by 2.9% in Germany (Yahoo Finance, 2025). </w:t>
      </w:r>
    </w:p>
    <w:p w14:paraId="773CF47F">
      <w:pPr>
        <w:spacing w:line="360" w:lineRule="auto"/>
        <w:jc w:val="both"/>
        <w:rPr>
          <w:rFonts w:eastAsia="Times New Roman"/>
          <w:sz w:val="24"/>
          <w:szCs w:val="24"/>
        </w:rPr>
      </w:pPr>
    </w:p>
    <w:p w14:paraId="787CB5C7">
      <w:pPr>
        <w:spacing w:line="360" w:lineRule="auto"/>
        <w:jc w:val="both"/>
        <w:rPr>
          <w:rFonts w:eastAsia="Times New Roman"/>
          <w:sz w:val="24"/>
          <w:szCs w:val="24"/>
        </w:rPr>
      </w:pPr>
    </w:p>
    <w:p w14:paraId="6356870E">
      <w:pPr>
        <w:spacing w:line="360" w:lineRule="auto"/>
        <w:jc w:val="center"/>
        <w:rPr>
          <w:rFonts w:eastAsia="Times New Roman"/>
          <w:sz w:val="24"/>
          <w:szCs w:val="24"/>
        </w:rPr>
      </w:pPr>
      <w:r>
        <w:rPr>
          <w:rFonts w:eastAsia="Times New Roman"/>
          <w:sz w:val="24"/>
          <w:szCs w:val="24"/>
          <w:lang w:val="en-IN"/>
        </w:rPr>
        <w:drawing>
          <wp:inline distT="114300" distB="114300" distL="114300" distR="114300">
            <wp:extent cx="5267325" cy="35052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referRelativeResize="0"/>
                  </pic:nvPicPr>
                  <pic:blipFill>
                    <a:blip r:embed="rId10"/>
                    <a:srcRect/>
                    <a:stretch>
                      <a:fillRect/>
                    </a:stretch>
                  </pic:blipFill>
                  <pic:spPr>
                    <a:xfrm>
                      <a:off x="0" y="0"/>
                      <a:ext cx="5267325" cy="3505200"/>
                    </a:xfrm>
                    <a:prstGeom prst="rect">
                      <a:avLst/>
                    </a:prstGeom>
                  </pic:spPr>
                </pic:pic>
              </a:graphicData>
            </a:graphic>
          </wp:inline>
        </w:drawing>
      </w:r>
    </w:p>
    <w:p w14:paraId="0988165B">
      <w:pPr>
        <w:spacing w:line="360" w:lineRule="auto"/>
        <w:jc w:val="center"/>
        <w:rPr>
          <w:rFonts w:eastAsia="Times New Roman"/>
          <w:sz w:val="24"/>
          <w:szCs w:val="24"/>
        </w:rPr>
      </w:pPr>
      <w:r>
        <w:rPr>
          <w:rFonts w:eastAsia="Times New Roman"/>
          <w:sz w:val="24"/>
          <w:szCs w:val="24"/>
        </w:rPr>
        <w:t>Figure 2: Leading five selling countries for IKEA products as share of sales in 2025</w:t>
      </w:r>
    </w:p>
    <w:p w14:paraId="44CE549C">
      <w:pPr>
        <w:spacing w:line="360" w:lineRule="auto"/>
        <w:jc w:val="center"/>
        <w:rPr>
          <w:rFonts w:eastAsia="Times New Roman"/>
          <w:sz w:val="24"/>
          <w:szCs w:val="24"/>
        </w:rPr>
      </w:pPr>
      <w:r>
        <w:rPr>
          <w:rFonts w:eastAsia="Times New Roman"/>
          <w:sz w:val="24"/>
          <w:szCs w:val="24"/>
        </w:rPr>
        <w:t>(Source: Statista, 2026)</w:t>
      </w:r>
    </w:p>
    <w:p w14:paraId="3A90BD50">
      <w:pPr>
        <w:spacing w:line="360" w:lineRule="auto"/>
        <w:jc w:val="both"/>
        <w:rPr>
          <w:rFonts w:eastAsia="Times New Roman"/>
          <w:sz w:val="24"/>
          <w:szCs w:val="24"/>
        </w:rPr>
      </w:pPr>
    </w:p>
    <w:p w14:paraId="050B48EB">
      <w:pPr>
        <w:pStyle w:val="3"/>
        <w:rPr>
          <w:szCs w:val="24"/>
        </w:rPr>
      </w:pPr>
      <w:bookmarkStart w:id="5" w:name="_Toc237124890"/>
      <w:r>
        <w:rPr>
          <w:szCs w:val="24"/>
        </w:rPr>
        <w:t>External and Internal Analysis</w:t>
      </w:r>
      <w:bookmarkEnd w:id="5"/>
    </w:p>
    <w:p w14:paraId="1CF916BF">
      <w:pPr>
        <w:pStyle w:val="4"/>
        <w:rPr>
          <w:szCs w:val="24"/>
        </w:rPr>
      </w:pPr>
      <w:bookmarkStart w:id="6" w:name="_Toc237124891"/>
      <w:r>
        <w:rPr>
          <w:szCs w:val="24"/>
        </w:rPr>
        <w:t>PESTLE framework</w:t>
      </w:r>
      <w:bookmarkEnd w:id="6"/>
    </w:p>
    <w:p w14:paraId="1AEA59C8">
      <w:pPr>
        <w:spacing w:line="360" w:lineRule="auto"/>
        <w:jc w:val="both"/>
        <w:rPr>
          <w:rFonts w:eastAsia="Times New Roman"/>
          <w:b/>
          <w:bCs/>
          <w:sz w:val="24"/>
          <w:szCs w:val="24"/>
        </w:rPr>
      </w:pPr>
      <w:r>
        <w:rPr>
          <w:rFonts w:eastAsia="Times New Roman"/>
          <w:b/>
          <w:bCs/>
          <w:sz w:val="24"/>
          <w:szCs w:val="24"/>
        </w:rPr>
        <w:t>Political</w:t>
      </w:r>
    </w:p>
    <w:p w14:paraId="2B831092">
      <w:pPr>
        <w:spacing w:line="360" w:lineRule="auto"/>
        <w:jc w:val="both"/>
        <w:rPr>
          <w:rFonts w:eastAsia="Times New Roman"/>
          <w:sz w:val="24"/>
          <w:szCs w:val="24"/>
        </w:rPr>
      </w:pPr>
      <w:r>
        <w:rPr>
          <w:rFonts w:eastAsia="Times New Roman"/>
          <w:sz w:val="24"/>
          <w:szCs w:val="24"/>
        </w:rPr>
        <w:t xml:space="preserve">In 2023, the German government implemented broader corporate and environmental mandates affecting the furniture retail industry. The German Supply Chain Diligence Act requires furniture retail companies to manage environmental and human rights risks across their supply chain (FMLSA, 2023). This influences screening, documenting, and remediating human rights and environmental risks. This allows IKEA to enhance corporate reputation, strengthen supply chain transparency, reduce legal and reputational risks, and build consumer trust through responsible sourcing. (IKEA, 2026 e).  </w:t>
      </w:r>
    </w:p>
    <w:p w14:paraId="5E1F6C61">
      <w:pPr>
        <w:spacing w:line="360" w:lineRule="auto"/>
        <w:jc w:val="both"/>
        <w:rPr>
          <w:rFonts w:eastAsia="Times New Roman"/>
          <w:b/>
          <w:bCs/>
          <w:sz w:val="24"/>
          <w:szCs w:val="24"/>
        </w:rPr>
      </w:pPr>
      <w:r>
        <w:rPr>
          <w:rFonts w:eastAsia="Times New Roman"/>
          <w:b/>
          <w:bCs/>
          <w:sz w:val="24"/>
          <w:szCs w:val="24"/>
        </w:rPr>
        <w:t>Economic</w:t>
      </w:r>
    </w:p>
    <w:p w14:paraId="768DC00B">
      <w:pPr>
        <w:spacing w:line="360" w:lineRule="auto"/>
        <w:jc w:val="both"/>
        <w:rPr>
          <w:rFonts w:eastAsia="Times New Roman"/>
          <w:sz w:val="24"/>
          <w:szCs w:val="24"/>
        </w:rPr>
      </w:pPr>
      <w:r>
        <w:rPr>
          <w:rFonts w:eastAsia="Times New Roman"/>
          <w:sz w:val="24"/>
          <w:szCs w:val="24"/>
        </w:rPr>
        <w:t xml:space="preserve">The Middle East geopolitical conflict has affected the German economy, leading to accelerating inflation of about 2.7% in 2026 and expected to rise to 2.8% in 2027. Higher inflation has raised operating and supply chain costs across the German furniture retail industry while weakening consumer spending on non-essential household goods, forcing retailers to balance competitive pricing with profitability (Reuters, 2026).  This economic condition has negatively impacted IKEA by dampening consumer demand and reducing profit margins. The company faces a fall in revenue of up to 4.3% due to lowering prices on core products in the midst of inflation (Yahoo Finance, 2024).  </w:t>
      </w:r>
    </w:p>
    <w:p w14:paraId="370D5B09">
      <w:pPr>
        <w:spacing w:line="360" w:lineRule="auto"/>
        <w:jc w:val="both"/>
        <w:rPr>
          <w:rFonts w:eastAsia="Times New Roman"/>
          <w:b/>
          <w:bCs/>
          <w:sz w:val="24"/>
          <w:szCs w:val="24"/>
        </w:rPr>
      </w:pPr>
      <w:r>
        <w:rPr>
          <w:rFonts w:eastAsia="Times New Roman"/>
          <w:b/>
          <w:bCs/>
          <w:sz w:val="24"/>
          <w:szCs w:val="24"/>
        </w:rPr>
        <w:t>Social</w:t>
      </w:r>
    </w:p>
    <w:p w14:paraId="166A379F">
      <w:pPr>
        <w:spacing w:line="360" w:lineRule="auto"/>
        <w:jc w:val="both"/>
        <w:rPr>
          <w:rFonts w:eastAsia="Times New Roman"/>
          <w:sz w:val="24"/>
          <w:szCs w:val="24"/>
        </w:rPr>
      </w:pPr>
      <w:r>
        <w:rPr>
          <w:rFonts w:eastAsia="Times New Roman"/>
          <w:sz w:val="24"/>
          <w:szCs w:val="24"/>
        </w:rPr>
        <w:t xml:space="preserve">In Germany, the revenue in the retail furniture industry reflects a broader preference of consumers favouring modern, minimalist design, functional, eco-friendly and sustainable furniture.  Due to the preference for eco-friendly furniture, a compounded annual growth rate is expected to increase to 8.7% (Statista, 2026).  The growing consumer preference for eco-friendly and sustainable furniture is encouraging the furniture retail industry to expand sustainable product portfolios. This gives a significant opportunity for IKEA, as its CSR and sustainability strategy in Germany through eco-friendly product designs, green store operation and circular economy programs attracts the majority of German consumers and enhances financial performance (IKEA, 2024). </w:t>
      </w:r>
    </w:p>
    <w:p w14:paraId="03E48FF4">
      <w:pPr>
        <w:spacing w:line="360" w:lineRule="auto"/>
        <w:jc w:val="both"/>
        <w:rPr>
          <w:rFonts w:eastAsia="Times New Roman"/>
          <w:b/>
          <w:bCs/>
          <w:sz w:val="24"/>
          <w:szCs w:val="24"/>
        </w:rPr>
      </w:pPr>
      <w:r>
        <w:rPr>
          <w:rFonts w:eastAsia="Times New Roman"/>
          <w:b/>
          <w:bCs/>
          <w:sz w:val="24"/>
          <w:szCs w:val="24"/>
        </w:rPr>
        <w:t>Technological</w:t>
      </w:r>
    </w:p>
    <w:p w14:paraId="7273382A">
      <w:pPr>
        <w:spacing w:line="360" w:lineRule="auto"/>
        <w:jc w:val="both"/>
        <w:rPr>
          <w:rFonts w:eastAsia="Times New Roman"/>
          <w:sz w:val="24"/>
          <w:szCs w:val="24"/>
        </w:rPr>
      </w:pPr>
      <w:r>
        <w:rPr>
          <w:rFonts w:eastAsia="Times New Roman"/>
          <w:sz w:val="24"/>
          <w:szCs w:val="24"/>
        </w:rPr>
        <w:t xml:space="preserve">The German furniture industry is rapidly adopting digital tools to strengthen its marketing and purchasing procedures, focusing on advanced visualisation, AI-driven customisation and omnichannel platforms (Technavio, 2026). Moreover, the adoption of software is effectively bridging the gap between browsing and physical stores. The digital transformation in the furniture retail industry, along with online share, is currently around 15% in Germany (Nordhoff, 2025). This has created a major opportunity for IKEA to advance digital transformation, capture a higher online market share, scale its urban planning and integrate advanced logistic enhancing furniture home delivery services (Yahoo Finance, 2024).  </w:t>
      </w:r>
    </w:p>
    <w:p w14:paraId="493E89C2">
      <w:pPr>
        <w:spacing w:line="360" w:lineRule="auto"/>
        <w:jc w:val="both"/>
        <w:rPr>
          <w:rFonts w:eastAsia="Times New Roman"/>
          <w:b/>
          <w:bCs/>
          <w:sz w:val="24"/>
          <w:szCs w:val="24"/>
        </w:rPr>
      </w:pPr>
      <w:r>
        <w:rPr>
          <w:rFonts w:eastAsia="Times New Roman"/>
          <w:b/>
          <w:bCs/>
          <w:sz w:val="24"/>
          <w:szCs w:val="24"/>
        </w:rPr>
        <w:t>Legal</w:t>
      </w:r>
    </w:p>
    <w:p w14:paraId="7F37C3E5">
      <w:pPr>
        <w:spacing w:line="360" w:lineRule="auto"/>
        <w:jc w:val="both"/>
        <w:rPr>
          <w:rFonts w:eastAsia="Times New Roman"/>
          <w:sz w:val="24"/>
          <w:szCs w:val="24"/>
        </w:rPr>
      </w:pPr>
      <w:r>
        <w:rPr>
          <w:rFonts w:eastAsia="Times New Roman"/>
          <w:sz w:val="24"/>
          <w:szCs w:val="24"/>
        </w:rPr>
        <w:t xml:space="preserve">The government of Germany has implemented the Ecodesign for sustainable product regulation (ESPR) under the EU framework, where retailers must meet circular design principles demanding that products are durable, easily disassembled and recycled (EP, 2023). This influenced the furniture retail industry to introduce strict product standards and digital product passports. This creates a major opportunity for IKEA in Germany by boosting circular business models and driving demand for modular furniture and levelling the retail playing field (IKEA, 2026 f). </w:t>
      </w:r>
    </w:p>
    <w:p w14:paraId="19632207">
      <w:pPr>
        <w:spacing w:line="360" w:lineRule="auto"/>
        <w:jc w:val="both"/>
        <w:rPr>
          <w:rFonts w:eastAsia="Times New Roman"/>
          <w:b/>
          <w:bCs/>
          <w:sz w:val="24"/>
          <w:szCs w:val="24"/>
        </w:rPr>
      </w:pPr>
      <w:r>
        <w:rPr>
          <w:rFonts w:eastAsia="Times New Roman"/>
          <w:b/>
          <w:bCs/>
          <w:sz w:val="24"/>
          <w:szCs w:val="24"/>
        </w:rPr>
        <w:t>Environmental</w:t>
      </w:r>
    </w:p>
    <w:p w14:paraId="78816C35">
      <w:pPr>
        <w:spacing w:line="360" w:lineRule="auto"/>
        <w:jc w:val="both"/>
        <w:rPr>
          <w:rFonts w:eastAsia="Times New Roman"/>
          <w:sz w:val="24"/>
          <w:szCs w:val="24"/>
        </w:rPr>
      </w:pPr>
      <w:r>
        <w:rPr>
          <w:rFonts w:eastAsia="Times New Roman"/>
          <w:sz w:val="24"/>
          <w:szCs w:val="24"/>
        </w:rPr>
        <w:t>Consumers in Germany prefer to purchase high-value environmental attributes and sustainable manufacturing for home furnishing due to increasing environmental concern (Funch, 2024). This forces the furniture retail industry to adopt strict transparency, certified eco-friendly inventory and shift to a circular business model. The growing environmental consciousness creates both opportunity and financial threat for IKEA by demanding a circular model and a strict supply chain while many consumers remain price-sensitive due to extra pay for green products (IKEA, 2024).</w:t>
      </w:r>
    </w:p>
    <w:p w14:paraId="1821201F">
      <w:pPr>
        <w:pStyle w:val="4"/>
        <w:rPr>
          <w:szCs w:val="24"/>
        </w:rPr>
      </w:pPr>
      <w:bookmarkStart w:id="7" w:name="_Toc237124892"/>
      <w:r>
        <w:rPr>
          <w:szCs w:val="24"/>
        </w:rPr>
        <w:t>VRIO</w:t>
      </w:r>
      <w:bookmarkEnd w:id="7"/>
    </w:p>
    <w:p w14:paraId="49DA0A45">
      <w:pPr>
        <w:spacing w:line="360" w:lineRule="auto"/>
        <w:jc w:val="both"/>
        <w:rPr>
          <w:rFonts w:eastAsia="Times New Roman"/>
          <w:b/>
          <w:bCs/>
          <w:sz w:val="24"/>
          <w:szCs w:val="24"/>
        </w:rPr>
      </w:pPr>
      <w:r>
        <w:rPr>
          <w:rFonts w:eastAsia="Times New Roman"/>
          <w:b/>
          <w:bCs/>
          <w:sz w:val="24"/>
          <w:szCs w:val="24"/>
        </w:rPr>
        <w:t>Value</w:t>
      </w:r>
    </w:p>
    <w:p w14:paraId="4CC8DE12">
      <w:pPr>
        <w:spacing w:line="360" w:lineRule="auto"/>
        <w:jc w:val="both"/>
        <w:rPr>
          <w:rFonts w:eastAsia="Times New Roman"/>
          <w:sz w:val="24"/>
          <w:szCs w:val="24"/>
        </w:rPr>
      </w:pPr>
      <w:r>
        <w:rPr>
          <w:rFonts w:eastAsia="Times New Roman"/>
          <w:sz w:val="24"/>
          <w:szCs w:val="24"/>
        </w:rPr>
        <w:t xml:space="preserve">IKEA use five core dimensions to create products and solutions that meet all dimensions of design, such as form, function, low price, sustainability, and quality.  The company’s design aims to provide everyone with a better, brighter everyday life (IKEA, 2026). Through its five pillars of democratic design, the company creates aesthetic, innovative, practical, and well-structured furniture to meet every day needs, while prioritising affordability, durability, and sustainable sourcing (IKEA, 2026). The tangible resources of IKEA are flat-pack logistics and global supplier networks. The intangible resources are in-house design expertise, brand equity, and extensive knowledge of customers. This has created sustained value in the furniture retail industry in Germany by leveraging core resources.  </w:t>
      </w:r>
    </w:p>
    <w:p w14:paraId="28660876">
      <w:pPr>
        <w:spacing w:line="360" w:lineRule="auto"/>
        <w:rPr>
          <w:rFonts w:eastAsia="Times New Roman"/>
          <w:b/>
          <w:bCs/>
          <w:sz w:val="24"/>
          <w:szCs w:val="24"/>
        </w:rPr>
      </w:pPr>
      <w:r>
        <w:rPr>
          <w:rFonts w:eastAsia="Times New Roman"/>
          <w:b/>
          <w:bCs/>
          <w:sz w:val="24"/>
          <w:szCs w:val="24"/>
        </w:rPr>
        <w:br w:type="page"/>
      </w:r>
    </w:p>
    <w:p w14:paraId="50FC2CAF">
      <w:pPr>
        <w:spacing w:line="360" w:lineRule="auto"/>
        <w:jc w:val="both"/>
        <w:rPr>
          <w:rFonts w:eastAsia="Times New Roman"/>
          <w:b/>
          <w:bCs/>
          <w:sz w:val="24"/>
          <w:szCs w:val="24"/>
        </w:rPr>
      </w:pPr>
      <w:r>
        <w:rPr>
          <w:rFonts w:eastAsia="Times New Roman"/>
          <w:b/>
          <w:bCs/>
          <w:sz w:val="24"/>
          <w:szCs w:val="24"/>
        </w:rPr>
        <w:t>Rarity</w:t>
      </w:r>
    </w:p>
    <w:p w14:paraId="754B0EBC">
      <w:pPr>
        <w:spacing w:line="360" w:lineRule="auto"/>
        <w:jc w:val="both"/>
        <w:rPr>
          <w:rFonts w:eastAsia="Times New Roman"/>
          <w:sz w:val="24"/>
          <w:szCs w:val="24"/>
        </w:rPr>
      </w:pPr>
      <w:r>
        <w:rPr>
          <w:rFonts w:eastAsia="Times New Roman"/>
          <w:sz w:val="24"/>
          <w:szCs w:val="24"/>
        </w:rPr>
        <w:t xml:space="preserve">IKEA is moderately rare in the furniture retail industry market in Germany, due to its unique combination of flat-packed cost leadership, massive physical scale and integrated in-store experiences. The democratic design and cost efficiency are moderately rare in the furniture retail industry, with a combination of quality, price and design to provide a better shopping experience (IKEA, 2026). With over 50 massive stores in Germany, the company creates a physical footprint and localised brand saturation as intangible resources (Statista, 2026).  </w:t>
      </w:r>
    </w:p>
    <w:p w14:paraId="5B814858">
      <w:pPr>
        <w:spacing w:line="360" w:lineRule="auto"/>
        <w:jc w:val="both"/>
        <w:rPr>
          <w:rFonts w:eastAsia="Times New Roman"/>
          <w:b/>
          <w:bCs/>
          <w:sz w:val="24"/>
          <w:szCs w:val="24"/>
        </w:rPr>
      </w:pPr>
      <w:r>
        <w:rPr>
          <w:rFonts w:eastAsia="Times New Roman"/>
          <w:b/>
          <w:bCs/>
          <w:sz w:val="24"/>
          <w:szCs w:val="24"/>
        </w:rPr>
        <w:t>Imitability</w:t>
      </w:r>
    </w:p>
    <w:p w14:paraId="09C1302A">
      <w:pPr>
        <w:spacing w:line="360" w:lineRule="auto"/>
        <w:jc w:val="both"/>
        <w:rPr>
          <w:rFonts w:eastAsia="Times New Roman"/>
          <w:sz w:val="24"/>
          <w:szCs w:val="24"/>
        </w:rPr>
      </w:pPr>
      <w:r>
        <w:rPr>
          <w:rFonts w:eastAsia="Times New Roman"/>
          <w:sz w:val="24"/>
          <w:szCs w:val="24"/>
        </w:rPr>
        <w:t xml:space="preserve">The imitability level of IKEA is high, as the product design and quality of the product can be replicated by competitors, including flat-packed format and modern aesthetics (IKEA, 2026). For example, POCO and Roller use flat-pack cost leadership strategies in their business operations. They operate massive discount warehouse stores selling self-assembly furniture and home goods at very low prices, which indicates that the imitability level of IKEA is high (Berghaus, 2021). </w:t>
      </w:r>
    </w:p>
    <w:p w14:paraId="536166B7">
      <w:pPr>
        <w:spacing w:line="360" w:lineRule="auto"/>
        <w:jc w:val="both"/>
        <w:rPr>
          <w:rFonts w:eastAsia="Times New Roman"/>
          <w:b/>
          <w:bCs/>
          <w:sz w:val="24"/>
          <w:szCs w:val="24"/>
        </w:rPr>
      </w:pPr>
      <w:r>
        <w:rPr>
          <w:rFonts w:eastAsia="Times New Roman"/>
          <w:b/>
          <w:bCs/>
          <w:sz w:val="24"/>
          <w:szCs w:val="24"/>
        </w:rPr>
        <w:t>Organisation</w:t>
      </w:r>
    </w:p>
    <w:p w14:paraId="49A5BF93">
      <w:pPr>
        <w:spacing w:line="360" w:lineRule="auto"/>
        <w:jc w:val="both"/>
        <w:rPr>
          <w:rFonts w:eastAsia="Times New Roman"/>
          <w:sz w:val="24"/>
          <w:szCs w:val="24"/>
        </w:rPr>
      </w:pPr>
      <w:r>
        <w:rPr>
          <w:rFonts w:eastAsia="Times New Roman"/>
          <w:sz w:val="24"/>
          <w:szCs w:val="24"/>
        </w:rPr>
        <w:t>IKEA organises its operations under a franchise-led model of the Ingka Group as the largest IKEA retailer. The retail business is organised as a franchise system with 12 franchisees across 63 markets, and is continuously improving and developing the brand (IKEA, 2026). In Germany, IKEA is a successful market in 2026, accounting for over 15% of total worldwide sales (Forbes, 2026). The company integrates a unique value chain and business model, including product development, design, supply, manufacturing and sale. The materials in IKEA account for the largest share of its climate footprint, and IKEA aims to use only renewable and recycled materials to reduce its CO2 footprint by 2030. Moreover, IWAY is IKEA’s mandatory supplier code of conduct for responsible sourcing. It sets strict rules for the welfare of the environment, labour and social conditions, legal business ethics, and animal welfare across the entire global supply chain.</w:t>
      </w:r>
    </w:p>
    <w:p w14:paraId="2CAA90EB">
      <w:pPr>
        <w:spacing w:line="360" w:lineRule="auto"/>
        <w:rPr>
          <w:b/>
          <w:i/>
          <w:sz w:val="24"/>
          <w:szCs w:val="24"/>
        </w:rPr>
      </w:pPr>
      <w:r>
        <w:rPr>
          <w:sz w:val="24"/>
          <w:szCs w:val="24"/>
        </w:rPr>
        <w:br w:type="page"/>
      </w:r>
    </w:p>
    <w:p w14:paraId="76B355C6">
      <w:pPr>
        <w:pStyle w:val="4"/>
        <w:rPr>
          <w:szCs w:val="24"/>
        </w:rPr>
      </w:pPr>
      <w:bookmarkStart w:id="8" w:name="_Toc237124893"/>
      <w:r>
        <w:rPr>
          <w:szCs w:val="24"/>
        </w:rPr>
        <w:t>SWOT analysis</w:t>
      </w:r>
      <w:bookmarkEnd w:id="8"/>
    </w:p>
    <w:p w14:paraId="58EE71EF">
      <w:pPr>
        <w:spacing w:line="360" w:lineRule="auto"/>
        <w:jc w:val="both"/>
        <w:rPr>
          <w:rFonts w:eastAsia="Times New Roman"/>
          <w:b/>
          <w:bCs/>
          <w:sz w:val="24"/>
          <w:szCs w:val="24"/>
        </w:rPr>
      </w:pPr>
      <w:r>
        <w:rPr>
          <w:rFonts w:eastAsia="Times New Roman"/>
          <w:b/>
          <w:bCs/>
          <w:sz w:val="24"/>
          <w:szCs w:val="24"/>
        </w:rPr>
        <w:t>Strengths</w:t>
      </w:r>
    </w:p>
    <w:p w14:paraId="4E95B1F8">
      <w:pPr>
        <w:spacing w:line="360" w:lineRule="auto"/>
        <w:jc w:val="both"/>
        <w:rPr>
          <w:rFonts w:eastAsia="Times New Roman"/>
          <w:sz w:val="24"/>
          <w:szCs w:val="24"/>
        </w:rPr>
      </w:pPr>
      <w:r>
        <w:rPr>
          <w:rFonts w:eastAsia="Times New Roman"/>
          <w:sz w:val="24"/>
          <w:szCs w:val="24"/>
        </w:rPr>
        <w:t xml:space="preserve">Cost leadership of IKEA is a strength for the company through targeted pricing, flat-pack logistics to optimise shipping space, and sourcing from low-cost suppliers. The democratic design of IKEA aligns with the values of German customers by providing them a combination of functional, aesthetically modern and eco-conscious (IKEA, 2026). This approach matches German consumer values favouring practical utility and environmental responsibility. The omnichannel integration connects the suburban stores and smaller inner-city touchpoints and optimises the digital e-commerce platform (Google Cloud, 2026).  </w:t>
      </w:r>
    </w:p>
    <w:p w14:paraId="5FD95042">
      <w:pPr>
        <w:spacing w:line="360" w:lineRule="auto"/>
        <w:jc w:val="both"/>
        <w:rPr>
          <w:rFonts w:eastAsia="Times New Roman"/>
          <w:b/>
          <w:bCs/>
          <w:sz w:val="24"/>
          <w:szCs w:val="24"/>
        </w:rPr>
      </w:pPr>
      <w:r>
        <w:rPr>
          <w:rFonts w:eastAsia="Times New Roman"/>
          <w:b/>
          <w:bCs/>
          <w:sz w:val="24"/>
          <w:szCs w:val="24"/>
        </w:rPr>
        <w:t>Weakness</w:t>
      </w:r>
    </w:p>
    <w:p w14:paraId="2EE8D3A9">
      <w:pPr>
        <w:spacing w:line="360" w:lineRule="auto"/>
        <w:jc w:val="both"/>
        <w:rPr>
          <w:rFonts w:eastAsia="Times New Roman"/>
          <w:sz w:val="24"/>
          <w:szCs w:val="24"/>
        </w:rPr>
      </w:pPr>
      <w:r>
        <w:rPr>
          <w:rFonts w:eastAsia="Times New Roman"/>
          <w:sz w:val="24"/>
          <w:szCs w:val="24"/>
        </w:rPr>
        <w:t xml:space="preserve">IKEA rely on engineered wood for a cost-cutting strategy, leading some consumers to view their furniture as low-grade, fragile or disposable, creating a major brand weakness in quality perception (Clifford, 2019). IKEA's traditional massive big-box layouts limit real-time agility, reducing corporate flexibility to adapt fast to shifting local retail systems (Stratrix, 2025). Moreover, its low pricing became a weakness for the company in the midst of inflation as it declined sales revenue.  </w:t>
      </w:r>
    </w:p>
    <w:p w14:paraId="350CD283">
      <w:pPr>
        <w:spacing w:line="360" w:lineRule="auto"/>
        <w:jc w:val="both"/>
        <w:rPr>
          <w:rFonts w:eastAsia="Times New Roman"/>
          <w:b/>
          <w:bCs/>
          <w:sz w:val="24"/>
          <w:szCs w:val="24"/>
        </w:rPr>
      </w:pPr>
      <w:r>
        <w:rPr>
          <w:rFonts w:eastAsia="Times New Roman"/>
          <w:b/>
          <w:bCs/>
          <w:sz w:val="24"/>
          <w:szCs w:val="24"/>
        </w:rPr>
        <w:t xml:space="preserve">Opportunity </w:t>
      </w:r>
    </w:p>
    <w:p w14:paraId="47F4B671">
      <w:pPr>
        <w:spacing w:line="360" w:lineRule="auto"/>
        <w:jc w:val="both"/>
        <w:rPr>
          <w:rFonts w:eastAsia="Times New Roman"/>
          <w:sz w:val="24"/>
          <w:szCs w:val="24"/>
        </w:rPr>
      </w:pPr>
      <w:r>
        <w:rPr>
          <w:rFonts w:eastAsia="Times New Roman"/>
          <w:sz w:val="24"/>
          <w:szCs w:val="24"/>
        </w:rPr>
        <w:t xml:space="preserve">The advanced visualisation, AI-driven customisation and omnichannel platform create a great opportunity for IKEA to grow its online sales channel and attract remote customers (Technavio, 2026). This lets buyers scan the room, remove old furniture and test new layouts virtually from home. Moreover, the growing preference of consumers for modern, minimalist design, functional, eco-friendly and sustainable furniture will enhance demand for IKEA’s energy-saving, recycled and bio-based products, attracting the eco-conscious customer (Funch, 2024). </w:t>
      </w:r>
      <w:r>
        <w:rPr>
          <w:rFonts w:eastAsia="Times New Roman"/>
          <w:sz w:val="24"/>
          <w:szCs w:val="24"/>
        </w:rPr>
        <w:tab/>
      </w:r>
      <w:r>
        <w:rPr>
          <w:rFonts w:eastAsia="Times New Roman"/>
          <w:sz w:val="24"/>
          <w:szCs w:val="24"/>
        </w:rPr>
        <w:t xml:space="preserve"> </w:t>
      </w:r>
    </w:p>
    <w:p w14:paraId="1207F880">
      <w:pPr>
        <w:spacing w:line="360" w:lineRule="auto"/>
        <w:jc w:val="both"/>
        <w:rPr>
          <w:rFonts w:eastAsia="Times New Roman"/>
          <w:b/>
          <w:bCs/>
          <w:sz w:val="24"/>
          <w:szCs w:val="24"/>
        </w:rPr>
      </w:pPr>
      <w:r>
        <w:rPr>
          <w:rFonts w:eastAsia="Times New Roman"/>
          <w:b/>
          <w:bCs/>
          <w:sz w:val="24"/>
          <w:szCs w:val="24"/>
        </w:rPr>
        <w:t>Threats</w:t>
      </w:r>
    </w:p>
    <w:p w14:paraId="56D50C1B">
      <w:pPr>
        <w:spacing w:line="360" w:lineRule="auto"/>
        <w:jc w:val="both"/>
        <w:rPr>
          <w:rFonts w:eastAsia="Times New Roman"/>
          <w:b/>
          <w:bCs/>
          <w:sz w:val="24"/>
          <w:szCs w:val="24"/>
        </w:rPr>
      </w:pPr>
      <w:r>
        <w:rPr>
          <w:rFonts w:eastAsia="Times New Roman"/>
          <w:sz w:val="24"/>
          <w:szCs w:val="24"/>
        </w:rPr>
        <w:t xml:space="preserve">Rising inflation negatively affected the operating and supply chain costs across the German furniture retail industry while weakening consumer spending, creating a threat for IKEA in balancing competitive pricing and profitability (Reuter, 2026). Moreover,  the lower prices of IKEA's core products in the midst of inflation and tariffs have created a threat for the company by reducing sales revenue (Howland, 2025). </w:t>
      </w:r>
    </w:p>
    <w:p w14:paraId="61B07DB4">
      <w:pPr>
        <w:pStyle w:val="3"/>
        <w:rPr>
          <w:rFonts w:eastAsia="Times New Roman"/>
          <w:szCs w:val="24"/>
        </w:rPr>
      </w:pPr>
      <w:bookmarkStart w:id="9" w:name="_Toc237124894"/>
      <w:r>
        <w:rPr>
          <w:szCs w:val="24"/>
        </w:rPr>
        <w:t>Comprehensive and holistic view of the organisation</w:t>
      </w:r>
      <w:bookmarkEnd w:id="9"/>
    </w:p>
    <w:p w14:paraId="4AD33E8D">
      <w:pPr>
        <w:pStyle w:val="4"/>
        <w:rPr>
          <w:szCs w:val="24"/>
        </w:rPr>
      </w:pPr>
      <w:bookmarkStart w:id="10" w:name="_Toc237124895"/>
      <w:r>
        <w:rPr>
          <w:szCs w:val="24"/>
        </w:rPr>
        <w:t>CSR and business objective</w:t>
      </w:r>
      <w:bookmarkEnd w:id="10"/>
    </w:p>
    <w:p w14:paraId="25139119">
      <w:pPr>
        <w:spacing w:line="360" w:lineRule="auto"/>
        <w:jc w:val="both"/>
        <w:rPr>
          <w:rFonts w:eastAsia="Times New Roman"/>
          <w:sz w:val="24"/>
          <w:szCs w:val="24"/>
        </w:rPr>
      </w:pPr>
      <w:r>
        <w:rPr>
          <w:rFonts w:eastAsia="Times New Roman"/>
          <w:sz w:val="24"/>
          <w:szCs w:val="24"/>
        </w:rPr>
        <w:t xml:space="preserve">IKEA Germany's CSR strategy is evaluated using Elkington's Triple Bottom Line (TBL) framework, which examines the organisation's performance across three interconnected dimensions: economic prosperity (profit), social responsibility (people), and environmental sustainability (planet). This will help to analyse whether the CSR strategy of the company aligns with its strategic objectives of maintaining cost leadership, strengthening customer trust, and achieving sustainable long-term growth. </w:t>
      </w:r>
    </w:p>
    <w:p w14:paraId="7AB238CE">
      <w:pPr>
        <w:spacing w:line="360" w:lineRule="auto"/>
        <w:jc w:val="both"/>
        <w:rPr>
          <w:rFonts w:eastAsia="Times New Roman"/>
          <w:b/>
          <w:bCs/>
          <w:sz w:val="24"/>
          <w:szCs w:val="24"/>
        </w:rPr>
      </w:pPr>
      <w:r>
        <w:rPr>
          <w:rFonts w:eastAsia="Times New Roman"/>
          <w:b/>
          <w:bCs/>
          <w:sz w:val="24"/>
          <w:szCs w:val="24"/>
        </w:rPr>
        <w:t>Triple bottom line model</w:t>
      </w:r>
    </w:p>
    <w:p w14:paraId="223A370A">
      <w:pPr>
        <w:spacing w:line="360" w:lineRule="auto"/>
        <w:jc w:val="both"/>
        <w:rPr>
          <w:rFonts w:eastAsia="Times New Roman"/>
          <w:sz w:val="24"/>
          <w:szCs w:val="24"/>
        </w:rPr>
      </w:pPr>
      <w:r>
        <w:rPr>
          <w:rFonts w:eastAsia="Times New Roman"/>
          <w:sz w:val="24"/>
          <w:szCs w:val="24"/>
        </w:rPr>
        <w:t xml:space="preserve">Triple bottom line theory helps measure a company's overall performance by promoting the adoption of CSR, which encompasses three dimensions: social, economic, and environmental practices. The implementation of the triple bottom line improves the company's performance holistically as it highlights that the company should balance economic, social and environmental performance rather than solely focus on profit. It encourages companies to share the responsibility for protecting and enriching communities by maintaining ethical practices (Razy and Bahri, 2025).  </w:t>
      </w:r>
    </w:p>
    <w:p w14:paraId="2E5E4C62">
      <w:pPr>
        <w:spacing w:line="360" w:lineRule="auto"/>
        <w:jc w:val="center"/>
        <w:rPr>
          <w:rFonts w:eastAsia="Times New Roman"/>
          <w:sz w:val="24"/>
          <w:szCs w:val="24"/>
        </w:rPr>
      </w:pPr>
      <w:r>
        <w:rPr>
          <w:rFonts w:eastAsia="Times New Roman"/>
          <w:sz w:val="24"/>
          <w:szCs w:val="24"/>
          <w:lang w:val="en-IN"/>
        </w:rPr>
        <w:drawing>
          <wp:inline distT="114300" distB="114300" distL="114300" distR="114300">
            <wp:extent cx="4504055" cy="3128645"/>
            <wp:effectExtent l="12700" t="12700" r="12700" b="1270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referRelativeResize="0"/>
                  </pic:nvPicPr>
                  <pic:blipFill>
                    <a:blip r:embed="rId11"/>
                    <a:srcRect/>
                    <a:stretch>
                      <a:fillRect/>
                    </a:stretch>
                  </pic:blipFill>
                  <pic:spPr>
                    <a:xfrm>
                      <a:off x="0" y="0"/>
                      <a:ext cx="4504331" cy="3128963"/>
                    </a:xfrm>
                    <a:prstGeom prst="rect">
                      <a:avLst/>
                    </a:prstGeom>
                    <a:ln w="12700">
                      <a:solidFill>
                        <a:srgbClr val="000000"/>
                      </a:solidFill>
                      <a:prstDash val="solid"/>
                    </a:ln>
                  </pic:spPr>
                </pic:pic>
              </a:graphicData>
            </a:graphic>
          </wp:inline>
        </w:drawing>
      </w:r>
    </w:p>
    <w:p w14:paraId="72A50598">
      <w:pPr>
        <w:spacing w:line="360" w:lineRule="auto"/>
        <w:jc w:val="center"/>
        <w:rPr>
          <w:rFonts w:eastAsia="Times New Roman"/>
          <w:sz w:val="24"/>
          <w:szCs w:val="24"/>
        </w:rPr>
      </w:pPr>
      <w:r>
        <w:rPr>
          <w:rFonts w:eastAsia="Times New Roman"/>
          <w:sz w:val="24"/>
          <w:szCs w:val="24"/>
        </w:rPr>
        <w:t>Figure 3: Triple Bottom Line Theory</w:t>
      </w:r>
    </w:p>
    <w:p w14:paraId="3FD488B0">
      <w:pPr>
        <w:spacing w:line="360" w:lineRule="auto"/>
        <w:jc w:val="center"/>
        <w:rPr>
          <w:rFonts w:eastAsia="Times New Roman"/>
          <w:sz w:val="24"/>
          <w:szCs w:val="24"/>
        </w:rPr>
      </w:pPr>
      <w:r>
        <w:rPr>
          <w:rFonts w:eastAsia="Times New Roman"/>
          <w:sz w:val="24"/>
          <w:szCs w:val="24"/>
        </w:rPr>
        <w:t>(Source: Żak, 2015)</w:t>
      </w:r>
    </w:p>
    <w:p w14:paraId="578C9423">
      <w:pPr>
        <w:spacing w:line="360" w:lineRule="auto"/>
        <w:jc w:val="both"/>
        <w:rPr>
          <w:rFonts w:eastAsia="Times New Roman"/>
          <w:b/>
          <w:bCs/>
          <w:sz w:val="24"/>
          <w:szCs w:val="24"/>
        </w:rPr>
      </w:pPr>
      <w:r>
        <w:rPr>
          <w:rFonts w:eastAsia="Times New Roman"/>
          <w:b/>
          <w:bCs/>
          <w:sz w:val="24"/>
          <w:szCs w:val="24"/>
        </w:rPr>
        <w:t>Social (people)</w:t>
      </w:r>
    </w:p>
    <w:p w14:paraId="471BF881">
      <w:pPr>
        <w:spacing w:line="360" w:lineRule="auto"/>
        <w:jc w:val="both"/>
        <w:rPr>
          <w:rFonts w:eastAsia="Times New Roman"/>
          <w:sz w:val="24"/>
          <w:szCs w:val="24"/>
        </w:rPr>
      </w:pPr>
      <w:r>
        <w:rPr>
          <w:rFonts w:eastAsia="Times New Roman"/>
          <w:sz w:val="24"/>
          <w:szCs w:val="24"/>
        </w:rPr>
        <w:t xml:space="preserve">IKEA's commitment to maintaining gender balance across its workforce, with a 50/50 balance goal across all levels of business operations, with integration of Equal Pay International Coalition (EPIC) (IKEA, 2026). The company maintains an equal split between male and female workers of about 50.8% and 49.2%, respectively, recorded in 2025, which positively indicates gender diversity across the organisation (IKEA, 2025). This enhances the opportunity for employees and the company to improve balanced representation across all pay levels and continue to develop equity. IKEA invests in employee training and development programmes that promote inclusivity, focusing on inclusivity, equality and diversity in the workplace (IKEA, 2026).  </w:t>
      </w:r>
    </w:p>
    <w:p w14:paraId="17193506">
      <w:pPr>
        <w:spacing w:line="360" w:lineRule="auto"/>
        <w:jc w:val="both"/>
        <w:rPr>
          <w:rFonts w:eastAsia="Times New Roman"/>
          <w:b/>
          <w:bCs/>
          <w:sz w:val="24"/>
          <w:szCs w:val="24"/>
        </w:rPr>
      </w:pPr>
      <w:r>
        <w:rPr>
          <w:rFonts w:eastAsia="Times New Roman"/>
          <w:b/>
          <w:bCs/>
          <w:sz w:val="24"/>
          <w:szCs w:val="24"/>
        </w:rPr>
        <w:t>Economic (profit)</w:t>
      </w:r>
    </w:p>
    <w:p w14:paraId="3D13D795">
      <w:pPr>
        <w:spacing w:line="360" w:lineRule="auto"/>
        <w:jc w:val="both"/>
        <w:rPr>
          <w:rFonts w:eastAsia="Times New Roman"/>
          <w:sz w:val="24"/>
          <w:szCs w:val="24"/>
        </w:rPr>
      </w:pPr>
      <w:r>
        <w:rPr>
          <w:rFonts w:eastAsia="Times New Roman"/>
          <w:sz w:val="24"/>
          <w:szCs w:val="24"/>
        </w:rPr>
        <w:t xml:space="preserve">In Germany, IKEA successfully tailor it market, accounting for over 15.5% of global sales, generating strong revenue and profit due to high brand loyalty and strategic pricing targeting budget-friendlyconsumers (Reid, 2024). Moreover, the company drives revenue of approximately €44.6 billion by combining physical and digital stores, handling large warehouses and web visits, creating a seamless hybrid shopping experience (IKEA, 2025). This reflects that IKEA's CSR strategy aligns closely with its business objective of providing affordable home furnishings, demonstrating that commercial success and responsible business practices can be pursued simultaneously. </w:t>
      </w:r>
    </w:p>
    <w:p w14:paraId="3D425602">
      <w:pPr>
        <w:spacing w:line="360" w:lineRule="auto"/>
        <w:jc w:val="both"/>
        <w:rPr>
          <w:rFonts w:eastAsia="Times New Roman"/>
          <w:b/>
          <w:bCs/>
          <w:sz w:val="24"/>
          <w:szCs w:val="24"/>
        </w:rPr>
      </w:pPr>
      <w:r>
        <w:rPr>
          <w:rFonts w:eastAsia="Times New Roman"/>
          <w:b/>
          <w:bCs/>
          <w:sz w:val="24"/>
          <w:szCs w:val="24"/>
        </w:rPr>
        <w:t>Environmental (planet)</w:t>
      </w:r>
    </w:p>
    <w:p w14:paraId="34EA4D44">
      <w:pPr>
        <w:spacing w:line="360" w:lineRule="auto"/>
        <w:jc w:val="both"/>
        <w:rPr>
          <w:rFonts w:eastAsia="Times New Roman"/>
          <w:b/>
          <w:bCs/>
          <w:sz w:val="24"/>
          <w:szCs w:val="24"/>
        </w:rPr>
      </w:pPr>
      <w:r>
        <w:rPr>
          <w:rFonts w:eastAsia="Times New Roman"/>
          <w:sz w:val="24"/>
          <w:szCs w:val="24"/>
        </w:rPr>
        <w:t xml:space="preserve">IKEA significantly takes responsible action to promote sustainable business practices, integrating sustainability into its core business strategy through healthy and sustainable living, climate, nature and circularity and fair and equal practices (IKEA, 2026). The company aims to reduce greenhouse gas emissions across business operations and invest in renewable energy to enhance the opportunity to inspire and become climate positive by 2030 (INGKA, 2021). The company introduced an objective and key results (OKR) framework to align objectives and measurable outcomes, allowing it to track progress and ensure sustainable actions align with the UN Sustainable Development Goals (SDGs) (IKEA, 2026).  </w:t>
      </w:r>
    </w:p>
    <w:p w14:paraId="1BA2E892">
      <w:pPr>
        <w:pStyle w:val="4"/>
        <w:rPr>
          <w:szCs w:val="24"/>
        </w:rPr>
      </w:pPr>
      <w:bookmarkStart w:id="11" w:name="_Toc237124896"/>
      <w:r>
        <w:rPr>
          <w:szCs w:val="24"/>
        </w:rPr>
        <w:t>Balanced scorecard</w:t>
      </w:r>
      <w:bookmarkEnd w:id="11"/>
      <w:r>
        <w:rPr>
          <w:szCs w:val="24"/>
        </w:rPr>
        <w:t xml:space="preserve"> </w:t>
      </w:r>
    </w:p>
    <w:p w14:paraId="53C0EBB9">
      <w:pPr>
        <w:spacing w:line="360" w:lineRule="auto"/>
        <w:jc w:val="both"/>
        <w:rPr>
          <w:rFonts w:eastAsia="Times New Roman"/>
          <w:sz w:val="24"/>
          <w:szCs w:val="24"/>
        </w:rPr>
      </w:pPr>
      <w:r>
        <w:rPr>
          <w:rFonts w:eastAsia="Times New Roman"/>
          <w:sz w:val="24"/>
          <w:szCs w:val="24"/>
        </w:rPr>
        <w:t xml:space="preserve">Balanced scorecard (BSC) was introduced by Kaplan and Norton in 1992 to provide a strategic business management tool used to track organisational performance by combining financial and non-financial indicators across four perspectives. The Balanced Scorecard is relevant to IKEA because it enables the company to monitor and align its financial performance, customer satisfaction, operational efficiency, and employee development with its strategic objectives of cost leadership, sustainability, digital transformation, and long-term growth (Madsen, 2025). </w:t>
      </w:r>
    </w:p>
    <w:p w14:paraId="2B200B60">
      <w:pPr>
        <w:spacing w:line="360" w:lineRule="auto"/>
        <w:jc w:val="center"/>
        <w:rPr>
          <w:rFonts w:eastAsia="Times New Roman"/>
          <w:sz w:val="24"/>
          <w:szCs w:val="24"/>
        </w:rPr>
      </w:pPr>
      <w:r>
        <w:rPr>
          <w:rFonts w:eastAsia="Times New Roman"/>
          <w:sz w:val="24"/>
          <w:szCs w:val="24"/>
          <w:lang w:val="en-IN"/>
        </w:rPr>
        <w:drawing>
          <wp:inline distT="114300" distB="114300" distL="114300" distR="114300">
            <wp:extent cx="4000500" cy="2066925"/>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7" name="image3.png"/>
                    <pic:cNvPicPr preferRelativeResize="0"/>
                  </pic:nvPicPr>
                  <pic:blipFill>
                    <a:blip r:embed="rId12"/>
                    <a:srcRect/>
                    <a:stretch>
                      <a:fillRect/>
                    </a:stretch>
                  </pic:blipFill>
                  <pic:spPr>
                    <a:xfrm>
                      <a:off x="0" y="0"/>
                      <a:ext cx="4000500" cy="2066925"/>
                    </a:xfrm>
                    <a:prstGeom prst="rect">
                      <a:avLst/>
                    </a:prstGeom>
                  </pic:spPr>
                </pic:pic>
              </a:graphicData>
            </a:graphic>
          </wp:inline>
        </w:drawing>
      </w:r>
    </w:p>
    <w:p w14:paraId="07611C53">
      <w:pPr>
        <w:spacing w:line="360" w:lineRule="auto"/>
        <w:jc w:val="center"/>
        <w:rPr>
          <w:rFonts w:eastAsia="Times New Roman"/>
          <w:sz w:val="24"/>
          <w:szCs w:val="24"/>
        </w:rPr>
      </w:pPr>
      <w:r>
        <w:rPr>
          <w:rFonts w:eastAsia="Times New Roman"/>
          <w:sz w:val="24"/>
          <w:szCs w:val="24"/>
        </w:rPr>
        <w:t>Figure 4: Balanced scorecard perspective</w:t>
      </w:r>
    </w:p>
    <w:p w14:paraId="33884357">
      <w:pPr>
        <w:spacing w:line="360" w:lineRule="auto"/>
        <w:jc w:val="center"/>
        <w:rPr>
          <w:rFonts w:eastAsia="Times New Roman"/>
          <w:sz w:val="24"/>
          <w:szCs w:val="24"/>
        </w:rPr>
      </w:pPr>
      <w:r>
        <w:rPr>
          <w:rFonts w:eastAsia="Times New Roman"/>
          <w:sz w:val="24"/>
          <w:szCs w:val="24"/>
        </w:rPr>
        <w:t>(Source: MDPI, 2025)</w:t>
      </w:r>
    </w:p>
    <w:p w14:paraId="0D8C3A5F">
      <w:pPr>
        <w:spacing w:line="360" w:lineRule="auto"/>
        <w:jc w:val="both"/>
        <w:rPr>
          <w:rFonts w:eastAsia="Times New Roman"/>
          <w:sz w:val="24"/>
          <w:szCs w:val="24"/>
        </w:rPr>
      </w:pPr>
      <w:r>
        <w:rPr>
          <w:rFonts w:eastAsia="Times New Roman"/>
          <w:b/>
          <w:bCs/>
          <w:sz w:val="24"/>
          <w:szCs w:val="24"/>
        </w:rPr>
        <w:t>Financial perspective</w:t>
      </w:r>
    </w:p>
    <w:p w14:paraId="57A81937">
      <w:pPr>
        <w:spacing w:line="360" w:lineRule="auto"/>
        <w:jc w:val="both"/>
        <w:rPr>
          <w:rFonts w:eastAsia="Times New Roman"/>
          <w:sz w:val="24"/>
          <w:szCs w:val="24"/>
        </w:rPr>
      </w:pPr>
      <w:r>
        <w:rPr>
          <w:rFonts w:eastAsia="Times New Roman"/>
          <w:sz w:val="24"/>
          <w:szCs w:val="24"/>
        </w:rPr>
        <w:t>As Germany is IKEA's largest global market, accounting for over 15.4% of total sales in 2025, the financial perspective focuses on financial outcomes, such as increasing revenue and profitability while maintaining its cost leadership strategy and long-term financial sustainability. (Statista, 2026).  The company analyse the purchasing factors that influence customers to buy and implements best practices, including low prices, as a business idea, and provides cost-effective services to its consumers. However, the company’s retail sales slightly decreased to EUR 44.6 billion in financial year 2025 due to cutting prices to make products more affordable for customers, which reduced revenue but increased the product sales volume and store visits (IKEA, 2025). This reflects a strategic investment in sustaining its cost leadership position during a period of economic uncertainty.</w:t>
      </w:r>
    </w:p>
    <w:p w14:paraId="66DC307D">
      <w:pPr>
        <w:spacing w:line="360" w:lineRule="auto"/>
        <w:jc w:val="center"/>
        <w:rPr>
          <w:rFonts w:eastAsia="Times New Roman"/>
          <w:b/>
          <w:bCs/>
          <w:sz w:val="24"/>
          <w:szCs w:val="24"/>
        </w:rPr>
      </w:pPr>
      <w:r>
        <w:rPr>
          <w:rFonts w:eastAsia="Times New Roman"/>
          <w:sz w:val="24"/>
          <w:szCs w:val="24"/>
          <w:lang w:val="en-IN"/>
        </w:rPr>
        <w:drawing>
          <wp:inline distT="114300" distB="114300" distL="114300" distR="114300">
            <wp:extent cx="3119120" cy="2233295"/>
            <wp:effectExtent l="0" t="0" r="0" b="0"/>
            <wp:docPr id="170969968" name="image10.png"/>
            <wp:cNvGraphicFramePr/>
            <a:graphic xmlns:a="http://schemas.openxmlformats.org/drawingml/2006/main">
              <a:graphicData uri="http://schemas.openxmlformats.org/drawingml/2006/picture">
                <pic:pic xmlns:pic="http://schemas.openxmlformats.org/drawingml/2006/picture">
                  <pic:nvPicPr>
                    <pic:cNvPr id="170969968" name="image10.png"/>
                    <pic:cNvPicPr preferRelativeResize="0"/>
                  </pic:nvPicPr>
                  <pic:blipFill>
                    <a:blip r:embed="rId13"/>
                    <a:srcRect/>
                    <a:stretch>
                      <a:fillRect/>
                    </a:stretch>
                  </pic:blipFill>
                  <pic:spPr>
                    <a:xfrm>
                      <a:off x="0" y="0"/>
                      <a:ext cx="3119571" cy="2233613"/>
                    </a:xfrm>
                    <a:prstGeom prst="rect">
                      <a:avLst/>
                    </a:prstGeom>
                  </pic:spPr>
                </pic:pic>
              </a:graphicData>
            </a:graphic>
          </wp:inline>
        </w:drawing>
      </w:r>
    </w:p>
    <w:p w14:paraId="283D1FA0">
      <w:pPr>
        <w:spacing w:line="360" w:lineRule="auto"/>
        <w:jc w:val="center"/>
        <w:rPr>
          <w:rFonts w:eastAsia="Times New Roman"/>
          <w:sz w:val="24"/>
          <w:szCs w:val="24"/>
        </w:rPr>
      </w:pPr>
      <w:r>
        <w:rPr>
          <w:rFonts w:eastAsia="Times New Roman"/>
          <w:sz w:val="24"/>
          <w:szCs w:val="24"/>
        </w:rPr>
        <w:t>Figure 5: IKEA’s retail sales</w:t>
      </w:r>
    </w:p>
    <w:p w14:paraId="4BF30C66">
      <w:pPr>
        <w:spacing w:line="360" w:lineRule="auto"/>
        <w:jc w:val="center"/>
        <w:rPr>
          <w:rFonts w:eastAsia="Times New Roman"/>
          <w:sz w:val="24"/>
          <w:szCs w:val="24"/>
        </w:rPr>
      </w:pPr>
      <w:r>
        <w:rPr>
          <w:rFonts w:eastAsia="Times New Roman"/>
          <w:sz w:val="24"/>
          <w:szCs w:val="24"/>
        </w:rPr>
        <w:t>(Source: IKEA, 2025)</w:t>
      </w:r>
    </w:p>
    <w:p w14:paraId="462F85A3">
      <w:pPr>
        <w:spacing w:line="360" w:lineRule="auto"/>
        <w:jc w:val="both"/>
        <w:rPr>
          <w:rFonts w:eastAsia="Times New Roman"/>
          <w:sz w:val="24"/>
          <w:szCs w:val="24"/>
        </w:rPr>
      </w:pPr>
      <w:r>
        <w:rPr>
          <w:rFonts w:eastAsia="Times New Roman"/>
          <w:b/>
          <w:bCs/>
          <w:sz w:val="24"/>
          <w:szCs w:val="24"/>
        </w:rPr>
        <w:t>Objective</w:t>
      </w:r>
      <w:r>
        <w:rPr>
          <w:rFonts w:eastAsia="Times New Roman"/>
          <w:sz w:val="24"/>
          <w:szCs w:val="24"/>
        </w:rPr>
        <w:t xml:space="preserve"> - To increase the retail revenue of the organisation by 20% through strategically increasing pricing of core products in 12 months. </w:t>
      </w:r>
    </w:p>
    <w:p w14:paraId="28269D3A">
      <w:pPr>
        <w:spacing w:line="360" w:lineRule="auto"/>
        <w:jc w:val="both"/>
        <w:rPr>
          <w:rFonts w:eastAsia="Times New Roman"/>
          <w:sz w:val="24"/>
          <w:szCs w:val="24"/>
        </w:rPr>
      </w:pPr>
      <w:r>
        <w:rPr>
          <w:rFonts w:eastAsia="Times New Roman"/>
          <w:b/>
          <w:bCs/>
          <w:sz w:val="24"/>
          <w:szCs w:val="24"/>
        </w:rPr>
        <w:t>KPI and Target</w:t>
      </w:r>
      <w:r>
        <w:rPr>
          <w:rFonts w:eastAsia="Times New Roman"/>
          <w:sz w:val="24"/>
          <w:szCs w:val="24"/>
        </w:rPr>
        <w:t xml:space="preserve"> - to increase net profit margin by balancing profitability and deliberate price-reduction strategies that compress short-term margins to protect consumer affordability.</w:t>
      </w:r>
    </w:p>
    <w:p w14:paraId="6C6A79D5">
      <w:pPr>
        <w:spacing w:line="360" w:lineRule="auto"/>
        <w:jc w:val="both"/>
        <w:rPr>
          <w:rFonts w:eastAsia="Times New Roman"/>
          <w:sz w:val="24"/>
          <w:szCs w:val="24"/>
        </w:rPr>
      </w:pPr>
      <w:r>
        <w:rPr>
          <w:rFonts w:eastAsia="Times New Roman"/>
          <w:b/>
          <w:bCs/>
          <w:sz w:val="24"/>
          <w:szCs w:val="24"/>
        </w:rPr>
        <w:t xml:space="preserve">Initiative- </w:t>
      </w:r>
      <w:r>
        <w:rPr>
          <w:rFonts w:eastAsia="Times New Roman"/>
          <w:sz w:val="24"/>
          <w:szCs w:val="24"/>
        </w:rPr>
        <w:t>Implement supply chain optimisation, redesign selected products to reduce material and transportation costs, expand omnichannel retailing and increase inventory efficiency to improve profitability while maintaining affordable prices for customers.</w:t>
      </w:r>
    </w:p>
    <w:p w14:paraId="4BD0D052">
      <w:pPr>
        <w:spacing w:line="360" w:lineRule="auto"/>
        <w:jc w:val="both"/>
        <w:rPr>
          <w:rFonts w:eastAsia="Times New Roman"/>
          <w:b/>
          <w:bCs/>
          <w:sz w:val="24"/>
          <w:szCs w:val="24"/>
        </w:rPr>
      </w:pPr>
      <w:r>
        <w:rPr>
          <w:rFonts w:eastAsia="Times New Roman"/>
          <w:b/>
          <w:bCs/>
          <w:sz w:val="24"/>
          <w:szCs w:val="24"/>
        </w:rPr>
        <w:t>Customer perspective</w:t>
      </w:r>
    </w:p>
    <w:p w14:paraId="24D4C204">
      <w:pPr>
        <w:spacing w:line="360" w:lineRule="auto"/>
        <w:jc w:val="both"/>
        <w:rPr>
          <w:rFonts w:eastAsia="Times New Roman"/>
          <w:sz w:val="24"/>
          <w:szCs w:val="24"/>
        </w:rPr>
      </w:pPr>
      <w:r>
        <w:rPr>
          <w:rFonts w:eastAsia="Times New Roman"/>
          <w:sz w:val="24"/>
          <w:szCs w:val="24"/>
        </w:rPr>
        <w:t xml:space="preserve">IKEA offers affordable, democratic design products combined with circular economy services to satisfy a wide range of customers and appeal to environmentally conscious consumers (IKEA, 2026). Its key competitive advantage is its expertise in gaining knowledge about its customers, as it analyses and understands purchasing factors that influence customers to buy furniture (Statista,  2026). Moreover, Germany led global IKEA sales at 15.4% in 2025, reflecting strong market reach and customer engagement due to higher customer satisfaction and repeat purchases (Statista, 2025). In addition, Germany has a quality and value score (QVS) of 71 due to its added energy and home system offering easy-to-assemble balcony solar panels. This satisfies customer needs by offering easy accessibility and cost-saving potential (YouGov, 2025). </w:t>
      </w:r>
    </w:p>
    <w:p w14:paraId="1123E055">
      <w:pPr>
        <w:spacing w:line="360" w:lineRule="auto"/>
        <w:jc w:val="center"/>
        <w:rPr>
          <w:rFonts w:eastAsia="Times New Roman"/>
          <w:sz w:val="24"/>
          <w:szCs w:val="24"/>
        </w:rPr>
      </w:pPr>
      <w:r>
        <w:rPr>
          <w:rFonts w:eastAsia="Times New Roman"/>
          <w:sz w:val="24"/>
          <w:szCs w:val="24"/>
          <w:lang w:val="en-IN"/>
        </w:rPr>
        <w:drawing>
          <wp:inline distT="114300" distB="114300" distL="114300" distR="114300">
            <wp:extent cx="5676900" cy="1466850"/>
            <wp:effectExtent l="0" t="0" r="0" b="0"/>
            <wp:docPr id="1800175174" name="image6.png"/>
            <wp:cNvGraphicFramePr/>
            <a:graphic xmlns:a="http://schemas.openxmlformats.org/drawingml/2006/main">
              <a:graphicData uri="http://schemas.openxmlformats.org/drawingml/2006/picture">
                <pic:pic xmlns:pic="http://schemas.openxmlformats.org/drawingml/2006/picture">
                  <pic:nvPicPr>
                    <pic:cNvPr id="1800175174" name="image6.png"/>
                    <pic:cNvPicPr preferRelativeResize="0"/>
                  </pic:nvPicPr>
                  <pic:blipFill>
                    <a:blip r:embed="rId14"/>
                    <a:srcRect/>
                    <a:stretch>
                      <a:fillRect/>
                    </a:stretch>
                  </pic:blipFill>
                  <pic:spPr>
                    <a:xfrm>
                      <a:off x="0" y="0"/>
                      <a:ext cx="5676900" cy="1466850"/>
                    </a:xfrm>
                    <a:prstGeom prst="rect">
                      <a:avLst/>
                    </a:prstGeom>
                  </pic:spPr>
                </pic:pic>
              </a:graphicData>
            </a:graphic>
          </wp:inline>
        </w:drawing>
      </w:r>
    </w:p>
    <w:p w14:paraId="2861DE4B">
      <w:pPr>
        <w:spacing w:line="360" w:lineRule="auto"/>
        <w:jc w:val="center"/>
        <w:rPr>
          <w:rFonts w:eastAsia="Times New Roman"/>
          <w:sz w:val="24"/>
          <w:szCs w:val="24"/>
        </w:rPr>
      </w:pPr>
      <w:r>
        <w:rPr>
          <w:rFonts w:eastAsia="Times New Roman"/>
          <w:sz w:val="24"/>
          <w:szCs w:val="24"/>
        </w:rPr>
        <w:t>Figure 6: IKEA’s quality and value score (QVS)</w:t>
      </w:r>
    </w:p>
    <w:p w14:paraId="4D99ACAD">
      <w:pPr>
        <w:spacing w:line="360" w:lineRule="auto"/>
        <w:jc w:val="center"/>
        <w:rPr>
          <w:rFonts w:eastAsia="Times New Roman"/>
          <w:sz w:val="24"/>
          <w:szCs w:val="24"/>
        </w:rPr>
      </w:pPr>
      <w:r>
        <w:rPr>
          <w:rFonts w:eastAsia="Times New Roman"/>
          <w:sz w:val="24"/>
          <w:szCs w:val="24"/>
        </w:rPr>
        <w:t>(Source: YouGov, 2025)</w:t>
      </w:r>
    </w:p>
    <w:p w14:paraId="1B8242FD">
      <w:pPr>
        <w:spacing w:line="360" w:lineRule="auto"/>
        <w:jc w:val="both"/>
        <w:rPr>
          <w:rFonts w:eastAsia="Times New Roman"/>
          <w:sz w:val="24"/>
          <w:szCs w:val="24"/>
        </w:rPr>
      </w:pPr>
      <w:r>
        <w:rPr>
          <w:rFonts w:eastAsia="Times New Roman"/>
          <w:b/>
          <w:bCs/>
          <w:sz w:val="24"/>
          <w:szCs w:val="24"/>
        </w:rPr>
        <w:t xml:space="preserve">Objective - </w:t>
      </w:r>
      <w:r>
        <w:rPr>
          <w:rFonts w:eastAsia="Times New Roman"/>
          <w:sz w:val="24"/>
          <w:szCs w:val="24"/>
        </w:rPr>
        <w:t xml:space="preserve">To increase customer satisfaction by 15% by expanding the availability of its easy-to-assemble balcony collar panel and circular economy services.  </w:t>
      </w:r>
    </w:p>
    <w:p w14:paraId="6F50AB17">
      <w:pPr>
        <w:spacing w:line="360" w:lineRule="auto"/>
        <w:jc w:val="both"/>
        <w:rPr>
          <w:rFonts w:eastAsia="Times New Roman"/>
          <w:sz w:val="24"/>
          <w:szCs w:val="24"/>
        </w:rPr>
      </w:pPr>
      <w:r>
        <w:rPr>
          <w:rFonts w:eastAsia="Times New Roman"/>
          <w:b/>
          <w:bCs/>
          <w:sz w:val="24"/>
          <w:szCs w:val="24"/>
        </w:rPr>
        <w:t xml:space="preserve">KPI and Target- </w:t>
      </w:r>
      <w:r>
        <w:rPr>
          <w:rFonts w:eastAsia="Times New Roman"/>
          <w:sz w:val="24"/>
          <w:szCs w:val="24"/>
        </w:rPr>
        <w:t xml:space="preserve">to increase the Customer satisfaction CSAT/ NPS score by increasing product availability, growth in service uptake and reduction in resolution time. </w:t>
      </w:r>
    </w:p>
    <w:p w14:paraId="04C080A1">
      <w:pPr>
        <w:spacing w:line="360" w:lineRule="auto"/>
        <w:jc w:val="both"/>
        <w:rPr>
          <w:rFonts w:eastAsia="Times New Roman"/>
          <w:b/>
          <w:bCs/>
          <w:sz w:val="24"/>
          <w:szCs w:val="24"/>
        </w:rPr>
      </w:pPr>
      <w:r>
        <w:rPr>
          <w:rFonts w:eastAsia="Times New Roman"/>
          <w:b/>
          <w:bCs/>
          <w:sz w:val="24"/>
          <w:szCs w:val="24"/>
        </w:rPr>
        <w:t xml:space="preserve">Initiative- </w:t>
      </w:r>
      <w:r>
        <w:rPr>
          <w:rFonts w:eastAsia="Times New Roman"/>
          <w:sz w:val="24"/>
          <w:szCs w:val="24"/>
        </w:rPr>
        <w:t xml:space="preserve">to boost customer satisfaction, IKEA redesigned and improved easy assembly, focusing on modular setup, integrated a circular economy dedicated to second-hand product lifecycle, and streamlined omnichannel and feedback service, aligning with the vision of the company. Moreover,  it can expand the IKEA Buy Back &amp; Resell programme and improve modular product design to simplify assembly. </w:t>
      </w:r>
    </w:p>
    <w:p w14:paraId="681349EC">
      <w:pPr>
        <w:spacing w:line="360" w:lineRule="auto"/>
        <w:jc w:val="both"/>
        <w:rPr>
          <w:rFonts w:eastAsia="Times New Roman"/>
          <w:b/>
          <w:bCs/>
          <w:sz w:val="24"/>
          <w:szCs w:val="24"/>
        </w:rPr>
      </w:pPr>
      <w:r>
        <w:rPr>
          <w:rFonts w:eastAsia="Times New Roman"/>
          <w:b/>
          <w:bCs/>
          <w:sz w:val="24"/>
          <w:szCs w:val="24"/>
        </w:rPr>
        <w:t>Internal process perspective</w:t>
      </w:r>
    </w:p>
    <w:p w14:paraId="4707CDBB">
      <w:pPr>
        <w:spacing w:line="360" w:lineRule="auto"/>
        <w:jc w:val="both"/>
        <w:rPr>
          <w:rFonts w:eastAsia="Times New Roman"/>
          <w:sz w:val="24"/>
          <w:szCs w:val="24"/>
        </w:rPr>
      </w:pPr>
      <w:r>
        <w:rPr>
          <w:rFonts w:eastAsia="Times New Roman"/>
          <w:sz w:val="24"/>
          <w:szCs w:val="24"/>
        </w:rPr>
        <w:t>The internal process perspective of IKEA focuses on operational excellence, cost-driven design and supply chain capabilities that contribute to operational efficiency. In Germany, IKEA operated under the Ingka Group franchise model, combining an extensive physical-store network with digital retail channels to support an integrated omnichannel operating model (INGKA, 2026). The company manages its operations by combining centralized products development and democratic design, automated warehouse facilities and strict adherence to localised labour and data privacy regulations (IKEA, 2026). Moreover, in Germany, the supply chain integrates advanced local manufacturing, regional distribution hubs, and automated e-commerce fulfilment partnerships with DHL Group (DHL, 2022). In addition, across 54 locations in Germany, IKEA provides restaurant and bistro services following standardised internal supply, preparation and waste-reduction workflow. (INGKA, 2026).</w:t>
      </w:r>
    </w:p>
    <w:p w14:paraId="116C6776">
      <w:pPr>
        <w:spacing w:line="360" w:lineRule="auto"/>
        <w:jc w:val="both"/>
        <w:rPr>
          <w:rFonts w:eastAsia="Times New Roman"/>
          <w:sz w:val="24"/>
          <w:szCs w:val="24"/>
        </w:rPr>
      </w:pPr>
      <w:r>
        <w:rPr>
          <w:rFonts w:eastAsia="Times New Roman"/>
          <w:b/>
          <w:bCs/>
          <w:sz w:val="24"/>
          <w:szCs w:val="24"/>
        </w:rPr>
        <w:t xml:space="preserve">Objective - </w:t>
      </w:r>
      <w:r>
        <w:rPr>
          <w:rFonts w:eastAsia="Times New Roman"/>
          <w:sz w:val="24"/>
          <w:szCs w:val="24"/>
        </w:rPr>
        <w:t xml:space="preserve">to improve e-commerce fulfilment by 10% within 12 months through warehouse automation, inventory optimisation and improved order-processing systems. </w:t>
      </w:r>
    </w:p>
    <w:p w14:paraId="06C9DC42">
      <w:pPr>
        <w:spacing w:line="360" w:lineRule="auto"/>
        <w:jc w:val="both"/>
        <w:rPr>
          <w:rFonts w:eastAsia="Times New Roman"/>
          <w:sz w:val="24"/>
          <w:szCs w:val="24"/>
        </w:rPr>
      </w:pPr>
      <w:r>
        <w:rPr>
          <w:rFonts w:eastAsia="Times New Roman"/>
          <w:b/>
          <w:bCs/>
          <w:sz w:val="24"/>
          <w:szCs w:val="24"/>
        </w:rPr>
        <w:t xml:space="preserve">KPI and Target - </w:t>
      </w:r>
      <w:r>
        <w:rPr>
          <w:rFonts w:eastAsia="Times New Roman"/>
          <w:sz w:val="24"/>
          <w:szCs w:val="24"/>
        </w:rPr>
        <w:t xml:space="preserve">To track and increase order throughput rate by measuring the number of orders processed per hour, average order cycle time, and warehouse processing capacity, with a focus on improving automated sorting efficiency. </w:t>
      </w:r>
    </w:p>
    <w:p w14:paraId="091380E9">
      <w:pPr>
        <w:spacing w:line="360" w:lineRule="auto"/>
        <w:jc w:val="both"/>
        <w:rPr>
          <w:rFonts w:eastAsia="Times New Roman"/>
          <w:sz w:val="24"/>
          <w:szCs w:val="24"/>
        </w:rPr>
      </w:pPr>
      <w:r>
        <w:rPr>
          <w:rFonts w:eastAsia="Times New Roman"/>
          <w:b/>
          <w:bCs/>
          <w:sz w:val="24"/>
          <w:szCs w:val="24"/>
        </w:rPr>
        <w:t xml:space="preserve">Initiative - </w:t>
      </w:r>
      <w:r>
        <w:rPr>
          <w:rFonts w:eastAsia="Times New Roman"/>
          <w:sz w:val="24"/>
          <w:szCs w:val="24"/>
        </w:rPr>
        <w:t xml:space="preserve">to increase e-commerce fulfilment, IKEA uses advanced tech, auto-store robotics grids, AI-driven picking stations and automated inventory to boost stock data accuracy. </w:t>
      </w:r>
    </w:p>
    <w:p w14:paraId="4C450F36">
      <w:pPr>
        <w:spacing w:line="360" w:lineRule="auto"/>
        <w:jc w:val="both"/>
        <w:rPr>
          <w:rFonts w:eastAsia="Times New Roman"/>
          <w:b/>
          <w:bCs/>
          <w:sz w:val="24"/>
          <w:szCs w:val="24"/>
        </w:rPr>
      </w:pPr>
      <w:r>
        <w:rPr>
          <w:rFonts w:eastAsia="Times New Roman"/>
          <w:b/>
          <w:bCs/>
          <w:sz w:val="24"/>
          <w:szCs w:val="24"/>
        </w:rPr>
        <w:t>Learning and growth perspective</w:t>
      </w:r>
    </w:p>
    <w:p w14:paraId="106556AC">
      <w:pPr>
        <w:spacing w:line="360" w:lineRule="auto"/>
        <w:jc w:val="both"/>
        <w:rPr>
          <w:rFonts w:eastAsia="Times New Roman"/>
          <w:sz w:val="24"/>
          <w:szCs w:val="24"/>
        </w:rPr>
      </w:pPr>
      <w:r>
        <w:rPr>
          <w:rFonts w:eastAsia="Times New Roman"/>
          <w:sz w:val="24"/>
          <w:szCs w:val="24"/>
        </w:rPr>
        <w:t>The learning and growth perspective of IKEA focuses on corporate culture, human resources strategies, and continuous adaptability with a straightforward, innovative, creative and problem-solving approach (IKEA, 2026). Moreover, the company takes the 70-20-10 model for learning and development, where 70% represents job-related experiences, 20% represents interaction with others, and 10% represents classroom training (IKEA, 2026). This enhances worker learning by blending real-world tasks, social feedback, and formal courses. In addition, the company offers training initiatives, including an internal digital platform, the My Learning program, for employee skill development, work-study trainees, and external business training modules via a business network (IKEA, 2026). IKEA allows employees to choose courses tailored to individual roles and interests, along with an educational grant per year for courses, which help employees grow professionally at IKEA.</w:t>
      </w:r>
    </w:p>
    <w:p w14:paraId="1ABAC5F9">
      <w:pPr>
        <w:spacing w:line="360" w:lineRule="auto"/>
        <w:jc w:val="both"/>
        <w:rPr>
          <w:rFonts w:eastAsia="Times New Roman"/>
          <w:sz w:val="24"/>
          <w:szCs w:val="24"/>
        </w:rPr>
      </w:pPr>
      <w:r>
        <w:rPr>
          <w:rFonts w:eastAsia="Times New Roman"/>
          <w:b/>
          <w:bCs/>
          <w:sz w:val="24"/>
          <w:szCs w:val="24"/>
        </w:rPr>
        <w:t xml:space="preserve">Objective - </w:t>
      </w:r>
      <w:r>
        <w:rPr>
          <w:rFonts w:eastAsia="Times New Roman"/>
          <w:sz w:val="24"/>
          <w:szCs w:val="24"/>
        </w:rPr>
        <w:t xml:space="preserve">to boost employee performance by 20% within 6 months by improving skill development training. </w:t>
      </w:r>
    </w:p>
    <w:p w14:paraId="0A49B1DC">
      <w:pPr>
        <w:spacing w:line="360" w:lineRule="auto"/>
        <w:jc w:val="both"/>
        <w:rPr>
          <w:rFonts w:eastAsia="Times New Roman"/>
          <w:sz w:val="24"/>
          <w:szCs w:val="24"/>
        </w:rPr>
      </w:pPr>
      <w:r>
        <w:rPr>
          <w:rFonts w:eastAsia="Times New Roman"/>
          <w:b/>
          <w:bCs/>
          <w:sz w:val="24"/>
          <w:szCs w:val="24"/>
        </w:rPr>
        <w:t xml:space="preserve">KPI and Target - </w:t>
      </w:r>
      <w:r>
        <w:rPr>
          <w:rFonts w:eastAsia="Times New Roman"/>
          <w:sz w:val="24"/>
          <w:szCs w:val="24"/>
        </w:rPr>
        <w:t xml:space="preserve">to increase task efficiency score by tracking skill improvement assessment. </w:t>
      </w:r>
    </w:p>
    <w:p w14:paraId="4838F493">
      <w:pPr>
        <w:spacing w:line="360" w:lineRule="auto"/>
        <w:jc w:val="both"/>
        <w:rPr>
          <w:rFonts w:eastAsia="Times New Roman"/>
          <w:sz w:val="24"/>
          <w:szCs w:val="24"/>
        </w:rPr>
      </w:pPr>
      <w:r>
        <w:rPr>
          <w:rFonts w:eastAsia="Times New Roman"/>
          <w:b/>
          <w:bCs/>
          <w:sz w:val="24"/>
          <w:szCs w:val="24"/>
        </w:rPr>
        <w:t xml:space="preserve">Initiative - </w:t>
      </w:r>
      <w:r>
        <w:rPr>
          <w:rFonts w:eastAsia="Times New Roman"/>
          <w:sz w:val="24"/>
          <w:szCs w:val="24"/>
        </w:rPr>
        <w:t xml:space="preserve">to boost performance and efficiency, IKEA adopts a comprehensive digital and AI literacy upskilling approach. </w:t>
      </w:r>
    </w:p>
    <w:p w14:paraId="004C77A4">
      <w:pPr>
        <w:spacing w:line="360" w:lineRule="auto"/>
        <w:rPr>
          <w:rFonts w:eastAsia="Times New Roman"/>
          <w:sz w:val="24"/>
          <w:szCs w:val="24"/>
        </w:rPr>
      </w:pPr>
      <w:r>
        <w:rPr>
          <w:rFonts w:eastAsia="Times New Roman"/>
          <w:sz w:val="24"/>
          <w:szCs w:val="24"/>
        </w:rPr>
        <w:br w:type="page"/>
      </w:r>
    </w:p>
    <w:p w14:paraId="4C0B9952">
      <w:pPr>
        <w:spacing w:line="360" w:lineRule="auto"/>
        <w:jc w:val="both"/>
        <w:rPr>
          <w:rFonts w:eastAsia="Times New Roman"/>
          <w:sz w:val="24"/>
          <w:szCs w:val="24"/>
        </w:rPr>
      </w:pPr>
    </w:p>
    <w:tbl>
      <w:tblPr>
        <w:tblStyle w:val="21"/>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1872"/>
        <w:gridCol w:w="1872"/>
        <w:gridCol w:w="1872"/>
        <w:gridCol w:w="1872"/>
        <w:gridCol w:w="1872"/>
      </w:tblGrid>
      <w:tr w14:paraId="7370F0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872" w:type="dxa"/>
            <w:tcMar>
              <w:top w:w="100" w:type="dxa"/>
              <w:left w:w="100" w:type="dxa"/>
              <w:bottom w:w="100" w:type="dxa"/>
              <w:right w:w="100" w:type="dxa"/>
            </w:tcMar>
          </w:tcPr>
          <w:p w14:paraId="7405CA88">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b/>
                <w:bCs/>
                <w:sz w:val="24"/>
                <w:szCs w:val="24"/>
              </w:rPr>
            </w:pPr>
            <w:r>
              <w:rPr>
                <w:rFonts w:eastAsia="Times New Roman"/>
                <w:b/>
                <w:bCs/>
                <w:sz w:val="24"/>
                <w:szCs w:val="24"/>
              </w:rPr>
              <w:t>Perspective</w:t>
            </w:r>
          </w:p>
        </w:tc>
        <w:tc>
          <w:tcPr>
            <w:tcW w:w="1872" w:type="dxa"/>
            <w:tcMar>
              <w:top w:w="100" w:type="dxa"/>
              <w:left w:w="100" w:type="dxa"/>
              <w:bottom w:w="100" w:type="dxa"/>
              <w:right w:w="100" w:type="dxa"/>
            </w:tcMar>
          </w:tcPr>
          <w:p w14:paraId="1D37CB41">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b/>
                <w:bCs/>
                <w:sz w:val="24"/>
                <w:szCs w:val="24"/>
              </w:rPr>
            </w:pPr>
            <w:r>
              <w:rPr>
                <w:rFonts w:eastAsia="Times New Roman"/>
                <w:b/>
                <w:bCs/>
                <w:sz w:val="24"/>
                <w:szCs w:val="24"/>
              </w:rPr>
              <w:t>Strategic Objective</w:t>
            </w:r>
          </w:p>
        </w:tc>
        <w:tc>
          <w:tcPr>
            <w:tcW w:w="1872" w:type="dxa"/>
            <w:tcMar>
              <w:top w:w="100" w:type="dxa"/>
              <w:left w:w="100" w:type="dxa"/>
              <w:bottom w:w="100" w:type="dxa"/>
              <w:right w:w="100" w:type="dxa"/>
            </w:tcMar>
          </w:tcPr>
          <w:p w14:paraId="007D3C3B">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b/>
                <w:bCs/>
                <w:sz w:val="24"/>
                <w:szCs w:val="24"/>
              </w:rPr>
            </w:pPr>
            <w:r>
              <w:rPr>
                <w:rFonts w:eastAsia="Times New Roman"/>
                <w:b/>
                <w:bCs/>
                <w:sz w:val="24"/>
                <w:szCs w:val="24"/>
              </w:rPr>
              <w:t>KPI</w:t>
            </w:r>
          </w:p>
        </w:tc>
        <w:tc>
          <w:tcPr>
            <w:tcW w:w="1872" w:type="dxa"/>
            <w:tcMar>
              <w:top w:w="100" w:type="dxa"/>
              <w:left w:w="100" w:type="dxa"/>
              <w:bottom w:w="100" w:type="dxa"/>
              <w:right w:w="100" w:type="dxa"/>
            </w:tcMar>
          </w:tcPr>
          <w:p w14:paraId="5F7C5F13">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b/>
                <w:bCs/>
                <w:sz w:val="24"/>
                <w:szCs w:val="24"/>
              </w:rPr>
            </w:pPr>
            <w:r>
              <w:rPr>
                <w:rFonts w:eastAsia="Times New Roman"/>
                <w:b/>
                <w:bCs/>
                <w:sz w:val="24"/>
                <w:szCs w:val="24"/>
              </w:rPr>
              <w:t>Target</w:t>
            </w:r>
          </w:p>
        </w:tc>
        <w:tc>
          <w:tcPr>
            <w:tcW w:w="1872" w:type="dxa"/>
            <w:tcMar>
              <w:top w:w="100" w:type="dxa"/>
              <w:left w:w="100" w:type="dxa"/>
              <w:bottom w:w="100" w:type="dxa"/>
              <w:right w:w="100" w:type="dxa"/>
            </w:tcMar>
          </w:tcPr>
          <w:p w14:paraId="41584C39">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b/>
                <w:bCs/>
                <w:sz w:val="24"/>
                <w:szCs w:val="24"/>
              </w:rPr>
            </w:pPr>
            <w:r>
              <w:rPr>
                <w:rFonts w:eastAsia="Times New Roman"/>
                <w:b/>
                <w:bCs/>
                <w:sz w:val="24"/>
                <w:szCs w:val="24"/>
              </w:rPr>
              <w:t>Strategic Initiative</w:t>
            </w:r>
          </w:p>
        </w:tc>
      </w:tr>
      <w:tr w14:paraId="2B5637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872" w:type="dxa"/>
            <w:tcMar>
              <w:top w:w="100" w:type="dxa"/>
              <w:left w:w="100" w:type="dxa"/>
              <w:bottom w:w="100" w:type="dxa"/>
              <w:right w:w="100" w:type="dxa"/>
            </w:tcMar>
          </w:tcPr>
          <w:p w14:paraId="4EC1E877">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b/>
                <w:bCs/>
                <w:sz w:val="24"/>
                <w:szCs w:val="24"/>
              </w:rPr>
            </w:pPr>
            <w:r>
              <w:rPr>
                <w:rFonts w:eastAsia="Times New Roman"/>
                <w:b/>
                <w:bCs/>
                <w:sz w:val="24"/>
                <w:szCs w:val="24"/>
              </w:rPr>
              <w:t xml:space="preserve">Financial </w:t>
            </w:r>
          </w:p>
        </w:tc>
        <w:tc>
          <w:tcPr>
            <w:tcW w:w="1872" w:type="dxa"/>
            <w:tcMar>
              <w:top w:w="100" w:type="dxa"/>
              <w:left w:w="100" w:type="dxa"/>
              <w:bottom w:w="100" w:type="dxa"/>
              <w:right w:w="100" w:type="dxa"/>
            </w:tcMar>
          </w:tcPr>
          <w:p w14:paraId="7FFFFE8F">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Cost-effective services</w:t>
            </w:r>
          </w:p>
        </w:tc>
        <w:tc>
          <w:tcPr>
            <w:tcW w:w="1872" w:type="dxa"/>
            <w:tcMar>
              <w:top w:w="100" w:type="dxa"/>
              <w:left w:w="100" w:type="dxa"/>
              <w:bottom w:w="100" w:type="dxa"/>
              <w:right w:w="100" w:type="dxa"/>
            </w:tcMar>
          </w:tcPr>
          <w:p w14:paraId="1AD5B248">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Net Profit Margin</w:t>
            </w:r>
          </w:p>
        </w:tc>
        <w:tc>
          <w:tcPr>
            <w:tcW w:w="1872" w:type="dxa"/>
            <w:tcMar>
              <w:top w:w="100" w:type="dxa"/>
              <w:left w:w="100" w:type="dxa"/>
              <w:bottom w:w="100" w:type="dxa"/>
              <w:right w:w="100" w:type="dxa"/>
            </w:tcMar>
          </w:tcPr>
          <w:p w14:paraId="1325313A">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Balance profitability and price reduction strategy</w:t>
            </w:r>
          </w:p>
        </w:tc>
        <w:tc>
          <w:tcPr>
            <w:tcW w:w="1872" w:type="dxa"/>
            <w:tcMar>
              <w:top w:w="100" w:type="dxa"/>
              <w:left w:w="100" w:type="dxa"/>
              <w:bottom w:w="100" w:type="dxa"/>
              <w:right w:w="100" w:type="dxa"/>
            </w:tcMar>
          </w:tcPr>
          <w:p w14:paraId="14DE32F9">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Strategically target price adjustment and redesign core products</w:t>
            </w:r>
          </w:p>
        </w:tc>
      </w:tr>
      <w:tr w14:paraId="422B1B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872" w:type="dxa"/>
            <w:tcMar>
              <w:top w:w="100" w:type="dxa"/>
              <w:left w:w="100" w:type="dxa"/>
              <w:bottom w:w="100" w:type="dxa"/>
              <w:right w:w="100" w:type="dxa"/>
            </w:tcMar>
          </w:tcPr>
          <w:p w14:paraId="258BABB8">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b/>
                <w:bCs/>
                <w:sz w:val="24"/>
                <w:szCs w:val="24"/>
              </w:rPr>
            </w:pPr>
            <w:r>
              <w:rPr>
                <w:rFonts w:eastAsia="Times New Roman"/>
                <w:b/>
                <w:bCs/>
                <w:sz w:val="24"/>
                <w:szCs w:val="24"/>
              </w:rPr>
              <w:t xml:space="preserve">Customer </w:t>
            </w:r>
          </w:p>
        </w:tc>
        <w:tc>
          <w:tcPr>
            <w:tcW w:w="1872" w:type="dxa"/>
            <w:tcMar>
              <w:top w:w="100" w:type="dxa"/>
              <w:left w:w="100" w:type="dxa"/>
              <w:bottom w:w="100" w:type="dxa"/>
              <w:right w:w="100" w:type="dxa"/>
            </w:tcMar>
          </w:tcPr>
          <w:p w14:paraId="7A47872F">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Analyse purchasing factors that influence customers to buy furniture</w:t>
            </w:r>
          </w:p>
        </w:tc>
        <w:tc>
          <w:tcPr>
            <w:tcW w:w="1872" w:type="dxa"/>
            <w:tcMar>
              <w:top w:w="100" w:type="dxa"/>
              <w:left w:w="100" w:type="dxa"/>
              <w:bottom w:w="100" w:type="dxa"/>
              <w:right w:w="100" w:type="dxa"/>
            </w:tcMar>
          </w:tcPr>
          <w:p w14:paraId="251A1202">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Customer satisfaction (CSAT) / NPS</w:t>
            </w:r>
          </w:p>
        </w:tc>
        <w:tc>
          <w:tcPr>
            <w:tcW w:w="1872" w:type="dxa"/>
            <w:tcMar>
              <w:top w:w="100" w:type="dxa"/>
              <w:left w:w="100" w:type="dxa"/>
              <w:bottom w:w="100" w:type="dxa"/>
              <w:right w:w="100" w:type="dxa"/>
            </w:tcMar>
          </w:tcPr>
          <w:p w14:paraId="74319AFC">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increasing product availability, growth in service uptake and reduction in resolution time</w:t>
            </w:r>
          </w:p>
        </w:tc>
        <w:tc>
          <w:tcPr>
            <w:tcW w:w="1872" w:type="dxa"/>
            <w:tcMar>
              <w:top w:w="100" w:type="dxa"/>
              <w:left w:w="100" w:type="dxa"/>
              <w:bottom w:w="100" w:type="dxa"/>
              <w:right w:w="100" w:type="dxa"/>
            </w:tcMar>
          </w:tcPr>
          <w:p w14:paraId="2E13A198">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Redesigned and improved easy assembly, focusing on modular setup, integrating a circular economy</w:t>
            </w:r>
          </w:p>
        </w:tc>
      </w:tr>
      <w:tr w14:paraId="6D5522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872" w:type="dxa"/>
            <w:tcMar>
              <w:top w:w="100" w:type="dxa"/>
              <w:left w:w="100" w:type="dxa"/>
              <w:bottom w:w="100" w:type="dxa"/>
              <w:right w:w="100" w:type="dxa"/>
            </w:tcMar>
          </w:tcPr>
          <w:p w14:paraId="0AC57BC8">
            <w:pPr>
              <w:spacing w:line="360" w:lineRule="auto"/>
              <w:jc w:val="both"/>
              <w:rPr>
                <w:rFonts w:eastAsia="Times New Roman"/>
                <w:b/>
                <w:bCs/>
                <w:sz w:val="24"/>
                <w:szCs w:val="24"/>
              </w:rPr>
            </w:pPr>
            <w:r>
              <w:rPr>
                <w:rFonts w:eastAsia="Times New Roman"/>
                <w:b/>
                <w:bCs/>
                <w:sz w:val="24"/>
                <w:szCs w:val="24"/>
              </w:rPr>
              <w:t xml:space="preserve">Internal process </w:t>
            </w:r>
          </w:p>
        </w:tc>
        <w:tc>
          <w:tcPr>
            <w:tcW w:w="1872" w:type="dxa"/>
            <w:tcMar>
              <w:top w:w="100" w:type="dxa"/>
              <w:left w:w="100" w:type="dxa"/>
              <w:bottom w:w="100" w:type="dxa"/>
              <w:right w:w="100" w:type="dxa"/>
            </w:tcMar>
          </w:tcPr>
          <w:p w14:paraId="552A5596">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operational excellence, cost-driven design and supply chain efficiency</w:t>
            </w:r>
          </w:p>
        </w:tc>
        <w:tc>
          <w:tcPr>
            <w:tcW w:w="1872" w:type="dxa"/>
            <w:tcMar>
              <w:top w:w="100" w:type="dxa"/>
              <w:left w:w="100" w:type="dxa"/>
              <w:bottom w:w="100" w:type="dxa"/>
              <w:right w:w="100" w:type="dxa"/>
            </w:tcMar>
          </w:tcPr>
          <w:p w14:paraId="54224298">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order throughput rate</w:t>
            </w:r>
          </w:p>
        </w:tc>
        <w:tc>
          <w:tcPr>
            <w:tcW w:w="1872" w:type="dxa"/>
            <w:tcMar>
              <w:top w:w="100" w:type="dxa"/>
              <w:left w:w="100" w:type="dxa"/>
              <w:bottom w:w="100" w:type="dxa"/>
              <w:right w:w="100" w:type="dxa"/>
            </w:tcMar>
          </w:tcPr>
          <w:p w14:paraId="416198A9">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automated sorting efficiency, order cycle times, and warehouse throughput capacity</w:t>
            </w:r>
          </w:p>
        </w:tc>
        <w:tc>
          <w:tcPr>
            <w:tcW w:w="1872" w:type="dxa"/>
            <w:tcMar>
              <w:top w:w="100" w:type="dxa"/>
              <w:left w:w="100" w:type="dxa"/>
              <w:bottom w:w="100" w:type="dxa"/>
              <w:right w:w="100" w:type="dxa"/>
            </w:tcMar>
          </w:tcPr>
          <w:p w14:paraId="582A6442">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advanced tech, auto-store robotics grids, AI-driven picking station and automated inventory to boost stock data accuracy</w:t>
            </w:r>
          </w:p>
        </w:tc>
      </w:tr>
      <w:tr w14:paraId="182887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872" w:type="dxa"/>
            <w:tcMar>
              <w:top w:w="100" w:type="dxa"/>
              <w:left w:w="100" w:type="dxa"/>
              <w:bottom w:w="100" w:type="dxa"/>
              <w:right w:w="100" w:type="dxa"/>
            </w:tcMar>
          </w:tcPr>
          <w:p w14:paraId="760BF467">
            <w:pPr>
              <w:spacing w:line="360" w:lineRule="auto"/>
              <w:jc w:val="both"/>
              <w:rPr>
                <w:rFonts w:eastAsia="Times New Roman"/>
                <w:b/>
                <w:bCs/>
                <w:sz w:val="24"/>
                <w:szCs w:val="24"/>
              </w:rPr>
            </w:pPr>
            <w:r>
              <w:rPr>
                <w:rFonts w:eastAsia="Times New Roman"/>
                <w:b/>
                <w:bCs/>
                <w:sz w:val="24"/>
                <w:szCs w:val="24"/>
              </w:rPr>
              <w:t xml:space="preserve">Learning and growth </w:t>
            </w:r>
          </w:p>
        </w:tc>
        <w:tc>
          <w:tcPr>
            <w:tcW w:w="1872" w:type="dxa"/>
            <w:tcMar>
              <w:top w:w="100" w:type="dxa"/>
              <w:left w:w="100" w:type="dxa"/>
              <w:bottom w:w="100" w:type="dxa"/>
              <w:right w:w="100" w:type="dxa"/>
            </w:tcMar>
          </w:tcPr>
          <w:p w14:paraId="43AC0323">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corporate culture, human resources strategies, and continuous adaptability</w:t>
            </w:r>
          </w:p>
        </w:tc>
        <w:tc>
          <w:tcPr>
            <w:tcW w:w="1872" w:type="dxa"/>
            <w:tcMar>
              <w:top w:w="100" w:type="dxa"/>
              <w:left w:w="100" w:type="dxa"/>
              <w:bottom w:w="100" w:type="dxa"/>
              <w:right w:w="100" w:type="dxa"/>
            </w:tcMar>
          </w:tcPr>
          <w:p w14:paraId="390128F6">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task efficiency score</w:t>
            </w:r>
          </w:p>
        </w:tc>
        <w:tc>
          <w:tcPr>
            <w:tcW w:w="1872" w:type="dxa"/>
            <w:tcMar>
              <w:top w:w="100" w:type="dxa"/>
              <w:left w:w="100" w:type="dxa"/>
              <w:bottom w:w="100" w:type="dxa"/>
              <w:right w:w="100" w:type="dxa"/>
            </w:tcMar>
          </w:tcPr>
          <w:p w14:paraId="7C8D37A3">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tracking skill improvement assessment</w:t>
            </w:r>
          </w:p>
        </w:tc>
        <w:tc>
          <w:tcPr>
            <w:tcW w:w="1872" w:type="dxa"/>
            <w:tcMar>
              <w:top w:w="100" w:type="dxa"/>
              <w:left w:w="100" w:type="dxa"/>
              <w:bottom w:w="100" w:type="dxa"/>
              <w:right w:w="100" w:type="dxa"/>
            </w:tcMar>
          </w:tcPr>
          <w:p w14:paraId="509C52FD">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Adopts a comprehensive digital and AI literacy upskilling approach</w:t>
            </w:r>
          </w:p>
        </w:tc>
      </w:tr>
    </w:tbl>
    <w:p w14:paraId="44844FB9">
      <w:pPr>
        <w:spacing w:line="360" w:lineRule="auto"/>
        <w:jc w:val="both"/>
        <w:rPr>
          <w:rFonts w:eastAsia="Times New Roman"/>
          <w:b/>
          <w:bCs/>
          <w:sz w:val="24"/>
          <w:szCs w:val="24"/>
        </w:rPr>
      </w:pPr>
    </w:p>
    <w:p w14:paraId="6AC4812A">
      <w:pPr>
        <w:pStyle w:val="3"/>
        <w:rPr>
          <w:rFonts w:eastAsia="Times New Roman"/>
          <w:szCs w:val="24"/>
        </w:rPr>
      </w:pPr>
      <w:bookmarkStart w:id="12" w:name="_Toc237124897"/>
      <w:r>
        <w:rPr>
          <w:szCs w:val="24"/>
        </w:rPr>
        <w:t>Strategic Choices and Implementation</w:t>
      </w:r>
      <w:bookmarkEnd w:id="12"/>
    </w:p>
    <w:p w14:paraId="0F9C271D">
      <w:pPr>
        <w:pStyle w:val="4"/>
        <w:rPr>
          <w:szCs w:val="24"/>
        </w:rPr>
      </w:pPr>
      <w:bookmarkStart w:id="13" w:name="_Toc237124898"/>
      <w:r>
        <w:rPr>
          <w:szCs w:val="24"/>
        </w:rPr>
        <w:t>Strategic choice of IKEA</w:t>
      </w:r>
      <w:bookmarkEnd w:id="13"/>
      <w:r>
        <w:rPr>
          <w:szCs w:val="24"/>
        </w:rPr>
        <w:t xml:space="preserve"> </w:t>
      </w:r>
    </w:p>
    <w:p w14:paraId="74954AF0">
      <w:pPr>
        <w:spacing w:line="360" w:lineRule="auto"/>
        <w:jc w:val="both"/>
        <w:rPr>
          <w:rFonts w:eastAsia="Times New Roman"/>
          <w:b/>
          <w:bCs/>
          <w:sz w:val="24"/>
          <w:szCs w:val="24"/>
        </w:rPr>
      </w:pPr>
      <w:r>
        <w:rPr>
          <w:rFonts w:eastAsia="Times New Roman"/>
          <w:b/>
          <w:bCs/>
          <w:sz w:val="24"/>
          <w:szCs w:val="24"/>
        </w:rPr>
        <w:t xml:space="preserve">Business-level strategic choices </w:t>
      </w:r>
    </w:p>
    <w:p w14:paraId="1E68DD5D">
      <w:pPr>
        <w:spacing w:line="360" w:lineRule="auto"/>
        <w:jc w:val="both"/>
        <w:rPr>
          <w:rFonts w:eastAsia="Times New Roman"/>
          <w:b/>
          <w:bCs/>
          <w:sz w:val="24"/>
          <w:szCs w:val="24"/>
        </w:rPr>
      </w:pPr>
      <w:r>
        <w:rPr>
          <w:rFonts w:eastAsia="Times New Roman"/>
          <w:b/>
          <w:bCs/>
          <w:sz w:val="24"/>
          <w:szCs w:val="24"/>
        </w:rPr>
        <w:t>Cost leadership and differentiation strategy</w:t>
      </w:r>
    </w:p>
    <w:p w14:paraId="3800FC26">
      <w:pPr>
        <w:spacing w:line="360" w:lineRule="auto"/>
        <w:jc w:val="both"/>
        <w:rPr>
          <w:rFonts w:eastAsia="Times New Roman"/>
          <w:sz w:val="24"/>
          <w:szCs w:val="24"/>
        </w:rPr>
      </w:pPr>
      <w:r>
        <w:rPr>
          <w:rFonts w:eastAsia="Times New Roman"/>
          <w:sz w:val="24"/>
          <w:szCs w:val="24"/>
        </w:rPr>
        <w:t xml:space="preserve">By aligning with Porter’s generic strategic framework with strategic choices, IKEA improve its competitive advantages by blending cost leadership with differentiation and targeting a value-conscious market segment (IKEA, 2026). </w:t>
      </w:r>
    </w:p>
    <w:p w14:paraId="18D5FC99">
      <w:pPr>
        <w:spacing w:line="360" w:lineRule="auto"/>
        <w:jc w:val="both"/>
        <w:rPr>
          <w:rFonts w:eastAsia="Times New Roman"/>
          <w:sz w:val="24"/>
          <w:szCs w:val="24"/>
        </w:rPr>
      </w:pPr>
      <w:r>
        <w:rPr>
          <w:rFonts w:eastAsia="Times New Roman"/>
          <w:sz w:val="24"/>
          <w:szCs w:val="24"/>
        </w:rPr>
        <w:t xml:space="preserve">The differentiation strategy helps to gain a competitive edge, allowing it to thrive without competing solely on lower price by enhancing profit margin, reducing price competition, and fostering strong brand loyalty (Harri et al., 2025).  IKEA uses a differentiation strategy by providing a combination of stylish Scandinavian design, immersive warehouse store layouts, and a self-service flat-pack assembly concept, gaining a competitive advantage. Moreover, the company improved its cost-first design, supply chain efficiency and digital omnichannel integration. This allows the company to offer functional, modern home furnishing furniture at low prices, aligning with its business idea and core concept and blending cost leadership strategy (Dudovskiy, 2022). </w:t>
      </w:r>
    </w:p>
    <w:p w14:paraId="6448354C">
      <w:pPr>
        <w:spacing w:line="360" w:lineRule="auto"/>
        <w:jc w:val="both"/>
        <w:rPr>
          <w:rFonts w:eastAsia="Times New Roman"/>
          <w:sz w:val="24"/>
          <w:szCs w:val="24"/>
        </w:rPr>
      </w:pPr>
      <w:r>
        <w:rPr>
          <w:rFonts w:eastAsia="Times New Roman"/>
          <w:sz w:val="24"/>
          <w:szCs w:val="24"/>
        </w:rPr>
        <w:t xml:space="preserve">The company uses a cost leadership strategy by setting low target prices and designing products combining production, shipping, and labour expenses while maintaining functional design (CIO, 2026). This cost-efficient approach also enables IKEA to achieve economies of scale, strengthen customer value and increase market share by attracting price-sensitive consumers who seek affordable yet functional furniture. This strategy helps the company to gain a competitive advantage by allowing it to sell at a lower price, along with low production, shipping and labour costs, by keeping total expenses low and driving high sales volume. </w:t>
      </w:r>
    </w:p>
    <w:p w14:paraId="41319BE5">
      <w:pPr>
        <w:spacing w:line="360" w:lineRule="auto"/>
        <w:jc w:val="both"/>
        <w:rPr>
          <w:rFonts w:eastAsia="Times New Roman"/>
          <w:b/>
          <w:bCs/>
          <w:sz w:val="24"/>
          <w:szCs w:val="24"/>
        </w:rPr>
      </w:pPr>
      <w:r>
        <w:rPr>
          <w:rFonts w:eastAsia="Times New Roman"/>
          <w:b/>
          <w:bCs/>
          <w:sz w:val="24"/>
          <w:szCs w:val="24"/>
        </w:rPr>
        <w:t>SAF</w:t>
      </w:r>
    </w:p>
    <w:tbl>
      <w:tblPr>
        <w:tblStyle w:val="22"/>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3120"/>
        <w:gridCol w:w="3120"/>
        <w:gridCol w:w="3120"/>
      </w:tblGrid>
      <w:tr w14:paraId="40676F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3120" w:type="dxa"/>
            <w:tcMar>
              <w:top w:w="100" w:type="dxa"/>
              <w:left w:w="100" w:type="dxa"/>
              <w:bottom w:w="100" w:type="dxa"/>
              <w:right w:w="100" w:type="dxa"/>
            </w:tcMar>
          </w:tcPr>
          <w:p w14:paraId="273680A0">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b/>
                <w:bCs/>
                <w:sz w:val="24"/>
                <w:szCs w:val="24"/>
              </w:rPr>
            </w:pPr>
            <w:r>
              <w:rPr>
                <w:rFonts w:eastAsia="Times New Roman"/>
                <w:b/>
                <w:bCs/>
                <w:sz w:val="24"/>
                <w:szCs w:val="24"/>
              </w:rPr>
              <w:t>SAF Matrix</w:t>
            </w:r>
          </w:p>
        </w:tc>
        <w:tc>
          <w:tcPr>
            <w:tcW w:w="3120" w:type="dxa"/>
            <w:tcMar>
              <w:top w:w="100" w:type="dxa"/>
              <w:left w:w="100" w:type="dxa"/>
              <w:bottom w:w="100" w:type="dxa"/>
              <w:right w:w="100" w:type="dxa"/>
            </w:tcMar>
          </w:tcPr>
          <w:p w14:paraId="70F14B32">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b/>
                <w:bCs/>
                <w:sz w:val="24"/>
                <w:szCs w:val="24"/>
              </w:rPr>
            </w:pPr>
            <w:r>
              <w:rPr>
                <w:rFonts w:eastAsia="Times New Roman"/>
                <w:b/>
                <w:bCs/>
                <w:sz w:val="24"/>
                <w:szCs w:val="24"/>
              </w:rPr>
              <w:t>Differentiation strategy</w:t>
            </w:r>
          </w:p>
        </w:tc>
        <w:tc>
          <w:tcPr>
            <w:tcW w:w="3120" w:type="dxa"/>
            <w:tcMar>
              <w:top w:w="100" w:type="dxa"/>
              <w:left w:w="100" w:type="dxa"/>
              <w:bottom w:w="100" w:type="dxa"/>
              <w:right w:w="100" w:type="dxa"/>
            </w:tcMar>
          </w:tcPr>
          <w:p w14:paraId="73DEAB88">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b/>
                <w:bCs/>
                <w:sz w:val="24"/>
                <w:szCs w:val="24"/>
              </w:rPr>
            </w:pPr>
            <w:r>
              <w:rPr>
                <w:rFonts w:eastAsia="Times New Roman"/>
                <w:b/>
                <w:bCs/>
                <w:sz w:val="24"/>
                <w:szCs w:val="24"/>
              </w:rPr>
              <w:t>Cost leadership strategy</w:t>
            </w:r>
          </w:p>
        </w:tc>
      </w:tr>
      <w:tr w14:paraId="046140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3120" w:type="dxa"/>
            <w:tcMar>
              <w:top w:w="100" w:type="dxa"/>
              <w:left w:w="100" w:type="dxa"/>
              <w:bottom w:w="100" w:type="dxa"/>
              <w:right w:w="100" w:type="dxa"/>
            </w:tcMar>
          </w:tcPr>
          <w:p w14:paraId="5B340FA5">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b/>
                <w:bCs/>
                <w:sz w:val="24"/>
                <w:szCs w:val="24"/>
              </w:rPr>
            </w:pPr>
            <w:r>
              <w:rPr>
                <w:rFonts w:eastAsia="Times New Roman"/>
                <w:b/>
                <w:bCs/>
                <w:sz w:val="24"/>
                <w:szCs w:val="24"/>
              </w:rPr>
              <w:t>suitability</w:t>
            </w:r>
          </w:p>
        </w:tc>
        <w:tc>
          <w:tcPr>
            <w:tcW w:w="3120" w:type="dxa"/>
            <w:tcMar>
              <w:top w:w="100" w:type="dxa"/>
              <w:left w:w="100" w:type="dxa"/>
              <w:bottom w:w="100" w:type="dxa"/>
              <w:right w:w="100" w:type="dxa"/>
            </w:tcMar>
          </w:tcPr>
          <w:p w14:paraId="774917F0">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6</w:t>
            </w:r>
          </w:p>
        </w:tc>
        <w:tc>
          <w:tcPr>
            <w:tcW w:w="3120" w:type="dxa"/>
            <w:tcMar>
              <w:top w:w="100" w:type="dxa"/>
              <w:left w:w="100" w:type="dxa"/>
              <w:bottom w:w="100" w:type="dxa"/>
              <w:right w:w="100" w:type="dxa"/>
            </w:tcMar>
          </w:tcPr>
          <w:p w14:paraId="4A283AB6">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9</w:t>
            </w:r>
          </w:p>
        </w:tc>
      </w:tr>
      <w:tr w14:paraId="2D8FEC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3120" w:type="dxa"/>
            <w:tcMar>
              <w:top w:w="100" w:type="dxa"/>
              <w:left w:w="100" w:type="dxa"/>
              <w:bottom w:w="100" w:type="dxa"/>
              <w:right w:w="100" w:type="dxa"/>
            </w:tcMar>
          </w:tcPr>
          <w:p w14:paraId="22053BD0">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b/>
                <w:bCs/>
                <w:sz w:val="24"/>
                <w:szCs w:val="24"/>
              </w:rPr>
            </w:pPr>
            <w:r>
              <w:rPr>
                <w:rFonts w:eastAsia="Times New Roman"/>
                <w:b/>
                <w:bCs/>
                <w:sz w:val="24"/>
                <w:szCs w:val="24"/>
              </w:rPr>
              <w:t>acceptability</w:t>
            </w:r>
          </w:p>
        </w:tc>
        <w:tc>
          <w:tcPr>
            <w:tcW w:w="3120" w:type="dxa"/>
            <w:tcMar>
              <w:top w:w="100" w:type="dxa"/>
              <w:left w:w="100" w:type="dxa"/>
              <w:bottom w:w="100" w:type="dxa"/>
              <w:right w:w="100" w:type="dxa"/>
            </w:tcMar>
          </w:tcPr>
          <w:p w14:paraId="3DD4615F">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4</w:t>
            </w:r>
          </w:p>
        </w:tc>
        <w:tc>
          <w:tcPr>
            <w:tcW w:w="3120" w:type="dxa"/>
            <w:tcMar>
              <w:top w:w="100" w:type="dxa"/>
              <w:left w:w="100" w:type="dxa"/>
              <w:bottom w:w="100" w:type="dxa"/>
              <w:right w:w="100" w:type="dxa"/>
            </w:tcMar>
          </w:tcPr>
          <w:p w14:paraId="17A845F1">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7</w:t>
            </w:r>
          </w:p>
        </w:tc>
      </w:tr>
      <w:tr w14:paraId="43126F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3120" w:type="dxa"/>
            <w:tcMar>
              <w:top w:w="100" w:type="dxa"/>
              <w:left w:w="100" w:type="dxa"/>
              <w:bottom w:w="100" w:type="dxa"/>
              <w:right w:w="100" w:type="dxa"/>
            </w:tcMar>
          </w:tcPr>
          <w:p w14:paraId="0571661D">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b/>
                <w:bCs/>
                <w:sz w:val="24"/>
                <w:szCs w:val="24"/>
              </w:rPr>
            </w:pPr>
            <w:r>
              <w:rPr>
                <w:rFonts w:eastAsia="Times New Roman"/>
                <w:b/>
                <w:bCs/>
                <w:sz w:val="24"/>
                <w:szCs w:val="24"/>
              </w:rPr>
              <w:t>feasibility</w:t>
            </w:r>
          </w:p>
        </w:tc>
        <w:tc>
          <w:tcPr>
            <w:tcW w:w="3120" w:type="dxa"/>
            <w:tcMar>
              <w:top w:w="100" w:type="dxa"/>
              <w:left w:w="100" w:type="dxa"/>
              <w:bottom w:w="100" w:type="dxa"/>
              <w:right w:w="100" w:type="dxa"/>
            </w:tcMar>
          </w:tcPr>
          <w:p w14:paraId="6A67180F">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6</w:t>
            </w:r>
          </w:p>
        </w:tc>
        <w:tc>
          <w:tcPr>
            <w:tcW w:w="3120" w:type="dxa"/>
            <w:tcMar>
              <w:top w:w="100" w:type="dxa"/>
              <w:left w:w="100" w:type="dxa"/>
              <w:bottom w:w="100" w:type="dxa"/>
              <w:right w:w="100" w:type="dxa"/>
            </w:tcMar>
          </w:tcPr>
          <w:p w14:paraId="1012FA21">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9</w:t>
            </w:r>
          </w:p>
        </w:tc>
      </w:tr>
      <w:tr w14:paraId="3C7A7E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3120" w:type="dxa"/>
            <w:tcMar>
              <w:top w:w="100" w:type="dxa"/>
              <w:left w:w="100" w:type="dxa"/>
              <w:bottom w:w="100" w:type="dxa"/>
              <w:right w:w="100" w:type="dxa"/>
            </w:tcMar>
          </w:tcPr>
          <w:p w14:paraId="353BF063">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b/>
                <w:bCs/>
                <w:sz w:val="24"/>
                <w:szCs w:val="24"/>
              </w:rPr>
            </w:pPr>
            <w:r>
              <w:rPr>
                <w:rFonts w:eastAsia="Times New Roman"/>
                <w:b/>
                <w:bCs/>
                <w:sz w:val="24"/>
                <w:szCs w:val="24"/>
              </w:rPr>
              <w:t>Score</w:t>
            </w:r>
          </w:p>
        </w:tc>
        <w:tc>
          <w:tcPr>
            <w:tcW w:w="3120" w:type="dxa"/>
            <w:tcMar>
              <w:top w:w="100" w:type="dxa"/>
              <w:left w:w="100" w:type="dxa"/>
              <w:bottom w:w="100" w:type="dxa"/>
              <w:right w:w="100" w:type="dxa"/>
            </w:tcMar>
          </w:tcPr>
          <w:p w14:paraId="5781E08D">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16</w:t>
            </w:r>
          </w:p>
        </w:tc>
        <w:tc>
          <w:tcPr>
            <w:tcW w:w="3120" w:type="dxa"/>
            <w:tcMar>
              <w:top w:w="100" w:type="dxa"/>
              <w:left w:w="100" w:type="dxa"/>
              <w:bottom w:w="100" w:type="dxa"/>
              <w:right w:w="100" w:type="dxa"/>
            </w:tcMar>
          </w:tcPr>
          <w:p w14:paraId="2C907237">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25</w:t>
            </w:r>
          </w:p>
        </w:tc>
      </w:tr>
    </w:tbl>
    <w:p w14:paraId="4254ACA7">
      <w:pPr>
        <w:spacing w:line="360" w:lineRule="auto"/>
        <w:jc w:val="both"/>
        <w:rPr>
          <w:rFonts w:eastAsia="Times New Roman"/>
          <w:b/>
          <w:bCs/>
          <w:sz w:val="24"/>
          <w:szCs w:val="24"/>
        </w:rPr>
      </w:pPr>
    </w:p>
    <w:p w14:paraId="45705191">
      <w:pPr>
        <w:spacing w:line="360" w:lineRule="auto"/>
        <w:jc w:val="both"/>
        <w:rPr>
          <w:rFonts w:eastAsia="Times New Roman"/>
          <w:sz w:val="24"/>
          <w:szCs w:val="24"/>
        </w:rPr>
      </w:pPr>
      <w:r>
        <w:rPr>
          <w:rFonts w:eastAsia="Times New Roman"/>
          <w:sz w:val="24"/>
          <w:szCs w:val="24"/>
        </w:rPr>
        <w:t>SAFe framework will evaluate the cost leadership strategy based on suitability, acceptability and feasibility.</w:t>
      </w:r>
    </w:p>
    <w:p w14:paraId="00F60BC9">
      <w:pPr>
        <w:spacing w:line="360" w:lineRule="auto"/>
        <w:jc w:val="both"/>
        <w:rPr>
          <w:rFonts w:eastAsia="Times New Roman"/>
          <w:sz w:val="24"/>
          <w:szCs w:val="24"/>
        </w:rPr>
      </w:pPr>
      <w:r>
        <w:rPr>
          <w:rFonts w:eastAsia="Times New Roman"/>
          <w:b/>
          <w:bCs/>
          <w:sz w:val="24"/>
          <w:szCs w:val="24"/>
        </w:rPr>
        <w:t xml:space="preserve">Suitability- </w:t>
      </w:r>
      <w:r>
        <w:rPr>
          <w:rFonts w:eastAsia="Times New Roman"/>
          <w:sz w:val="24"/>
          <w:szCs w:val="24"/>
        </w:rPr>
        <w:t xml:space="preserve">Cost leadership is highly suitable for IKEA because it allows the company to respond to key challenges in the German furniture market, including inflation, rising supply chain costs and strong competition (INGKA, 2025). This strategy also supports IKEA's goal of strengthening its position in Germany, which represents more than 15% of its global sales (Statista, 2025). By keeping its prices affordable, IKEA can continue to attract price-conscious customers while maintaining product quality and its commitment to sustainability. Whereas a differentiation strategy is less suitable as a primary strategy because competing mainly through distinctive design, innovation and features could make it difficult for IKEA to maintain its strong affordability proposition. </w:t>
      </w:r>
    </w:p>
    <w:p w14:paraId="7A2EC4E7">
      <w:pPr>
        <w:spacing w:line="360" w:lineRule="auto"/>
        <w:jc w:val="both"/>
        <w:rPr>
          <w:rFonts w:eastAsia="Times New Roman"/>
          <w:sz w:val="24"/>
          <w:szCs w:val="24"/>
        </w:rPr>
      </w:pPr>
      <w:r>
        <w:rPr>
          <w:rFonts w:eastAsia="Times New Roman"/>
          <w:b/>
          <w:bCs/>
          <w:sz w:val="24"/>
          <w:szCs w:val="24"/>
        </w:rPr>
        <w:t xml:space="preserve">Acceptability- </w:t>
      </w:r>
      <w:r>
        <w:rPr>
          <w:rFonts w:eastAsia="Times New Roman"/>
          <w:sz w:val="24"/>
          <w:szCs w:val="24"/>
        </w:rPr>
        <w:t xml:space="preserve">cost leadership can benefit customers through affordable furniture, support shareholders through sales volume and profitability, and provide employees with opportunities for continued investment in skills and operational development, meeting the expectations of stakeholders. In addition, IKEA maintains sustainable sourcing, circular economy initiatives, and renewable materials, ensuring the cost reduction does not undermine environmental and social responsibility, which helps to maintain customer trust and brand reputation (IKEA, 2026). </w:t>
      </w:r>
    </w:p>
    <w:p w14:paraId="6F44DC89">
      <w:pPr>
        <w:spacing w:line="360" w:lineRule="auto"/>
        <w:jc w:val="both"/>
        <w:rPr>
          <w:rFonts w:eastAsia="Times New Roman"/>
          <w:sz w:val="24"/>
          <w:szCs w:val="24"/>
        </w:rPr>
      </w:pPr>
      <w:r>
        <w:rPr>
          <w:rFonts w:eastAsia="Times New Roman"/>
          <w:b/>
          <w:bCs/>
          <w:sz w:val="24"/>
          <w:szCs w:val="24"/>
        </w:rPr>
        <w:t xml:space="preserve">Feasibility- </w:t>
      </w:r>
      <w:r>
        <w:rPr>
          <w:rFonts w:eastAsia="Times New Roman"/>
          <w:sz w:val="24"/>
          <w:szCs w:val="24"/>
        </w:rPr>
        <w:t xml:space="preserve">The strategy is highly feasible because IKEA maintains the necessary resources and capabilities, including democratic design, an ethical and strong supplier network, brand recognition, flat-pack logistics and extensive operational experience (IKEA, 2026). These resources enable IKEA to sustain lower operating costs than many competitors and enhance the capability to implement a cost leadership strategy in the German furniture market. </w:t>
      </w:r>
    </w:p>
    <w:p w14:paraId="3FCD5A7F">
      <w:pPr>
        <w:spacing w:line="360" w:lineRule="auto"/>
        <w:rPr>
          <w:rFonts w:eastAsia="Times New Roman"/>
          <w:b/>
          <w:bCs/>
          <w:sz w:val="24"/>
          <w:szCs w:val="24"/>
        </w:rPr>
      </w:pPr>
      <w:r>
        <w:rPr>
          <w:rFonts w:eastAsia="Times New Roman"/>
          <w:b/>
          <w:bCs/>
          <w:sz w:val="24"/>
          <w:szCs w:val="24"/>
        </w:rPr>
        <w:t>Ansoff’s Matrix</w:t>
      </w:r>
    </w:p>
    <w:p w14:paraId="4415952D">
      <w:pPr>
        <w:spacing w:line="360" w:lineRule="auto"/>
        <w:jc w:val="both"/>
        <w:rPr>
          <w:rFonts w:eastAsia="Times New Roman"/>
          <w:sz w:val="24"/>
          <w:szCs w:val="24"/>
        </w:rPr>
      </w:pPr>
      <w:r>
        <w:rPr>
          <w:rFonts w:eastAsia="Times New Roman"/>
          <w:sz w:val="24"/>
          <w:szCs w:val="24"/>
        </w:rPr>
        <w:t xml:space="preserve">Ansoff’s Matrix is a strategic planning framework that will help to evaluate the growth and opportunities of IKEA by considering four strategic options: market penetration, product development, market development and diversification (Ferreira and Moscoso, 2024). </w:t>
      </w:r>
    </w:p>
    <w:p w14:paraId="0B08AD6D">
      <w:pPr>
        <w:spacing w:line="360" w:lineRule="auto"/>
        <w:jc w:val="center"/>
        <w:rPr>
          <w:rFonts w:eastAsia="Times New Roman"/>
          <w:sz w:val="24"/>
          <w:szCs w:val="24"/>
        </w:rPr>
      </w:pPr>
      <w:r>
        <w:rPr>
          <w:rFonts w:eastAsia="Times New Roman"/>
          <w:sz w:val="24"/>
          <w:szCs w:val="24"/>
          <w:lang w:val="en-IN"/>
        </w:rPr>
        <w:drawing>
          <wp:inline distT="114300" distB="114300" distL="114300" distR="114300">
            <wp:extent cx="4443095" cy="3161665"/>
            <wp:effectExtent l="0" t="0" r="0" b="0"/>
            <wp:docPr id="1765304881" name="image7.png"/>
            <wp:cNvGraphicFramePr/>
            <a:graphic xmlns:a="http://schemas.openxmlformats.org/drawingml/2006/main">
              <a:graphicData uri="http://schemas.openxmlformats.org/drawingml/2006/picture">
                <pic:pic xmlns:pic="http://schemas.openxmlformats.org/drawingml/2006/picture">
                  <pic:nvPicPr>
                    <pic:cNvPr id="1765304881" name="image7.png"/>
                    <pic:cNvPicPr preferRelativeResize="0"/>
                  </pic:nvPicPr>
                  <pic:blipFill>
                    <a:blip r:embed="rId15"/>
                    <a:srcRect/>
                    <a:stretch>
                      <a:fillRect/>
                    </a:stretch>
                  </pic:blipFill>
                  <pic:spPr>
                    <a:xfrm>
                      <a:off x="0" y="0"/>
                      <a:ext cx="4443413" cy="3162091"/>
                    </a:xfrm>
                    <a:prstGeom prst="rect">
                      <a:avLst/>
                    </a:prstGeom>
                  </pic:spPr>
                </pic:pic>
              </a:graphicData>
            </a:graphic>
          </wp:inline>
        </w:drawing>
      </w:r>
    </w:p>
    <w:p w14:paraId="66F1EC69">
      <w:pPr>
        <w:spacing w:line="360" w:lineRule="auto"/>
        <w:jc w:val="center"/>
        <w:rPr>
          <w:rFonts w:eastAsia="Times New Roman"/>
          <w:sz w:val="24"/>
          <w:szCs w:val="24"/>
        </w:rPr>
      </w:pPr>
      <w:r>
        <w:rPr>
          <w:rFonts w:eastAsia="Times New Roman"/>
          <w:sz w:val="24"/>
          <w:szCs w:val="24"/>
        </w:rPr>
        <w:t>Figure 7: Ansoff Matrix</w:t>
      </w:r>
    </w:p>
    <w:p w14:paraId="6A0772BA">
      <w:pPr>
        <w:spacing w:line="360" w:lineRule="auto"/>
        <w:jc w:val="center"/>
        <w:rPr>
          <w:rFonts w:eastAsia="Times New Roman"/>
          <w:sz w:val="24"/>
          <w:szCs w:val="24"/>
        </w:rPr>
      </w:pPr>
      <w:r>
        <w:rPr>
          <w:rFonts w:eastAsia="Times New Roman"/>
          <w:sz w:val="24"/>
          <w:szCs w:val="24"/>
        </w:rPr>
        <w:t>(Source: The Strategy Institute, 2026)</w:t>
      </w:r>
    </w:p>
    <w:p w14:paraId="3AC929B4">
      <w:pPr>
        <w:spacing w:line="360" w:lineRule="auto"/>
        <w:jc w:val="both"/>
        <w:rPr>
          <w:rFonts w:eastAsia="Times New Roman"/>
          <w:b/>
          <w:bCs/>
          <w:sz w:val="24"/>
          <w:szCs w:val="24"/>
        </w:rPr>
      </w:pPr>
      <w:r>
        <w:rPr>
          <w:rFonts w:eastAsia="Times New Roman"/>
          <w:b/>
          <w:bCs/>
          <w:sz w:val="24"/>
          <w:szCs w:val="24"/>
        </w:rPr>
        <w:t>Market penetration</w:t>
      </w:r>
    </w:p>
    <w:p w14:paraId="5251B9F4">
      <w:pPr>
        <w:spacing w:line="360" w:lineRule="auto"/>
        <w:jc w:val="both"/>
        <w:rPr>
          <w:rFonts w:eastAsia="Times New Roman"/>
          <w:sz w:val="24"/>
          <w:szCs w:val="24"/>
        </w:rPr>
      </w:pPr>
      <w:r>
        <w:rPr>
          <w:rFonts w:eastAsia="Times New Roman"/>
          <w:sz w:val="24"/>
          <w:szCs w:val="24"/>
        </w:rPr>
        <w:t xml:space="preserve">Germany is IKEA’s largest global market, accounting for over 15% of worldwide sales, providing a significant opportunity to expand market share through competitive pricing rather than entering a new market (Statista, 2025). IKEA’s cost leadership strategy supports market penetration by utilising flat-pack design and efficient logistics to control operating costs while maintaining affordable home furnishings. Therefore, market penetration validates cost leadership as an appropriate strategy enabling IKEA to increase sales volume. </w:t>
      </w:r>
    </w:p>
    <w:p w14:paraId="24579E22">
      <w:pPr>
        <w:spacing w:line="360" w:lineRule="auto"/>
        <w:jc w:val="both"/>
        <w:rPr>
          <w:rFonts w:eastAsia="Times New Roman"/>
          <w:b/>
          <w:bCs/>
          <w:sz w:val="24"/>
          <w:szCs w:val="24"/>
        </w:rPr>
      </w:pPr>
      <w:r>
        <w:rPr>
          <w:rFonts w:eastAsia="Times New Roman"/>
          <w:b/>
          <w:bCs/>
          <w:sz w:val="24"/>
          <w:szCs w:val="24"/>
        </w:rPr>
        <w:t>Product development</w:t>
      </w:r>
    </w:p>
    <w:p w14:paraId="505A45AF">
      <w:pPr>
        <w:spacing w:line="360" w:lineRule="auto"/>
        <w:jc w:val="both"/>
        <w:rPr>
          <w:rFonts w:eastAsia="Times New Roman"/>
          <w:sz w:val="24"/>
          <w:szCs w:val="24"/>
        </w:rPr>
      </w:pPr>
      <w:r>
        <w:rPr>
          <w:rFonts w:eastAsia="Times New Roman"/>
          <w:sz w:val="24"/>
          <w:szCs w:val="24"/>
        </w:rPr>
        <w:t xml:space="preserve">IKEA continuously develops innovative products such as energy-efficient home solutions and furniture made from renewable and recycled materials in response to changing customer preferences for sustainability (INGKA, 2021). These product innovations complement the cost leadership strategy along with the democratic design principle to ensure new products remain functional and affordable. Therefore, product development supports cost leadership by improving product value and maintaining affordability while enhancing competitive position in the German furniture market. </w:t>
      </w:r>
    </w:p>
    <w:p w14:paraId="3230216B">
      <w:pPr>
        <w:spacing w:line="360" w:lineRule="auto"/>
        <w:jc w:val="both"/>
        <w:rPr>
          <w:rFonts w:eastAsia="Times New Roman"/>
          <w:b/>
          <w:bCs/>
          <w:sz w:val="24"/>
          <w:szCs w:val="24"/>
        </w:rPr>
      </w:pPr>
      <w:r>
        <w:rPr>
          <w:rFonts w:eastAsia="Times New Roman"/>
          <w:b/>
          <w:bCs/>
          <w:sz w:val="24"/>
          <w:szCs w:val="24"/>
        </w:rPr>
        <w:t>Market development</w:t>
      </w:r>
    </w:p>
    <w:p w14:paraId="7B7ECD59">
      <w:pPr>
        <w:spacing w:line="360" w:lineRule="auto"/>
        <w:jc w:val="both"/>
        <w:rPr>
          <w:rFonts w:eastAsia="Times New Roman"/>
          <w:sz w:val="24"/>
          <w:szCs w:val="24"/>
        </w:rPr>
      </w:pPr>
      <w:r>
        <w:rPr>
          <w:rFonts w:eastAsia="Times New Roman"/>
          <w:sz w:val="24"/>
          <w:szCs w:val="24"/>
        </w:rPr>
        <w:t>IKEA continues to expand its international presence and urban planning studios, and Germany already represents one of its most mature and profitable markets (INGKA, 2020). Expanding into new markets would require substantial investment in logistics, distribution and marketing. Instead, IKEA can achieve strong profit by further penetrating the German market through digital transformation and enhancing customer experience. Therefore, market development is less appropriate than market penetration, indicating that cost leadership in the German market offers a lower risk and more profitable approach.</w:t>
      </w:r>
    </w:p>
    <w:p w14:paraId="4A98DA79">
      <w:pPr>
        <w:pStyle w:val="4"/>
        <w:rPr>
          <w:szCs w:val="24"/>
        </w:rPr>
      </w:pPr>
      <w:bookmarkStart w:id="14" w:name="_Toc237124899"/>
      <w:r>
        <w:rPr>
          <w:szCs w:val="24"/>
        </w:rPr>
        <w:t>Appropriate strategy for the organisation</w:t>
      </w:r>
      <w:bookmarkEnd w:id="14"/>
    </w:p>
    <w:p w14:paraId="650239A2">
      <w:pPr>
        <w:spacing w:line="360" w:lineRule="auto"/>
        <w:jc w:val="both"/>
        <w:rPr>
          <w:rFonts w:eastAsia="Times New Roman"/>
          <w:sz w:val="24"/>
          <w:szCs w:val="24"/>
        </w:rPr>
      </w:pPr>
      <w:r>
        <w:rPr>
          <w:rFonts w:eastAsia="Times New Roman"/>
          <w:sz w:val="24"/>
          <w:szCs w:val="24"/>
        </w:rPr>
        <w:t xml:space="preserve">The most appropriate business level strategy for IKEA in Germany is a cost leadership strategy. Cost leadership strategy aligns with the company’s mission of providing well-designed, functional and affordable home furnishings while maintaining long-term profitability (IKEA, 2026). In Germany, the consumer remains price-conscious due to inflation while continuing to demand high-quality and sustainable furniture (Modorintelligence, 2026). Therefore, cost leadership is relevant in Germany as the company applies this strategy through flat-pack product design, efficient sourcing, self-service retailing, advanced logistics and production, enabling it to minimise operating costs and offer affordable pricing.    </w:t>
      </w:r>
    </w:p>
    <w:p w14:paraId="2169E85A">
      <w:pPr>
        <w:pStyle w:val="4"/>
        <w:rPr>
          <w:szCs w:val="24"/>
        </w:rPr>
      </w:pPr>
      <w:bookmarkStart w:id="15" w:name="_Toc237124900"/>
      <w:r>
        <w:rPr>
          <w:szCs w:val="24"/>
        </w:rPr>
        <w:t>Recommendation</w:t>
      </w:r>
      <w:bookmarkEnd w:id="15"/>
    </w:p>
    <w:p w14:paraId="770378C4">
      <w:pPr>
        <w:spacing w:line="360" w:lineRule="auto"/>
        <w:jc w:val="both"/>
        <w:rPr>
          <w:rFonts w:eastAsia="Times New Roman"/>
          <w:sz w:val="24"/>
          <w:szCs w:val="24"/>
        </w:rPr>
      </w:pPr>
      <w:r>
        <w:rPr>
          <w:rFonts w:eastAsia="Times New Roman"/>
          <w:sz w:val="24"/>
          <w:szCs w:val="24"/>
        </w:rPr>
        <w:t xml:space="preserve">IKEA should adopt a digital cost leadership strategy by integrating advanced digital technologies such as artificial intelligence (AI), predictive analytics, warehouse automation, Internet of Things (IoT), digital self-service and omnichannel platforms into its existing cost leadership strategy. In Germany, the increasing digital adoption and consumers’ demand for an affordable yet convenient shopping experience provide a favourable environment for implementing this strategy. Moreover, Germany has a high internet penetration rate of over 93.5%, indicating widespread digital connectivity and creating favourable conditions for IKEA to expand its digital and omnichannel shopping services (Menezes, 2026). This creates a strategic need for IKEA to invest further in AI-driven demand forecasting, warehouse automation, digital self-service and omnichannel integration to reduce operating costs while enhancing customer convenience and maintaining its price competitiveness. By incorporating these approaches into a digital cost leadership strategy, IKEA could improve order fulfilment efficiency, reduce labour activities, and shorten delivery times, allowing the company to maintain competitive pricing while improving product and service quality. Achieving these benefits requires transformational leadership to communicate a clear digital vision and the alignment of strategy, systems, skills, staff, structure, style and shared values identified by the McKinsey 7S Model, ensuring that employees and organisational processes effectively support the implementation of digital cost leadership (McKinsey &amp; Company, 2025). This alignment can facilitate employee adoption of digital technologies and ensure that technological investment provides operational efficiency and competitive advantage. Furthermore, digital technologies could improve the customer experience through AI-powered product recommendations, virtual room planning, mobile self-service applications, and personalised digital marketing (McCoy, 2026). This will simplify the purchasing decision for consumers, increase customer satisfaction and reduce in-store operating expenses. Digital cost leadership would also strengthen IKEA’s sustainability objectives by using data analytics to optimise energy efficiency, reduce packaging waste and minimise carbon emissions (IKEA, 2024). Therefore, adopting a digital cost leadership strategy would enable IKEA Germany to maintain affordable pricing while improving operational efficiency, strengthening competitive advantage and supporting sustainable long-term growth in Germany. </w:t>
      </w:r>
    </w:p>
    <w:p w14:paraId="5B3D009F">
      <w:pPr>
        <w:spacing w:line="360" w:lineRule="auto"/>
        <w:jc w:val="both"/>
        <w:rPr>
          <w:rFonts w:eastAsia="Times New Roman"/>
          <w:sz w:val="24"/>
          <w:szCs w:val="24"/>
        </w:rPr>
      </w:pPr>
      <w:r>
        <w:rPr>
          <w:rFonts w:eastAsia="Times New Roman"/>
          <w:sz w:val="24"/>
          <w:szCs w:val="24"/>
        </w:rPr>
        <w:t xml:space="preserve">For example, in 2025, Walmart continued investing in AI, supply-chain automation and omnichannel technologies to improve operational efficiency and reduce its costs by maintaining its mission to provide “everyday low prices” proposition (Walmart 2026). Therefore, this demonstrates how digital technology can strengthen IKEA’s cost leadership strategy. </w:t>
      </w:r>
    </w:p>
    <w:p w14:paraId="4E4DB2B2">
      <w:pPr>
        <w:pStyle w:val="4"/>
        <w:rPr>
          <w:szCs w:val="24"/>
        </w:rPr>
      </w:pPr>
      <w:bookmarkStart w:id="16" w:name="_Toc237124901"/>
      <w:r>
        <w:rPr>
          <w:szCs w:val="24"/>
        </w:rPr>
        <w:t>Potential challenges and proposed solution</w:t>
      </w:r>
      <w:bookmarkEnd w:id="16"/>
      <w:r>
        <w:rPr>
          <w:szCs w:val="24"/>
        </w:rPr>
        <w:t xml:space="preserve"> </w:t>
      </w:r>
    </w:p>
    <w:p w14:paraId="15CD35D3">
      <w:pPr>
        <w:spacing w:line="360" w:lineRule="auto"/>
        <w:jc w:val="both"/>
        <w:rPr>
          <w:rFonts w:eastAsia="Times New Roman"/>
          <w:b/>
          <w:bCs/>
          <w:sz w:val="24"/>
          <w:szCs w:val="24"/>
        </w:rPr>
      </w:pPr>
      <w:r>
        <w:rPr>
          <w:rFonts w:eastAsia="Times New Roman"/>
          <w:sz w:val="24"/>
          <w:szCs w:val="24"/>
        </w:rPr>
        <w:t>Implementing a digital cost leadership strategy may create several challenges for IKEA in Germany.</w:t>
      </w:r>
    </w:p>
    <w:tbl>
      <w:tblPr>
        <w:tblStyle w:val="23"/>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4680"/>
        <w:gridCol w:w="4680"/>
      </w:tblGrid>
      <w:tr w14:paraId="019134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680" w:type="dxa"/>
            <w:tcMar>
              <w:top w:w="100" w:type="dxa"/>
              <w:left w:w="100" w:type="dxa"/>
              <w:bottom w:w="100" w:type="dxa"/>
              <w:right w:w="100" w:type="dxa"/>
            </w:tcMar>
          </w:tcPr>
          <w:p w14:paraId="7C96AD5A">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b/>
                <w:bCs/>
                <w:sz w:val="24"/>
                <w:szCs w:val="24"/>
              </w:rPr>
            </w:pPr>
            <w:r>
              <w:rPr>
                <w:rFonts w:eastAsia="Times New Roman"/>
                <w:b/>
                <w:bCs/>
                <w:sz w:val="24"/>
                <w:szCs w:val="24"/>
              </w:rPr>
              <w:t xml:space="preserve">Potential challenges </w:t>
            </w:r>
          </w:p>
        </w:tc>
        <w:tc>
          <w:tcPr>
            <w:tcW w:w="4680" w:type="dxa"/>
            <w:tcMar>
              <w:top w:w="100" w:type="dxa"/>
              <w:left w:w="100" w:type="dxa"/>
              <w:bottom w:w="100" w:type="dxa"/>
              <w:right w:w="100" w:type="dxa"/>
            </w:tcMar>
          </w:tcPr>
          <w:p w14:paraId="3B853D66">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b/>
                <w:bCs/>
                <w:sz w:val="24"/>
                <w:szCs w:val="24"/>
              </w:rPr>
            </w:pPr>
            <w:r>
              <w:rPr>
                <w:rFonts w:eastAsia="Times New Roman"/>
                <w:b/>
                <w:bCs/>
                <w:sz w:val="24"/>
                <w:szCs w:val="24"/>
              </w:rPr>
              <w:t xml:space="preserve">Proposed solution </w:t>
            </w:r>
          </w:p>
        </w:tc>
      </w:tr>
      <w:tr w14:paraId="260BEB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680" w:type="dxa"/>
            <w:tcMar>
              <w:top w:w="100" w:type="dxa"/>
              <w:left w:w="100" w:type="dxa"/>
              <w:bottom w:w="100" w:type="dxa"/>
              <w:right w:w="100" w:type="dxa"/>
            </w:tcMar>
          </w:tcPr>
          <w:p w14:paraId="3A988A37">
            <w:pPr>
              <w:widowControl w:val="0"/>
              <w:numPr>
                <w:ilvl w:val="0"/>
                <w:numId w:val="1"/>
              </w:numPr>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High investment costs associated with AI, warehouse automation and digital infrastructure may initially increase financial expenditure (Alam et al., 2026).</w:t>
            </w:r>
          </w:p>
        </w:tc>
        <w:tc>
          <w:tcPr>
            <w:tcW w:w="4680" w:type="dxa"/>
            <w:tcMar>
              <w:top w:w="100" w:type="dxa"/>
              <w:left w:w="100" w:type="dxa"/>
              <w:bottom w:w="100" w:type="dxa"/>
              <w:right w:w="100" w:type="dxa"/>
            </w:tcMar>
          </w:tcPr>
          <w:p w14:paraId="08FB26CB">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 xml:space="preserve">To mitigate this challenge, IKEA can gradually implement technologies, prioritising the implementation process with measurable cost-saving outcomes. </w:t>
            </w:r>
          </w:p>
        </w:tc>
      </w:tr>
      <w:tr w14:paraId="41F840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680" w:type="dxa"/>
            <w:tcMar>
              <w:top w:w="100" w:type="dxa"/>
              <w:left w:w="100" w:type="dxa"/>
              <w:bottom w:w="100" w:type="dxa"/>
              <w:right w:w="100" w:type="dxa"/>
            </w:tcMar>
          </w:tcPr>
          <w:p w14:paraId="324DB8BE">
            <w:pPr>
              <w:widowControl w:val="0"/>
              <w:numPr>
                <w:ilvl w:val="0"/>
                <w:numId w:val="1"/>
              </w:numPr>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Cybersecurity and data-privacy risks may increase as IKEA expands its use of AI and customer data.</w:t>
            </w:r>
          </w:p>
        </w:tc>
        <w:tc>
          <w:tcPr>
            <w:tcW w:w="4680" w:type="dxa"/>
            <w:tcMar>
              <w:top w:w="100" w:type="dxa"/>
              <w:left w:w="100" w:type="dxa"/>
              <w:bottom w:w="100" w:type="dxa"/>
              <w:right w:w="100" w:type="dxa"/>
            </w:tcMar>
          </w:tcPr>
          <w:p w14:paraId="6AB52278">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 xml:space="preserve">IKEA should strengthen cybersecurity controls, conduct regular privacy assessments and provide employee training. </w:t>
            </w:r>
          </w:p>
        </w:tc>
      </w:tr>
      <w:tr w14:paraId="3E3CFE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680" w:type="dxa"/>
            <w:tcMar>
              <w:top w:w="100" w:type="dxa"/>
              <w:left w:w="100" w:type="dxa"/>
              <w:bottom w:w="100" w:type="dxa"/>
              <w:right w:w="100" w:type="dxa"/>
            </w:tcMar>
          </w:tcPr>
          <w:p w14:paraId="6BCD09A3">
            <w:pPr>
              <w:widowControl w:val="0"/>
              <w:numPr>
                <w:ilvl w:val="0"/>
                <w:numId w:val="1"/>
              </w:numPr>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Employee resistance and skills gaps may occur as automation changes existing roles and requires new digital capabilities (Obute, Okeh and Ugwu, 2023).</w:t>
            </w:r>
          </w:p>
        </w:tc>
        <w:tc>
          <w:tcPr>
            <w:tcW w:w="4680" w:type="dxa"/>
            <w:tcMar>
              <w:top w:w="100" w:type="dxa"/>
              <w:left w:w="100" w:type="dxa"/>
              <w:bottom w:w="100" w:type="dxa"/>
              <w:right w:w="100" w:type="dxa"/>
            </w:tcMar>
          </w:tcPr>
          <w:p w14:paraId="33F7A335">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eastAsia="Times New Roman"/>
                <w:sz w:val="24"/>
                <w:szCs w:val="24"/>
              </w:rPr>
            </w:pPr>
            <w:r>
              <w:rPr>
                <w:rFonts w:eastAsia="Times New Roman"/>
                <w:sz w:val="24"/>
                <w:szCs w:val="24"/>
              </w:rPr>
              <w:t xml:space="preserve">IKEA should address this challenge by providing continuous digital training and upskilling programs to enhance employee involvement in technology implementation (Hayes, Downie, 2026). </w:t>
            </w:r>
          </w:p>
        </w:tc>
      </w:tr>
    </w:tbl>
    <w:p w14:paraId="4507AA15">
      <w:pPr>
        <w:spacing w:line="360" w:lineRule="auto"/>
        <w:jc w:val="both"/>
        <w:rPr>
          <w:rFonts w:eastAsia="Times New Roman"/>
          <w:sz w:val="24"/>
          <w:szCs w:val="24"/>
        </w:rPr>
      </w:pPr>
    </w:p>
    <w:p w14:paraId="066A9FF2">
      <w:pPr>
        <w:spacing w:line="360" w:lineRule="auto"/>
        <w:rPr>
          <w:b/>
          <w:sz w:val="24"/>
          <w:szCs w:val="24"/>
        </w:rPr>
      </w:pPr>
      <w:r>
        <w:rPr>
          <w:sz w:val="24"/>
          <w:szCs w:val="24"/>
        </w:rPr>
        <w:br w:type="page"/>
      </w:r>
    </w:p>
    <w:p w14:paraId="2438EE07">
      <w:pPr>
        <w:pStyle w:val="2"/>
        <w:rPr>
          <w:szCs w:val="24"/>
        </w:rPr>
      </w:pPr>
      <w:bookmarkStart w:id="17" w:name="_Toc237124902"/>
      <w:r>
        <w:rPr>
          <w:szCs w:val="24"/>
        </w:rPr>
        <w:t>Section 2</w:t>
      </w:r>
      <w:bookmarkEnd w:id="17"/>
    </w:p>
    <w:p w14:paraId="5C1D056A">
      <w:pPr>
        <w:pStyle w:val="3"/>
        <w:rPr>
          <w:rFonts w:eastAsia="Times New Roman"/>
          <w:szCs w:val="24"/>
        </w:rPr>
      </w:pPr>
      <w:bookmarkStart w:id="18" w:name="_Toc237124903"/>
      <w:r>
        <w:rPr>
          <w:szCs w:val="24"/>
        </w:rPr>
        <w:t>Reflection</w:t>
      </w:r>
      <w:bookmarkEnd w:id="18"/>
    </w:p>
    <w:p w14:paraId="606595AA">
      <w:pPr>
        <w:spacing w:line="360" w:lineRule="auto"/>
        <w:jc w:val="both"/>
        <w:rPr>
          <w:rFonts w:eastAsia="Times New Roman"/>
          <w:sz w:val="24"/>
          <w:szCs w:val="24"/>
        </w:rPr>
      </w:pPr>
      <w:r>
        <w:rPr>
          <w:rFonts w:eastAsia="Times New Roman"/>
          <w:sz w:val="24"/>
          <w:szCs w:val="24"/>
        </w:rPr>
        <w:t xml:space="preserve">Kolb’s experiential learning cycle helps to structure an individual’s reflection, which consists of four stages such as, concrete experience, reflection and observation, abstract conceptualisation and active experimentation (Meijer et al., 2022). This model will enable me to critically reflect on my research and analytical experiences and how I apply my experiences to improve my approach to future strategic management.  </w:t>
      </w:r>
    </w:p>
    <w:p w14:paraId="342B72A6">
      <w:pPr>
        <w:spacing w:line="360" w:lineRule="auto"/>
        <w:rPr>
          <w:rFonts w:eastAsia="Times New Roman"/>
          <w:b/>
          <w:bCs/>
          <w:sz w:val="24"/>
          <w:szCs w:val="24"/>
        </w:rPr>
      </w:pPr>
      <w:r>
        <w:rPr>
          <w:rFonts w:eastAsia="Times New Roman"/>
          <w:b/>
          <w:bCs/>
          <w:sz w:val="24"/>
          <w:szCs w:val="24"/>
        </w:rPr>
        <w:t>Concrete experience</w:t>
      </w:r>
    </w:p>
    <w:p w14:paraId="01DA269F">
      <w:pPr>
        <w:spacing w:line="360" w:lineRule="auto"/>
        <w:jc w:val="both"/>
        <w:rPr>
          <w:rFonts w:eastAsia="Times New Roman"/>
          <w:sz w:val="24"/>
          <w:szCs w:val="24"/>
        </w:rPr>
      </w:pPr>
      <w:r>
        <w:rPr>
          <w:rFonts w:eastAsia="Times New Roman"/>
          <w:sz w:val="24"/>
          <w:szCs w:val="24"/>
        </w:rPr>
        <w:t xml:space="preserve">Initially, I investigated IKEA’s current strategic position by collecting information from academic literature and data from company reports and secondary resources. I felt uncertain and overwhelmed because I had to work with a large amount of information. I prepared the analysis by researching IKEA’s current strategic position and systematically applying Porter’s Generic Strategies, the SAFe framework, Ansoff’s Matrix and the McKinsey 7S Model to evaluate its competitive position and strategic options. Initially, I found it difficult to distinguish IKEA’s existing strategic practices from potential future strategic choices. As the process progressed, I became more confident and engaged in applying strategic frameworks to provide a structured way to understand IKEA’s competitive position. When I analysed IKEA’s combination of cost leadership and differentiation, I became curious about developing a new strategic direction, which led me to identify digital cost leadership as an appropriate approach for strengthening IKEA’s competitiveness in Germany. This led me to develop the idea of a digital cost leadership strategy, focusing on AI, automation, digital self-service, and omnichannel integration (Yegin and Ikram, 2022). This approach of gathering data and knowledge made me feel confident in my strategic decision-making. </w:t>
      </w:r>
    </w:p>
    <w:p w14:paraId="29084CD9">
      <w:pPr>
        <w:spacing w:line="360" w:lineRule="auto"/>
        <w:jc w:val="both"/>
        <w:rPr>
          <w:rFonts w:eastAsia="Times New Roman"/>
          <w:b/>
          <w:bCs/>
          <w:sz w:val="24"/>
          <w:szCs w:val="24"/>
        </w:rPr>
      </w:pPr>
      <w:r>
        <w:rPr>
          <w:rFonts w:eastAsia="Times New Roman"/>
          <w:b/>
          <w:bCs/>
          <w:sz w:val="24"/>
          <w:szCs w:val="24"/>
        </w:rPr>
        <w:t>Reflective observation</w:t>
      </w:r>
    </w:p>
    <w:p w14:paraId="3E78E552">
      <w:pPr>
        <w:spacing w:line="360" w:lineRule="auto"/>
        <w:jc w:val="both"/>
        <w:rPr>
          <w:rFonts w:eastAsia="Times New Roman"/>
          <w:sz w:val="24"/>
          <w:szCs w:val="24"/>
        </w:rPr>
      </w:pPr>
      <w:r>
        <w:rPr>
          <w:rFonts w:eastAsia="Times New Roman"/>
          <w:sz w:val="24"/>
          <w:szCs w:val="24"/>
        </w:rPr>
        <w:t>I realised that the experience was different from what I had initially expected. I felt this way because I realised that cost leadership was already part of IKEA’s strategy, so I needed to develop a new strategic direction. I expected that collecting a large number of sources would make the analysis stronger. But as I proceeded, I realised that the quality and relevance of evidence were more important than the quality of sources. While researching for useful information related to strategic management. This recognition made me more critical when selecting peer-reviewed academic articles, official IKEA reports, and reliable statistical sources to ensure the analysis was supported by credible evidence. (Sullivan and Jefferson, 2020). Furthermore, I expected that using several frameworks would make the analysis more comprehensive. However, I noticed several frameworks could make the discussion more descriptive than analytical. This helped me grow my self-awareness and confidence regarding the analytical approach and helped me recognise effective strategic approach.</w:t>
      </w:r>
    </w:p>
    <w:p w14:paraId="3F024604">
      <w:pPr>
        <w:spacing w:line="360" w:lineRule="auto"/>
        <w:jc w:val="both"/>
        <w:rPr>
          <w:rFonts w:eastAsia="Times New Roman"/>
          <w:b/>
          <w:bCs/>
          <w:sz w:val="24"/>
          <w:szCs w:val="24"/>
        </w:rPr>
      </w:pPr>
      <w:r>
        <w:rPr>
          <w:rFonts w:eastAsia="Times New Roman"/>
          <w:b/>
          <w:bCs/>
          <w:sz w:val="24"/>
          <w:szCs w:val="24"/>
        </w:rPr>
        <w:t xml:space="preserve">Abstract conceptualisation    </w:t>
      </w:r>
    </w:p>
    <w:p w14:paraId="5544EF61">
      <w:pPr>
        <w:spacing w:line="360" w:lineRule="auto"/>
        <w:jc w:val="both"/>
        <w:rPr>
          <w:rFonts w:eastAsia="Times New Roman"/>
          <w:sz w:val="24"/>
          <w:szCs w:val="24"/>
        </w:rPr>
      </w:pPr>
      <w:r>
        <w:rPr>
          <w:rFonts w:eastAsia="Times New Roman"/>
          <w:sz w:val="24"/>
          <w:szCs w:val="24"/>
        </w:rPr>
        <w:t xml:space="preserve">Abstract conceptualisation occurs when individuals use reflection to develop concepts and general principles from their experience (Henriquez, Arabanal and Abasolo, 2025). Through experiential learning regarding my experiences and connecting the experiences with conceptual knowledge, I realised that strong strategic recommendations should not depend on a single source of evidence, but rather on different sources to provide complementary perspectives. My analysis showed that IKEA also relies on distinctive design, customer experience, operational efficiency, digital capabilities and strong organisational resources. This developed a clear understanding that competitive advantage is not achieved only through offering lower prices. It depends on how effectively an organisation combines its resources, capabilities, technology and organisational processes to sustain value. This changed my initial understanding of IKEA’s cost leadership strategy and led me to conceptualise digital cost leadership as an extension to its existing competitive advantage. </w:t>
      </w:r>
    </w:p>
    <w:p w14:paraId="50A0339B">
      <w:pPr>
        <w:spacing w:line="360" w:lineRule="auto"/>
        <w:jc w:val="both"/>
        <w:rPr>
          <w:rFonts w:eastAsia="Times New Roman"/>
          <w:b/>
          <w:bCs/>
          <w:sz w:val="24"/>
          <w:szCs w:val="24"/>
        </w:rPr>
      </w:pPr>
      <w:r>
        <w:rPr>
          <w:rFonts w:eastAsia="Times New Roman"/>
          <w:b/>
          <w:bCs/>
          <w:sz w:val="24"/>
          <w:szCs w:val="24"/>
        </w:rPr>
        <w:t xml:space="preserve">Active experimentation </w:t>
      </w:r>
    </w:p>
    <w:p w14:paraId="2CE89335">
      <w:pPr>
        <w:spacing w:line="360" w:lineRule="auto"/>
        <w:jc w:val="both"/>
        <w:rPr>
          <w:rFonts w:eastAsia="Times New Roman"/>
          <w:sz w:val="24"/>
          <w:szCs w:val="24"/>
        </w:rPr>
      </w:pPr>
      <w:r>
        <w:rPr>
          <w:rFonts w:eastAsia="Times New Roman"/>
          <w:sz w:val="24"/>
          <w:szCs w:val="24"/>
        </w:rPr>
        <w:t xml:space="preserve">In future, I would apply a more systematic approach to strategic analysis by putting new research and evaluation methods into practice. I would define the strategic problem and research objective before collecting evidence, allowing me to focus my research on information. I would check the reliability and relevance of recent academic research, organisational reports and other evidence before incorporating it into my analysis. This would help me to make more evidence-based strategic decisions and avoid repetition (Gough, 2021). I would apply my learning by improving how I evaluate strategic alternatives in future assessments. I would compare several alternatives against the organisation’s objectives, market conditions, available resources and stakeholder expectations to identify their relative strengths and limitations. This approach will help to improve my critical thinking skills, ensuring strategic decision-making based on evidence. </w:t>
      </w:r>
    </w:p>
    <w:p w14:paraId="7164202F">
      <w:pPr>
        <w:spacing w:line="360" w:lineRule="auto"/>
        <w:jc w:val="both"/>
        <w:rPr>
          <w:rFonts w:eastAsia="Times New Roman"/>
          <w:sz w:val="24"/>
          <w:szCs w:val="24"/>
        </w:rPr>
      </w:pPr>
    </w:p>
    <w:p w14:paraId="2933934D">
      <w:pPr>
        <w:spacing w:line="360" w:lineRule="auto"/>
        <w:jc w:val="both"/>
        <w:rPr>
          <w:rFonts w:eastAsia="Times New Roman"/>
          <w:sz w:val="24"/>
          <w:szCs w:val="24"/>
        </w:rPr>
      </w:pPr>
    </w:p>
    <w:p w14:paraId="3AA6BDED">
      <w:pPr>
        <w:spacing w:line="360" w:lineRule="auto"/>
        <w:jc w:val="both"/>
        <w:rPr>
          <w:rFonts w:eastAsia="Times New Roman"/>
          <w:b/>
          <w:bCs/>
          <w:sz w:val="24"/>
          <w:szCs w:val="24"/>
        </w:rPr>
      </w:pPr>
    </w:p>
    <w:p w14:paraId="29D0F57B">
      <w:pPr>
        <w:spacing w:line="360" w:lineRule="auto"/>
        <w:jc w:val="both"/>
        <w:rPr>
          <w:rFonts w:eastAsia="Times New Roman"/>
          <w:b/>
          <w:bCs/>
          <w:sz w:val="24"/>
          <w:szCs w:val="24"/>
        </w:rPr>
      </w:pPr>
    </w:p>
    <w:p w14:paraId="506634FE">
      <w:pPr>
        <w:pStyle w:val="2"/>
        <w:rPr>
          <w:szCs w:val="24"/>
        </w:rPr>
      </w:pPr>
      <w:r>
        <w:rPr>
          <w:szCs w:val="24"/>
        </w:rPr>
        <w:br w:type="column"/>
      </w:r>
      <w:bookmarkStart w:id="19" w:name="_Toc237124904"/>
      <w:r>
        <w:rPr>
          <w:szCs w:val="24"/>
        </w:rPr>
        <w:t>References</w:t>
      </w:r>
      <w:bookmarkEnd w:id="19"/>
    </w:p>
    <w:p w14:paraId="399593E1">
      <w:pPr>
        <w:spacing w:line="360" w:lineRule="auto"/>
        <w:jc w:val="both"/>
        <w:rPr>
          <w:rFonts w:eastAsia="Times New Roman"/>
          <w:sz w:val="24"/>
          <w:szCs w:val="24"/>
        </w:rPr>
      </w:pPr>
      <w:r>
        <w:rPr>
          <w:rFonts w:eastAsia="Times New Roman"/>
          <w:sz w:val="24"/>
          <w:szCs w:val="24"/>
        </w:rPr>
        <w:t xml:space="preserve">Alam, M.M., Ugli, R.A.N., Tanha, K.J. and Jun, T., (2026). AI-enhanced Digital Twin systems for warehouse logistics optimisation: A review of challenges with solutions and future directions. </w:t>
      </w:r>
      <w:r>
        <w:rPr>
          <w:rFonts w:eastAsia="Times New Roman"/>
          <w:i/>
          <w:iCs/>
          <w:sz w:val="24"/>
          <w:szCs w:val="24"/>
        </w:rPr>
        <w:t>ICT Express.</w:t>
      </w:r>
      <w:r>
        <w:rPr>
          <w:rFonts w:eastAsia="Times New Roman"/>
          <w:sz w:val="24"/>
          <w:szCs w:val="24"/>
        </w:rPr>
        <w:t xml:space="preserve"> Available at: </w:t>
      </w:r>
      <w:r>
        <w:fldChar w:fldCharType="begin"/>
      </w:r>
      <w:r>
        <w:instrText xml:space="preserve"> HYPERLINK "https://www.sciencedirect.com/science/article/pii/S2405959526000093" \h </w:instrText>
      </w:r>
      <w:r>
        <w:fldChar w:fldCharType="separate"/>
      </w:r>
      <w:r>
        <w:rPr>
          <w:rFonts w:eastAsia="Times New Roman"/>
          <w:color w:val="1155CC"/>
          <w:sz w:val="24"/>
          <w:szCs w:val="24"/>
          <w:u w:val="single"/>
        </w:rPr>
        <w:t>https://www.sciencedirect.com/science/article/pii/S2405959526000093</w:t>
      </w:r>
      <w:r>
        <w:rPr>
          <w:rFonts w:eastAsia="Times New Roman"/>
          <w:color w:val="1155CC"/>
          <w:sz w:val="24"/>
          <w:szCs w:val="24"/>
          <w:u w:val="single"/>
        </w:rPr>
        <w:fldChar w:fldCharType="end"/>
      </w:r>
      <w:r>
        <w:rPr>
          <w:rFonts w:eastAsia="Times New Roman"/>
          <w:sz w:val="24"/>
          <w:szCs w:val="24"/>
        </w:rPr>
        <w:t xml:space="preserve"> </w:t>
      </w:r>
    </w:p>
    <w:p w14:paraId="3A57028B">
      <w:pPr>
        <w:spacing w:line="360" w:lineRule="auto"/>
        <w:jc w:val="both"/>
        <w:rPr>
          <w:rFonts w:eastAsia="Times New Roman"/>
          <w:sz w:val="24"/>
          <w:szCs w:val="24"/>
        </w:rPr>
      </w:pPr>
      <w:r>
        <w:rPr>
          <w:rFonts w:eastAsia="Times New Roman"/>
          <w:sz w:val="24"/>
          <w:szCs w:val="24"/>
        </w:rPr>
        <w:t xml:space="preserve">DHL. (2022). </w:t>
      </w:r>
      <w:r>
        <w:rPr>
          <w:rFonts w:eastAsia="Times New Roman"/>
          <w:i/>
          <w:iCs/>
          <w:sz w:val="24"/>
          <w:szCs w:val="24"/>
        </w:rPr>
        <w:t xml:space="preserve">DHL Supply Chain opens a new, highly automated fulfilment centre for IKEA Germany. </w:t>
      </w:r>
      <w:r>
        <w:rPr>
          <w:rFonts w:eastAsia="Times New Roman"/>
          <w:sz w:val="24"/>
          <w:szCs w:val="24"/>
        </w:rPr>
        <w:t xml:space="preserve">Available at: </w:t>
      </w:r>
      <w:r>
        <w:fldChar w:fldCharType="begin"/>
      </w:r>
      <w:r>
        <w:instrText xml:space="preserve"> HYPERLINK "https://group.dhl.com/en/media-relations/press-releases/2022/dhl-supply-chain-opens-a-new-highly-automated-fulfillment-center-for-ikea-germany.html" \h </w:instrText>
      </w:r>
      <w:r>
        <w:fldChar w:fldCharType="separate"/>
      </w:r>
      <w:r>
        <w:rPr>
          <w:rFonts w:eastAsia="Times New Roman"/>
          <w:color w:val="1155CC"/>
          <w:sz w:val="24"/>
          <w:szCs w:val="24"/>
          <w:u w:val="single"/>
        </w:rPr>
        <w:t>https://group.dhl.com/en/media-relations/press-releases/2022/dhl-supply-chain-opens-a-new-highly-automated-fulfillment-center-for-ikea-germany.html</w:t>
      </w:r>
      <w:r>
        <w:rPr>
          <w:rFonts w:eastAsia="Times New Roman"/>
          <w:color w:val="1155CC"/>
          <w:sz w:val="24"/>
          <w:szCs w:val="24"/>
          <w:u w:val="single"/>
        </w:rPr>
        <w:fldChar w:fldCharType="end"/>
      </w:r>
      <w:r>
        <w:rPr>
          <w:rFonts w:eastAsia="Times New Roman"/>
          <w:sz w:val="24"/>
          <w:szCs w:val="24"/>
        </w:rPr>
        <w:t xml:space="preserve"> </w:t>
      </w:r>
    </w:p>
    <w:p w14:paraId="3709663D">
      <w:pPr>
        <w:spacing w:line="360" w:lineRule="auto"/>
        <w:jc w:val="both"/>
        <w:rPr>
          <w:rFonts w:eastAsia="Times New Roman"/>
          <w:sz w:val="24"/>
          <w:szCs w:val="24"/>
        </w:rPr>
      </w:pPr>
      <w:r>
        <w:rPr>
          <w:rFonts w:eastAsia="Times New Roman"/>
          <w:sz w:val="24"/>
          <w:szCs w:val="24"/>
        </w:rPr>
        <w:t xml:space="preserve">European Parliament. (2023). </w:t>
      </w:r>
      <w:r>
        <w:rPr>
          <w:rFonts w:eastAsia="Times New Roman"/>
          <w:i/>
          <w:iCs/>
          <w:sz w:val="24"/>
          <w:szCs w:val="24"/>
        </w:rPr>
        <w:t xml:space="preserve">Ecodesign rules to ensure sustainable products on EU market. </w:t>
      </w:r>
      <w:r>
        <w:rPr>
          <w:rFonts w:eastAsia="Times New Roman"/>
          <w:sz w:val="24"/>
          <w:szCs w:val="24"/>
        </w:rPr>
        <w:t xml:space="preserve">Available at: </w:t>
      </w:r>
      <w:r>
        <w:fldChar w:fldCharType="begin"/>
      </w:r>
      <w:r>
        <w:instrText xml:space="preserve"> HYPERLINK "https://www.europarl.europa.eu/topics/en/article/20230629STO01708/ecodesign-rules-to-ensure-sustainable-products-on-eu-market" \h </w:instrText>
      </w:r>
      <w:r>
        <w:fldChar w:fldCharType="separate"/>
      </w:r>
      <w:r>
        <w:rPr>
          <w:rFonts w:eastAsia="Times New Roman"/>
          <w:color w:val="1155CC"/>
          <w:sz w:val="24"/>
          <w:szCs w:val="24"/>
          <w:u w:val="single"/>
        </w:rPr>
        <w:t>https://www.europarl.europa.eu/topics/en/article/20230629STO01708/ecodesign-rules-to-ensure-sustainable-products-on-eu-market</w:t>
      </w:r>
      <w:r>
        <w:rPr>
          <w:rFonts w:eastAsia="Times New Roman"/>
          <w:color w:val="1155CC"/>
          <w:sz w:val="24"/>
          <w:szCs w:val="24"/>
          <w:u w:val="single"/>
        </w:rPr>
        <w:fldChar w:fldCharType="end"/>
      </w:r>
      <w:r>
        <w:rPr>
          <w:rFonts w:eastAsia="Times New Roman"/>
          <w:sz w:val="24"/>
          <w:szCs w:val="24"/>
        </w:rPr>
        <w:t xml:space="preserve"> </w:t>
      </w:r>
    </w:p>
    <w:p w14:paraId="7EA40088">
      <w:pPr>
        <w:spacing w:line="360" w:lineRule="auto"/>
        <w:jc w:val="both"/>
        <w:rPr>
          <w:rFonts w:eastAsia="Times New Roman"/>
          <w:sz w:val="24"/>
          <w:szCs w:val="24"/>
        </w:rPr>
      </w:pPr>
      <w:r>
        <w:rPr>
          <w:rFonts w:eastAsia="Times New Roman"/>
          <w:sz w:val="24"/>
          <w:szCs w:val="24"/>
        </w:rPr>
        <w:t xml:space="preserve">Federal ministry of labor and social affairs. (2023). </w:t>
      </w:r>
      <w:r>
        <w:rPr>
          <w:rFonts w:eastAsia="Times New Roman"/>
          <w:i/>
          <w:iCs/>
          <w:sz w:val="24"/>
          <w:szCs w:val="24"/>
        </w:rPr>
        <w:t xml:space="preserve">Supply Chain Act. </w:t>
      </w:r>
      <w:r>
        <w:rPr>
          <w:rFonts w:eastAsia="Times New Roman"/>
          <w:sz w:val="24"/>
          <w:szCs w:val="24"/>
        </w:rPr>
        <w:t xml:space="preserve">Available at: </w:t>
      </w:r>
      <w:r>
        <w:fldChar w:fldCharType="begin"/>
      </w:r>
      <w:r>
        <w:instrText xml:space="preserve"> HYPERLINK "https://www.bmas.de/EN/Europe-and-the-World/International/Supply-Chain-Act/supply-chain-act.html" \h </w:instrText>
      </w:r>
      <w:r>
        <w:fldChar w:fldCharType="separate"/>
      </w:r>
      <w:r>
        <w:rPr>
          <w:rFonts w:eastAsia="Times New Roman"/>
          <w:color w:val="1155CC"/>
          <w:sz w:val="24"/>
          <w:szCs w:val="24"/>
          <w:u w:val="single"/>
        </w:rPr>
        <w:t>https://www.bmas.de/EN/Europe-and-the-World/International/Supply-Chain-Act/supply-chain-act.html</w:t>
      </w:r>
      <w:r>
        <w:rPr>
          <w:rFonts w:eastAsia="Times New Roman"/>
          <w:color w:val="1155CC"/>
          <w:sz w:val="24"/>
          <w:szCs w:val="24"/>
          <w:u w:val="single"/>
        </w:rPr>
        <w:fldChar w:fldCharType="end"/>
      </w:r>
      <w:r>
        <w:rPr>
          <w:rFonts w:eastAsia="Times New Roman"/>
          <w:sz w:val="24"/>
          <w:szCs w:val="24"/>
        </w:rPr>
        <w:t xml:space="preserve"> </w:t>
      </w:r>
    </w:p>
    <w:p w14:paraId="74B56175">
      <w:pPr>
        <w:spacing w:line="360" w:lineRule="auto"/>
        <w:jc w:val="both"/>
        <w:rPr>
          <w:rFonts w:eastAsia="Times New Roman"/>
          <w:sz w:val="24"/>
          <w:szCs w:val="24"/>
        </w:rPr>
      </w:pPr>
      <w:r>
        <w:rPr>
          <w:rFonts w:eastAsia="Times New Roman"/>
          <w:sz w:val="24"/>
          <w:szCs w:val="24"/>
        </w:rPr>
        <w:t xml:space="preserve">Ferreira, A.P.P.F.S. and de Sá, M.M.B.P. (2024). The importance of the Ansoff matrix for the study of the information services market. </w:t>
      </w:r>
      <w:r>
        <w:rPr>
          <w:rFonts w:eastAsia="Times New Roman"/>
          <w:i/>
          <w:iCs/>
          <w:sz w:val="24"/>
          <w:szCs w:val="24"/>
        </w:rPr>
        <w:t xml:space="preserve">The Canadian Journal of Information and Library Science, </w:t>
      </w:r>
      <w:r>
        <w:rPr>
          <w:rFonts w:eastAsia="Times New Roman"/>
          <w:sz w:val="24"/>
          <w:szCs w:val="24"/>
        </w:rPr>
        <w:t xml:space="preserve">47(2), pp.78-84. Available at: </w:t>
      </w:r>
      <w:r>
        <w:fldChar w:fldCharType="begin"/>
      </w:r>
      <w:r>
        <w:instrText xml:space="preserve"> HYPERLINK "https://www.researchgate.net/publication/384614408_The_importance_of_the_Ansoff_matrix_for_the_study_of_the_information_services_market" \h </w:instrText>
      </w:r>
      <w:r>
        <w:fldChar w:fldCharType="separate"/>
      </w:r>
      <w:r>
        <w:rPr>
          <w:rFonts w:eastAsia="Times New Roman"/>
          <w:color w:val="1155CC"/>
          <w:sz w:val="24"/>
          <w:szCs w:val="24"/>
          <w:u w:val="single"/>
        </w:rPr>
        <w:t>https://www.researchgate.net/publication/384614408_The_importance_of_the_Ansoff_matrix_for_the_study_of_the_information_services_market</w:t>
      </w:r>
      <w:r>
        <w:rPr>
          <w:rFonts w:eastAsia="Times New Roman"/>
          <w:color w:val="1155CC"/>
          <w:sz w:val="24"/>
          <w:szCs w:val="24"/>
          <w:u w:val="single"/>
        </w:rPr>
        <w:fldChar w:fldCharType="end"/>
      </w:r>
      <w:r>
        <w:rPr>
          <w:rFonts w:eastAsia="Times New Roman"/>
          <w:sz w:val="24"/>
          <w:szCs w:val="24"/>
        </w:rPr>
        <w:t xml:space="preserve"> </w:t>
      </w:r>
    </w:p>
    <w:p w14:paraId="6D68AFAD">
      <w:pPr>
        <w:spacing w:line="360" w:lineRule="auto"/>
        <w:jc w:val="both"/>
        <w:rPr>
          <w:rFonts w:eastAsia="Times New Roman"/>
          <w:sz w:val="24"/>
          <w:szCs w:val="24"/>
        </w:rPr>
      </w:pPr>
      <w:r>
        <w:rPr>
          <w:rFonts w:eastAsia="Times New Roman"/>
          <w:sz w:val="24"/>
          <w:szCs w:val="24"/>
        </w:rPr>
        <w:t xml:space="preserve">Google Cloud. (2026). </w:t>
      </w:r>
      <w:r>
        <w:rPr>
          <w:rFonts w:eastAsia="Times New Roman"/>
          <w:i/>
          <w:iCs/>
          <w:sz w:val="24"/>
          <w:szCs w:val="24"/>
        </w:rPr>
        <w:t xml:space="preserve">IKEA Germany: Matching customers to the right store for their needs, with Google Maps Platform. </w:t>
      </w:r>
      <w:r>
        <w:rPr>
          <w:rFonts w:eastAsia="Times New Roman"/>
          <w:sz w:val="24"/>
          <w:szCs w:val="24"/>
        </w:rPr>
        <w:t xml:space="preserve">Available at: </w:t>
      </w:r>
      <w:r>
        <w:fldChar w:fldCharType="begin"/>
      </w:r>
      <w:r>
        <w:instrText xml:space="preserve"> HYPERLINK "https://cloud.google.com/customers/ikea-germany" \h </w:instrText>
      </w:r>
      <w:r>
        <w:fldChar w:fldCharType="separate"/>
      </w:r>
      <w:r>
        <w:rPr>
          <w:rFonts w:eastAsia="Times New Roman"/>
          <w:color w:val="1155CC"/>
          <w:sz w:val="24"/>
          <w:szCs w:val="24"/>
          <w:u w:val="single"/>
        </w:rPr>
        <w:t>https://cloud.google.com/customers/ikea-germany</w:t>
      </w:r>
      <w:r>
        <w:rPr>
          <w:rFonts w:eastAsia="Times New Roman"/>
          <w:color w:val="1155CC"/>
          <w:sz w:val="24"/>
          <w:szCs w:val="24"/>
          <w:u w:val="single"/>
        </w:rPr>
        <w:fldChar w:fldCharType="end"/>
      </w:r>
      <w:r>
        <w:rPr>
          <w:rFonts w:eastAsia="Times New Roman"/>
          <w:sz w:val="24"/>
          <w:szCs w:val="24"/>
        </w:rPr>
        <w:t xml:space="preserve">  </w:t>
      </w:r>
    </w:p>
    <w:p w14:paraId="64286885">
      <w:pPr>
        <w:spacing w:line="360" w:lineRule="auto"/>
        <w:jc w:val="both"/>
        <w:rPr>
          <w:rFonts w:eastAsia="Times New Roman"/>
          <w:sz w:val="24"/>
          <w:szCs w:val="24"/>
        </w:rPr>
      </w:pPr>
      <w:r>
        <w:rPr>
          <w:rFonts w:eastAsia="Times New Roman"/>
          <w:sz w:val="24"/>
          <w:szCs w:val="24"/>
        </w:rPr>
        <w:t xml:space="preserve">Gough, D. (2021). Appraising evidence claims. </w:t>
      </w:r>
      <w:r>
        <w:rPr>
          <w:rFonts w:eastAsia="Times New Roman"/>
          <w:i/>
          <w:iCs/>
          <w:sz w:val="24"/>
          <w:szCs w:val="24"/>
        </w:rPr>
        <w:t>Review of Research in Education</w:t>
      </w:r>
      <w:r>
        <w:rPr>
          <w:rFonts w:eastAsia="Times New Roman"/>
          <w:sz w:val="24"/>
          <w:szCs w:val="24"/>
        </w:rPr>
        <w:t xml:space="preserve">, 45(1), pp.1-26. Available at: </w:t>
      </w:r>
      <w:r>
        <w:fldChar w:fldCharType="begin"/>
      </w:r>
      <w:r>
        <w:instrText xml:space="preserve"> HYPERLINK "https://journals.sagepub.com/doi/10.3102/0091732X20985072" \h </w:instrText>
      </w:r>
      <w:r>
        <w:fldChar w:fldCharType="separate"/>
      </w:r>
      <w:r>
        <w:rPr>
          <w:rFonts w:eastAsia="Times New Roman"/>
          <w:color w:val="1155CC"/>
          <w:sz w:val="24"/>
          <w:szCs w:val="24"/>
          <w:u w:val="single"/>
        </w:rPr>
        <w:t>https://journals.sagepub.com/doi/10.3102/0091732X20985072</w:t>
      </w:r>
      <w:r>
        <w:rPr>
          <w:rFonts w:eastAsia="Times New Roman"/>
          <w:color w:val="1155CC"/>
          <w:sz w:val="24"/>
          <w:szCs w:val="24"/>
          <w:u w:val="single"/>
        </w:rPr>
        <w:fldChar w:fldCharType="end"/>
      </w:r>
      <w:r>
        <w:rPr>
          <w:rFonts w:eastAsia="Times New Roman"/>
          <w:sz w:val="24"/>
          <w:szCs w:val="24"/>
        </w:rPr>
        <w:t xml:space="preserve"> </w:t>
      </w:r>
    </w:p>
    <w:p w14:paraId="7D3EAD13">
      <w:pPr>
        <w:spacing w:line="360" w:lineRule="auto"/>
        <w:jc w:val="both"/>
        <w:rPr>
          <w:rFonts w:eastAsia="Times New Roman"/>
          <w:sz w:val="24"/>
          <w:szCs w:val="24"/>
        </w:rPr>
      </w:pPr>
      <w:r>
        <w:rPr>
          <w:rFonts w:eastAsia="Times New Roman"/>
          <w:sz w:val="24"/>
          <w:szCs w:val="24"/>
        </w:rPr>
        <w:t xml:space="preserve">Hayes, M and Downie, A. (2025). AI and the future of work. </w:t>
      </w:r>
      <w:r>
        <w:rPr>
          <w:rFonts w:eastAsia="Times New Roman"/>
          <w:i/>
          <w:iCs/>
          <w:sz w:val="24"/>
          <w:szCs w:val="24"/>
        </w:rPr>
        <w:t xml:space="preserve">IBM. </w:t>
      </w:r>
      <w:r>
        <w:rPr>
          <w:rFonts w:eastAsia="Times New Roman"/>
          <w:sz w:val="24"/>
          <w:szCs w:val="24"/>
        </w:rPr>
        <w:t xml:space="preserve">Available at: </w:t>
      </w:r>
      <w:r>
        <w:fldChar w:fldCharType="begin"/>
      </w:r>
      <w:r>
        <w:instrText xml:space="preserve"> HYPERLINK "https://www.ibm.com/think/insights/ai-and-the-future-of-work" \h </w:instrText>
      </w:r>
      <w:r>
        <w:fldChar w:fldCharType="separate"/>
      </w:r>
      <w:r>
        <w:rPr>
          <w:rFonts w:eastAsia="Times New Roman"/>
          <w:color w:val="1155CC"/>
          <w:sz w:val="24"/>
          <w:szCs w:val="24"/>
          <w:u w:val="single"/>
        </w:rPr>
        <w:t>https://www.ibm.com/think/insights/ai-and-the-future-of-work</w:t>
      </w:r>
      <w:r>
        <w:rPr>
          <w:rFonts w:eastAsia="Times New Roman"/>
          <w:color w:val="1155CC"/>
          <w:sz w:val="24"/>
          <w:szCs w:val="24"/>
          <w:u w:val="single"/>
        </w:rPr>
        <w:fldChar w:fldCharType="end"/>
      </w:r>
      <w:r>
        <w:rPr>
          <w:rFonts w:eastAsia="Times New Roman"/>
          <w:sz w:val="24"/>
          <w:szCs w:val="24"/>
        </w:rPr>
        <w:t xml:space="preserve"> </w:t>
      </w:r>
    </w:p>
    <w:p w14:paraId="6882AE48">
      <w:pPr>
        <w:spacing w:line="360" w:lineRule="auto"/>
        <w:jc w:val="both"/>
        <w:rPr>
          <w:rFonts w:eastAsia="Times New Roman"/>
          <w:sz w:val="24"/>
          <w:szCs w:val="24"/>
        </w:rPr>
      </w:pPr>
      <w:r>
        <w:rPr>
          <w:rFonts w:eastAsia="Times New Roman"/>
          <w:sz w:val="24"/>
          <w:szCs w:val="24"/>
        </w:rPr>
        <w:t>Henríquez, V.V., Rabanal, I.C. and Abásolo, J.S. (2025). Applying Kolb’s experiential learning cycle for deep learning: A systematic literature review.</w:t>
      </w:r>
      <w:r>
        <w:rPr>
          <w:rFonts w:eastAsia="Times New Roman"/>
          <w:i/>
          <w:iCs/>
          <w:sz w:val="24"/>
          <w:szCs w:val="24"/>
        </w:rPr>
        <w:t xml:space="preserve"> Social Sciences &amp; Humanities Open, </w:t>
      </w:r>
      <w:r>
        <w:rPr>
          <w:rFonts w:eastAsia="Times New Roman"/>
          <w:sz w:val="24"/>
          <w:szCs w:val="24"/>
        </w:rPr>
        <w:t xml:space="preserve">12, p.102096. Available at: </w:t>
      </w:r>
      <w:r>
        <w:fldChar w:fldCharType="begin"/>
      </w:r>
      <w:r>
        <w:instrText xml:space="preserve"> HYPERLINK "https://www.sciencedirect.com/science/article/pii/S2590291125008253" \h </w:instrText>
      </w:r>
      <w:r>
        <w:fldChar w:fldCharType="separate"/>
      </w:r>
      <w:r>
        <w:rPr>
          <w:rFonts w:eastAsia="Times New Roman"/>
          <w:color w:val="1155CC"/>
          <w:sz w:val="24"/>
          <w:szCs w:val="24"/>
          <w:u w:val="single"/>
        </w:rPr>
        <w:t>https://www.sciencedirect.com/science/article/pii/S2590291125008253</w:t>
      </w:r>
      <w:r>
        <w:rPr>
          <w:rFonts w:eastAsia="Times New Roman"/>
          <w:color w:val="1155CC"/>
          <w:sz w:val="24"/>
          <w:szCs w:val="24"/>
          <w:u w:val="single"/>
        </w:rPr>
        <w:fldChar w:fldCharType="end"/>
      </w:r>
      <w:r>
        <w:rPr>
          <w:rFonts w:eastAsia="Times New Roman"/>
          <w:sz w:val="24"/>
          <w:szCs w:val="24"/>
        </w:rPr>
        <w:t xml:space="preserve">  </w:t>
      </w:r>
    </w:p>
    <w:p w14:paraId="7864EE13">
      <w:pPr>
        <w:spacing w:line="360" w:lineRule="auto"/>
        <w:jc w:val="both"/>
        <w:rPr>
          <w:rFonts w:eastAsia="Times New Roman"/>
          <w:sz w:val="24"/>
          <w:szCs w:val="24"/>
        </w:rPr>
      </w:pPr>
      <w:r>
        <w:rPr>
          <w:rFonts w:eastAsia="Times New Roman"/>
          <w:sz w:val="24"/>
          <w:szCs w:val="24"/>
        </w:rPr>
        <w:t xml:space="preserve">Howland, D. (2025). </w:t>
      </w:r>
      <w:r>
        <w:rPr>
          <w:rFonts w:eastAsia="Times New Roman"/>
          <w:i/>
          <w:iCs/>
          <w:sz w:val="24"/>
          <w:szCs w:val="24"/>
        </w:rPr>
        <w:t xml:space="preserve">IKEA profits take a hit from tariffs, affordability effort. </w:t>
      </w:r>
      <w:r>
        <w:rPr>
          <w:rFonts w:eastAsia="Times New Roman"/>
          <w:sz w:val="24"/>
          <w:szCs w:val="24"/>
        </w:rPr>
        <w:t xml:space="preserve">Available at: </w:t>
      </w:r>
      <w:r>
        <w:fldChar w:fldCharType="begin"/>
      </w:r>
      <w:r>
        <w:instrText xml:space="preserve"> HYPERLINK "https://finance.yahoo.com/news/ikea-profits-hit-tariffs-affordability-121400896.html" \h </w:instrText>
      </w:r>
      <w:r>
        <w:fldChar w:fldCharType="separate"/>
      </w:r>
      <w:r>
        <w:rPr>
          <w:rFonts w:eastAsia="Times New Roman"/>
          <w:color w:val="1155CC"/>
          <w:sz w:val="24"/>
          <w:szCs w:val="24"/>
          <w:u w:val="single"/>
        </w:rPr>
        <w:t>https://finance.yahoo.com/news/ikea-profits-hit-tariffs-affordability-121400896.html</w:t>
      </w:r>
      <w:r>
        <w:rPr>
          <w:rFonts w:eastAsia="Times New Roman"/>
          <w:color w:val="1155CC"/>
          <w:sz w:val="24"/>
          <w:szCs w:val="24"/>
          <w:u w:val="single"/>
        </w:rPr>
        <w:fldChar w:fldCharType="end"/>
      </w:r>
      <w:r>
        <w:rPr>
          <w:rFonts w:eastAsia="Times New Roman"/>
          <w:sz w:val="24"/>
          <w:szCs w:val="24"/>
        </w:rPr>
        <w:t xml:space="preserve"> </w:t>
      </w:r>
    </w:p>
    <w:p w14:paraId="530E3AA6">
      <w:pPr>
        <w:spacing w:line="360" w:lineRule="auto"/>
        <w:jc w:val="both"/>
        <w:rPr>
          <w:rFonts w:eastAsia="Times New Roman"/>
          <w:sz w:val="24"/>
          <w:szCs w:val="24"/>
        </w:rPr>
      </w:pPr>
      <w:r>
        <w:rPr>
          <w:rFonts w:eastAsia="Times New Roman"/>
          <w:sz w:val="24"/>
          <w:szCs w:val="24"/>
        </w:rPr>
        <w:t xml:space="preserve">IGKA. (2026). </w:t>
      </w:r>
      <w:r>
        <w:rPr>
          <w:rFonts w:eastAsia="Times New Roman"/>
          <w:i/>
          <w:iCs/>
          <w:sz w:val="24"/>
          <w:szCs w:val="24"/>
        </w:rPr>
        <w:t xml:space="preserve">One million bags of leftovers – and how we’re putting them to good use. </w:t>
      </w:r>
      <w:r>
        <w:rPr>
          <w:rFonts w:eastAsia="Times New Roman"/>
          <w:sz w:val="24"/>
          <w:szCs w:val="24"/>
        </w:rPr>
        <w:t xml:space="preserve">Available at: </w:t>
      </w:r>
      <w:r>
        <w:fldChar w:fldCharType="begin"/>
      </w:r>
      <w:r>
        <w:instrText xml:space="preserve"> HYPERLINK "https://www.ingka.com/newsroom/one-million-bags-of-leftovers-and-how-were-putting-them-to-good-use/" \h </w:instrText>
      </w:r>
      <w:r>
        <w:fldChar w:fldCharType="separate"/>
      </w:r>
      <w:r>
        <w:rPr>
          <w:rFonts w:eastAsia="Times New Roman"/>
          <w:color w:val="1155CC"/>
          <w:sz w:val="24"/>
          <w:szCs w:val="24"/>
          <w:u w:val="single"/>
        </w:rPr>
        <w:t>https://www.ingka.com/newsroom/one-million-bags-of-leftovers-and-how-were-putting-them-to-good-use/</w:t>
      </w:r>
      <w:r>
        <w:rPr>
          <w:rFonts w:eastAsia="Times New Roman"/>
          <w:color w:val="1155CC"/>
          <w:sz w:val="24"/>
          <w:szCs w:val="24"/>
          <w:u w:val="single"/>
        </w:rPr>
        <w:fldChar w:fldCharType="end"/>
      </w:r>
      <w:r>
        <w:rPr>
          <w:rFonts w:eastAsia="Times New Roman"/>
          <w:sz w:val="24"/>
          <w:szCs w:val="24"/>
        </w:rPr>
        <w:t xml:space="preserve">  </w:t>
      </w:r>
    </w:p>
    <w:p w14:paraId="63ECD3EF">
      <w:pPr>
        <w:spacing w:line="360" w:lineRule="auto"/>
        <w:jc w:val="both"/>
        <w:rPr>
          <w:rFonts w:eastAsia="Times New Roman"/>
          <w:sz w:val="24"/>
          <w:szCs w:val="24"/>
        </w:rPr>
      </w:pPr>
      <w:r>
        <w:rPr>
          <w:rFonts w:eastAsia="Times New Roman"/>
          <w:sz w:val="24"/>
          <w:szCs w:val="24"/>
        </w:rPr>
        <w:t xml:space="preserve">IKEA (2025). </w:t>
      </w:r>
      <w:r>
        <w:rPr>
          <w:rFonts w:eastAsia="Times New Roman"/>
          <w:i/>
          <w:iCs/>
          <w:sz w:val="24"/>
          <w:szCs w:val="24"/>
        </w:rPr>
        <w:t xml:space="preserve">IKEA reports stable sales with increased volumes and visitation. </w:t>
      </w:r>
      <w:r>
        <w:rPr>
          <w:rFonts w:eastAsia="Times New Roman"/>
          <w:sz w:val="24"/>
          <w:szCs w:val="24"/>
        </w:rPr>
        <w:t xml:space="preserve">Available at: </w:t>
      </w:r>
      <w:r>
        <w:fldChar w:fldCharType="begin"/>
      </w:r>
      <w:r>
        <w:instrText xml:space="preserve"> HYPERLINK "https://www.ikea.com/global/en/our-business/how-we-work/year-in-review-fy25/" \h </w:instrText>
      </w:r>
      <w:r>
        <w:fldChar w:fldCharType="separate"/>
      </w:r>
      <w:r>
        <w:rPr>
          <w:rFonts w:eastAsia="Times New Roman"/>
          <w:color w:val="1155CC"/>
          <w:sz w:val="24"/>
          <w:szCs w:val="24"/>
          <w:u w:val="single"/>
        </w:rPr>
        <w:t>https://www.ikea.com/global/en/our-business/how-we-work/year-in-review-fy25/</w:t>
      </w:r>
      <w:r>
        <w:rPr>
          <w:rFonts w:eastAsia="Times New Roman"/>
          <w:color w:val="1155CC"/>
          <w:sz w:val="24"/>
          <w:szCs w:val="24"/>
          <w:u w:val="single"/>
        </w:rPr>
        <w:fldChar w:fldCharType="end"/>
      </w:r>
      <w:r>
        <w:rPr>
          <w:rFonts w:eastAsia="Times New Roman"/>
          <w:sz w:val="24"/>
          <w:szCs w:val="24"/>
        </w:rPr>
        <w:t xml:space="preserve"> </w:t>
      </w:r>
    </w:p>
    <w:p w14:paraId="0F8B6BAB">
      <w:pPr>
        <w:spacing w:line="360" w:lineRule="auto"/>
        <w:jc w:val="both"/>
        <w:rPr>
          <w:rFonts w:eastAsia="Times New Roman"/>
          <w:sz w:val="24"/>
          <w:szCs w:val="24"/>
        </w:rPr>
      </w:pPr>
      <w:r>
        <w:rPr>
          <w:rFonts w:eastAsia="Times New Roman"/>
          <w:sz w:val="24"/>
          <w:szCs w:val="24"/>
        </w:rPr>
        <w:t xml:space="preserve">IKEA. (2024). </w:t>
      </w:r>
      <w:r>
        <w:rPr>
          <w:rFonts w:eastAsia="Times New Roman"/>
          <w:i/>
          <w:iCs/>
          <w:sz w:val="24"/>
          <w:szCs w:val="24"/>
        </w:rPr>
        <w:t xml:space="preserve">IKEA Sustainability Strategy. </w:t>
      </w:r>
      <w:r>
        <w:rPr>
          <w:rFonts w:eastAsia="Times New Roman"/>
          <w:sz w:val="24"/>
          <w:szCs w:val="24"/>
        </w:rPr>
        <w:t xml:space="preserve">Available at: </w:t>
      </w:r>
      <w:r>
        <w:fldChar w:fldCharType="begin"/>
      </w:r>
      <w:r>
        <w:instrText xml:space="preserve"> HYPERLINK "https://www.ikea.com/global/en/images/IKEA_Sustainability_Strategy_20241030_c2780facaa.pdf" \l ":~:text=We%20will%20offer%20products%20where,products%20and%20services%20that%20can" \h </w:instrText>
      </w:r>
      <w:r>
        <w:fldChar w:fldCharType="separate"/>
      </w:r>
      <w:r>
        <w:rPr>
          <w:rFonts w:eastAsia="Times New Roman"/>
          <w:color w:val="1155CC"/>
          <w:sz w:val="24"/>
          <w:szCs w:val="24"/>
          <w:u w:val="single"/>
        </w:rPr>
        <w:t>https://www.ikea.com/global/en/images/IKEA_Sustainability_Strategy_20241030_c2780facaa.pdf#:~:text=We%20will%20offer%20products%20where,products%20and%20services%20that%20can</w:t>
      </w:r>
      <w:r>
        <w:rPr>
          <w:rFonts w:eastAsia="Times New Roman"/>
          <w:color w:val="1155CC"/>
          <w:sz w:val="24"/>
          <w:szCs w:val="24"/>
          <w:u w:val="single"/>
        </w:rPr>
        <w:fldChar w:fldCharType="end"/>
      </w:r>
      <w:r>
        <w:rPr>
          <w:rFonts w:eastAsia="Times New Roman"/>
          <w:sz w:val="24"/>
          <w:szCs w:val="24"/>
        </w:rPr>
        <w:t xml:space="preserve"> </w:t>
      </w:r>
    </w:p>
    <w:p w14:paraId="72AE2B8D">
      <w:pPr>
        <w:spacing w:line="360" w:lineRule="auto"/>
        <w:jc w:val="both"/>
        <w:rPr>
          <w:rFonts w:eastAsia="Times New Roman"/>
          <w:sz w:val="24"/>
          <w:szCs w:val="24"/>
        </w:rPr>
      </w:pPr>
      <w:r>
        <w:rPr>
          <w:rFonts w:eastAsia="Times New Roman"/>
          <w:sz w:val="24"/>
          <w:szCs w:val="24"/>
        </w:rPr>
        <w:t xml:space="preserve">IKEA. (2025). </w:t>
      </w:r>
      <w:r>
        <w:rPr>
          <w:rFonts w:eastAsia="Times New Roman"/>
          <w:i/>
          <w:iCs/>
          <w:sz w:val="24"/>
          <w:szCs w:val="24"/>
        </w:rPr>
        <w:t xml:space="preserve">Understanding our gender pay gap report. </w:t>
      </w:r>
      <w:r>
        <w:rPr>
          <w:rFonts w:eastAsia="Times New Roman"/>
          <w:sz w:val="24"/>
          <w:szCs w:val="24"/>
        </w:rPr>
        <w:t xml:space="preserve">Available at: </w:t>
      </w:r>
      <w:r>
        <w:fldChar w:fldCharType="begin"/>
      </w:r>
      <w:r>
        <w:instrText xml:space="preserve"> HYPERLINK "https://www.ikea.com/gb/en/files/pdf/7b/54/7b54eb0d/ikea-2025-uk-gender-pay-1.pdf" \h </w:instrText>
      </w:r>
      <w:r>
        <w:fldChar w:fldCharType="separate"/>
      </w:r>
      <w:r>
        <w:rPr>
          <w:rFonts w:eastAsia="Times New Roman"/>
          <w:color w:val="1155CC"/>
          <w:sz w:val="24"/>
          <w:szCs w:val="24"/>
          <w:u w:val="single"/>
        </w:rPr>
        <w:t>https://www.ikea.com/gb/en/files/pdf/7b/54/7b54eb0d/ikea-2025-uk-gender-pay-1.pdf</w:t>
      </w:r>
      <w:r>
        <w:rPr>
          <w:rFonts w:eastAsia="Times New Roman"/>
          <w:color w:val="1155CC"/>
          <w:sz w:val="24"/>
          <w:szCs w:val="24"/>
          <w:u w:val="single"/>
        </w:rPr>
        <w:fldChar w:fldCharType="end"/>
      </w:r>
      <w:r>
        <w:rPr>
          <w:rFonts w:eastAsia="Times New Roman"/>
          <w:sz w:val="24"/>
          <w:szCs w:val="24"/>
        </w:rPr>
        <w:t xml:space="preserve"> </w:t>
      </w:r>
    </w:p>
    <w:p w14:paraId="1EC9B56A">
      <w:pPr>
        <w:spacing w:line="360" w:lineRule="auto"/>
        <w:jc w:val="both"/>
        <w:rPr>
          <w:rFonts w:eastAsia="Times New Roman"/>
          <w:sz w:val="24"/>
          <w:szCs w:val="24"/>
        </w:rPr>
      </w:pPr>
      <w:r>
        <w:rPr>
          <w:rFonts w:eastAsia="Times New Roman"/>
          <w:sz w:val="24"/>
          <w:szCs w:val="24"/>
        </w:rPr>
        <w:t xml:space="preserve">IKEA. (2026 a). </w:t>
      </w:r>
      <w:r>
        <w:rPr>
          <w:rFonts w:eastAsia="Times New Roman"/>
          <w:i/>
          <w:iCs/>
          <w:sz w:val="24"/>
          <w:szCs w:val="24"/>
        </w:rPr>
        <w:t xml:space="preserve">Humble beginnings. </w:t>
      </w:r>
      <w:r>
        <w:rPr>
          <w:rFonts w:eastAsia="Times New Roman"/>
          <w:sz w:val="24"/>
          <w:szCs w:val="24"/>
        </w:rPr>
        <w:t xml:space="preserve">Available at: </w:t>
      </w:r>
      <w:r>
        <w:fldChar w:fldCharType="begin"/>
      </w:r>
      <w:r>
        <w:instrText xml:space="preserve"> HYPERLINK "https://www.ikea.com/global/en/our-business/how-we-work/story-of-ikea/" \l ":~:text=IKEA%20was%20first%20registered%20as,to%20the%20range%20in%201948" \h </w:instrText>
      </w:r>
      <w:r>
        <w:fldChar w:fldCharType="separate"/>
      </w:r>
      <w:r>
        <w:rPr>
          <w:rFonts w:eastAsia="Times New Roman"/>
          <w:color w:val="1155CC"/>
          <w:sz w:val="24"/>
          <w:szCs w:val="24"/>
          <w:u w:val="single"/>
        </w:rPr>
        <w:t>https://www.ikea.com/global/en/our-business/how-we-work/story-of-ikea/#:~:text=IKEA%20was%20first%20registered%20as,to%20the%20range%20in%201948</w:t>
      </w:r>
      <w:r>
        <w:rPr>
          <w:rFonts w:eastAsia="Times New Roman"/>
          <w:color w:val="1155CC"/>
          <w:sz w:val="24"/>
          <w:szCs w:val="24"/>
          <w:u w:val="single"/>
        </w:rPr>
        <w:fldChar w:fldCharType="end"/>
      </w:r>
      <w:r>
        <w:rPr>
          <w:rFonts w:eastAsia="Times New Roman"/>
          <w:sz w:val="24"/>
          <w:szCs w:val="24"/>
        </w:rPr>
        <w:t xml:space="preserve">. </w:t>
      </w:r>
    </w:p>
    <w:p w14:paraId="3B415A48">
      <w:pPr>
        <w:spacing w:line="360" w:lineRule="auto"/>
        <w:jc w:val="both"/>
        <w:rPr>
          <w:rFonts w:eastAsia="Times New Roman"/>
          <w:sz w:val="24"/>
          <w:szCs w:val="24"/>
        </w:rPr>
      </w:pPr>
      <w:r>
        <w:rPr>
          <w:rFonts w:eastAsia="Times New Roman"/>
          <w:sz w:val="24"/>
          <w:szCs w:val="24"/>
        </w:rPr>
        <w:t xml:space="preserve">IKEA. (2026 b). </w:t>
      </w:r>
      <w:r>
        <w:rPr>
          <w:rFonts w:eastAsia="Times New Roman"/>
          <w:i/>
          <w:iCs/>
          <w:sz w:val="24"/>
          <w:szCs w:val="24"/>
        </w:rPr>
        <w:t xml:space="preserve">Welcome to Germany!. </w:t>
      </w:r>
      <w:r>
        <w:rPr>
          <w:rFonts w:eastAsia="Times New Roman"/>
          <w:sz w:val="24"/>
          <w:szCs w:val="24"/>
        </w:rPr>
        <w:t xml:space="preserve">Available at: </w:t>
      </w:r>
      <w:r>
        <w:fldChar w:fldCharType="begin"/>
      </w:r>
      <w:r>
        <w:instrText xml:space="preserve"> HYPERLINK "https://www.ikea.com/global/en/stories/ikea-around-the-world/market-spotlight-germany-260408/" \l ":~:text=A%20country%20known%20for%20its,is%20also%20our%20biggest%20market" \h </w:instrText>
      </w:r>
      <w:r>
        <w:fldChar w:fldCharType="separate"/>
      </w:r>
      <w:r>
        <w:rPr>
          <w:rFonts w:eastAsia="Times New Roman"/>
          <w:color w:val="1155CC"/>
          <w:sz w:val="24"/>
          <w:szCs w:val="24"/>
          <w:u w:val="single"/>
        </w:rPr>
        <w:t>https://www.ikea.com/global/en/stories/ikea-around-the-world/market-spotlight-germany-260408/#:~:text=A%20country%20known%20for%20its,is%20also%20our%20biggest%20market</w:t>
      </w:r>
      <w:r>
        <w:rPr>
          <w:rFonts w:eastAsia="Times New Roman"/>
          <w:color w:val="1155CC"/>
          <w:sz w:val="24"/>
          <w:szCs w:val="24"/>
          <w:u w:val="single"/>
        </w:rPr>
        <w:fldChar w:fldCharType="end"/>
      </w:r>
      <w:r>
        <w:rPr>
          <w:rFonts w:eastAsia="Times New Roman"/>
          <w:sz w:val="24"/>
          <w:szCs w:val="24"/>
        </w:rPr>
        <w:t xml:space="preserve">.  </w:t>
      </w:r>
    </w:p>
    <w:p w14:paraId="55314D87">
      <w:pPr>
        <w:spacing w:line="360" w:lineRule="auto"/>
        <w:jc w:val="both"/>
        <w:rPr>
          <w:rFonts w:eastAsia="Times New Roman"/>
          <w:sz w:val="24"/>
          <w:szCs w:val="24"/>
        </w:rPr>
      </w:pPr>
      <w:r>
        <w:rPr>
          <w:rFonts w:eastAsia="Times New Roman"/>
          <w:sz w:val="24"/>
          <w:szCs w:val="24"/>
        </w:rPr>
        <w:t xml:space="preserve">IKEA. (2026 c), </w:t>
      </w:r>
      <w:r>
        <w:rPr>
          <w:rFonts w:eastAsia="Times New Roman"/>
          <w:i/>
          <w:iCs/>
          <w:sz w:val="24"/>
          <w:szCs w:val="24"/>
        </w:rPr>
        <w:t xml:space="preserve">The IKEA vision and values. </w:t>
      </w:r>
      <w:r>
        <w:rPr>
          <w:rFonts w:eastAsia="Times New Roman"/>
          <w:sz w:val="24"/>
          <w:szCs w:val="24"/>
        </w:rPr>
        <w:t xml:space="preserve">Available at: </w:t>
      </w:r>
      <w:r>
        <w:fldChar w:fldCharType="begin"/>
      </w:r>
      <w:r>
        <w:instrText xml:space="preserve"> HYPERLINK "https://www.ikea.com/us/en/this-is-ikea/about-us/the-ikea-vision-and-values-pub9aa779d0/" \h </w:instrText>
      </w:r>
      <w:r>
        <w:fldChar w:fldCharType="separate"/>
      </w:r>
      <w:r>
        <w:rPr>
          <w:rFonts w:eastAsia="Times New Roman"/>
          <w:color w:val="1155CC"/>
          <w:sz w:val="24"/>
          <w:szCs w:val="24"/>
          <w:u w:val="single"/>
        </w:rPr>
        <w:t>https://www.ikea.com/us/en/this-is-ikea/about-us/the-ikea-vision-and-values-pub9aa779d0/</w:t>
      </w:r>
      <w:r>
        <w:rPr>
          <w:rFonts w:eastAsia="Times New Roman"/>
          <w:color w:val="1155CC"/>
          <w:sz w:val="24"/>
          <w:szCs w:val="24"/>
          <w:u w:val="single"/>
        </w:rPr>
        <w:fldChar w:fldCharType="end"/>
      </w:r>
      <w:r>
        <w:rPr>
          <w:rFonts w:eastAsia="Times New Roman"/>
          <w:sz w:val="24"/>
          <w:szCs w:val="24"/>
        </w:rPr>
        <w:t xml:space="preserve"> </w:t>
      </w:r>
    </w:p>
    <w:p w14:paraId="5F7817EC">
      <w:pPr>
        <w:spacing w:line="360" w:lineRule="auto"/>
        <w:jc w:val="both"/>
        <w:rPr>
          <w:rFonts w:eastAsia="Times New Roman"/>
          <w:sz w:val="24"/>
          <w:szCs w:val="24"/>
        </w:rPr>
      </w:pPr>
      <w:r>
        <w:rPr>
          <w:rFonts w:eastAsia="Times New Roman"/>
          <w:sz w:val="24"/>
          <w:szCs w:val="24"/>
        </w:rPr>
        <w:t xml:space="preserve">IKEA. (2026 d). </w:t>
      </w:r>
      <w:r>
        <w:rPr>
          <w:rFonts w:eastAsia="Times New Roman"/>
          <w:i/>
          <w:iCs/>
          <w:sz w:val="24"/>
          <w:szCs w:val="24"/>
        </w:rPr>
        <w:t xml:space="preserve">How we work. </w:t>
      </w:r>
      <w:r>
        <w:rPr>
          <w:rFonts w:eastAsia="Times New Roman"/>
          <w:sz w:val="24"/>
          <w:szCs w:val="24"/>
        </w:rPr>
        <w:t xml:space="preserve">Available at: </w:t>
      </w:r>
      <w:r>
        <w:fldChar w:fldCharType="begin"/>
      </w:r>
      <w:r>
        <w:instrText xml:space="preserve"> HYPERLINK "https://www.ikea.com/global/en/our-business/how-we-work/" \h </w:instrText>
      </w:r>
      <w:r>
        <w:fldChar w:fldCharType="separate"/>
      </w:r>
      <w:r>
        <w:rPr>
          <w:rFonts w:eastAsia="Times New Roman"/>
          <w:color w:val="1155CC"/>
          <w:sz w:val="24"/>
          <w:szCs w:val="24"/>
          <w:u w:val="single"/>
        </w:rPr>
        <w:t>https://www.ikea.com/global/en/our-business/how-we-work/</w:t>
      </w:r>
      <w:r>
        <w:rPr>
          <w:rFonts w:eastAsia="Times New Roman"/>
          <w:color w:val="1155CC"/>
          <w:sz w:val="24"/>
          <w:szCs w:val="24"/>
          <w:u w:val="single"/>
        </w:rPr>
        <w:fldChar w:fldCharType="end"/>
      </w:r>
      <w:r>
        <w:rPr>
          <w:rFonts w:eastAsia="Times New Roman"/>
          <w:sz w:val="24"/>
          <w:szCs w:val="24"/>
        </w:rPr>
        <w:t xml:space="preserve"> </w:t>
      </w:r>
    </w:p>
    <w:p w14:paraId="1D3A9772">
      <w:pPr>
        <w:spacing w:line="360" w:lineRule="auto"/>
        <w:jc w:val="both"/>
        <w:rPr>
          <w:rFonts w:eastAsia="Times New Roman"/>
          <w:sz w:val="24"/>
          <w:szCs w:val="24"/>
        </w:rPr>
      </w:pPr>
      <w:r>
        <w:rPr>
          <w:rFonts w:eastAsia="Times New Roman"/>
          <w:sz w:val="24"/>
          <w:szCs w:val="24"/>
        </w:rPr>
        <w:t xml:space="preserve">IKEA. (2026 f). </w:t>
      </w:r>
      <w:r>
        <w:rPr>
          <w:rFonts w:eastAsia="Times New Roman"/>
          <w:i/>
          <w:iCs/>
          <w:sz w:val="24"/>
          <w:szCs w:val="24"/>
        </w:rPr>
        <w:t xml:space="preserve">Circularity. </w:t>
      </w:r>
      <w:r>
        <w:rPr>
          <w:rFonts w:eastAsia="Times New Roman"/>
          <w:sz w:val="24"/>
          <w:szCs w:val="24"/>
        </w:rPr>
        <w:t xml:space="preserve">Available at: </w:t>
      </w:r>
      <w:r>
        <w:fldChar w:fldCharType="begin"/>
      </w:r>
      <w:r>
        <w:instrText xml:space="preserve"> HYPERLINK "https://www.ikea.com/global/en/our-business/sustainability/circularity-progress/" \h </w:instrText>
      </w:r>
      <w:r>
        <w:fldChar w:fldCharType="separate"/>
      </w:r>
      <w:r>
        <w:rPr>
          <w:rFonts w:eastAsia="Times New Roman"/>
          <w:color w:val="1155CC"/>
          <w:sz w:val="24"/>
          <w:szCs w:val="24"/>
          <w:u w:val="single"/>
        </w:rPr>
        <w:t>https://www.ikea.com/global/en/our-business/sustainability/circularity-progress/</w:t>
      </w:r>
      <w:r>
        <w:rPr>
          <w:rFonts w:eastAsia="Times New Roman"/>
          <w:color w:val="1155CC"/>
          <w:sz w:val="24"/>
          <w:szCs w:val="24"/>
          <w:u w:val="single"/>
        </w:rPr>
        <w:fldChar w:fldCharType="end"/>
      </w:r>
      <w:r>
        <w:rPr>
          <w:rFonts w:eastAsia="Times New Roman"/>
          <w:sz w:val="24"/>
          <w:szCs w:val="24"/>
        </w:rPr>
        <w:t xml:space="preserve"> </w:t>
      </w:r>
    </w:p>
    <w:p w14:paraId="6BD0BAAA">
      <w:pPr>
        <w:spacing w:line="360" w:lineRule="auto"/>
        <w:jc w:val="both"/>
        <w:rPr>
          <w:rFonts w:eastAsia="Times New Roman"/>
          <w:sz w:val="24"/>
          <w:szCs w:val="24"/>
        </w:rPr>
      </w:pPr>
      <w:r>
        <w:rPr>
          <w:rFonts w:eastAsia="Times New Roman"/>
          <w:sz w:val="24"/>
          <w:szCs w:val="24"/>
        </w:rPr>
        <w:t xml:space="preserve">IKEA. (2026 g). </w:t>
      </w:r>
      <w:r>
        <w:rPr>
          <w:rFonts w:eastAsia="Times New Roman"/>
          <w:i/>
          <w:iCs/>
          <w:sz w:val="24"/>
          <w:szCs w:val="24"/>
        </w:rPr>
        <w:t>Designed for everyone.</w:t>
      </w:r>
      <w:r>
        <w:rPr>
          <w:rFonts w:eastAsia="Times New Roman"/>
          <w:sz w:val="24"/>
          <w:szCs w:val="24"/>
        </w:rPr>
        <w:t xml:space="preserve"> Available at: </w:t>
      </w:r>
      <w:r>
        <w:fldChar w:fldCharType="begin"/>
      </w:r>
      <w:r>
        <w:instrText xml:space="preserve"> HYPERLINK "https://www.ikea.com/in/en/this-is-ikea/democratic-design-pub88aa7161/" \h </w:instrText>
      </w:r>
      <w:r>
        <w:fldChar w:fldCharType="separate"/>
      </w:r>
      <w:r>
        <w:rPr>
          <w:rFonts w:eastAsia="Times New Roman"/>
          <w:color w:val="1155CC"/>
          <w:sz w:val="24"/>
          <w:szCs w:val="24"/>
          <w:u w:val="single"/>
        </w:rPr>
        <w:t>https://www.ikea.com/in/en/this-is-ikea/democratic-design-pub88aa7161/</w:t>
      </w:r>
      <w:r>
        <w:rPr>
          <w:rFonts w:eastAsia="Times New Roman"/>
          <w:color w:val="1155CC"/>
          <w:sz w:val="24"/>
          <w:szCs w:val="24"/>
          <w:u w:val="single"/>
        </w:rPr>
        <w:fldChar w:fldCharType="end"/>
      </w:r>
      <w:r>
        <w:rPr>
          <w:rFonts w:eastAsia="Times New Roman"/>
          <w:sz w:val="24"/>
          <w:szCs w:val="24"/>
        </w:rPr>
        <w:t xml:space="preserve"> </w:t>
      </w:r>
    </w:p>
    <w:p w14:paraId="41960C2F">
      <w:pPr>
        <w:spacing w:line="360" w:lineRule="auto"/>
        <w:jc w:val="both"/>
        <w:rPr>
          <w:rFonts w:eastAsia="Times New Roman"/>
          <w:sz w:val="24"/>
          <w:szCs w:val="24"/>
        </w:rPr>
      </w:pPr>
      <w:r>
        <w:rPr>
          <w:rFonts w:eastAsia="Times New Roman"/>
          <w:sz w:val="24"/>
          <w:szCs w:val="24"/>
        </w:rPr>
        <w:t xml:space="preserve">IKEA. (2026). </w:t>
      </w:r>
      <w:r>
        <w:rPr>
          <w:rFonts w:eastAsia="Times New Roman"/>
          <w:i/>
          <w:iCs/>
          <w:sz w:val="24"/>
          <w:szCs w:val="24"/>
        </w:rPr>
        <w:t xml:space="preserve">Democratic design. </w:t>
      </w:r>
      <w:r>
        <w:rPr>
          <w:rFonts w:eastAsia="Times New Roman"/>
          <w:sz w:val="24"/>
          <w:szCs w:val="24"/>
        </w:rPr>
        <w:t xml:space="preserve">Available at: </w:t>
      </w:r>
      <w:r>
        <w:fldChar w:fldCharType="begin"/>
      </w:r>
      <w:r>
        <w:instrText xml:space="preserve"> HYPERLINK "https://www.ikea.com/nl/en/this-is-ikea/about-us/democratic-design-pub6e952ea1/" \h </w:instrText>
      </w:r>
      <w:r>
        <w:fldChar w:fldCharType="separate"/>
      </w:r>
      <w:r>
        <w:rPr>
          <w:rFonts w:eastAsia="Times New Roman"/>
          <w:color w:val="1155CC"/>
          <w:sz w:val="24"/>
          <w:szCs w:val="24"/>
          <w:u w:val="single"/>
        </w:rPr>
        <w:t>https://www.ikea.com/nl/en/this-is-ikea/about-us/democratic-design-pub6e952ea1/</w:t>
      </w:r>
      <w:r>
        <w:rPr>
          <w:rFonts w:eastAsia="Times New Roman"/>
          <w:color w:val="1155CC"/>
          <w:sz w:val="24"/>
          <w:szCs w:val="24"/>
          <w:u w:val="single"/>
        </w:rPr>
        <w:fldChar w:fldCharType="end"/>
      </w:r>
      <w:r>
        <w:rPr>
          <w:rFonts w:eastAsia="Times New Roman"/>
          <w:sz w:val="24"/>
          <w:szCs w:val="24"/>
        </w:rPr>
        <w:t xml:space="preserve"> </w:t>
      </w:r>
    </w:p>
    <w:p w14:paraId="345E4DCD">
      <w:pPr>
        <w:spacing w:line="360" w:lineRule="auto"/>
        <w:jc w:val="both"/>
        <w:rPr>
          <w:rFonts w:eastAsia="Times New Roman"/>
          <w:sz w:val="24"/>
          <w:szCs w:val="24"/>
        </w:rPr>
      </w:pPr>
      <w:r>
        <w:rPr>
          <w:rFonts w:eastAsia="Times New Roman"/>
          <w:sz w:val="24"/>
          <w:szCs w:val="24"/>
        </w:rPr>
        <w:t xml:space="preserve">IKEA. (2026). </w:t>
      </w:r>
      <w:r>
        <w:rPr>
          <w:rFonts w:eastAsia="Times New Roman"/>
          <w:i/>
          <w:iCs/>
          <w:sz w:val="24"/>
          <w:szCs w:val="24"/>
        </w:rPr>
        <w:t xml:space="preserve">Democratic Design: How IKEA designs for everyone. </w:t>
      </w:r>
      <w:r>
        <w:rPr>
          <w:rFonts w:eastAsia="Times New Roman"/>
          <w:sz w:val="24"/>
          <w:szCs w:val="24"/>
        </w:rPr>
        <w:t xml:space="preserve">Available at: </w:t>
      </w:r>
      <w:r>
        <w:fldChar w:fldCharType="begin"/>
      </w:r>
      <w:r>
        <w:instrText xml:space="preserve"> HYPERLINK "https://www.ikea.com/ph/en/this-is-ikea/about-us/democratic-design-how-ikea-designs-for-everyone-pub5991eac0/" \l ":~:text=It%20has%20five%20different%20dimensions%E2%80%94function%2C,design%20should%20be%20considered%20democratic" \h </w:instrText>
      </w:r>
      <w:r>
        <w:fldChar w:fldCharType="separate"/>
      </w:r>
      <w:r>
        <w:rPr>
          <w:rFonts w:eastAsia="Times New Roman"/>
          <w:color w:val="1155CC"/>
          <w:sz w:val="24"/>
          <w:szCs w:val="24"/>
          <w:u w:val="single"/>
        </w:rPr>
        <w:t>https://www.ikea.com/ph/en/this-is-ikea/about-us/democratic-design-how-ikea-designs-for-everyone-pub5991eac0/#:~:text=It%20has%20five%20different%20dimensions%E2%80%94function%2C,design%20should%20be%20considered%20democratic</w:t>
      </w:r>
      <w:r>
        <w:rPr>
          <w:rFonts w:eastAsia="Times New Roman"/>
          <w:color w:val="1155CC"/>
          <w:sz w:val="24"/>
          <w:szCs w:val="24"/>
          <w:u w:val="single"/>
        </w:rPr>
        <w:fldChar w:fldCharType="end"/>
      </w:r>
      <w:r>
        <w:rPr>
          <w:rFonts w:eastAsia="Times New Roman"/>
          <w:sz w:val="24"/>
          <w:szCs w:val="24"/>
        </w:rPr>
        <w:t xml:space="preserve">. </w:t>
      </w:r>
    </w:p>
    <w:p w14:paraId="20DB8C70">
      <w:pPr>
        <w:spacing w:line="360" w:lineRule="auto"/>
        <w:jc w:val="both"/>
        <w:rPr>
          <w:rFonts w:eastAsia="Times New Roman"/>
          <w:sz w:val="24"/>
          <w:szCs w:val="24"/>
        </w:rPr>
      </w:pPr>
      <w:r>
        <w:rPr>
          <w:rFonts w:eastAsia="Times New Roman"/>
          <w:sz w:val="24"/>
          <w:szCs w:val="24"/>
        </w:rPr>
        <w:t xml:space="preserve">IKEA. (2026). </w:t>
      </w:r>
      <w:r>
        <w:rPr>
          <w:rFonts w:eastAsia="Times New Roman"/>
          <w:i/>
          <w:iCs/>
          <w:sz w:val="24"/>
          <w:szCs w:val="24"/>
        </w:rPr>
        <w:t xml:space="preserve">Development &amp; Possibilities. </w:t>
      </w:r>
      <w:r>
        <w:rPr>
          <w:rFonts w:eastAsia="Times New Roman"/>
          <w:sz w:val="24"/>
          <w:szCs w:val="24"/>
        </w:rPr>
        <w:t xml:space="preserve">Available at: </w:t>
      </w:r>
      <w:r>
        <w:fldChar w:fldCharType="begin"/>
      </w:r>
      <w:r>
        <w:instrText xml:space="preserve"> HYPERLINK "https://www.ikea.com/th/en/this-is-ikea/work-with-us/development-and-possibilities-pub0d8a3071/" \l ":~:text=We%20take%20a%2070%2D20%2D10%20Model,and%2010%25%20from%20classroom%20training" \h </w:instrText>
      </w:r>
      <w:r>
        <w:fldChar w:fldCharType="separate"/>
      </w:r>
      <w:r>
        <w:rPr>
          <w:rFonts w:eastAsia="Times New Roman"/>
          <w:color w:val="1155CC"/>
          <w:sz w:val="24"/>
          <w:szCs w:val="24"/>
          <w:u w:val="single"/>
        </w:rPr>
        <w:t>https://www.ikea.com/th/en/this-is-ikea/work-with-us/development-and-possibilities-pub0d8a3071/#:~:text=We%20take%20a%2070%2D20%2D10%20Model,and%2010%25%20from%20classroom%20training</w:t>
      </w:r>
      <w:r>
        <w:rPr>
          <w:rFonts w:eastAsia="Times New Roman"/>
          <w:color w:val="1155CC"/>
          <w:sz w:val="24"/>
          <w:szCs w:val="24"/>
          <w:u w:val="single"/>
        </w:rPr>
        <w:fldChar w:fldCharType="end"/>
      </w:r>
      <w:r>
        <w:rPr>
          <w:rFonts w:eastAsia="Times New Roman"/>
          <w:sz w:val="24"/>
          <w:szCs w:val="24"/>
        </w:rPr>
        <w:t xml:space="preserve">. </w:t>
      </w:r>
    </w:p>
    <w:p w14:paraId="21A76BCC">
      <w:pPr>
        <w:spacing w:line="360" w:lineRule="auto"/>
        <w:jc w:val="both"/>
        <w:rPr>
          <w:rFonts w:eastAsia="Times New Roman"/>
          <w:sz w:val="24"/>
          <w:szCs w:val="24"/>
        </w:rPr>
      </w:pPr>
      <w:r>
        <w:rPr>
          <w:rFonts w:eastAsia="Times New Roman"/>
          <w:sz w:val="24"/>
          <w:szCs w:val="24"/>
        </w:rPr>
        <w:t xml:space="preserve">IKEA. (2026). </w:t>
      </w:r>
      <w:r>
        <w:rPr>
          <w:rFonts w:eastAsia="Times New Roman"/>
          <w:i/>
          <w:iCs/>
          <w:sz w:val="24"/>
          <w:szCs w:val="24"/>
        </w:rPr>
        <w:t xml:space="preserve">Empowering Women at IKEA. </w:t>
      </w:r>
      <w:r>
        <w:rPr>
          <w:rFonts w:eastAsia="Times New Roman"/>
          <w:sz w:val="24"/>
          <w:szCs w:val="24"/>
        </w:rPr>
        <w:t xml:space="preserve">Available at: </w:t>
      </w:r>
      <w:r>
        <w:fldChar w:fldCharType="begin"/>
      </w:r>
      <w:r>
        <w:instrText xml:space="preserve"> HYPERLINK "https://www.ikea.com/sa/en/this-is-ikea/work-with-us/empowering-women-pub86a2cb59/" \h </w:instrText>
      </w:r>
      <w:r>
        <w:fldChar w:fldCharType="separate"/>
      </w:r>
      <w:r>
        <w:rPr>
          <w:rFonts w:eastAsia="Times New Roman"/>
          <w:color w:val="1155CC"/>
          <w:sz w:val="24"/>
          <w:szCs w:val="24"/>
          <w:u w:val="single"/>
        </w:rPr>
        <w:t>https://www.ikea.com/sa/en/this-is-ikea/work-with-us/empowering-women-pub86a2cb59/</w:t>
      </w:r>
      <w:r>
        <w:rPr>
          <w:rFonts w:eastAsia="Times New Roman"/>
          <w:color w:val="1155CC"/>
          <w:sz w:val="24"/>
          <w:szCs w:val="24"/>
          <w:u w:val="single"/>
        </w:rPr>
        <w:fldChar w:fldCharType="end"/>
      </w:r>
      <w:r>
        <w:rPr>
          <w:rFonts w:eastAsia="Times New Roman"/>
          <w:sz w:val="24"/>
          <w:szCs w:val="24"/>
        </w:rPr>
        <w:t xml:space="preserve"> </w:t>
      </w:r>
    </w:p>
    <w:p w14:paraId="2EDF330C">
      <w:pPr>
        <w:spacing w:line="360" w:lineRule="auto"/>
        <w:jc w:val="both"/>
        <w:rPr>
          <w:rFonts w:eastAsia="Times New Roman"/>
          <w:sz w:val="24"/>
          <w:szCs w:val="24"/>
        </w:rPr>
      </w:pPr>
      <w:r>
        <w:rPr>
          <w:rFonts w:eastAsia="Times New Roman"/>
          <w:sz w:val="24"/>
          <w:szCs w:val="24"/>
        </w:rPr>
        <w:t xml:space="preserve">IKEA. (2026). </w:t>
      </w:r>
      <w:r>
        <w:rPr>
          <w:rFonts w:eastAsia="Times New Roman"/>
          <w:i/>
          <w:iCs/>
          <w:sz w:val="24"/>
          <w:szCs w:val="24"/>
        </w:rPr>
        <w:t xml:space="preserve">Equality, Diversity &amp; Inclusion. </w:t>
      </w:r>
      <w:r>
        <w:rPr>
          <w:rFonts w:eastAsia="Times New Roman"/>
          <w:sz w:val="24"/>
          <w:szCs w:val="24"/>
        </w:rPr>
        <w:t xml:space="preserve">Available at: </w:t>
      </w:r>
      <w:r>
        <w:fldChar w:fldCharType="begin"/>
      </w:r>
      <w:r>
        <w:instrText xml:space="preserve"> HYPERLINK "https://www.ikea.com.tw/en/about/working-at-the-ikea-group/diversity-and-inclusion" \h </w:instrText>
      </w:r>
      <w:r>
        <w:fldChar w:fldCharType="separate"/>
      </w:r>
      <w:r>
        <w:rPr>
          <w:rFonts w:eastAsia="Times New Roman"/>
          <w:color w:val="1155CC"/>
          <w:sz w:val="24"/>
          <w:szCs w:val="24"/>
          <w:u w:val="single"/>
        </w:rPr>
        <w:t>https://www.ikea.com.tw/en/about/working-at-the-ikea-group/diversity-and-inclusion</w:t>
      </w:r>
      <w:r>
        <w:rPr>
          <w:rFonts w:eastAsia="Times New Roman"/>
          <w:color w:val="1155CC"/>
          <w:sz w:val="24"/>
          <w:szCs w:val="24"/>
          <w:u w:val="single"/>
        </w:rPr>
        <w:fldChar w:fldCharType="end"/>
      </w:r>
      <w:r>
        <w:rPr>
          <w:rFonts w:eastAsia="Times New Roman"/>
          <w:sz w:val="24"/>
          <w:szCs w:val="24"/>
        </w:rPr>
        <w:t xml:space="preserve"> </w:t>
      </w:r>
    </w:p>
    <w:p w14:paraId="43B62734">
      <w:pPr>
        <w:spacing w:line="360" w:lineRule="auto"/>
        <w:jc w:val="both"/>
        <w:rPr>
          <w:rFonts w:eastAsia="Times New Roman"/>
          <w:sz w:val="24"/>
          <w:szCs w:val="24"/>
        </w:rPr>
      </w:pPr>
      <w:r>
        <w:rPr>
          <w:rFonts w:eastAsia="Times New Roman"/>
          <w:sz w:val="24"/>
          <w:szCs w:val="24"/>
        </w:rPr>
        <w:t xml:space="preserve">IKEA. (2026). </w:t>
      </w:r>
      <w:r>
        <w:rPr>
          <w:rFonts w:eastAsia="Times New Roman"/>
          <w:i/>
          <w:iCs/>
          <w:sz w:val="24"/>
          <w:szCs w:val="24"/>
        </w:rPr>
        <w:t xml:space="preserve">IKEA India Customer Privacy Policy. </w:t>
      </w:r>
      <w:r>
        <w:rPr>
          <w:rFonts w:eastAsia="Times New Roman"/>
          <w:sz w:val="24"/>
          <w:szCs w:val="24"/>
        </w:rPr>
        <w:t xml:space="preserve">Available at: </w:t>
      </w:r>
      <w:r>
        <w:fldChar w:fldCharType="begin"/>
      </w:r>
      <w:r>
        <w:instrText xml:space="preserve"> HYPERLINK "https://www.ikea.com/in/en/customer-service/privacy-policy-pub5a22cf61/" \h </w:instrText>
      </w:r>
      <w:r>
        <w:fldChar w:fldCharType="separate"/>
      </w:r>
      <w:r>
        <w:rPr>
          <w:rFonts w:eastAsia="Times New Roman"/>
          <w:color w:val="1155CC"/>
          <w:sz w:val="24"/>
          <w:szCs w:val="24"/>
          <w:u w:val="single"/>
        </w:rPr>
        <w:t>https://www.ikea.com/in/en/customer-service/privacy-policy-pub5a22cf61/</w:t>
      </w:r>
      <w:r>
        <w:rPr>
          <w:rFonts w:eastAsia="Times New Roman"/>
          <w:color w:val="1155CC"/>
          <w:sz w:val="24"/>
          <w:szCs w:val="24"/>
          <w:u w:val="single"/>
        </w:rPr>
        <w:fldChar w:fldCharType="end"/>
      </w:r>
      <w:r>
        <w:rPr>
          <w:rFonts w:eastAsia="Times New Roman"/>
          <w:sz w:val="24"/>
          <w:szCs w:val="24"/>
        </w:rPr>
        <w:t xml:space="preserve"> </w:t>
      </w:r>
    </w:p>
    <w:p w14:paraId="3E0AD98C">
      <w:pPr>
        <w:spacing w:line="360" w:lineRule="auto"/>
        <w:jc w:val="both"/>
        <w:rPr>
          <w:rFonts w:eastAsia="Times New Roman"/>
          <w:sz w:val="24"/>
          <w:szCs w:val="24"/>
        </w:rPr>
      </w:pPr>
      <w:r>
        <w:rPr>
          <w:rFonts w:eastAsia="Times New Roman"/>
          <w:sz w:val="24"/>
          <w:szCs w:val="24"/>
        </w:rPr>
        <w:t xml:space="preserve">IKEA. (2026). </w:t>
      </w:r>
      <w:r>
        <w:rPr>
          <w:rFonts w:eastAsia="Times New Roman"/>
          <w:i/>
          <w:iCs/>
          <w:sz w:val="24"/>
          <w:szCs w:val="24"/>
        </w:rPr>
        <w:t xml:space="preserve">The climate footprint across the IKEA value chain. </w:t>
      </w:r>
      <w:r>
        <w:rPr>
          <w:rFonts w:eastAsia="Times New Roman"/>
          <w:sz w:val="24"/>
          <w:szCs w:val="24"/>
        </w:rPr>
        <w:t xml:space="preserve">Available at: </w:t>
      </w:r>
      <w:r>
        <w:fldChar w:fldCharType="begin"/>
      </w:r>
      <w:r>
        <w:instrText xml:space="preserve"> HYPERLINK "https://www.ikea.com/global/en/our-business/sustainability/value-chain-climate-footprint/" \h </w:instrText>
      </w:r>
      <w:r>
        <w:fldChar w:fldCharType="separate"/>
      </w:r>
      <w:r>
        <w:rPr>
          <w:rFonts w:eastAsia="Times New Roman"/>
          <w:color w:val="1155CC"/>
          <w:sz w:val="24"/>
          <w:szCs w:val="24"/>
          <w:u w:val="single"/>
        </w:rPr>
        <w:t>https://www.ikea.com/global/en/our-business/sustainability/value-chain-climate-footprint/</w:t>
      </w:r>
      <w:r>
        <w:rPr>
          <w:rFonts w:eastAsia="Times New Roman"/>
          <w:color w:val="1155CC"/>
          <w:sz w:val="24"/>
          <w:szCs w:val="24"/>
          <w:u w:val="single"/>
        </w:rPr>
        <w:fldChar w:fldCharType="end"/>
      </w:r>
      <w:r>
        <w:rPr>
          <w:rFonts w:eastAsia="Times New Roman"/>
          <w:sz w:val="24"/>
          <w:szCs w:val="24"/>
        </w:rPr>
        <w:t xml:space="preserve"> </w:t>
      </w:r>
    </w:p>
    <w:p w14:paraId="414899AA">
      <w:pPr>
        <w:spacing w:line="360" w:lineRule="auto"/>
        <w:jc w:val="both"/>
        <w:rPr>
          <w:rFonts w:eastAsia="Times New Roman"/>
          <w:sz w:val="24"/>
          <w:szCs w:val="24"/>
        </w:rPr>
      </w:pPr>
      <w:r>
        <w:rPr>
          <w:rFonts w:eastAsia="Times New Roman"/>
          <w:sz w:val="24"/>
          <w:szCs w:val="24"/>
        </w:rPr>
        <w:t xml:space="preserve">IKEA. (2026). </w:t>
      </w:r>
      <w:r>
        <w:rPr>
          <w:rFonts w:eastAsia="Times New Roman"/>
          <w:i/>
          <w:iCs/>
          <w:sz w:val="24"/>
          <w:szCs w:val="24"/>
        </w:rPr>
        <w:t xml:space="preserve">The IKEA Sustainability Strategy. </w:t>
      </w:r>
      <w:r>
        <w:rPr>
          <w:rFonts w:eastAsia="Times New Roman"/>
          <w:sz w:val="24"/>
          <w:szCs w:val="24"/>
        </w:rPr>
        <w:t xml:space="preserve">Available at: </w:t>
      </w:r>
      <w:r>
        <w:fldChar w:fldCharType="begin"/>
      </w:r>
      <w:r>
        <w:instrText xml:space="preserve"> HYPERLINK "https://www.ikea.com/global/en/our-business/reports/ikea-sustainability-strategy-240904/" \h </w:instrText>
      </w:r>
      <w:r>
        <w:fldChar w:fldCharType="separate"/>
      </w:r>
      <w:r>
        <w:rPr>
          <w:rFonts w:eastAsia="Times New Roman"/>
          <w:color w:val="1155CC"/>
          <w:sz w:val="24"/>
          <w:szCs w:val="24"/>
          <w:u w:val="single"/>
        </w:rPr>
        <w:t>https://www.ikea.com/global/en/our-business/reports/ikea-sustainability-strategy-240904/</w:t>
      </w:r>
      <w:r>
        <w:rPr>
          <w:rFonts w:eastAsia="Times New Roman"/>
          <w:color w:val="1155CC"/>
          <w:sz w:val="24"/>
          <w:szCs w:val="24"/>
          <w:u w:val="single"/>
        </w:rPr>
        <w:fldChar w:fldCharType="end"/>
      </w:r>
      <w:r>
        <w:rPr>
          <w:rFonts w:eastAsia="Times New Roman"/>
          <w:sz w:val="24"/>
          <w:szCs w:val="24"/>
        </w:rPr>
        <w:t xml:space="preserve">  </w:t>
      </w:r>
    </w:p>
    <w:p w14:paraId="193BE561">
      <w:pPr>
        <w:spacing w:line="360" w:lineRule="auto"/>
        <w:jc w:val="both"/>
        <w:rPr>
          <w:rFonts w:eastAsia="Times New Roman"/>
          <w:sz w:val="24"/>
          <w:szCs w:val="24"/>
        </w:rPr>
      </w:pPr>
      <w:r>
        <w:rPr>
          <w:rFonts w:eastAsia="Times New Roman"/>
          <w:sz w:val="24"/>
          <w:szCs w:val="24"/>
        </w:rPr>
        <w:t xml:space="preserve">IKEA. (2026). </w:t>
      </w:r>
      <w:r>
        <w:rPr>
          <w:rFonts w:eastAsia="Times New Roman"/>
          <w:i/>
          <w:iCs/>
          <w:sz w:val="24"/>
          <w:szCs w:val="24"/>
        </w:rPr>
        <w:t xml:space="preserve">Training and development. </w:t>
      </w:r>
      <w:r>
        <w:rPr>
          <w:rFonts w:eastAsia="Times New Roman"/>
          <w:sz w:val="24"/>
          <w:szCs w:val="24"/>
        </w:rPr>
        <w:t xml:space="preserve">Available at: </w:t>
      </w:r>
      <w:r>
        <w:fldChar w:fldCharType="begin"/>
      </w:r>
      <w:r>
        <w:instrText xml:space="preserve"> HYPERLINK "https://www.ikea.cr/en/information/work-with-us/training-and-development" \l ":~:text=With%20MyLearning%2C%20our%20training%20platform%2C,at%20what%20pace%20you%20learn" \h </w:instrText>
      </w:r>
      <w:r>
        <w:fldChar w:fldCharType="separate"/>
      </w:r>
      <w:r>
        <w:rPr>
          <w:rFonts w:eastAsia="Times New Roman"/>
          <w:color w:val="1155CC"/>
          <w:sz w:val="24"/>
          <w:szCs w:val="24"/>
          <w:u w:val="single"/>
        </w:rPr>
        <w:t>https://www.ikea.cr/en/information/work-with-us/training-and-development#:~:text=With%20MyLearning%2C%20our%20training%20platform%2C,at%20what%20pace%20you%20learn</w:t>
      </w:r>
      <w:r>
        <w:rPr>
          <w:rFonts w:eastAsia="Times New Roman"/>
          <w:color w:val="1155CC"/>
          <w:sz w:val="24"/>
          <w:szCs w:val="24"/>
          <w:u w:val="single"/>
        </w:rPr>
        <w:fldChar w:fldCharType="end"/>
      </w:r>
      <w:r>
        <w:rPr>
          <w:rFonts w:eastAsia="Times New Roman"/>
          <w:sz w:val="24"/>
          <w:szCs w:val="24"/>
        </w:rPr>
        <w:t xml:space="preserve">!  </w:t>
      </w:r>
    </w:p>
    <w:p w14:paraId="29DB6CD1">
      <w:pPr>
        <w:spacing w:line="360" w:lineRule="auto"/>
        <w:jc w:val="both"/>
        <w:rPr>
          <w:rFonts w:eastAsia="Times New Roman"/>
          <w:sz w:val="24"/>
          <w:szCs w:val="24"/>
        </w:rPr>
      </w:pPr>
      <w:r>
        <w:rPr>
          <w:rFonts w:eastAsia="Times New Roman"/>
          <w:sz w:val="24"/>
          <w:szCs w:val="24"/>
        </w:rPr>
        <w:t xml:space="preserve">IKEA. (2026). </w:t>
      </w:r>
      <w:r>
        <w:rPr>
          <w:rFonts w:eastAsia="Times New Roman"/>
          <w:i/>
          <w:iCs/>
          <w:sz w:val="24"/>
          <w:szCs w:val="24"/>
        </w:rPr>
        <w:t xml:space="preserve">Trust Line. </w:t>
      </w:r>
      <w:r>
        <w:rPr>
          <w:rFonts w:eastAsia="Times New Roman"/>
          <w:sz w:val="24"/>
          <w:szCs w:val="24"/>
        </w:rPr>
        <w:t xml:space="preserve">Available at: </w:t>
      </w:r>
      <w:r>
        <w:fldChar w:fldCharType="begin"/>
      </w:r>
      <w:r>
        <w:instrText xml:space="preserve"> HYPERLINK "https://www.ikea.com/de/en/customer-service/trust-line-puba0c94a30/" \h </w:instrText>
      </w:r>
      <w:r>
        <w:fldChar w:fldCharType="separate"/>
      </w:r>
      <w:r>
        <w:rPr>
          <w:rFonts w:eastAsia="Times New Roman"/>
          <w:color w:val="1155CC"/>
          <w:sz w:val="24"/>
          <w:szCs w:val="24"/>
          <w:u w:val="single"/>
        </w:rPr>
        <w:t>https://www.ikea.com/de/en/customer-service/trust-line-puba0c94a30/</w:t>
      </w:r>
      <w:r>
        <w:rPr>
          <w:rFonts w:eastAsia="Times New Roman"/>
          <w:color w:val="1155CC"/>
          <w:sz w:val="24"/>
          <w:szCs w:val="24"/>
          <w:u w:val="single"/>
        </w:rPr>
        <w:fldChar w:fldCharType="end"/>
      </w:r>
      <w:r>
        <w:rPr>
          <w:rFonts w:eastAsia="Times New Roman"/>
          <w:sz w:val="24"/>
          <w:szCs w:val="24"/>
        </w:rPr>
        <w:t xml:space="preserve"> </w:t>
      </w:r>
    </w:p>
    <w:p w14:paraId="61EA58B4">
      <w:pPr>
        <w:spacing w:line="360" w:lineRule="auto"/>
        <w:jc w:val="both"/>
        <w:rPr>
          <w:rFonts w:eastAsia="Times New Roman"/>
          <w:sz w:val="24"/>
          <w:szCs w:val="24"/>
        </w:rPr>
      </w:pPr>
      <w:r>
        <w:rPr>
          <w:rFonts w:eastAsia="Times New Roman"/>
          <w:sz w:val="24"/>
          <w:szCs w:val="24"/>
        </w:rPr>
        <w:t xml:space="preserve">INGKA. (2020). </w:t>
      </w:r>
      <w:r>
        <w:rPr>
          <w:rFonts w:eastAsia="Times New Roman"/>
          <w:i/>
          <w:iCs/>
          <w:sz w:val="24"/>
          <w:szCs w:val="24"/>
        </w:rPr>
        <w:t xml:space="preserve">IKEA set to come closer to the many people through different store formats. </w:t>
      </w:r>
      <w:r>
        <w:rPr>
          <w:rFonts w:eastAsia="Times New Roman"/>
          <w:sz w:val="24"/>
          <w:szCs w:val="24"/>
        </w:rPr>
        <w:t xml:space="preserve">Available at: </w:t>
      </w:r>
      <w:r>
        <w:fldChar w:fldCharType="begin"/>
      </w:r>
      <w:r>
        <w:instrText xml:space="preserve"> HYPERLINK "https://www.ingka.com/newsroom/ikea-set-to-come-closer-to-the-many-people-through-different-store-formats/" \h </w:instrText>
      </w:r>
      <w:r>
        <w:fldChar w:fldCharType="separate"/>
      </w:r>
      <w:r>
        <w:rPr>
          <w:rFonts w:eastAsia="Times New Roman"/>
          <w:color w:val="1155CC"/>
          <w:sz w:val="24"/>
          <w:szCs w:val="24"/>
          <w:u w:val="single"/>
        </w:rPr>
        <w:t>https://www.ingka.com/newsroom/ikea-set-to-come-closer-to-the-many-people-through-different-store-formats/</w:t>
      </w:r>
      <w:r>
        <w:rPr>
          <w:rFonts w:eastAsia="Times New Roman"/>
          <w:color w:val="1155CC"/>
          <w:sz w:val="24"/>
          <w:szCs w:val="24"/>
          <w:u w:val="single"/>
        </w:rPr>
        <w:fldChar w:fldCharType="end"/>
      </w:r>
      <w:r>
        <w:rPr>
          <w:rFonts w:eastAsia="Times New Roman"/>
          <w:sz w:val="24"/>
          <w:szCs w:val="24"/>
        </w:rPr>
        <w:t xml:space="preserve"> </w:t>
      </w:r>
    </w:p>
    <w:p w14:paraId="7659D5DE">
      <w:pPr>
        <w:spacing w:line="360" w:lineRule="auto"/>
        <w:jc w:val="both"/>
        <w:rPr>
          <w:rFonts w:eastAsia="Times New Roman"/>
          <w:sz w:val="24"/>
          <w:szCs w:val="24"/>
        </w:rPr>
      </w:pPr>
      <w:r>
        <w:rPr>
          <w:rFonts w:eastAsia="Times New Roman"/>
          <w:sz w:val="24"/>
          <w:szCs w:val="24"/>
        </w:rPr>
        <w:t xml:space="preserve">INGKA. (2020). </w:t>
      </w:r>
      <w:r>
        <w:rPr>
          <w:rFonts w:eastAsia="Times New Roman"/>
          <w:i/>
          <w:iCs/>
          <w:sz w:val="24"/>
          <w:szCs w:val="24"/>
        </w:rPr>
        <w:t xml:space="preserve">IKEA to remove non-rechargeable alkaline batteries by 2021. </w:t>
      </w:r>
      <w:r>
        <w:rPr>
          <w:rFonts w:eastAsia="Times New Roman"/>
          <w:sz w:val="24"/>
          <w:szCs w:val="24"/>
        </w:rPr>
        <w:t xml:space="preserve">Available at: </w:t>
      </w:r>
      <w:r>
        <w:fldChar w:fldCharType="begin"/>
      </w:r>
      <w:r>
        <w:instrText xml:space="preserve"> HYPERLINK "https://www.ingka.com/newsroom/ikea-to-remove-non-rechargeable-alkaline-batteries-by-2021/" \h </w:instrText>
      </w:r>
      <w:r>
        <w:fldChar w:fldCharType="separate"/>
      </w:r>
      <w:r>
        <w:rPr>
          <w:rFonts w:eastAsia="Times New Roman"/>
          <w:color w:val="1155CC"/>
          <w:sz w:val="24"/>
          <w:szCs w:val="24"/>
          <w:u w:val="single"/>
        </w:rPr>
        <w:t>https://www.ingka.com/newsroom/ikea-to-remove-non-rechargeable-alkaline-batteries-by-2021/</w:t>
      </w:r>
      <w:r>
        <w:rPr>
          <w:rFonts w:eastAsia="Times New Roman"/>
          <w:color w:val="1155CC"/>
          <w:sz w:val="24"/>
          <w:szCs w:val="24"/>
          <w:u w:val="single"/>
        </w:rPr>
        <w:fldChar w:fldCharType="end"/>
      </w:r>
      <w:r>
        <w:rPr>
          <w:rFonts w:eastAsia="Times New Roman"/>
          <w:sz w:val="24"/>
          <w:szCs w:val="24"/>
        </w:rPr>
        <w:t xml:space="preserve">  </w:t>
      </w:r>
    </w:p>
    <w:p w14:paraId="6F6E95BD">
      <w:pPr>
        <w:spacing w:line="360" w:lineRule="auto"/>
        <w:jc w:val="both"/>
        <w:rPr>
          <w:rFonts w:eastAsia="Times New Roman"/>
          <w:sz w:val="24"/>
          <w:szCs w:val="24"/>
        </w:rPr>
      </w:pPr>
      <w:r>
        <w:rPr>
          <w:rFonts w:eastAsia="Times New Roman"/>
          <w:sz w:val="24"/>
          <w:szCs w:val="24"/>
        </w:rPr>
        <w:t xml:space="preserve">INGKA. (2021). </w:t>
      </w:r>
      <w:r>
        <w:rPr>
          <w:rFonts w:eastAsia="Times New Roman"/>
          <w:i/>
          <w:iCs/>
          <w:sz w:val="24"/>
          <w:szCs w:val="24"/>
        </w:rPr>
        <w:t xml:space="preserve">IKEA increase action to enable people to live a more sustainable life at home. </w:t>
      </w:r>
      <w:r>
        <w:rPr>
          <w:rFonts w:eastAsia="Times New Roman"/>
          <w:sz w:val="24"/>
          <w:szCs w:val="24"/>
        </w:rPr>
        <w:t xml:space="preserve">Available at: </w:t>
      </w:r>
      <w:r>
        <w:fldChar w:fldCharType="begin"/>
      </w:r>
      <w:r>
        <w:instrText xml:space="preserve"> HYPERLINK "https://www.ingka.com/newsroom/ikea-increase-action-to-enable-people-to-live-a-more-sustainable-life-at-home/" \h </w:instrText>
      </w:r>
      <w:r>
        <w:fldChar w:fldCharType="separate"/>
      </w:r>
      <w:r>
        <w:rPr>
          <w:rFonts w:eastAsia="Times New Roman"/>
          <w:color w:val="1155CC"/>
          <w:sz w:val="24"/>
          <w:szCs w:val="24"/>
          <w:u w:val="single"/>
        </w:rPr>
        <w:t>https://www.ingka.com/newsroom/ikea-increase-action-to-enable-people-to-live-a-more-sustainable-life-at-home/</w:t>
      </w:r>
      <w:r>
        <w:rPr>
          <w:rFonts w:eastAsia="Times New Roman"/>
          <w:color w:val="1155CC"/>
          <w:sz w:val="24"/>
          <w:szCs w:val="24"/>
          <w:u w:val="single"/>
        </w:rPr>
        <w:fldChar w:fldCharType="end"/>
      </w:r>
      <w:r>
        <w:rPr>
          <w:rFonts w:eastAsia="Times New Roman"/>
          <w:sz w:val="24"/>
          <w:szCs w:val="24"/>
        </w:rPr>
        <w:t xml:space="preserve"> </w:t>
      </w:r>
    </w:p>
    <w:p w14:paraId="007369AD">
      <w:pPr>
        <w:spacing w:line="360" w:lineRule="auto"/>
        <w:jc w:val="both"/>
        <w:rPr>
          <w:rFonts w:eastAsia="Times New Roman"/>
          <w:sz w:val="24"/>
          <w:szCs w:val="24"/>
        </w:rPr>
      </w:pPr>
      <w:r>
        <w:rPr>
          <w:rFonts w:eastAsia="Times New Roman"/>
          <w:sz w:val="24"/>
          <w:szCs w:val="24"/>
        </w:rPr>
        <w:t xml:space="preserve">INGKA. (2025). </w:t>
      </w:r>
      <w:r>
        <w:rPr>
          <w:rFonts w:eastAsia="Times New Roman"/>
          <w:i/>
          <w:iCs/>
          <w:sz w:val="24"/>
          <w:szCs w:val="24"/>
        </w:rPr>
        <w:t xml:space="preserve"> IKEA becoming more affordable, accessible and sustainable – serving more customers and delivering EUR 41.5 billion in revenue. </w:t>
      </w:r>
      <w:r>
        <w:rPr>
          <w:rFonts w:eastAsia="Times New Roman"/>
          <w:sz w:val="24"/>
          <w:szCs w:val="24"/>
        </w:rPr>
        <w:t>Available at:</w:t>
      </w:r>
      <w:r>
        <w:fldChar w:fldCharType="begin"/>
      </w:r>
      <w:r>
        <w:instrText xml:space="preserve"> HYPERLINK "https://www.ingka.com/newsroom/ikea-becoming-more-affordable-accessible-and-sustainable-serving-more-customers-and-delivering-eur-41-5-billion-in-revenue/" \l ":~:text=With%20a%20continued%20focus%20on,to%20make%20IKEA%20more%20affordable" \h </w:instrText>
      </w:r>
      <w:r>
        <w:fldChar w:fldCharType="separate"/>
      </w:r>
      <w:r>
        <w:rPr>
          <w:rFonts w:eastAsia="Times New Roman"/>
          <w:color w:val="1155CC"/>
          <w:sz w:val="24"/>
          <w:szCs w:val="24"/>
          <w:u w:val="single"/>
        </w:rPr>
        <w:t>https://www.ingka.com/newsroom/ikea-becoming-more-affordable-accessible-and-sustainable-serving-more-customers-and-delivering-eur-41-5-billion-in-revenue/#:~:text=With%20a%20continued%20focus%20on,to%20make%20IKEA%20more%20affordable</w:t>
      </w:r>
      <w:r>
        <w:rPr>
          <w:rFonts w:eastAsia="Times New Roman"/>
          <w:color w:val="1155CC"/>
          <w:sz w:val="24"/>
          <w:szCs w:val="24"/>
          <w:u w:val="single"/>
        </w:rPr>
        <w:fldChar w:fldCharType="end"/>
      </w:r>
      <w:r>
        <w:rPr>
          <w:rFonts w:eastAsia="Times New Roman"/>
          <w:sz w:val="24"/>
          <w:szCs w:val="24"/>
        </w:rPr>
        <w:t xml:space="preserve">. </w:t>
      </w:r>
    </w:p>
    <w:p w14:paraId="66A9C89E">
      <w:pPr>
        <w:spacing w:line="360" w:lineRule="auto"/>
        <w:jc w:val="both"/>
        <w:rPr>
          <w:rFonts w:eastAsia="Times New Roman"/>
          <w:sz w:val="24"/>
          <w:szCs w:val="24"/>
        </w:rPr>
      </w:pPr>
      <w:r>
        <w:rPr>
          <w:rFonts w:eastAsia="Times New Roman"/>
          <w:sz w:val="24"/>
          <w:szCs w:val="24"/>
        </w:rPr>
        <w:t xml:space="preserve">INGKA. (2026). </w:t>
      </w:r>
      <w:r>
        <w:rPr>
          <w:rFonts w:eastAsia="Times New Roman"/>
          <w:i/>
          <w:iCs/>
          <w:sz w:val="24"/>
          <w:szCs w:val="24"/>
        </w:rPr>
        <w:t xml:space="preserve">How we are organised. </w:t>
      </w:r>
      <w:r>
        <w:rPr>
          <w:rFonts w:eastAsia="Times New Roman"/>
          <w:sz w:val="24"/>
          <w:szCs w:val="24"/>
        </w:rPr>
        <w:t xml:space="preserve">Available at: </w:t>
      </w:r>
      <w:r>
        <w:fldChar w:fldCharType="begin"/>
      </w:r>
      <w:r>
        <w:instrText xml:space="preserve"> HYPERLINK "https://www.ingka.com/this-is-ingka-group/how-we-are-organised/" \h </w:instrText>
      </w:r>
      <w:r>
        <w:fldChar w:fldCharType="separate"/>
      </w:r>
      <w:r>
        <w:rPr>
          <w:rFonts w:eastAsia="Times New Roman"/>
          <w:color w:val="1155CC"/>
          <w:sz w:val="24"/>
          <w:szCs w:val="24"/>
          <w:u w:val="single"/>
        </w:rPr>
        <w:t>https://www.ingka.com/this-is-ingka-group/how-we-are-organised/</w:t>
      </w:r>
      <w:r>
        <w:rPr>
          <w:rFonts w:eastAsia="Times New Roman"/>
          <w:color w:val="1155CC"/>
          <w:sz w:val="24"/>
          <w:szCs w:val="24"/>
          <w:u w:val="single"/>
        </w:rPr>
        <w:fldChar w:fldCharType="end"/>
      </w:r>
      <w:r>
        <w:rPr>
          <w:rFonts w:eastAsia="Times New Roman"/>
          <w:sz w:val="24"/>
          <w:szCs w:val="24"/>
        </w:rPr>
        <w:t xml:space="preserve"> </w:t>
      </w:r>
    </w:p>
    <w:p w14:paraId="1A824D23">
      <w:pPr>
        <w:spacing w:line="360" w:lineRule="auto"/>
        <w:jc w:val="both"/>
        <w:rPr>
          <w:rFonts w:eastAsia="Times New Roman"/>
          <w:sz w:val="24"/>
          <w:szCs w:val="24"/>
        </w:rPr>
      </w:pPr>
      <w:r>
        <w:rPr>
          <w:rFonts w:eastAsia="Times New Roman"/>
          <w:sz w:val="24"/>
          <w:szCs w:val="24"/>
        </w:rPr>
        <w:t>McCoy, D., AI-Driven Personalisation of Learning Materials in Higher Education: Pedagogical Opportunities, Challenges, and Institutional Implications. Available at:</w:t>
      </w:r>
      <w:r>
        <w:fldChar w:fldCharType="begin"/>
      </w:r>
      <w:r>
        <w:instrText xml:space="preserve"> HYPERLINK "https://www.researchgate.net/publication/400736239_AI-Driven_Personalization_and_Consumer_Experience_in_Digital_Retail" \h </w:instrText>
      </w:r>
      <w:r>
        <w:fldChar w:fldCharType="separate"/>
      </w:r>
      <w:r>
        <w:rPr>
          <w:rFonts w:eastAsia="Times New Roman"/>
          <w:color w:val="1155CC"/>
          <w:sz w:val="24"/>
          <w:szCs w:val="24"/>
          <w:u w:val="single"/>
        </w:rPr>
        <w:t>https://www.researchgate.net/publication/400736239_AI-Driven_Personalization_and_Consumer_Experience_in_Digital_Retail</w:t>
      </w:r>
      <w:r>
        <w:rPr>
          <w:rFonts w:eastAsia="Times New Roman"/>
          <w:color w:val="1155CC"/>
          <w:sz w:val="24"/>
          <w:szCs w:val="24"/>
          <w:u w:val="single"/>
        </w:rPr>
        <w:fldChar w:fldCharType="end"/>
      </w:r>
      <w:r>
        <w:rPr>
          <w:rFonts w:eastAsia="Times New Roman"/>
          <w:sz w:val="24"/>
          <w:szCs w:val="24"/>
        </w:rPr>
        <w:t xml:space="preserve"> </w:t>
      </w:r>
    </w:p>
    <w:p w14:paraId="13D600B3">
      <w:pPr>
        <w:spacing w:line="360" w:lineRule="auto"/>
        <w:jc w:val="both"/>
        <w:rPr>
          <w:rFonts w:eastAsia="Times New Roman"/>
          <w:sz w:val="24"/>
          <w:szCs w:val="24"/>
        </w:rPr>
      </w:pPr>
      <w:r>
        <w:rPr>
          <w:rFonts w:eastAsia="Times New Roman"/>
          <w:sz w:val="24"/>
          <w:szCs w:val="24"/>
        </w:rPr>
        <w:t xml:space="preserve">McKinsey &amp; Company. (2025). </w:t>
      </w:r>
      <w:r>
        <w:rPr>
          <w:rFonts w:eastAsia="Times New Roman"/>
          <w:i/>
          <w:iCs/>
          <w:sz w:val="24"/>
          <w:szCs w:val="24"/>
        </w:rPr>
        <w:t xml:space="preserve">A new operating model for a new world. </w:t>
      </w:r>
      <w:r>
        <w:rPr>
          <w:rFonts w:eastAsia="Times New Roman"/>
          <w:sz w:val="24"/>
          <w:szCs w:val="24"/>
        </w:rPr>
        <w:t xml:space="preserve">Available at: </w:t>
      </w:r>
      <w:r>
        <w:fldChar w:fldCharType="begin"/>
      </w:r>
      <w:r>
        <w:instrText xml:space="preserve"> HYPERLINK "https://www.mckinsey.com/capabilities/people-and-organisational-performance/our-insights/a-new-operating-model-for-a-new-world" \h </w:instrText>
      </w:r>
      <w:r>
        <w:fldChar w:fldCharType="separate"/>
      </w:r>
      <w:r>
        <w:rPr>
          <w:rFonts w:eastAsia="Times New Roman"/>
          <w:color w:val="1155CC"/>
          <w:sz w:val="24"/>
          <w:szCs w:val="24"/>
          <w:u w:val="single"/>
        </w:rPr>
        <w:t>https://www.mckinsey.com/capabilities/people-and-organisational-performance/our-insights/a-new-operating-model-for-a-new-world</w:t>
      </w:r>
      <w:r>
        <w:rPr>
          <w:rFonts w:eastAsia="Times New Roman"/>
          <w:color w:val="1155CC"/>
          <w:sz w:val="24"/>
          <w:szCs w:val="24"/>
          <w:u w:val="single"/>
        </w:rPr>
        <w:fldChar w:fldCharType="end"/>
      </w:r>
      <w:r>
        <w:rPr>
          <w:rFonts w:eastAsia="Times New Roman"/>
          <w:sz w:val="24"/>
          <w:szCs w:val="24"/>
        </w:rPr>
        <w:t xml:space="preserve">  </w:t>
      </w:r>
    </w:p>
    <w:p w14:paraId="13E5835C">
      <w:pPr>
        <w:spacing w:line="360" w:lineRule="auto"/>
        <w:jc w:val="both"/>
        <w:rPr>
          <w:rFonts w:eastAsia="Times New Roman"/>
          <w:sz w:val="24"/>
          <w:szCs w:val="24"/>
        </w:rPr>
      </w:pPr>
      <w:r>
        <w:rPr>
          <w:rFonts w:eastAsia="Times New Roman"/>
          <w:sz w:val="24"/>
          <w:szCs w:val="24"/>
        </w:rPr>
        <w:t xml:space="preserve">Mordor Intelligence. (2026). </w:t>
      </w:r>
      <w:r>
        <w:rPr>
          <w:rFonts w:eastAsia="Times New Roman"/>
          <w:i/>
          <w:iCs/>
          <w:sz w:val="24"/>
          <w:szCs w:val="24"/>
        </w:rPr>
        <w:t xml:space="preserve">GERMANY FURNITURE MARKET SIZE &amp; SHARE ANALYSIS - GROWTH TRENDS AND FORECAST (2026 - 2031). </w:t>
      </w:r>
      <w:r>
        <w:rPr>
          <w:rFonts w:eastAsia="Times New Roman"/>
          <w:sz w:val="24"/>
          <w:szCs w:val="24"/>
        </w:rPr>
        <w:t>Available at:</w:t>
      </w:r>
      <w:r>
        <w:fldChar w:fldCharType="begin"/>
      </w:r>
      <w:r>
        <w:instrText xml:space="preserve"> HYPERLINK "https://www.mordorintelligence.com/industry-reports/germany-furniture-market" \l ":~:text=Germany's%20furniture%20market%20grapples%20with,sentiment%20and%20persistent%20economic%20uncertainties" \h </w:instrText>
      </w:r>
      <w:r>
        <w:fldChar w:fldCharType="separate"/>
      </w:r>
      <w:r>
        <w:rPr>
          <w:rFonts w:eastAsia="Times New Roman"/>
          <w:color w:val="1155CC"/>
          <w:sz w:val="24"/>
          <w:szCs w:val="24"/>
          <w:u w:val="single"/>
        </w:rPr>
        <w:t>https://www.mordorintelligence.com/industry-reports/germany-furniture-market#:~:text=Germany's%20furniture%20market%20grapples%20with,sentiment%20and%20persistent%20economic%20uncertainties</w:t>
      </w:r>
      <w:r>
        <w:rPr>
          <w:rFonts w:eastAsia="Times New Roman"/>
          <w:color w:val="1155CC"/>
          <w:sz w:val="24"/>
          <w:szCs w:val="24"/>
          <w:u w:val="single"/>
        </w:rPr>
        <w:fldChar w:fldCharType="end"/>
      </w:r>
      <w:r>
        <w:rPr>
          <w:rFonts w:eastAsia="Times New Roman"/>
          <w:sz w:val="24"/>
          <w:szCs w:val="24"/>
        </w:rPr>
        <w:t xml:space="preserve">. </w:t>
      </w:r>
    </w:p>
    <w:p w14:paraId="66ED19F7">
      <w:pPr>
        <w:spacing w:line="360" w:lineRule="auto"/>
        <w:jc w:val="both"/>
        <w:rPr>
          <w:rFonts w:eastAsia="Times New Roman"/>
          <w:sz w:val="24"/>
          <w:szCs w:val="24"/>
        </w:rPr>
      </w:pPr>
      <w:r>
        <w:rPr>
          <w:rFonts w:eastAsia="Times New Roman"/>
          <w:sz w:val="24"/>
          <w:szCs w:val="24"/>
        </w:rPr>
        <w:t xml:space="preserve">Motor intelligence. (2026). </w:t>
      </w:r>
      <w:r>
        <w:rPr>
          <w:rFonts w:eastAsia="Times New Roman"/>
          <w:i/>
          <w:iCs/>
          <w:sz w:val="24"/>
          <w:szCs w:val="24"/>
        </w:rPr>
        <w:t xml:space="preserve">Germany Furniture Companies: Leaders, Top &amp; Emerging Players and Strategic Moves. </w:t>
      </w:r>
      <w:r>
        <w:rPr>
          <w:rFonts w:eastAsia="Times New Roman"/>
          <w:sz w:val="24"/>
          <w:szCs w:val="24"/>
        </w:rPr>
        <w:t xml:space="preserve">Available at: </w:t>
      </w:r>
      <w:r>
        <w:fldChar w:fldCharType="begin"/>
      </w:r>
      <w:r>
        <w:instrText xml:space="preserve"> HYPERLINK "https://www.mordorintelligence.com/industry-reports/germany-furniture-market/companies" \h </w:instrText>
      </w:r>
      <w:r>
        <w:fldChar w:fldCharType="separate"/>
      </w:r>
      <w:r>
        <w:rPr>
          <w:rFonts w:eastAsia="Times New Roman"/>
          <w:color w:val="1155CC"/>
          <w:sz w:val="24"/>
          <w:szCs w:val="24"/>
          <w:u w:val="single"/>
        </w:rPr>
        <w:t>https://www.mordorintelligence.com/industry-reports/germany-furniture-market/companies</w:t>
      </w:r>
      <w:r>
        <w:rPr>
          <w:rFonts w:eastAsia="Times New Roman"/>
          <w:color w:val="1155CC"/>
          <w:sz w:val="24"/>
          <w:szCs w:val="24"/>
          <w:u w:val="single"/>
        </w:rPr>
        <w:fldChar w:fldCharType="end"/>
      </w:r>
      <w:r>
        <w:rPr>
          <w:rFonts w:eastAsia="Times New Roman"/>
          <w:sz w:val="24"/>
          <w:szCs w:val="24"/>
        </w:rPr>
        <w:t xml:space="preserve"> </w:t>
      </w:r>
    </w:p>
    <w:p w14:paraId="310A05C1">
      <w:pPr>
        <w:spacing w:line="360" w:lineRule="auto"/>
        <w:jc w:val="both"/>
        <w:rPr>
          <w:rFonts w:eastAsia="Times New Roman"/>
          <w:sz w:val="24"/>
          <w:szCs w:val="24"/>
        </w:rPr>
      </w:pPr>
      <w:r>
        <w:rPr>
          <w:rFonts w:eastAsia="Times New Roman"/>
          <w:sz w:val="24"/>
          <w:szCs w:val="24"/>
        </w:rPr>
        <w:t xml:space="preserve">Mrnezes, R. (2026). </w:t>
      </w:r>
      <w:r>
        <w:rPr>
          <w:rFonts w:eastAsia="Times New Roman"/>
          <w:i/>
          <w:iCs/>
          <w:sz w:val="24"/>
          <w:szCs w:val="24"/>
        </w:rPr>
        <w:t xml:space="preserve">Germany E-commerce Industry: Everything You Need to Know. </w:t>
      </w:r>
      <w:r>
        <w:rPr>
          <w:rFonts w:eastAsia="Times New Roman"/>
          <w:sz w:val="24"/>
          <w:szCs w:val="24"/>
        </w:rPr>
        <w:t xml:space="preserve">Available at: </w:t>
      </w:r>
      <w:r>
        <w:fldChar w:fldCharType="begin"/>
      </w:r>
      <w:r>
        <w:instrText xml:space="preserve"> HYPERLINK "https://anchanto.com/germany-e-commerce-industry/" \h </w:instrText>
      </w:r>
      <w:r>
        <w:fldChar w:fldCharType="separate"/>
      </w:r>
      <w:r>
        <w:rPr>
          <w:rFonts w:eastAsia="Times New Roman"/>
          <w:color w:val="1155CC"/>
          <w:sz w:val="24"/>
          <w:szCs w:val="24"/>
          <w:u w:val="single"/>
        </w:rPr>
        <w:t>https://anchanto.com/germany-e-commerce-industry/</w:t>
      </w:r>
      <w:r>
        <w:rPr>
          <w:rFonts w:eastAsia="Times New Roman"/>
          <w:color w:val="1155CC"/>
          <w:sz w:val="24"/>
          <w:szCs w:val="24"/>
          <w:u w:val="single"/>
        </w:rPr>
        <w:fldChar w:fldCharType="end"/>
      </w:r>
      <w:r>
        <w:rPr>
          <w:rFonts w:eastAsia="Times New Roman"/>
          <w:sz w:val="24"/>
          <w:szCs w:val="24"/>
        </w:rPr>
        <w:t xml:space="preserve"> </w:t>
      </w:r>
    </w:p>
    <w:p w14:paraId="688B7B9A">
      <w:pPr>
        <w:spacing w:line="360" w:lineRule="auto"/>
        <w:jc w:val="both"/>
        <w:rPr>
          <w:rFonts w:eastAsia="Times New Roman"/>
          <w:sz w:val="24"/>
          <w:szCs w:val="24"/>
        </w:rPr>
      </w:pPr>
      <w:r>
        <w:rPr>
          <w:rFonts w:eastAsia="Times New Roman"/>
          <w:sz w:val="24"/>
          <w:szCs w:val="24"/>
        </w:rPr>
        <w:t>NGKA. (2025)</w:t>
      </w:r>
      <w:r>
        <w:rPr>
          <w:rFonts w:eastAsia="Times New Roman"/>
          <w:i/>
          <w:iCs/>
          <w:sz w:val="24"/>
          <w:szCs w:val="24"/>
        </w:rPr>
        <w:t xml:space="preserve">. IKEA serves more customers and increases volumes in a challenging year. </w:t>
      </w:r>
      <w:r>
        <w:rPr>
          <w:rFonts w:eastAsia="Times New Roman"/>
          <w:sz w:val="24"/>
          <w:szCs w:val="24"/>
        </w:rPr>
        <w:t xml:space="preserve">Available at: </w:t>
      </w:r>
      <w:r>
        <w:fldChar w:fldCharType="begin"/>
      </w:r>
      <w:r>
        <w:instrText xml:space="preserve"> HYPERLINK "https://www.ingka.com/newsroom/ikea-serves-more-customers-and-increases-volumes-in-a-challenging-year/" \h </w:instrText>
      </w:r>
      <w:r>
        <w:fldChar w:fldCharType="separate"/>
      </w:r>
      <w:r>
        <w:rPr>
          <w:rFonts w:eastAsia="Times New Roman"/>
          <w:color w:val="1155CC"/>
          <w:sz w:val="24"/>
          <w:szCs w:val="24"/>
          <w:u w:val="single"/>
        </w:rPr>
        <w:t>https://www.ingka.com/newsroom/ikea-serves-more-customers-and-increases-volumes-in-a-challenging-year/</w:t>
      </w:r>
      <w:r>
        <w:rPr>
          <w:rFonts w:eastAsia="Times New Roman"/>
          <w:color w:val="1155CC"/>
          <w:sz w:val="24"/>
          <w:szCs w:val="24"/>
          <w:u w:val="single"/>
        </w:rPr>
        <w:fldChar w:fldCharType="end"/>
      </w:r>
      <w:r>
        <w:rPr>
          <w:rFonts w:eastAsia="Times New Roman"/>
          <w:sz w:val="24"/>
          <w:szCs w:val="24"/>
        </w:rPr>
        <w:t xml:space="preserve"> </w:t>
      </w:r>
    </w:p>
    <w:p w14:paraId="4A11AF84">
      <w:pPr>
        <w:spacing w:line="360" w:lineRule="auto"/>
        <w:jc w:val="both"/>
        <w:rPr>
          <w:rFonts w:eastAsia="Times New Roman"/>
          <w:sz w:val="24"/>
          <w:szCs w:val="24"/>
        </w:rPr>
      </w:pPr>
      <w:r>
        <w:rPr>
          <w:rFonts w:eastAsia="Times New Roman"/>
          <w:sz w:val="24"/>
          <w:szCs w:val="24"/>
        </w:rPr>
        <w:t xml:space="preserve">Nordhoff, A. (2025). Furniture ecommerce 2026: Trends, growth &amp; online success. </w:t>
      </w:r>
      <w:r>
        <w:rPr>
          <w:rFonts w:eastAsia="Times New Roman"/>
          <w:i/>
          <w:iCs/>
          <w:sz w:val="24"/>
          <w:szCs w:val="24"/>
        </w:rPr>
        <w:t xml:space="preserve">Shopware. </w:t>
      </w:r>
      <w:r>
        <w:rPr>
          <w:rFonts w:eastAsia="Times New Roman"/>
          <w:sz w:val="24"/>
          <w:szCs w:val="24"/>
        </w:rPr>
        <w:t xml:space="preserve">Available at: </w:t>
      </w:r>
      <w:r>
        <w:fldChar w:fldCharType="begin"/>
      </w:r>
      <w:r>
        <w:instrText xml:space="preserve"> HYPERLINK "https://www.shopware.com/en/news/furniture-ecommerce/" \h </w:instrText>
      </w:r>
      <w:r>
        <w:fldChar w:fldCharType="separate"/>
      </w:r>
      <w:r>
        <w:rPr>
          <w:rFonts w:eastAsia="Times New Roman"/>
          <w:color w:val="1155CC"/>
          <w:sz w:val="24"/>
          <w:szCs w:val="24"/>
          <w:u w:val="single"/>
        </w:rPr>
        <w:t>https://www.shopware.com/en/news/furniture-ecommerce/</w:t>
      </w:r>
      <w:r>
        <w:rPr>
          <w:rFonts w:eastAsia="Times New Roman"/>
          <w:color w:val="1155CC"/>
          <w:sz w:val="24"/>
          <w:szCs w:val="24"/>
          <w:u w:val="single"/>
        </w:rPr>
        <w:fldChar w:fldCharType="end"/>
      </w:r>
      <w:r>
        <w:rPr>
          <w:rFonts w:eastAsia="Times New Roman"/>
          <w:sz w:val="24"/>
          <w:szCs w:val="24"/>
        </w:rPr>
        <w:t xml:space="preserve"> </w:t>
      </w:r>
    </w:p>
    <w:p w14:paraId="23873C5D">
      <w:pPr>
        <w:spacing w:line="360" w:lineRule="auto"/>
        <w:jc w:val="both"/>
        <w:rPr>
          <w:rFonts w:eastAsia="Times New Roman"/>
          <w:sz w:val="24"/>
          <w:szCs w:val="24"/>
        </w:rPr>
      </w:pPr>
      <w:r>
        <w:rPr>
          <w:rFonts w:eastAsia="Times New Roman"/>
          <w:sz w:val="24"/>
          <w:szCs w:val="24"/>
        </w:rPr>
        <w:t>O’Sullivan, T.A. and Jefferson, C.G., (2020). A review of strategies for enhancing clarity and reader accessibility of qualitative research results.</w:t>
      </w:r>
      <w:r>
        <w:rPr>
          <w:rFonts w:eastAsia="Times New Roman"/>
          <w:i/>
          <w:iCs/>
          <w:sz w:val="24"/>
          <w:szCs w:val="24"/>
        </w:rPr>
        <w:t xml:space="preserve"> American Journal of Pharmaceutical Education,</w:t>
      </w:r>
      <w:r>
        <w:rPr>
          <w:rFonts w:eastAsia="Times New Roman"/>
          <w:sz w:val="24"/>
          <w:szCs w:val="24"/>
        </w:rPr>
        <w:t xml:space="preserve"> 84(1), p.7124.Available at: </w:t>
      </w:r>
      <w:r>
        <w:fldChar w:fldCharType="begin"/>
      </w:r>
      <w:r>
        <w:instrText xml:space="preserve"> HYPERLINK "https://pmc.ncbi.nlm.nih.gov/articles/PMC7055402/" \h </w:instrText>
      </w:r>
      <w:r>
        <w:fldChar w:fldCharType="separate"/>
      </w:r>
      <w:r>
        <w:rPr>
          <w:rFonts w:eastAsia="Times New Roman"/>
          <w:color w:val="1155CC"/>
          <w:sz w:val="24"/>
          <w:szCs w:val="24"/>
          <w:u w:val="single"/>
        </w:rPr>
        <w:t>https://pmc.ncbi.nlm.nih.gov/articles/PMC7055402/</w:t>
      </w:r>
      <w:r>
        <w:rPr>
          <w:rFonts w:eastAsia="Times New Roman"/>
          <w:color w:val="1155CC"/>
          <w:sz w:val="24"/>
          <w:szCs w:val="24"/>
          <w:u w:val="single"/>
        </w:rPr>
        <w:fldChar w:fldCharType="end"/>
      </w:r>
      <w:r>
        <w:rPr>
          <w:rFonts w:eastAsia="Times New Roman"/>
          <w:sz w:val="24"/>
          <w:szCs w:val="24"/>
        </w:rPr>
        <w:t xml:space="preserve"> </w:t>
      </w:r>
    </w:p>
    <w:p w14:paraId="1623745C">
      <w:pPr>
        <w:spacing w:line="360" w:lineRule="auto"/>
        <w:jc w:val="both"/>
        <w:rPr>
          <w:rFonts w:eastAsia="Times New Roman"/>
          <w:sz w:val="24"/>
          <w:szCs w:val="24"/>
        </w:rPr>
      </w:pPr>
      <w:r>
        <w:rPr>
          <w:rFonts w:eastAsia="Times New Roman"/>
          <w:sz w:val="24"/>
          <w:szCs w:val="24"/>
        </w:rPr>
        <w:t xml:space="preserve">Obute, B. Okeh, N. A. Ugwu, K, C. (2023). OVERCOMING RESISTANCE TO DIGITAL TRANSFORMATION: EMPLOYEE PERCEPTIONS, SKILLS GAPS, AND TRAINING INTERVENTIONS. </w:t>
      </w:r>
      <w:r>
        <w:rPr>
          <w:rFonts w:eastAsia="Times New Roman"/>
          <w:i/>
          <w:iCs/>
          <w:sz w:val="24"/>
          <w:szCs w:val="24"/>
        </w:rPr>
        <w:t xml:space="preserve">iJETRM. </w:t>
      </w:r>
      <w:r>
        <w:rPr>
          <w:rFonts w:eastAsia="Times New Roman"/>
          <w:sz w:val="24"/>
          <w:szCs w:val="24"/>
        </w:rPr>
        <w:t xml:space="preserve">Volume 7, Issue 7. Available at: </w:t>
      </w:r>
      <w:r>
        <w:fldChar w:fldCharType="begin"/>
      </w:r>
      <w:r>
        <w:instrText xml:space="preserve"> HYPERLINK "https://www.researchgate.net/publication/401588512_OVERCOMING_RESISTANCE_TO_DIGITAL_TRANSFORMATION_EMPLOYEE_PERCEPTIONS_SKILLS_GAPS_AND_TRAINING_INTERVENTIONS" \h </w:instrText>
      </w:r>
      <w:r>
        <w:fldChar w:fldCharType="separate"/>
      </w:r>
      <w:r>
        <w:rPr>
          <w:rFonts w:eastAsia="Times New Roman"/>
          <w:color w:val="1155CC"/>
          <w:sz w:val="24"/>
          <w:szCs w:val="24"/>
          <w:u w:val="single"/>
        </w:rPr>
        <w:t>https://www.researchgate.net/publication/401588512_OVERCOMING_RESISTANCE_TO_DIGITAL_TRANSFORMATION_EMPLOYEE_PERCEPTIONS_SKILLS_GAPS_AND_TRAINING_INTERVENTIONS</w:t>
      </w:r>
      <w:r>
        <w:rPr>
          <w:rFonts w:eastAsia="Times New Roman"/>
          <w:color w:val="1155CC"/>
          <w:sz w:val="24"/>
          <w:szCs w:val="24"/>
          <w:u w:val="single"/>
        </w:rPr>
        <w:fldChar w:fldCharType="end"/>
      </w:r>
      <w:r>
        <w:rPr>
          <w:rFonts w:eastAsia="Times New Roman"/>
          <w:sz w:val="24"/>
          <w:szCs w:val="24"/>
        </w:rPr>
        <w:t xml:space="preserve"> </w:t>
      </w:r>
    </w:p>
    <w:p w14:paraId="6933A637">
      <w:pPr>
        <w:spacing w:line="360" w:lineRule="auto"/>
        <w:jc w:val="both"/>
        <w:rPr>
          <w:rFonts w:eastAsia="Times New Roman"/>
          <w:sz w:val="24"/>
          <w:szCs w:val="24"/>
        </w:rPr>
      </w:pPr>
      <w:r>
        <w:rPr>
          <w:rFonts w:eastAsia="Times New Roman"/>
          <w:sz w:val="24"/>
          <w:szCs w:val="24"/>
        </w:rPr>
        <w:t xml:space="preserve">Reid, H. (2024). </w:t>
      </w:r>
      <w:r>
        <w:rPr>
          <w:rFonts w:eastAsia="Times New Roman"/>
          <w:i/>
          <w:iCs/>
          <w:sz w:val="24"/>
          <w:szCs w:val="24"/>
        </w:rPr>
        <w:t xml:space="preserve">Biggest IKEA retailer takes profit hit as price cuts dent sales. </w:t>
      </w:r>
      <w:r>
        <w:rPr>
          <w:rFonts w:eastAsia="Times New Roman"/>
          <w:sz w:val="24"/>
          <w:szCs w:val="24"/>
        </w:rPr>
        <w:t xml:space="preserve">Available at: </w:t>
      </w:r>
      <w:r>
        <w:fldChar w:fldCharType="begin"/>
      </w:r>
      <w:r>
        <w:instrText xml:space="preserve"> HYPERLINK "https://www.reuters.com/business/retail-consumer/biggest-ikea-retailer-takes-profit-hit-price-cuts-dent-sales-2024-11-27/" \h </w:instrText>
      </w:r>
      <w:r>
        <w:fldChar w:fldCharType="separate"/>
      </w:r>
      <w:r>
        <w:rPr>
          <w:rFonts w:eastAsia="Times New Roman"/>
          <w:color w:val="1155CC"/>
          <w:sz w:val="24"/>
          <w:szCs w:val="24"/>
          <w:u w:val="single"/>
        </w:rPr>
        <w:t>https://www.reuters.com/business/retail-consumer/biggest-ikea-retailer-takes-profit-hit-price-cuts-dent-sales-2024-11-27/</w:t>
      </w:r>
      <w:r>
        <w:rPr>
          <w:rFonts w:eastAsia="Times New Roman"/>
          <w:color w:val="1155CC"/>
          <w:sz w:val="24"/>
          <w:szCs w:val="24"/>
          <w:u w:val="single"/>
        </w:rPr>
        <w:fldChar w:fldCharType="end"/>
      </w:r>
      <w:r>
        <w:rPr>
          <w:rFonts w:eastAsia="Times New Roman"/>
          <w:sz w:val="24"/>
          <w:szCs w:val="24"/>
        </w:rPr>
        <w:t xml:space="preserve"> </w:t>
      </w:r>
    </w:p>
    <w:p w14:paraId="7D7C800A">
      <w:pPr>
        <w:spacing w:line="360" w:lineRule="auto"/>
        <w:jc w:val="both"/>
        <w:rPr>
          <w:rFonts w:eastAsia="Times New Roman"/>
          <w:sz w:val="24"/>
          <w:szCs w:val="24"/>
        </w:rPr>
      </w:pPr>
      <w:r>
        <w:rPr>
          <w:rFonts w:eastAsia="Times New Roman"/>
          <w:sz w:val="24"/>
          <w:szCs w:val="24"/>
        </w:rPr>
        <w:t xml:space="preserve">Statista. (2026). </w:t>
      </w:r>
      <w:r>
        <w:rPr>
          <w:rFonts w:eastAsia="Times New Roman"/>
          <w:i/>
          <w:iCs/>
          <w:sz w:val="24"/>
          <w:szCs w:val="24"/>
        </w:rPr>
        <w:t xml:space="preserve">Furniture - Germany. </w:t>
      </w:r>
      <w:r>
        <w:rPr>
          <w:rFonts w:eastAsia="Times New Roman"/>
          <w:sz w:val="24"/>
          <w:szCs w:val="24"/>
        </w:rPr>
        <w:t xml:space="preserve">Available at: </w:t>
      </w:r>
      <w:r>
        <w:fldChar w:fldCharType="begin"/>
      </w:r>
      <w:r>
        <w:instrText xml:space="preserve"> HYPERLINK "https://www.statista.com/outlook/cmo/furniture/germany/?srsltid=AfmBOopUWM8LS4zjYyd0SqRQgSM8lO74GEsX03eXbbRJp8xC3B3xZa-Y" \l "analyst-opinion" \h </w:instrText>
      </w:r>
      <w:r>
        <w:fldChar w:fldCharType="separate"/>
      </w:r>
      <w:r>
        <w:rPr>
          <w:rFonts w:eastAsia="Times New Roman"/>
          <w:color w:val="1155CC"/>
          <w:sz w:val="24"/>
          <w:szCs w:val="24"/>
          <w:u w:val="single"/>
        </w:rPr>
        <w:t>https://www.statista.com/outlook/cmo/furniture/germany/?srsltid=AfmBOopUWM8LS4zjYyd0SqRQgSM8lO74GEsX03eXbbRJp8xC3B3xZa-Y#analyst-opinion</w:t>
      </w:r>
      <w:r>
        <w:rPr>
          <w:rFonts w:eastAsia="Times New Roman"/>
          <w:color w:val="1155CC"/>
          <w:sz w:val="24"/>
          <w:szCs w:val="24"/>
          <w:u w:val="single"/>
        </w:rPr>
        <w:fldChar w:fldCharType="end"/>
      </w:r>
      <w:r>
        <w:rPr>
          <w:rFonts w:eastAsia="Times New Roman"/>
          <w:sz w:val="24"/>
          <w:szCs w:val="24"/>
        </w:rPr>
        <w:t xml:space="preserve"> </w:t>
      </w:r>
    </w:p>
    <w:p w14:paraId="2C490DB3">
      <w:pPr>
        <w:spacing w:line="360" w:lineRule="auto"/>
        <w:jc w:val="both"/>
        <w:rPr>
          <w:rFonts w:eastAsia="Times New Roman"/>
          <w:sz w:val="24"/>
          <w:szCs w:val="24"/>
        </w:rPr>
      </w:pPr>
      <w:r>
        <w:rPr>
          <w:rFonts w:eastAsia="Times New Roman"/>
          <w:sz w:val="24"/>
          <w:szCs w:val="24"/>
        </w:rPr>
        <w:t xml:space="preserve">Statista. (2026). </w:t>
      </w:r>
      <w:r>
        <w:rPr>
          <w:rFonts w:eastAsia="Times New Roman"/>
          <w:i/>
          <w:iCs/>
          <w:sz w:val="24"/>
          <w:szCs w:val="24"/>
        </w:rPr>
        <w:t xml:space="preserve">IKEA - statistics &amp; facts. </w:t>
      </w:r>
      <w:r>
        <w:rPr>
          <w:rFonts w:eastAsia="Times New Roman"/>
          <w:sz w:val="24"/>
          <w:szCs w:val="24"/>
        </w:rPr>
        <w:t xml:space="preserve">Available at: </w:t>
      </w:r>
      <w:r>
        <w:fldChar w:fldCharType="begin"/>
      </w:r>
      <w:r>
        <w:instrText xml:space="preserve"> HYPERLINK "https://www.statista.com/topics/1961/ikea/?srsltid=AfmBOopPH6gJDs3nMSuWKhCkLbyJgeqvfkl6Qgsj7zuMGdYZ9A8W1tlG" \h </w:instrText>
      </w:r>
      <w:r>
        <w:fldChar w:fldCharType="separate"/>
      </w:r>
      <w:r>
        <w:rPr>
          <w:rFonts w:eastAsia="Times New Roman"/>
          <w:color w:val="1155CC"/>
          <w:sz w:val="24"/>
          <w:szCs w:val="24"/>
          <w:u w:val="single"/>
        </w:rPr>
        <w:t>https://www.statista.com/topics/1961/ikea/?srsltid=AfmBOopPH6gJDs3nMSuWKhCkLbyJgeqvfkl6Qgsj7zuMGdYZ9A8W1tlG</w:t>
      </w:r>
      <w:r>
        <w:rPr>
          <w:rFonts w:eastAsia="Times New Roman"/>
          <w:color w:val="1155CC"/>
          <w:sz w:val="24"/>
          <w:szCs w:val="24"/>
          <w:u w:val="single"/>
        </w:rPr>
        <w:fldChar w:fldCharType="end"/>
      </w:r>
      <w:r>
        <w:rPr>
          <w:rFonts w:eastAsia="Times New Roman"/>
          <w:sz w:val="24"/>
          <w:szCs w:val="24"/>
        </w:rPr>
        <w:t xml:space="preserve"> </w:t>
      </w:r>
    </w:p>
    <w:p w14:paraId="099F4E7E">
      <w:pPr>
        <w:spacing w:line="360" w:lineRule="auto"/>
        <w:jc w:val="both"/>
        <w:rPr>
          <w:rFonts w:eastAsia="Times New Roman"/>
          <w:sz w:val="24"/>
          <w:szCs w:val="24"/>
        </w:rPr>
      </w:pPr>
      <w:r>
        <w:rPr>
          <w:rFonts w:eastAsia="Times New Roman"/>
          <w:sz w:val="24"/>
          <w:szCs w:val="24"/>
        </w:rPr>
        <w:t xml:space="preserve">Statista. (2026). </w:t>
      </w:r>
      <w:r>
        <w:rPr>
          <w:rFonts w:eastAsia="Times New Roman"/>
          <w:i/>
          <w:iCs/>
          <w:sz w:val="24"/>
          <w:szCs w:val="24"/>
        </w:rPr>
        <w:t xml:space="preserve">Leading five selling countries for IKEA products as share of sales in 2025. </w:t>
      </w:r>
      <w:r>
        <w:rPr>
          <w:rFonts w:eastAsia="Times New Roman"/>
          <w:sz w:val="24"/>
          <w:szCs w:val="24"/>
        </w:rPr>
        <w:t xml:space="preserve">Available at: </w:t>
      </w:r>
      <w:r>
        <w:fldChar w:fldCharType="begin"/>
      </w:r>
      <w:r>
        <w:instrText xml:space="preserve"> HYPERLINK "https://www.statista.com/statistics/255583/leading-5-selling-countries-of-ikea-products/?srsltid=AfmBOoq5OUe5UFibYXm0q1-Xg8LQlJm6VyKBI4kYId2ONFH8axv9negd" \h </w:instrText>
      </w:r>
      <w:r>
        <w:fldChar w:fldCharType="separate"/>
      </w:r>
      <w:r>
        <w:rPr>
          <w:rFonts w:eastAsia="Times New Roman"/>
          <w:color w:val="1155CC"/>
          <w:sz w:val="24"/>
          <w:szCs w:val="24"/>
          <w:u w:val="single"/>
        </w:rPr>
        <w:t>https://www.statista.com/statistics/255583/leading-5-selling-countries-of-ikea-products/?srsltid=AfmBOoq5OUe5UFibYXm0q1-Xg8LQlJm6VyKBI4kYId2ONFH8axv9negd</w:t>
      </w:r>
      <w:r>
        <w:rPr>
          <w:rFonts w:eastAsia="Times New Roman"/>
          <w:color w:val="1155CC"/>
          <w:sz w:val="24"/>
          <w:szCs w:val="24"/>
          <w:u w:val="single"/>
        </w:rPr>
        <w:fldChar w:fldCharType="end"/>
      </w:r>
      <w:r>
        <w:rPr>
          <w:rFonts w:eastAsia="Times New Roman"/>
          <w:sz w:val="24"/>
          <w:szCs w:val="24"/>
        </w:rPr>
        <w:t xml:space="preserve"> </w:t>
      </w:r>
    </w:p>
    <w:p w14:paraId="3F92EFAC">
      <w:pPr>
        <w:spacing w:line="360" w:lineRule="auto"/>
        <w:jc w:val="both"/>
        <w:rPr>
          <w:rFonts w:eastAsia="Times New Roman"/>
          <w:sz w:val="24"/>
          <w:szCs w:val="24"/>
        </w:rPr>
      </w:pPr>
      <w:r>
        <w:rPr>
          <w:rFonts w:eastAsia="Times New Roman"/>
          <w:sz w:val="24"/>
          <w:szCs w:val="24"/>
        </w:rPr>
        <w:t xml:space="preserve">Stratrix. (2025). </w:t>
      </w:r>
      <w:r>
        <w:rPr>
          <w:rFonts w:eastAsia="Times New Roman"/>
          <w:i/>
          <w:iCs/>
          <w:sz w:val="24"/>
          <w:szCs w:val="24"/>
        </w:rPr>
        <w:t xml:space="preserve">IKEA's Global Expansion Strategy. </w:t>
      </w:r>
      <w:r>
        <w:rPr>
          <w:rFonts w:eastAsia="Times New Roman"/>
          <w:sz w:val="24"/>
          <w:szCs w:val="24"/>
        </w:rPr>
        <w:t xml:space="preserve">Available at: </w:t>
      </w:r>
      <w:r>
        <w:fldChar w:fldCharType="begin"/>
      </w:r>
      <w:r>
        <w:instrText xml:space="preserve"> HYPERLINK "https://www.stratrix.com/vault/ikea-global-expansion-strategy" \h </w:instrText>
      </w:r>
      <w:r>
        <w:fldChar w:fldCharType="separate"/>
      </w:r>
      <w:r>
        <w:rPr>
          <w:rFonts w:eastAsia="Times New Roman"/>
          <w:color w:val="1155CC"/>
          <w:sz w:val="24"/>
          <w:szCs w:val="24"/>
          <w:u w:val="single"/>
        </w:rPr>
        <w:t>https://www.stratrix.com/vault/ikea-global-expansion-strategy</w:t>
      </w:r>
      <w:r>
        <w:rPr>
          <w:rFonts w:eastAsia="Times New Roman"/>
          <w:color w:val="1155CC"/>
          <w:sz w:val="24"/>
          <w:szCs w:val="24"/>
          <w:u w:val="single"/>
        </w:rPr>
        <w:fldChar w:fldCharType="end"/>
      </w:r>
      <w:r>
        <w:rPr>
          <w:rFonts w:eastAsia="Times New Roman"/>
          <w:sz w:val="24"/>
          <w:szCs w:val="24"/>
        </w:rPr>
        <w:t xml:space="preserve">  </w:t>
      </w:r>
    </w:p>
    <w:p w14:paraId="0301604C">
      <w:pPr>
        <w:spacing w:line="360" w:lineRule="auto"/>
        <w:jc w:val="both"/>
        <w:rPr>
          <w:rFonts w:eastAsia="Times New Roman"/>
          <w:sz w:val="24"/>
          <w:szCs w:val="24"/>
        </w:rPr>
      </w:pPr>
      <w:r>
        <w:rPr>
          <w:rFonts w:eastAsia="Times New Roman"/>
          <w:sz w:val="24"/>
          <w:szCs w:val="24"/>
        </w:rPr>
        <w:t xml:space="preserve">Technavio. (2026). </w:t>
      </w:r>
      <w:r>
        <w:rPr>
          <w:rFonts w:eastAsia="Times New Roman"/>
          <w:i/>
          <w:iCs/>
          <w:sz w:val="24"/>
          <w:szCs w:val="24"/>
        </w:rPr>
        <w:t xml:space="preserve">Furniture Market Analysis, Size, and Forecast 2026-2030. </w:t>
      </w:r>
      <w:r>
        <w:rPr>
          <w:rFonts w:eastAsia="Times New Roman"/>
          <w:sz w:val="24"/>
          <w:szCs w:val="24"/>
        </w:rPr>
        <w:t xml:space="preserve">Available at: </w:t>
      </w:r>
      <w:r>
        <w:fldChar w:fldCharType="begin"/>
      </w:r>
      <w:r>
        <w:instrText xml:space="preserve"> HYPERLINK "https://www.technavio.com/report/furniture-market-size-industry-analysis" \h </w:instrText>
      </w:r>
      <w:r>
        <w:fldChar w:fldCharType="separate"/>
      </w:r>
      <w:r>
        <w:rPr>
          <w:rFonts w:eastAsia="Times New Roman"/>
          <w:color w:val="1155CC"/>
          <w:sz w:val="24"/>
          <w:szCs w:val="24"/>
          <w:u w:val="single"/>
        </w:rPr>
        <w:t>https://www.technavio.com/report/furniture-market-size-industry-analysis</w:t>
      </w:r>
      <w:r>
        <w:rPr>
          <w:rFonts w:eastAsia="Times New Roman"/>
          <w:color w:val="1155CC"/>
          <w:sz w:val="24"/>
          <w:szCs w:val="24"/>
          <w:u w:val="single"/>
        </w:rPr>
        <w:fldChar w:fldCharType="end"/>
      </w:r>
      <w:r>
        <w:rPr>
          <w:rFonts w:eastAsia="Times New Roman"/>
          <w:sz w:val="24"/>
          <w:szCs w:val="24"/>
        </w:rPr>
        <w:t xml:space="preserve"> </w:t>
      </w:r>
    </w:p>
    <w:p w14:paraId="66D7E9AC">
      <w:pPr>
        <w:spacing w:line="360" w:lineRule="auto"/>
        <w:jc w:val="both"/>
        <w:rPr>
          <w:rFonts w:eastAsia="Times New Roman"/>
          <w:sz w:val="24"/>
          <w:szCs w:val="24"/>
        </w:rPr>
      </w:pPr>
      <w:r>
        <w:rPr>
          <w:rFonts w:eastAsia="Times New Roman"/>
          <w:sz w:val="24"/>
          <w:szCs w:val="24"/>
        </w:rPr>
        <w:t xml:space="preserve">The Strategy Institute. (2026). </w:t>
      </w:r>
      <w:r>
        <w:rPr>
          <w:rFonts w:eastAsia="Times New Roman"/>
          <w:i/>
          <w:iCs/>
          <w:sz w:val="24"/>
          <w:szCs w:val="24"/>
        </w:rPr>
        <w:t xml:space="preserve">The Ansoff Matrix: A Powerful Tool for Business Strategy and Growth. </w:t>
      </w:r>
      <w:r>
        <w:rPr>
          <w:rFonts w:eastAsia="Times New Roman"/>
          <w:sz w:val="24"/>
          <w:szCs w:val="24"/>
        </w:rPr>
        <w:t xml:space="preserve">Available at: </w:t>
      </w:r>
      <w:r>
        <w:fldChar w:fldCharType="begin"/>
      </w:r>
      <w:r>
        <w:instrText xml:space="preserve"> HYPERLINK "https://www.thestrategyinstitute.org/insights/the-ansoff-matrix-a-powerful-tool-for-business-strategy-and-growth" \h </w:instrText>
      </w:r>
      <w:r>
        <w:fldChar w:fldCharType="separate"/>
      </w:r>
      <w:r>
        <w:rPr>
          <w:rFonts w:eastAsia="Times New Roman"/>
          <w:color w:val="1155CC"/>
          <w:sz w:val="24"/>
          <w:szCs w:val="24"/>
          <w:u w:val="single"/>
        </w:rPr>
        <w:t>https://www.thestrategyinstitute.org/insights/the-ansoff-matrix-a-powerful-tool-for-business-strategy-and-growth</w:t>
      </w:r>
      <w:r>
        <w:rPr>
          <w:rFonts w:eastAsia="Times New Roman"/>
          <w:color w:val="1155CC"/>
          <w:sz w:val="24"/>
          <w:szCs w:val="24"/>
          <w:u w:val="single"/>
        </w:rPr>
        <w:fldChar w:fldCharType="end"/>
      </w:r>
      <w:r>
        <w:rPr>
          <w:rFonts w:eastAsia="Times New Roman"/>
          <w:sz w:val="24"/>
          <w:szCs w:val="24"/>
        </w:rPr>
        <w:t xml:space="preserve"> </w:t>
      </w:r>
    </w:p>
    <w:p w14:paraId="042C4FD2">
      <w:pPr>
        <w:spacing w:line="360" w:lineRule="auto"/>
        <w:jc w:val="both"/>
        <w:rPr>
          <w:rFonts w:eastAsia="Times New Roman"/>
          <w:sz w:val="24"/>
          <w:szCs w:val="24"/>
        </w:rPr>
      </w:pPr>
      <w:r>
        <w:rPr>
          <w:rFonts w:eastAsia="Times New Roman"/>
          <w:sz w:val="24"/>
          <w:szCs w:val="24"/>
        </w:rPr>
        <w:t xml:space="preserve">Wijnen-Meijer, M., Brandhuber, T., Schneider, A. and Berberat, P.O., 2022. Implementing Kolb s experiential learning cycle by linking real experience, case-based discussion and simulation. </w:t>
      </w:r>
      <w:r>
        <w:rPr>
          <w:rFonts w:eastAsia="Times New Roman"/>
          <w:i/>
          <w:iCs/>
          <w:sz w:val="24"/>
          <w:szCs w:val="24"/>
        </w:rPr>
        <w:t>Journal of medical education and Curricular Development</w:t>
      </w:r>
      <w:r>
        <w:rPr>
          <w:rFonts w:eastAsia="Times New Roman"/>
          <w:sz w:val="24"/>
          <w:szCs w:val="24"/>
        </w:rPr>
        <w:t xml:space="preserve">, 9, p.23821205221091511. Available at: </w:t>
      </w:r>
      <w:r>
        <w:fldChar w:fldCharType="begin"/>
      </w:r>
      <w:r>
        <w:instrText xml:space="preserve"> HYPERLINK "https://pmc.ncbi.nlm.nih.gov/articles/PMC9112303/" \h </w:instrText>
      </w:r>
      <w:r>
        <w:fldChar w:fldCharType="separate"/>
      </w:r>
      <w:r>
        <w:rPr>
          <w:rFonts w:eastAsia="Times New Roman"/>
          <w:color w:val="1155CC"/>
          <w:sz w:val="24"/>
          <w:szCs w:val="24"/>
          <w:u w:val="single"/>
        </w:rPr>
        <w:t>https://pmc.ncbi.nlm.nih.gov/articles/PMC9112303/</w:t>
      </w:r>
      <w:r>
        <w:rPr>
          <w:rFonts w:eastAsia="Times New Roman"/>
          <w:color w:val="1155CC"/>
          <w:sz w:val="24"/>
          <w:szCs w:val="24"/>
          <w:u w:val="single"/>
        </w:rPr>
        <w:fldChar w:fldCharType="end"/>
      </w:r>
      <w:r>
        <w:rPr>
          <w:rFonts w:eastAsia="Times New Roman"/>
          <w:sz w:val="24"/>
          <w:szCs w:val="24"/>
        </w:rPr>
        <w:t xml:space="preserve"> </w:t>
      </w:r>
    </w:p>
    <w:p w14:paraId="32FED7B9">
      <w:pPr>
        <w:spacing w:line="360" w:lineRule="auto"/>
        <w:jc w:val="both"/>
        <w:rPr>
          <w:rFonts w:eastAsia="Times New Roman"/>
          <w:sz w:val="24"/>
          <w:szCs w:val="24"/>
        </w:rPr>
      </w:pPr>
      <w:r>
        <w:rPr>
          <w:rFonts w:eastAsia="Times New Roman"/>
          <w:sz w:val="24"/>
          <w:szCs w:val="24"/>
        </w:rPr>
        <w:t xml:space="preserve">Yahoo Finance. (2024). </w:t>
      </w:r>
      <w:r>
        <w:rPr>
          <w:rFonts w:eastAsia="Times New Roman"/>
          <w:i/>
          <w:iCs/>
          <w:sz w:val="24"/>
          <w:szCs w:val="24"/>
        </w:rPr>
        <w:t xml:space="preserve">IKEA furniture sales decrease in Germany amid high inflation. </w:t>
      </w:r>
      <w:r>
        <w:rPr>
          <w:rFonts w:eastAsia="Times New Roman"/>
          <w:sz w:val="24"/>
          <w:szCs w:val="24"/>
        </w:rPr>
        <w:t xml:space="preserve">Available at: </w:t>
      </w:r>
      <w:r>
        <w:fldChar w:fldCharType="begin"/>
      </w:r>
      <w:r>
        <w:instrText xml:space="preserve"> HYPERLINK "https://finance.yahoo.com/news/ikea-furniture-sales-decrease-germany-092810603.html?guccounter=1&amp;guce_referrer=aHR0cHM6Ly93d3cuZ29vZ2xlLmNvbS8&amp;guce_referrer_sig=AQAAAJy2xZ6YFZV0qmdU3cCag6jtQsTOH-gqrkJ916aaJe4h4inwlILpgPa-pv1EaeBS7bSAKvz6aRyAwB19FW8qli_Ad9xEqnkwpajCJeQwLEFrioXihvrWScLlRuSjNjR40yf6TkJMlmW78lSl_ZhNhcAT2EmJd6reub0vKSFbpkKo" \h </w:instrText>
      </w:r>
      <w:r>
        <w:fldChar w:fldCharType="separate"/>
      </w:r>
      <w:r>
        <w:rPr>
          <w:rFonts w:eastAsia="Times New Roman"/>
          <w:color w:val="1155CC"/>
          <w:sz w:val="24"/>
          <w:szCs w:val="24"/>
          <w:u w:val="single"/>
        </w:rPr>
        <w:t>https://finance.yahoo.com/news/ikea-furniture-sales-decrease-germany-092810603.html?guccounter=1&amp;guce_referrer=aHR0cHM6Ly93d3cuZ29vZ2xlLmNvbS8&amp;guce_referrer_sig=AQAAAJy2xZ6YFZV0qmdU3cCag6jtQsTOH-gqrkJ916aaJe4h4inwlILpgPa-pv1EaeBS7bSAKvz6aRyAwB19FW8qli_Ad9xEqnkwpajCJeQwLEFrioXihvrWScLlRuSjNjR40yf6TkJMlmW78lSl_ZhNhcAT2EmJd6reub0vKSFbpkKo</w:t>
      </w:r>
      <w:r>
        <w:rPr>
          <w:rFonts w:eastAsia="Times New Roman"/>
          <w:color w:val="1155CC"/>
          <w:sz w:val="24"/>
          <w:szCs w:val="24"/>
          <w:u w:val="single"/>
        </w:rPr>
        <w:fldChar w:fldCharType="end"/>
      </w:r>
      <w:r>
        <w:rPr>
          <w:rFonts w:eastAsia="Times New Roman"/>
          <w:sz w:val="24"/>
          <w:szCs w:val="24"/>
        </w:rPr>
        <w:t xml:space="preserve"> </w:t>
      </w:r>
    </w:p>
    <w:p w14:paraId="75A6A307">
      <w:pPr>
        <w:spacing w:line="360" w:lineRule="auto"/>
        <w:jc w:val="both"/>
        <w:rPr>
          <w:rFonts w:eastAsia="Times New Roman"/>
          <w:sz w:val="24"/>
          <w:szCs w:val="24"/>
        </w:rPr>
      </w:pPr>
      <w:r>
        <w:rPr>
          <w:rFonts w:eastAsia="Times New Roman"/>
          <w:sz w:val="24"/>
          <w:szCs w:val="24"/>
        </w:rPr>
        <w:t xml:space="preserve">Yahoo Finance. (2024). </w:t>
      </w:r>
      <w:r>
        <w:rPr>
          <w:rFonts w:eastAsia="Times New Roman"/>
          <w:i/>
          <w:iCs/>
          <w:sz w:val="24"/>
          <w:szCs w:val="24"/>
        </w:rPr>
        <w:t xml:space="preserve">IKEA Holding Digital Transformation Strategy Analysis Report 2023: Accelerators, Incubators, and Other Innovation Programs. </w:t>
      </w:r>
      <w:r>
        <w:rPr>
          <w:rFonts w:eastAsia="Times New Roman"/>
          <w:sz w:val="24"/>
          <w:szCs w:val="24"/>
        </w:rPr>
        <w:t xml:space="preserve">Available at: </w:t>
      </w:r>
      <w:r>
        <w:fldChar w:fldCharType="begin"/>
      </w:r>
      <w:r>
        <w:instrText xml:space="preserve"> HYPERLINK "https://finance.yahoo.com/news/ikea-holding-digital-transformation-strategy-174300467.html" \h </w:instrText>
      </w:r>
      <w:r>
        <w:fldChar w:fldCharType="separate"/>
      </w:r>
      <w:r>
        <w:rPr>
          <w:rFonts w:eastAsia="Times New Roman"/>
          <w:color w:val="1155CC"/>
          <w:sz w:val="24"/>
          <w:szCs w:val="24"/>
          <w:u w:val="single"/>
        </w:rPr>
        <w:t>https://finance.yahoo.com/news/ikea-holding-digital-transformation-strategy-174300467.html</w:t>
      </w:r>
      <w:r>
        <w:rPr>
          <w:rFonts w:eastAsia="Times New Roman"/>
          <w:color w:val="1155CC"/>
          <w:sz w:val="24"/>
          <w:szCs w:val="24"/>
          <w:u w:val="single"/>
        </w:rPr>
        <w:fldChar w:fldCharType="end"/>
      </w:r>
      <w:r>
        <w:rPr>
          <w:rFonts w:eastAsia="Times New Roman"/>
          <w:sz w:val="24"/>
          <w:szCs w:val="24"/>
        </w:rPr>
        <w:t xml:space="preserve"> </w:t>
      </w:r>
    </w:p>
    <w:p w14:paraId="14C9470C">
      <w:pPr>
        <w:spacing w:line="360" w:lineRule="auto"/>
        <w:jc w:val="both"/>
        <w:rPr>
          <w:rFonts w:eastAsia="Times New Roman"/>
          <w:sz w:val="24"/>
          <w:szCs w:val="24"/>
        </w:rPr>
      </w:pPr>
      <w:r>
        <w:rPr>
          <w:rFonts w:eastAsia="Times New Roman"/>
          <w:sz w:val="24"/>
          <w:szCs w:val="24"/>
        </w:rPr>
        <w:t xml:space="preserve">Yeğin, T. and Ikram, M. (2022). Developing a sustainable omnichannel strategic framework toward circular revolution: an integrated approach. </w:t>
      </w:r>
      <w:r>
        <w:rPr>
          <w:rFonts w:eastAsia="Times New Roman"/>
          <w:i/>
          <w:iCs/>
          <w:sz w:val="24"/>
          <w:szCs w:val="24"/>
        </w:rPr>
        <w:t>Sustainability,</w:t>
      </w:r>
      <w:r>
        <w:rPr>
          <w:rFonts w:eastAsia="Times New Roman"/>
          <w:sz w:val="24"/>
          <w:szCs w:val="24"/>
        </w:rPr>
        <w:t xml:space="preserve"> 14(18), p.11578. Available at: </w:t>
      </w:r>
      <w:r>
        <w:fldChar w:fldCharType="begin"/>
      </w:r>
      <w:r>
        <w:instrText xml:space="preserve"> HYPERLINK "https://www.researchgate.net/publication/363567954_Developing_a_Sustainable_Omnichannel_Strategic_Framework_toward_Circular_Revolution_An_Integrated_Approach" \l ":~:text=The%20research%20on%20omnichannel%20applications,the%20literature%20on%20omnichannel%20strategies%2C" \h </w:instrText>
      </w:r>
      <w:r>
        <w:fldChar w:fldCharType="separate"/>
      </w:r>
      <w:r>
        <w:rPr>
          <w:rFonts w:eastAsia="Times New Roman"/>
          <w:color w:val="1155CC"/>
          <w:sz w:val="24"/>
          <w:szCs w:val="24"/>
          <w:u w:val="single"/>
        </w:rPr>
        <w:t>https://www.researchgate.net/publication/363567954_Developing_a_Sustainable_Omnichannel_Strategic_Framework_toward_Circular_Revolution_An_Integrated_Approach#:~:text=The%20research%20on%20omnichannel%20applications,the%20literature%20on%20omnichannel%20strategies%2C</w:t>
      </w:r>
      <w:r>
        <w:rPr>
          <w:rFonts w:eastAsia="Times New Roman"/>
          <w:color w:val="1155CC"/>
          <w:sz w:val="24"/>
          <w:szCs w:val="24"/>
          <w:u w:val="single"/>
        </w:rPr>
        <w:fldChar w:fldCharType="end"/>
      </w:r>
      <w:r>
        <w:rPr>
          <w:rFonts w:eastAsia="Times New Roman"/>
          <w:sz w:val="24"/>
          <w:szCs w:val="24"/>
        </w:rPr>
        <w:t xml:space="preserve"> </w:t>
      </w:r>
    </w:p>
    <w:p w14:paraId="08B74272">
      <w:pPr>
        <w:spacing w:line="360" w:lineRule="auto"/>
        <w:jc w:val="both"/>
        <w:rPr>
          <w:rFonts w:eastAsia="Times New Roman"/>
          <w:sz w:val="24"/>
          <w:szCs w:val="24"/>
        </w:rPr>
      </w:pPr>
      <w:r>
        <w:rPr>
          <w:rFonts w:eastAsia="Times New Roman"/>
          <w:sz w:val="24"/>
          <w:szCs w:val="24"/>
        </w:rPr>
        <w:t xml:space="preserve">YouGov. (2025). </w:t>
      </w:r>
      <w:r>
        <w:rPr>
          <w:rFonts w:eastAsia="Times New Roman"/>
          <w:i/>
          <w:iCs/>
          <w:sz w:val="24"/>
          <w:szCs w:val="24"/>
        </w:rPr>
        <w:t xml:space="preserve">Inside IKEA: How do shoppers around the world feel about IKEA’s Quality and Value?. </w:t>
      </w:r>
      <w:r>
        <w:rPr>
          <w:rFonts w:eastAsia="Times New Roman"/>
          <w:sz w:val="24"/>
          <w:szCs w:val="24"/>
        </w:rPr>
        <w:t xml:space="preserve">Available at: </w:t>
      </w:r>
      <w:r>
        <w:fldChar w:fldCharType="begin"/>
      </w:r>
      <w:r>
        <w:instrText xml:space="preserve"> HYPERLINK "https://yougov.com/articles/52613-inside-ikea-how-do-shoppers-around-the-world-feel-about-ikeas-quality-and-value" \h </w:instrText>
      </w:r>
      <w:r>
        <w:fldChar w:fldCharType="separate"/>
      </w:r>
      <w:r>
        <w:rPr>
          <w:rFonts w:eastAsia="Times New Roman"/>
          <w:color w:val="1155CC"/>
          <w:sz w:val="24"/>
          <w:szCs w:val="24"/>
          <w:u w:val="single"/>
        </w:rPr>
        <w:t>https://yougov.com/articles/52613-inside-ikea-how-do-shoppers-around-the-world-feel-about-ikeas-quality-and-value</w:t>
      </w:r>
      <w:r>
        <w:rPr>
          <w:rFonts w:eastAsia="Times New Roman"/>
          <w:color w:val="1155CC"/>
          <w:sz w:val="24"/>
          <w:szCs w:val="24"/>
          <w:u w:val="single"/>
        </w:rPr>
        <w:fldChar w:fldCharType="end"/>
      </w:r>
      <w:r>
        <w:rPr>
          <w:rFonts w:eastAsia="Times New Roman"/>
          <w:sz w:val="24"/>
          <w:szCs w:val="24"/>
        </w:rPr>
        <w:t xml:space="preserve"> </w:t>
      </w:r>
    </w:p>
    <w:p w14:paraId="797CD3E5">
      <w:pPr>
        <w:spacing w:line="360" w:lineRule="auto"/>
        <w:jc w:val="both"/>
        <w:rPr>
          <w:rFonts w:eastAsia="Times New Roman"/>
          <w:sz w:val="24"/>
          <w:szCs w:val="24"/>
        </w:rPr>
      </w:pPr>
      <w:r>
        <w:rPr>
          <w:rFonts w:eastAsia="Times New Roman"/>
          <w:sz w:val="24"/>
          <w:szCs w:val="24"/>
        </w:rPr>
        <w:t xml:space="preserve">Żak, A. (2015). Triple bottom line concept in theory and practice. </w:t>
      </w:r>
      <w:r>
        <w:rPr>
          <w:rFonts w:eastAsia="Times New Roman"/>
          <w:i/>
          <w:iCs/>
          <w:sz w:val="24"/>
          <w:szCs w:val="24"/>
        </w:rPr>
        <w:t xml:space="preserve">Social Responsibility of Organisations Directions of Changes, </w:t>
      </w:r>
      <w:r>
        <w:rPr>
          <w:rFonts w:eastAsia="Times New Roman"/>
          <w:sz w:val="24"/>
          <w:szCs w:val="24"/>
        </w:rPr>
        <w:t xml:space="preserve">387(1), pp.251-264. Available at: </w:t>
      </w:r>
      <w:r>
        <w:fldChar w:fldCharType="begin"/>
      </w:r>
      <w:r>
        <w:instrText xml:space="preserve"> HYPERLINK "https://www.researchgate.net/profile/Agnieszka-Zak-2/publication/281703207_Triple_bottom_line_concept_in_theory_and_practice/links/5f081c5392851c52d626999e/Triple-bottom-line-concept-in-theory-and-practice.pdf" \h </w:instrText>
      </w:r>
      <w:r>
        <w:fldChar w:fldCharType="separate"/>
      </w:r>
      <w:r>
        <w:rPr>
          <w:rFonts w:eastAsia="Times New Roman"/>
          <w:color w:val="1155CC"/>
          <w:sz w:val="24"/>
          <w:szCs w:val="24"/>
          <w:u w:val="single"/>
        </w:rPr>
        <w:t>https://www.researchgate.net/profile/Agnieszka-Zak-2/publication/281703207_Triple_bottom_line_concept_in_theory_and_practice/links/5f081c5392851c52d626999e/Triple-bottom-line-concept-in-theory-and-practice.pdf</w:t>
      </w:r>
      <w:r>
        <w:rPr>
          <w:rFonts w:eastAsia="Times New Roman"/>
          <w:color w:val="1155CC"/>
          <w:sz w:val="24"/>
          <w:szCs w:val="24"/>
          <w:u w:val="single"/>
        </w:rPr>
        <w:fldChar w:fldCharType="end"/>
      </w:r>
      <w:r>
        <w:rPr>
          <w:rFonts w:eastAsia="Times New Roman"/>
          <w:sz w:val="24"/>
          <w:szCs w:val="24"/>
        </w:rPr>
        <w:t xml:space="preserve"> </w:t>
      </w:r>
    </w:p>
    <w:sectPr>
      <w:footerReference r:id="rId5" w:type="default"/>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2775D9C0-81A1-4655-B76E-F48AFBA52689}"/>
  </w:font>
  <w:font w:name="Arial">
    <w:panose1 w:val="020B0604020202020204"/>
    <w:charset w:val="86"/>
    <w:family w:val="swiss"/>
    <w:pitch w:val="default"/>
    <w:sig w:usb0="E0002EFF" w:usb1="C000785B" w:usb2="00000009" w:usb3="00000000" w:csb0="400001FF" w:csb1="FFFF0000"/>
    <w:embedRegular r:id="rId2" w:fontKey="{E02F9759-332F-426D-879E-3FA42171E75C}"/>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5E988ECF-DC63-4AA9-99A3-A8B28643CDAF}"/>
  </w:font>
  <w:font w:name="Wingdings">
    <w:panose1 w:val="05000000000000000000"/>
    <w:charset w:val="02"/>
    <w:family w:val="auto"/>
    <w:pitch w:val="default"/>
    <w:sig w:usb0="00000000" w:usb1="00000000" w:usb2="00000000" w:usb3="00000000" w:csb0="80000000" w:csb1="00000000"/>
    <w:embedRegular r:id="rId4" w:fontKey="{41D3445D-2C99-4964-A21F-35F4F8066BCF}"/>
  </w:font>
  <w:font w:name="Calibri">
    <w:panose1 w:val="020F0502020204030204"/>
    <w:charset w:val="00"/>
    <w:family w:val="swiss"/>
    <w:pitch w:val="default"/>
    <w:sig w:usb0="E4002EFF" w:usb1="C200247B" w:usb2="00000009" w:usb3="00000000" w:csb0="200001FF" w:csb1="00000000"/>
    <w:embedRegular r:id="rId5" w:fontKey="{B61D47D1-4AB7-49AF-840C-A610D8C5CBE5}"/>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embedRegular r:id="rId6" w:fontKey="{205BA168-CF12-4E94-965E-D2DD02690E2B}"/>
  </w:font>
  <w:font w:name="Helvetica">
    <w:altName w:val="Arial"/>
    <w:panose1 w:val="00000000000000000000"/>
    <w:charset w:val="00"/>
    <w:family w:val="auto"/>
    <w:pitch w:val="default"/>
    <w:sig w:usb0="00000000" w:usb1="00000000" w:usb2="00000000" w:usb3="00000000" w:csb0="0000019F" w:csb1="00000000"/>
    <w:embedRegular r:id="rId7" w:fontKey="{B427921B-056C-43E4-978D-A396C59767E1}"/>
  </w:font>
  <w:font w:name="Microsoft YaHei">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embedRegular r:id="rId8" w:fontKey="{49C4A614-2C23-4318-AD89-7A17B6CF7C4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346330"/>
      <w:docPartObj>
        <w:docPartGallery w:val="AutoText"/>
      </w:docPartObj>
    </w:sdtPr>
    <w:sdtContent>
      <w:p w14:paraId="0A99172B">
        <w:pPr>
          <w:pStyle w:val="12"/>
          <w:jc w:val="center"/>
        </w:pPr>
        <w:r>
          <w:fldChar w:fldCharType="begin"/>
        </w:r>
        <w:r>
          <w:instrText xml:space="preserve"> PAGE   \* MERGEFORMAT </w:instrText>
        </w:r>
        <w:r>
          <w:fldChar w:fldCharType="separate"/>
        </w:r>
        <w:r>
          <w:t>21</w:t>
        </w:r>
        <w:r>
          <w:fldChar w:fldCharType="end"/>
        </w:r>
      </w:p>
    </w:sdtContent>
  </w:sdt>
  <w:p w14:paraId="0C5F0D3E">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2E5F73"/>
    <w:multiLevelType w:val="multilevel"/>
    <w:tmpl w:val="4F2E5F73"/>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removePersonalInformation/>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6A6"/>
    <w:rsid w:val="000C3E75"/>
    <w:rsid w:val="000D784A"/>
    <w:rsid w:val="00100625"/>
    <w:rsid w:val="0015717C"/>
    <w:rsid w:val="00186A15"/>
    <w:rsid w:val="00296EFB"/>
    <w:rsid w:val="002F318E"/>
    <w:rsid w:val="003F320B"/>
    <w:rsid w:val="004639D5"/>
    <w:rsid w:val="004F56A6"/>
    <w:rsid w:val="0055130E"/>
    <w:rsid w:val="005834C4"/>
    <w:rsid w:val="00596FFD"/>
    <w:rsid w:val="005B20E1"/>
    <w:rsid w:val="006D6CFF"/>
    <w:rsid w:val="0073634A"/>
    <w:rsid w:val="0079245F"/>
    <w:rsid w:val="007D588C"/>
    <w:rsid w:val="008974E1"/>
    <w:rsid w:val="00917DC3"/>
    <w:rsid w:val="009E38E7"/>
    <w:rsid w:val="00AE405A"/>
    <w:rsid w:val="00AF373D"/>
    <w:rsid w:val="00B46E80"/>
    <w:rsid w:val="00CB34D8"/>
    <w:rsid w:val="00CD6B34"/>
    <w:rsid w:val="00D3255D"/>
    <w:rsid w:val="00D91EB5"/>
    <w:rsid w:val="00DE62CD"/>
    <w:rsid w:val="00E35492"/>
    <w:rsid w:val="00E36C71"/>
    <w:rsid w:val="00E8073E"/>
    <w:rsid w:val="00E868C9"/>
    <w:rsid w:val="00ED01D9"/>
    <w:rsid w:val="00F00504"/>
    <w:rsid w:val="00F31A6E"/>
    <w:rsid w:val="00F83A35"/>
    <w:rsid w:val="2248358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IN" w:bidi="ar-SA"/>
    </w:rPr>
  </w:style>
  <w:style w:type="paragraph" w:styleId="2">
    <w:name w:val="heading 1"/>
    <w:basedOn w:val="1"/>
    <w:next w:val="1"/>
    <w:qFormat/>
    <w:uiPriority w:val="9"/>
    <w:pPr>
      <w:keepNext/>
      <w:keepLines/>
      <w:spacing w:before="400" w:after="120" w:line="360" w:lineRule="auto"/>
      <w:jc w:val="both"/>
      <w:outlineLvl w:val="0"/>
    </w:pPr>
    <w:rPr>
      <w:b/>
      <w:sz w:val="24"/>
      <w:szCs w:val="40"/>
    </w:rPr>
  </w:style>
  <w:style w:type="paragraph" w:styleId="3">
    <w:name w:val="heading 2"/>
    <w:basedOn w:val="1"/>
    <w:next w:val="1"/>
    <w:unhideWhenUsed/>
    <w:qFormat/>
    <w:uiPriority w:val="9"/>
    <w:pPr>
      <w:keepNext/>
      <w:keepLines/>
      <w:spacing w:before="360" w:after="120" w:line="360" w:lineRule="auto"/>
      <w:jc w:val="both"/>
      <w:outlineLvl w:val="1"/>
    </w:pPr>
    <w:rPr>
      <w:b/>
      <w:i/>
      <w:sz w:val="24"/>
      <w:szCs w:val="32"/>
    </w:rPr>
  </w:style>
  <w:style w:type="paragraph" w:styleId="4">
    <w:name w:val="heading 3"/>
    <w:basedOn w:val="1"/>
    <w:next w:val="1"/>
    <w:unhideWhenUsed/>
    <w:qFormat/>
    <w:uiPriority w:val="9"/>
    <w:pPr>
      <w:keepNext/>
      <w:keepLines/>
      <w:spacing w:before="320" w:after="80" w:line="360" w:lineRule="auto"/>
      <w:jc w:val="both"/>
      <w:outlineLvl w:val="2"/>
    </w:pPr>
    <w:rPr>
      <w:i/>
      <w:color w:val="434343"/>
      <w:sz w:val="24"/>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iCs/>
      <w:color w:val="666666"/>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annotation reference"/>
    <w:basedOn w:val="8"/>
    <w:semiHidden/>
    <w:unhideWhenUsed/>
    <w:qFormat/>
    <w:uiPriority w:val="99"/>
    <w:rPr>
      <w:sz w:val="16"/>
      <w:szCs w:val="16"/>
    </w:rPr>
  </w:style>
  <w:style w:type="paragraph" w:styleId="11">
    <w:name w:val="annotation text"/>
    <w:basedOn w:val="1"/>
    <w:link w:val="24"/>
    <w:semiHidden/>
    <w:unhideWhenUsed/>
    <w:qFormat/>
    <w:uiPriority w:val="99"/>
    <w:pPr>
      <w:spacing w:line="240" w:lineRule="auto"/>
    </w:pPr>
    <w:rPr>
      <w:sz w:val="20"/>
      <w:szCs w:val="20"/>
    </w:rPr>
  </w:style>
  <w:style w:type="paragraph" w:styleId="12">
    <w:name w:val="footer"/>
    <w:basedOn w:val="1"/>
    <w:link w:val="27"/>
    <w:unhideWhenUsed/>
    <w:qFormat/>
    <w:uiPriority w:val="99"/>
    <w:pPr>
      <w:tabs>
        <w:tab w:val="center" w:pos="4513"/>
        <w:tab w:val="right" w:pos="9026"/>
      </w:tabs>
      <w:spacing w:line="240" w:lineRule="auto"/>
    </w:pPr>
  </w:style>
  <w:style w:type="paragraph" w:styleId="13">
    <w:name w:val="header"/>
    <w:basedOn w:val="1"/>
    <w:link w:val="26"/>
    <w:unhideWhenUsed/>
    <w:qFormat/>
    <w:uiPriority w:val="99"/>
    <w:pPr>
      <w:tabs>
        <w:tab w:val="center" w:pos="4513"/>
        <w:tab w:val="right" w:pos="9026"/>
      </w:tabs>
      <w:spacing w:line="240" w:lineRule="auto"/>
    </w:pPr>
  </w:style>
  <w:style w:type="character" w:styleId="14">
    <w:name w:val="Hyperlink"/>
    <w:basedOn w:val="8"/>
    <w:unhideWhenUsed/>
    <w:qFormat/>
    <w:uiPriority w:val="99"/>
    <w:rPr>
      <w:color w:val="0000FF" w:themeColor="hyperlink"/>
      <w:u w:val="single"/>
      <w14:textFill>
        <w14:solidFill>
          <w14:schemeClr w14:val="hlink"/>
        </w14:solidFill>
      </w14:textFill>
    </w:rPr>
  </w:style>
  <w:style w:type="paragraph" w:styleId="15">
    <w:name w:val="Subtitle"/>
    <w:basedOn w:val="1"/>
    <w:next w:val="1"/>
    <w:qFormat/>
    <w:uiPriority w:val="11"/>
    <w:pPr>
      <w:keepNext/>
      <w:keepLines/>
      <w:spacing w:after="320"/>
    </w:pPr>
    <w:rPr>
      <w:color w:val="666666"/>
      <w:sz w:val="30"/>
      <w:szCs w:val="30"/>
    </w:rPr>
  </w:style>
  <w:style w:type="paragraph" w:styleId="16">
    <w:name w:val="Title"/>
    <w:basedOn w:val="1"/>
    <w:next w:val="1"/>
    <w:qFormat/>
    <w:uiPriority w:val="10"/>
    <w:pPr>
      <w:keepNext/>
      <w:keepLines/>
      <w:spacing w:after="60"/>
    </w:pPr>
    <w:rPr>
      <w:sz w:val="52"/>
      <w:szCs w:val="52"/>
    </w:rPr>
  </w:style>
  <w:style w:type="paragraph" w:styleId="17">
    <w:name w:val="toc 1"/>
    <w:basedOn w:val="1"/>
    <w:next w:val="1"/>
    <w:autoRedefine/>
    <w:unhideWhenUsed/>
    <w:qFormat/>
    <w:uiPriority w:val="39"/>
    <w:pPr>
      <w:spacing w:after="100"/>
    </w:pPr>
  </w:style>
  <w:style w:type="paragraph" w:styleId="18">
    <w:name w:val="toc 2"/>
    <w:basedOn w:val="1"/>
    <w:next w:val="1"/>
    <w:autoRedefine/>
    <w:unhideWhenUsed/>
    <w:qFormat/>
    <w:uiPriority w:val="39"/>
    <w:pPr>
      <w:spacing w:after="100"/>
      <w:ind w:left="220"/>
    </w:pPr>
  </w:style>
  <w:style w:type="paragraph" w:styleId="19">
    <w:name w:val="toc 3"/>
    <w:basedOn w:val="1"/>
    <w:next w:val="1"/>
    <w:autoRedefine/>
    <w:unhideWhenUsed/>
    <w:qFormat/>
    <w:uiPriority w:val="39"/>
    <w:pPr>
      <w:spacing w:after="100"/>
      <w:ind w:left="440"/>
    </w:pPr>
  </w:style>
  <w:style w:type="table" w:customStyle="1" w:styleId="20">
    <w:name w:val="TableNormal"/>
    <w:uiPriority w:val="0"/>
    <w:tblPr>
      <w:tblCellMar>
        <w:top w:w="100" w:type="dxa"/>
        <w:left w:w="100" w:type="dxa"/>
        <w:bottom w:w="100" w:type="dxa"/>
        <w:right w:w="100" w:type="dxa"/>
      </w:tblCellMar>
    </w:tblPr>
  </w:style>
  <w:style w:type="table" w:customStyle="1" w:styleId="21">
    <w:name w:val="_Style 12"/>
    <w:basedOn w:val="20"/>
    <w:qFormat/>
    <w:uiPriority w:val="0"/>
  </w:style>
  <w:style w:type="table" w:customStyle="1" w:styleId="22">
    <w:name w:val="_Style 13"/>
    <w:basedOn w:val="20"/>
    <w:qFormat/>
    <w:uiPriority w:val="0"/>
  </w:style>
  <w:style w:type="table" w:customStyle="1" w:styleId="23">
    <w:name w:val="_Style 14"/>
    <w:basedOn w:val="20"/>
    <w:qFormat/>
    <w:uiPriority w:val="0"/>
  </w:style>
  <w:style w:type="character" w:customStyle="1" w:styleId="24">
    <w:name w:val="Comment Text Char"/>
    <w:basedOn w:val="8"/>
    <w:link w:val="11"/>
    <w:semiHidden/>
    <w:qFormat/>
    <w:uiPriority w:val="99"/>
    <w:rPr>
      <w:sz w:val="20"/>
      <w:szCs w:val="20"/>
    </w:rPr>
  </w:style>
  <w:style w:type="paragraph" w:customStyle="1" w:styleId="25">
    <w:name w:val="TOC Heading"/>
    <w:basedOn w:val="2"/>
    <w:next w:val="1"/>
    <w:unhideWhenUsed/>
    <w:qFormat/>
    <w:uiPriority w:val="39"/>
    <w:pPr>
      <w:spacing w:before="240" w:after="0" w:line="259" w:lineRule="auto"/>
      <w:outlineLvl w:val="9"/>
    </w:pPr>
    <w:rPr>
      <w:rFonts w:asciiTheme="majorHAnsi" w:hAnsiTheme="majorHAnsi" w:eastAsiaTheme="majorEastAsia" w:cstheme="majorBidi"/>
      <w:b w:val="0"/>
      <w:color w:val="376092" w:themeColor="accent1" w:themeShade="BF"/>
      <w:sz w:val="32"/>
      <w:szCs w:val="32"/>
      <w:lang w:val="en-US" w:eastAsia="en-US"/>
    </w:rPr>
  </w:style>
  <w:style w:type="character" w:customStyle="1" w:styleId="26">
    <w:name w:val="Header Char"/>
    <w:basedOn w:val="8"/>
    <w:link w:val="13"/>
    <w:qFormat/>
    <w:uiPriority w:val="99"/>
    <w:rPr>
      <w:lang w:val="en-GB"/>
    </w:rPr>
  </w:style>
  <w:style w:type="character" w:customStyle="1" w:styleId="27">
    <w:name w:val="Footer Char"/>
    <w:basedOn w:val="8"/>
    <w:link w:val="12"/>
    <w:qFormat/>
    <w:uiPriority w:val="99"/>
    <w:rPr>
      <w:lang w:val="en-GB"/>
    </w:rPr>
  </w:style>
  <w:style w:type="paragraph" w:styleId="28">
    <w:name w:val="List Paragraph"/>
    <w:basedOn w:val="1"/>
    <w:link w:val="29"/>
    <w:qFormat/>
    <w:uiPriority w:val="1"/>
    <w:pPr>
      <w:spacing w:after="160" w:line="278" w:lineRule="auto"/>
      <w:ind w:left="720"/>
      <w:contextualSpacing/>
    </w:pPr>
    <w:rPr>
      <w:rFonts w:asciiTheme="minorHAnsi" w:hAnsiTheme="minorHAnsi" w:eastAsiaTheme="minorHAnsi" w:cstheme="minorBidi"/>
      <w:kern w:val="2"/>
      <w:sz w:val="24"/>
      <w:szCs w:val="24"/>
      <w:lang w:eastAsia="en-US"/>
      <w14:ligatures w14:val="standardContextual"/>
    </w:rPr>
  </w:style>
  <w:style w:type="character" w:customStyle="1" w:styleId="29">
    <w:name w:val="List Paragraph Char"/>
    <w:basedOn w:val="8"/>
    <w:link w:val="28"/>
    <w:qFormat/>
    <w:locked/>
    <w:uiPriority w:val="1"/>
    <w:rPr>
      <w:rFonts w:asciiTheme="minorHAnsi" w:hAnsiTheme="minorHAnsi" w:eastAsiaTheme="minorHAnsi" w:cstheme="minorBidi"/>
      <w:kern w:val="2"/>
      <w:sz w:val="24"/>
      <w:szCs w:val="24"/>
      <w:lang w:val="en-GB" w:eastAsia="en-US"/>
      <w14:ligatures w14:val="standardContextual"/>
    </w:rPr>
  </w:style>
  <w:style w:type="paragraph" w:customStyle="1" w:styleId="30">
    <w:name w:val="p1"/>
    <w:basedOn w:val="1"/>
    <w:qFormat/>
    <w:uiPriority w:val="0"/>
    <w:pPr>
      <w:spacing w:line="240" w:lineRule="auto"/>
    </w:pPr>
    <w:rPr>
      <w:rFonts w:ascii="Helvetica" w:hAnsi="Helvetica" w:eastAsia="Times New Roman" w:cs="Times New Roman"/>
      <w:color w:val="000000"/>
      <w:sz w:val="18"/>
      <w:szCs w:val="18"/>
      <w:lang w:val="en-IN" w:eastAsia="en-GB"/>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numbering" Target="numbering.xml"/><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B62D8-8BA2-487E-BEA1-54ED0D21B4BF}">
  <ds:schemaRefs/>
</ds:datastoreItem>
</file>

<file path=docProps/app.xml><?xml version="1.0" encoding="utf-8"?>
<Properties xmlns="http://schemas.openxmlformats.org/officeDocument/2006/extended-properties" xmlns:vt="http://schemas.openxmlformats.org/officeDocument/2006/docPropsVTypes">
  <Template>Normal.dotm</Template>
  <Pages>34</Pages>
  <Words>6480</Words>
  <Characters>46522</Characters>
  <Lines>439</Lines>
  <Paragraphs>123</Paragraphs>
  <TotalTime>13</TotalTime>
  <ScaleCrop>false</ScaleCrop>
  <LinksUpToDate>false</LinksUpToDate>
  <CharactersWithSpaces>52942</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2026-08-10T14:11:00Z</dcterms:created>
  <dcterms:modified xsi:type="dcterms:W3CDTF">2026-08-11T21:36:38Z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c1147052-30ed-42cf-86e6-473c54e8985e</vt:lpwstr>
  </property>
  <property fmtid="{D5CDD505-2E9C-101B-9397-08002B2CF9AE}" pid="3" name="KSOTemplateDocerSaveRecord">
    <vt:lpwstr>eyJoZGlkIjoiODRhYjkzYTVlMjEzNTZhYjFmMzI1MTczZjdhODI2YjYifQ==</vt:lpwstr>
  </property>
  <property fmtid="{D5CDD505-2E9C-101B-9397-08002B2CF9AE}" pid="4" name="KSOProductBuildVer">
    <vt:lpwstr>1033-12.1.0.28032</vt:lpwstr>
  </property>
  <property fmtid="{D5CDD505-2E9C-101B-9397-08002B2CF9AE}" pid="5" name="ICV">
    <vt:lpwstr>D06A58FFDE5D49EDBC39D2719874E261_12</vt:lpwstr>
  </property>
</Properties>
</file>