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9A3DD"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61B0174C"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3B7AB06D"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6CCF1C10"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6074832D"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70D94ECE"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5BB11F88"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3513976C"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4BA4DD1B"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0EC32A9B" w14:textId="77777777" w:rsidR="00782D61" w:rsidRPr="00C96459" w:rsidRDefault="00782D61" w:rsidP="00C96459">
      <w:pPr>
        <w:spacing w:line="360" w:lineRule="auto"/>
        <w:jc w:val="center"/>
        <w:rPr>
          <w:rFonts w:ascii="Times New Roman" w:eastAsia="Times New Roman" w:hAnsi="Times New Roman" w:cs="Times New Roman"/>
          <w:b/>
          <w:sz w:val="24"/>
          <w:szCs w:val="24"/>
        </w:rPr>
      </w:pPr>
    </w:p>
    <w:p w14:paraId="70462EF5" w14:textId="77777777" w:rsidR="00C96459" w:rsidRDefault="00C96459" w:rsidP="00C96459">
      <w:pPr>
        <w:spacing w:line="360" w:lineRule="auto"/>
        <w:jc w:val="center"/>
        <w:rPr>
          <w:rFonts w:ascii="Times New Roman" w:eastAsia="Times New Roman" w:hAnsi="Times New Roman" w:cs="Times New Roman"/>
          <w:b/>
          <w:sz w:val="32"/>
          <w:szCs w:val="32"/>
        </w:rPr>
      </w:pPr>
    </w:p>
    <w:p w14:paraId="0747A02C" w14:textId="77777777" w:rsidR="00C96459" w:rsidRDefault="00C96459" w:rsidP="002702AC">
      <w:pPr>
        <w:spacing w:line="360" w:lineRule="auto"/>
        <w:rPr>
          <w:rFonts w:ascii="Times New Roman" w:eastAsia="Times New Roman" w:hAnsi="Times New Roman" w:cs="Times New Roman"/>
          <w:b/>
          <w:sz w:val="32"/>
          <w:szCs w:val="32"/>
        </w:rPr>
      </w:pPr>
    </w:p>
    <w:p w14:paraId="220AE2BC" w14:textId="77777777" w:rsidR="002702AC" w:rsidRDefault="00000000" w:rsidP="00C96459">
      <w:pPr>
        <w:spacing w:line="360" w:lineRule="auto"/>
        <w:jc w:val="center"/>
        <w:rPr>
          <w:rFonts w:ascii="Times New Roman" w:eastAsia="Times New Roman" w:hAnsi="Times New Roman" w:cs="Times New Roman"/>
          <w:b/>
          <w:sz w:val="32"/>
          <w:szCs w:val="32"/>
        </w:rPr>
      </w:pPr>
      <w:r w:rsidRPr="00C96459">
        <w:rPr>
          <w:rFonts w:ascii="Times New Roman" w:eastAsia="Times New Roman" w:hAnsi="Times New Roman" w:cs="Times New Roman"/>
          <w:b/>
          <w:sz w:val="32"/>
          <w:szCs w:val="32"/>
        </w:rPr>
        <w:t>BUSINESS MANAGEMENT</w:t>
      </w:r>
    </w:p>
    <w:p w14:paraId="6FC181B7" w14:textId="77777777" w:rsidR="002702AC" w:rsidRDefault="002702AC" w:rsidP="00C96459">
      <w:pPr>
        <w:spacing w:line="360" w:lineRule="auto"/>
        <w:jc w:val="center"/>
        <w:rPr>
          <w:rFonts w:ascii="Times New Roman" w:eastAsia="Times New Roman" w:hAnsi="Times New Roman" w:cs="Times New Roman"/>
          <w:b/>
          <w:sz w:val="32"/>
          <w:szCs w:val="32"/>
        </w:rPr>
      </w:pPr>
    </w:p>
    <w:p w14:paraId="4F7D3930" w14:textId="77777777" w:rsidR="002702AC" w:rsidRDefault="002702AC" w:rsidP="00C96459">
      <w:pPr>
        <w:spacing w:line="360" w:lineRule="auto"/>
        <w:jc w:val="center"/>
        <w:rPr>
          <w:rFonts w:ascii="Times New Roman" w:eastAsia="Times New Roman" w:hAnsi="Times New Roman" w:cs="Times New Roman"/>
          <w:b/>
          <w:sz w:val="32"/>
          <w:szCs w:val="32"/>
        </w:rPr>
      </w:pPr>
    </w:p>
    <w:p w14:paraId="4F14ADB4" w14:textId="77777777" w:rsidR="002702AC" w:rsidRDefault="002702AC" w:rsidP="00C96459">
      <w:pPr>
        <w:spacing w:line="360" w:lineRule="auto"/>
        <w:jc w:val="center"/>
        <w:rPr>
          <w:rFonts w:ascii="Times New Roman" w:eastAsia="Times New Roman" w:hAnsi="Times New Roman" w:cs="Times New Roman"/>
          <w:b/>
          <w:sz w:val="32"/>
          <w:szCs w:val="32"/>
        </w:rPr>
      </w:pPr>
    </w:p>
    <w:p w14:paraId="52F34127" w14:textId="77777777" w:rsidR="002702AC" w:rsidRDefault="002702AC" w:rsidP="00C96459">
      <w:pPr>
        <w:spacing w:line="360" w:lineRule="auto"/>
        <w:jc w:val="center"/>
        <w:rPr>
          <w:rFonts w:ascii="Times New Roman" w:eastAsia="Times New Roman" w:hAnsi="Times New Roman" w:cs="Times New Roman"/>
          <w:b/>
          <w:sz w:val="32"/>
          <w:szCs w:val="32"/>
        </w:rPr>
      </w:pPr>
    </w:p>
    <w:p w14:paraId="6EF6C91E" w14:textId="77777777" w:rsidR="002702AC" w:rsidRDefault="002702AC" w:rsidP="00C96459">
      <w:pPr>
        <w:spacing w:line="360" w:lineRule="auto"/>
        <w:jc w:val="center"/>
        <w:rPr>
          <w:rFonts w:ascii="Times New Roman" w:eastAsia="Times New Roman" w:hAnsi="Times New Roman" w:cs="Times New Roman"/>
          <w:b/>
          <w:sz w:val="32"/>
          <w:szCs w:val="32"/>
        </w:rPr>
      </w:pPr>
    </w:p>
    <w:p w14:paraId="0C8E8873" w14:textId="28B2276A" w:rsidR="002702AC" w:rsidRDefault="002702AC" w:rsidP="002702AC">
      <w:pPr>
        <w:pStyle w:val="Normal1"/>
        <w:spacing w:line="360" w:lineRule="auto"/>
        <w:ind w:left="5040"/>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Name of the teacher: </w:t>
      </w:r>
      <w:r>
        <w:rPr>
          <w:rFonts w:ascii="Times New Roman" w:eastAsia="Times New Roman" w:hAnsi="Times New Roman" w:cs="Times New Roman"/>
          <w:bCs/>
          <w:color w:val="000000" w:themeColor="text1"/>
          <w:sz w:val="24"/>
          <w:szCs w:val="24"/>
        </w:rPr>
        <w:t xml:space="preserve">Isaiah </w:t>
      </w:r>
      <w:proofErr w:type="spellStart"/>
      <w:r>
        <w:rPr>
          <w:rFonts w:ascii="Times New Roman" w:eastAsia="Times New Roman" w:hAnsi="Times New Roman" w:cs="Times New Roman"/>
          <w:bCs/>
          <w:color w:val="000000" w:themeColor="text1"/>
          <w:sz w:val="24"/>
          <w:szCs w:val="24"/>
        </w:rPr>
        <w:t>Oino</w:t>
      </w:r>
      <w:proofErr w:type="spellEnd"/>
    </w:p>
    <w:p w14:paraId="531563B1" w14:textId="77777777" w:rsidR="002702AC" w:rsidRPr="00042920" w:rsidRDefault="002702AC" w:rsidP="002702AC">
      <w:pPr>
        <w:pStyle w:val="Normal1"/>
        <w:spacing w:line="360" w:lineRule="auto"/>
        <w:ind w:left="5040"/>
        <w:jc w:val="both"/>
        <w:rPr>
          <w:rFonts w:ascii="Times New Roman" w:eastAsia="Times New Roman" w:hAnsi="Times New Roman" w:cs="Times New Roman"/>
          <w:bCs/>
          <w:color w:val="000000" w:themeColor="text1"/>
          <w:sz w:val="24"/>
          <w:szCs w:val="24"/>
        </w:rPr>
      </w:pPr>
      <w:r w:rsidRPr="00042920">
        <w:rPr>
          <w:rFonts w:ascii="Times New Roman" w:eastAsia="Times New Roman" w:hAnsi="Times New Roman" w:cs="Times New Roman"/>
          <w:bCs/>
          <w:color w:val="000000" w:themeColor="text1"/>
          <w:sz w:val="24"/>
          <w:szCs w:val="24"/>
        </w:rPr>
        <w:t xml:space="preserve">Name of the student: Mihaela </w:t>
      </w:r>
      <w:proofErr w:type="spellStart"/>
      <w:r w:rsidRPr="00042920">
        <w:rPr>
          <w:rFonts w:ascii="Times New Roman" w:eastAsia="Times New Roman" w:hAnsi="Times New Roman" w:cs="Times New Roman"/>
          <w:bCs/>
          <w:color w:val="000000" w:themeColor="text1"/>
          <w:sz w:val="24"/>
          <w:szCs w:val="24"/>
        </w:rPr>
        <w:t>Racu</w:t>
      </w:r>
      <w:proofErr w:type="spellEnd"/>
    </w:p>
    <w:p w14:paraId="769E54D0" w14:textId="77777777" w:rsidR="002702AC" w:rsidRDefault="002702AC" w:rsidP="002702AC">
      <w:pPr>
        <w:pStyle w:val="Normal1"/>
        <w:spacing w:line="360" w:lineRule="auto"/>
        <w:ind w:left="4320" w:firstLine="720"/>
        <w:jc w:val="both"/>
        <w:rPr>
          <w:rFonts w:ascii="Times New Roman" w:eastAsia="Times New Roman" w:hAnsi="Times New Roman" w:cs="Times New Roman"/>
          <w:bCs/>
          <w:color w:val="000000" w:themeColor="text1"/>
          <w:sz w:val="24"/>
          <w:szCs w:val="24"/>
        </w:rPr>
      </w:pPr>
      <w:r w:rsidRPr="00042920">
        <w:rPr>
          <w:rFonts w:ascii="Times New Roman" w:eastAsia="Times New Roman" w:hAnsi="Times New Roman" w:cs="Times New Roman"/>
          <w:bCs/>
          <w:color w:val="000000" w:themeColor="text1"/>
          <w:sz w:val="24"/>
          <w:szCs w:val="24"/>
        </w:rPr>
        <w:t>Student number:1921103</w:t>
      </w:r>
    </w:p>
    <w:p w14:paraId="61D859A0" w14:textId="39B3A95B" w:rsidR="00782D61" w:rsidRPr="00C96459" w:rsidRDefault="002702AC" w:rsidP="002702A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Cs/>
          <w:color w:val="000000" w:themeColor="text1"/>
          <w:sz w:val="24"/>
          <w:szCs w:val="24"/>
        </w:rPr>
        <w:t xml:space="preserve">                                                      </w:t>
      </w:r>
      <w:r>
        <w:rPr>
          <w:rFonts w:ascii="Times New Roman" w:eastAsia="Times New Roman" w:hAnsi="Times New Roman" w:cs="Times New Roman"/>
          <w:bCs/>
          <w:color w:val="000000" w:themeColor="text1"/>
          <w:sz w:val="24"/>
          <w:szCs w:val="24"/>
        </w:rPr>
        <w:t>Module title: LCBB</w:t>
      </w:r>
      <w:r>
        <w:rPr>
          <w:rFonts w:ascii="Times New Roman" w:eastAsia="Times New Roman" w:hAnsi="Times New Roman" w:cs="Times New Roman"/>
          <w:bCs/>
          <w:color w:val="000000" w:themeColor="text1"/>
          <w:sz w:val="24"/>
          <w:szCs w:val="24"/>
        </w:rPr>
        <w:t>002</w:t>
      </w:r>
      <w:r w:rsidR="00000000" w:rsidRPr="00C96459">
        <w:rPr>
          <w:rFonts w:ascii="Times New Roman" w:hAnsi="Times New Roman" w:cs="Times New Roman"/>
          <w:sz w:val="32"/>
          <w:szCs w:val="32"/>
        </w:rPr>
        <w:br w:type="page"/>
      </w:r>
    </w:p>
    <w:sdt>
      <w:sdtPr>
        <w:rPr>
          <w:rFonts w:ascii="Arial" w:eastAsia="Arial" w:hAnsi="Arial" w:cs="Arial"/>
          <w:color w:val="auto"/>
          <w:sz w:val="22"/>
          <w:szCs w:val="22"/>
          <w:lang w:val="en" w:eastAsia="en-IN"/>
        </w:rPr>
        <w:id w:val="277378647"/>
        <w:docPartObj>
          <w:docPartGallery w:val="Table of Contents"/>
          <w:docPartUnique/>
        </w:docPartObj>
      </w:sdtPr>
      <w:sdtEndPr>
        <w:rPr>
          <w:rFonts w:ascii="Times New Roman" w:hAnsi="Times New Roman" w:cs="Times New Roman"/>
          <w:b/>
          <w:bCs/>
          <w:noProof/>
          <w:sz w:val="24"/>
          <w:szCs w:val="24"/>
        </w:rPr>
      </w:sdtEndPr>
      <w:sdtContent>
        <w:p w14:paraId="43F33E52" w14:textId="77777777" w:rsidR="00C96459" w:rsidRPr="00C96459" w:rsidRDefault="00000000" w:rsidP="00C96459">
          <w:pPr>
            <w:pStyle w:val="TOCHeading"/>
            <w:spacing w:line="360"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 xml:space="preserve">List </w:t>
          </w:r>
          <w:r w:rsidRPr="00C96459">
            <w:rPr>
              <w:rFonts w:ascii="Times New Roman" w:hAnsi="Times New Roman" w:cs="Times New Roman"/>
              <w:b/>
              <w:bCs/>
              <w:color w:val="000000" w:themeColor="text1"/>
            </w:rPr>
            <w:t>of Contents</w:t>
          </w:r>
        </w:p>
        <w:p w14:paraId="65AA988B" w14:textId="77777777" w:rsidR="00C96459" w:rsidRPr="00C96459" w:rsidRDefault="00000000" w:rsidP="00C96459">
          <w:pPr>
            <w:pStyle w:val="TOC1"/>
            <w:tabs>
              <w:tab w:val="right" w:leader="dot" w:pos="9350"/>
            </w:tabs>
            <w:spacing w:line="360" w:lineRule="auto"/>
            <w:jc w:val="both"/>
            <w:rPr>
              <w:rFonts w:ascii="Times New Roman" w:hAnsi="Times New Roman" w:cs="Times New Roman"/>
              <w:noProof/>
              <w:sz w:val="24"/>
              <w:szCs w:val="24"/>
            </w:rPr>
          </w:pPr>
          <w:r w:rsidRPr="00C96459">
            <w:rPr>
              <w:rFonts w:ascii="Times New Roman" w:hAnsi="Times New Roman" w:cs="Times New Roman"/>
              <w:sz w:val="24"/>
              <w:szCs w:val="24"/>
            </w:rPr>
            <w:fldChar w:fldCharType="begin"/>
          </w:r>
          <w:r w:rsidRPr="00C96459">
            <w:rPr>
              <w:rFonts w:ascii="Times New Roman" w:hAnsi="Times New Roman" w:cs="Times New Roman"/>
              <w:sz w:val="24"/>
              <w:szCs w:val="24"/>
            </w:rPr>
            <w:instrText xml:space="preserve"> TOC \o "1-3" \h \z \u </w:instrText>
          </w:r>
          <w:r w:rsidRPr="00C96459">
            <w:rPr>
              <w:rFonts w:ascii="Times New Roman" w:hAnsi="Times New Roman" w:cs="Times New Roman"/>
              <w:sz w:val="24"/>
              <w:szCs w:val="24"/>
            </w:rPr>
            <w:fldChar w:fldCharType="separate"/>
          </w:r>
          <w:hyperlink w:anchor="_Toc110532637" w:history="1">
            <w:r w:rsidRPr="00C96459">
              <w:rPr>
                <w:rStyle w:val="Hyperlink"/>
                <w:rFonts w:ascii="Times New Roman" w:hAnsi="Times New Roman" w:cs="Times New Roman"/>
                <w:noProof/>
                <w:sz w:val="24"/>
                <w:szCs w:val="24"/>
              </w:rPr>
              <w:t>Introduction</w:t>
            </w:r>
            <w:r w:rsidRPr="00C96459">
              <w:rPr>
                <w:rFonts w:ascii="Times New Roman" w:hAnsi="Times New Roman" w:cs="Times New Roman"/>
                <w:noProof/>
                <w:webHidden/>
                <w:sz w:val="24"/>
                <w:szCs w:val="24"/>
              </w:rPr>
              <w:tab/>
            </w:r>
            <w:r w:rsidRPr="00C96459">
              <w:rPr>
                <w:rFonts w:ascii="Times New Roman" w:hAnsi="Times New Roman" w:cs="Times New Roman"/>
                <w:noProof/>
                <w:webHidden/>
                <w:sz w:val="24"/>
                <w:szCs w:val="24"/>
              </w:rPr>
              <w:fldChar w:fldCharType="begin"/>
            </w:r>
            <w:r w:rsidRPr="00C96459">
              <w:rPr>
                <w:rFonts w:ascii="Times New Roman" w:hAnsi="Times New Roman" w:cs="Times New Roman"/>
                <w:noProof/>
                <w:webHidden/>
                <w:sz w:val="24"/>
                <w:szCs w:val="24"/>
              </w:rPr>
              <w:instrText xml:space="preserve"> PAGEREF _Toc110532637 \h </w:instrText>
            </w:r>
            <w:r w:rsidRPr="00C96459">
              <w:rPr>
                <w:rFonts w:ascii="Times New Roman" w:hAnsi="Times New Roman" w:cs="Times New Roman"/>
                <w:noProof/>
                <w:webHidden/>
                <w:sz w:val="24"/>
                <w:szCs w:val="24"/>
              </w:rPr>
            </w:r>
            <w:r w:rsidRPr="00C96459">
              <w:rPr>
                <w:rFonts w:ascii="Times New Roman" w:hAnsi="Times New Roman" w:cs="Times New Roman"/>
                <w:noProof/>
                <w:webHidden/>
                <w:sz w:val="24"/>
                <w:szCs w:val="24"/>
              </w:rPr>
              <w:fldChar w:fldCharType="separate"/>
            </w:r>
            <w:r w:rsidRPr="00C96459">
              <w:rPr>
                <w:rFonts w:ascii="Times New Roman" w:hAnsi="Times New Roman" w:cs="Times New Roman"/>
                <w:noProof/>
                <w:webHidden/>
                <w:sz w:val="24"/>
                <w:szCs w:val="24"/>
              </w:rPr>
              <w:t>3</w:t>
            </w:r>
            <w:r w:rsidRPr="00C96459">
              <w:rPr>
                <w:rFonts w:ascii="Times New Roman" w:hAnsi="Times New Roman" w:cs="Times New Roman"/>
                <w:noProof/>
                <w:webHidden/>
                <w:sz w:val="24"/>
                <w:szCs w:val="24"/>
              </w:rPr>
              <w:fldChar w:fldCharType="end"/>
            </w:r>
          </w:hyperlink>
        </w:p>
        <w:p w14:paraId="5CAAF4A5" w14:textId="77777777" w:rsidR="00C96459" w:rsidRPr="00C96459" w:rsidRDefault="00000000" w:rsidP="00C96459">
          <w:pPr>
            <w:pStyle w:val="TOC1"/>
            <w:tabs>
              <w:tab w:val="right" w:leader="dot" w:pos="9350"/>
            </w:tabs>
            <w:spacing w:line="360" w:lineRule="auto"/>
            <w:jc w:val="both"/>
            <w:rPr>
              <w:rFonts w:ascii="Times New Roman" w:hAnsi="Times New Roman" w:cs="Times New Roman"/>
              <w:noProof/>
              <w:sz w:val="24"/>
              <w:szCs w:val="24"/>
            </w:rPr>
          </w:pPr>
          <w:hyperlink w:anchor="_Toc110532638" w:history="1">
            <w:r w:rsidRPr="00C96459">
              <w:rPr>
                <w:rStyle w:val="Hyperlink"/>
                <w:rFonts w:ascii="Times New Roman" w:hAnsi="Times New Roman" w:cs="Times New Roman"/>
                <w:noProof/>
                <w:sz w:val="24"/>
                <w:szCs w:val="24"/>
              </w:rPr>
              <w:t>Benefits of IFM</w:t>
            </w:r>
            <w:r w:rsidRPr="00C96459">
              <w:rPr>
                <w:rFonts w:ascii="Times New Roman" w:hAnsi="Times New Roman" w:cs="Times New Roman"/>
                <w:noProof/>
                <w:webHidden/>
                <w:sz w:val="24"/>
                <w:szCs w:val="24"/>
              </w:rPr>
              <w:tab/>
            </w:r>
            <w:r w:rsidRPr="00C96459">
              <w:rPr>
                <w:rFonts w:ascii="Times New Roman" w:hAnsi="Times New Roman" w:cs="Times New Roman"/>
                <w:noProof/>
                <w:webHidden/>
                <w:sz w:val="24"/>
                <w:szCs w:val="24"/>
              </w:rPr>
              <w:fldChar w:fldCharType="begin"/>
            </w:r>
            <w:r w:rsidRPr="00C96459">
              <w:rPr>
                <w:rFonts w:ascii="Times New Roman" w:hAnsi="Times New Roman" w:cs="Times New Roman"/>
                <w:noProof/>
                <w:webHidden/>
                <w:sz w:val="24"/>
                <w:szCs w:val="24"/>
              </w:rPr>
              <w:instrText xml:space="preserve"> PAGEREF _Toc110532638 \h </w:instrText>
            </w:r>
            <w:r w:rsidRPr="00C96459">
              <w:rPr>
                <w:rFonts w:ascii="Times New Roman" w:hAnsi="Times New Roman" w:cs="Times New Roman"/>
                <w:noProof/>
                <w:webHidden/>
                <w:sz w:val="24"/>
                <w:szCs w:val="24"/>
              </w:rPr>
            </w:r>
            <w:r w:rsidRPr="00C96459">
              <w:rPr>
                <w:rFonts w:ascii="Times New Roman" w:hAnsi="Times New Roman" w:cs="Times New Roman"/>
                <w:noProof/>
                <w:webHidden/>
                <w:sz w:val="24"/>
                <w:szCs w:val="24"/>
              </w:rPr>
              <w:fldChar w:fldCharType="separate"/>
            </w:r>
            <w:r w:rsidRPr="00C96459">
              <w:rPr>
                <w:rFonts w:ascii="Times New Roman" w:hAnsi="Times New Roman" w:cs="Times New Roman"/>
                <w:noProof/>
                <w:webHidden/>
                <w:sz w:val="24"/>
                <w:szCs w:val="24"/>
              </w:rPr>
              <w:t>3</w:t>
            </w:r>
            <w:r w:rsidRPr="00C96459">
              <w:rPr>
                <w:rFonts w:ascii="Times New Roman" w:hAnsi="Times New Roman" w:cs="Times New Roman"/>
                <w:noProof/>
                <w:webHidden/>
                <w:sz w:val="24"/>
                <w:szCs w:val="24"/>
              </w:rPr>
              <w:fldChar w:fldCharType="end"/>
            </w:r>
          </w:hyperlink>
        </w:p>
        <w:p w14:paraId="25784A37" w14:textId="77777777" w:rsidR="00C96459" w:rsidRPr="00C96459" w:rsidRDefault="00000000" w:rsidP="00C96459">
          <w:pPr>
            <w:pStyle w:val="TOC1"/>
            <w:tabs>
              <w:tab w:val="right" w:leader="dot" w:pos="9350"/>
            </w:tabs>
            <w:spacing w:line="360" w:lineRule="auto"/>
            <w:jc w:val="both"/>
            <w:rPr>
              <w:rFonts w:ascii="Times New Roman" w:hAnsi="Times New Roman" w:cs="Times New Roman"/>
              <w:noProof/>
              <w:sz w:val="24"/>
              <w:szCs w:val="24"/>
            </w:rPr>
          </w:pPr>
          <w:hyperlink w:anchor="_Toc110532639" w:history="1">
            <w:r w:rsidRPr="00C96459">
              <w:rPr>
                <w:rStyle w:val="Hyperlink"/>
                <w:rFonts w:ascii="Times New Roman" w:hAnsi="Times New Roman" w:cs="Times New Roman"/>
                <w:noProof/>
                <w:sz w:val="24"/>
                <w:szCs w:val="24"/>
              </w:rPr>
              <w:t>Company’s dividend distribution policy</w:t>
            </w:r>
            <w:r w:rsidRPr="00C96459">
              <w:rPr>
                <w:rFonts w:ascii="Times New Roman" w:hAnsi="Times New Roman" w:cs="Times New Roman"/>
                <w:noProof/>
                <w:webHidden/>
                <w:sz w:val="24"/>
                <w:szCs w:val="24"/>
              </w:rPr>
              <w:tab/>
            </w:r>
            <w:r w:rsidRPr="00C96459">
              <w:rPr>
                <w:rFonts w:ascii="Times New Roman" w:hAnsi="Times New Roman" w:cs="Times New Roman"/>
                <w:noProof/>
                <w:webHidden/>
                <w:sz w:val="24"/>
                <w:szCs w:val="24"/>
              </w:rPr>
              <w:fldChar w:fldCharType="begin"/>
            </w:r>
            <w:r w:rsidRPr="00C96459">
              <w:rPr>
                <w:rFonts w:ascii="Times New Roman" w:hAnsi="Times New Roman" w:cs="Times New Roman"/>
                <w:noProof/>
                <w:webHidden/>
                <w:sz w:val="24"/>
                <w:szCs w:val="24"/>
              </w:rPr>
              <w:instrText xml:space="preserve"> PAGEREF _Toc110532639 \h </w:instrText>
            </w:r>
            <w:r w:rsidRPr="00C96459">
              <w:rPr>
                <w:rFonts w:ascii="Times New Roman" w:hAnsi="Times New Roman" w:cs="Times New Roman"/>
                <w:noProof/>
                <w:webHidden/>
                <w:sz w:val="24"/>
                <w:szCs w:val="24"/>
              </w:rPr>
            </w:r>
            <w:r w:rsidRPr="00C96459">
              <w:rPr>
                <w:rFonts w:ascii="Times New Roman" w:hAnsi="Times New Roman" w:cs="Times New Roman"/>
                <w:noProof/>
                <w:webHidden/>
                <w:sz w:val="24"/>
                <w:szCs w:val="24"/>
              </w:rPr>
              <w:fldChar w:fldCharType="separate"/>
            </w:r>
            <w:r w:rsidRPr="00C96459">
              <w:rPr>
                <w:rFonts w:ascii="Times New Roman" w:hAnsi="Times New Roman" w:cs="Times New Roman"/>
                <w:noProof/>
                <w:webHidden/>
                <w:sz w:val="24"/>
                <w:szCs w:val="24"/>
              </w:rPr>
              <w:t>4</w:t>
            </w:r>
            <w:r w:rsidRPr="00C96459">
              <w:rPr>
                <w:rFonts w:ascii="Times New Roman" w:hAnsi="Times New Roman" w:cs="Times New Roman"/>
                <w:noProof/>
                <w:webHidden/>
                <w:sz w:val="24"/>
                <w:szCs w:val="24"/>
              </w:rPr>
              <w:fldChar w:fldCharType="end"/>
            </w:r>
          </w:hyperlink>
        </w:p>
        <w:p w14:paraId="12C3E584" w14:textId="77777777" w:rsidR="00C96459" w:rsidRPr="00C96459" w:rsidRDefault="00000000" w:rsidP="00C96459">
          <w:pPr>
            <w:pStyle w:val="TOC1"/>
            <w:tabs>
              <w:tab w:val="right" w:leader="dot" w:pos="9350"/>
            </w:tabs>
            <w:spacing w:line="360" w:lineRule="auto"/>
            <w:jc w:val="both"/>
            <w:rPr>
              <w:rFonts w:ascii="Times New Roman" w:hAnsi="Times New Roman" w:cs="Times New Roman"/>
              <w:noProof/>
              <w:sz w:val="24"/>
              <w:szCs w:val="24"/>
            </w:rPr>
          </w:pPr>
          <w:hyperlink w:anchor="_Toc110532640" w:history="1">
            <w:r w:rsidRPr="00C96459">
              <w:rPr>
                <w:rStyle w:val="Hyperlink"/>
                <w:rFonts w:ascii="Times New Roman" w:hAnsi="Times New Roman" w:cs="Times New Roman"/>
                <w:noProof/>
                <w:sz w:val="24"/>
                <w:szCs w:val="24"/>
              </w:rPr>
              <w:t>The EMH analysis of Rio Tinto</w:t>
            </w:r>
            <w:r w:rsidRPr="00C96459">
              <w:rPr>
                <w:rFonts w:ascii="Times New Roman" w:hAnsi="Times New Roman" w:cs="Times New Roman"/>
                <w:noProof/>
                <w:webHidden/>
                <w:sz w:val="24"/>
                <w:szCs w:val="24"/>
              </w:rPr>
              <w:tab/>
            </w:r>
            <w:r w:rsidRPr="00C96459">
              <w:rPr>
                <w:rFonts w:ascii="Times New Roman" w:hAnsi="Times New Roman" w:cs="Times New Roman"/>
                <w:noProof/>
                <w:webHidden/>
                <w:sz w:val="24"/>
                <w:szCs w:val="24"/>
              </w:rPr>
              <w:fldChar w:fldCharType="begin"/>
            </w:r>
            <w:r w:rsidRPr="00C96459">
              <w:rPr>
                <w:rFonts w:ascii="Times New Roman" w:hAnsi="Times New Roman" w:cs="Times New Roman"/>
                <w:noProof/>
                <w:webHidden/>
                <w:sz w:val="24"/>
                <w:szCs w:val="24"/>
              </w:rPr>
              <w:instrText xml:space="preserve"> PAGEREF _Toc110532640 \h </w:instrText>
            </w:r>
            <w:r w:rsidRPr="00C96459">
              <w:rPr>
                <w:rFonts w:ascii="Times New Roman" w:hAnsi="Times New Roman" w:cs="Times New Roman"/>
                <w:noProof/>
                <w:webHidden/>
                <w:sz w:val="24"/>
                <w:szCs w:val="24"/>
              </w:rPr>
            </w:r>
            <w:r w:rsidRPr="00C96459">
              <w:rPr>
                <w:rFonts w:ascii="Times New Roman" w:hAnsi="Times New Roman" w:cs="Times New Roman"/>
                <w:noProof/>
                <w:webHidden/>
                <w:sz w:val="24"/>
                <w:szCs w:val="24"/>
              </w:rPr>
              <w:fldChar w:fldCharType="separate"/>
            </w:r>
            <w:r w:rsidRPr="00C96459">
              <w:rPr>
                <w:rFonts w:ascii="Times New Roman" w:hAnsi="Times New Roman" w:cs="Times New Roman"/>
                <w:noProof/>
                <w:webHidden/>
                <w:sz w:val="24"/>
                <w:szCs w:val="24"/>
              </w:rPr>
              <w:t>4</w:t>
            </w:r>
            <w:r w:rsidRPr="00C96459">
              <w:rPr>
                <w:rFonts w:ascii="Times New Roman" w:hAnsi="Times New Roman" w:cs="Times New Roman"/>
                <w:noProof/>
                <w:webHidden/>
                <w:sz w:val="24"/>
                <w:szCs w:val="24"/>
              </w:rPr>
              <w:fldChar w:fldCharType="end"/>
            </w:r>
          </w:hyperlink>
        </w:p>
        <w:p w14:paraId="0048C203" w14:textId="77777777" w:rsidR="00C96459" w:rsidRPr="00C96459" w:rsidRDefault="00000000" w:rsidP="00C96459">
          <w:pPr>
            <w:pStyle w:val="TOC1"/>
            <w:tabs>
              <w:tab w:val="right" w:leader="dot" w:pos="9350"/>
            </w:tabs>
            <w:spacing w:line="360" w:lineRule="auto"/>
            <w:jc w:val="both"/>
            <w:rPr>
              <w:rFonts w:ascii="Times New Roman" w:hAnsi="Times New Roman" w:cs="Times New Roman"/>
              <w:noProof/>
              <w:sz w:val="24"/>
              <w:szCs w:val="24"/>
            </w:rPr>
          </w:pPr>
          <w:hyperlink w:anchor="_Toc110532641" w:history="1">
            <w:r w:rsidRPr="00C96459">
              <w:rPr>
                <w:rStyle w:val="Hyperlink"/>
                <w:rFonts w:ascii="Times New Roman" w:hAnsi="Times New Roman" w:cs="Times New Roman"/>
                <w:noProof/>
                <w:sz w:val="24"/>
                <w:szCs w:val="24"/>
              </w:rPr>
              <w:t>Project appraisal methods of Rio Tinto</w:t>
            </w:r>
            <w:r w:rsidRPr="00C96459">
              <w:rPr>
                <w:rFonts w:ascii="Times New Roman" w:hAnsi="Times New Roman" w:cs="Times New Roman"/>
                <w:noProof/>
                <w:webHidden/>
                <w:sz w:val="24"/>
                <w:szCs w:val="24"/>
              </w:rPr>
              <w:tab/>
            </w:r>
            <w:r w:rsidRPr="00C96459">
              <w:rPr>
                <w:rFonts w:ascii="Times New Roman" w:hAnsi="Times New Roman" w:cs="Times New Roman"/>
                <w:noProof/>
                <w:webHidden/>
                <w:sz w:val="24"/>
                <w:szCs w:val="24"/>
              </w:rPr>
              <w:fldChar w:fldCharType="begin"/>
            </w:r>
            <w:r w:rsidRPr="00C96459">
              <w:rPr>
                <w:rFonts w:ascii="Times New Roman" w:hAnsi="Times New Roman" w:cs="Times New Roman"/>
                <w:noProof/>
                <w:webHidden/>
                <w:sz w:val="24"/>
                <w:szCs w:val="24"/>
              </w:rPr>
              <w:instrText xml:space="preserve"> PAGEREF _Toc110532641 \h </w:instrText>
            </w:r>
            <w:r w:rsidRPr="00C96459">
              <w:rPr>
                <w:rFonts w:ascii="Times New Roman" w:hAnsi="Times New Roman" w:cs="Times New Roman"/>
                <w:noProof/>
                <w:webHidden/>
                <w:sz w:val="24"/>
                <w:szCs w:val="24"/>
              </w:rPr>
            </w:r>
            <w:r w:rsidRPr="00C96459">
              <w:rPr>
                <w:rFonts w:ascii="Times New Roman" w:hAnsi="Times New Roman" w:cs="Times New Roman"/>
                <w:noProof/>
                <w:webHidden/>
                <w:sz w:val="24"/>
                <w:szCs w:val="24"/>
              </w:rPr>
              <w:fldChar w:fldCharType="separate"/>
            </w:r>
            <w:r w:rsidRPr="00C96459">
              <w:rPr>
                <w:rFonts w:ascii="Times New Roman" w:hAnsi="Times New Roman" w:cs="Times New Roman"/>
                <w:noProof/>
                <w:webHidden/>
                <w:sz w:val="24"/>
                <w:szCs w:val="24"/>
              </w:rPr>
              <w:t>7</w:t>
            </w:r>
            <w:r w:rsidRPr="00C96459">
              <w:rPr>
                <w:rFonts w:ascii="Times New Roman" w:hAnsi="Times New Roman" w:cs="Times New Roman"/>
                <w:noProof/>
                <w:webHidden/>
                <w:sz w:val="24"/>
                <w:szCs w:val="24"/>
              </w:rPr>
              <w:fldChar w:fldCharType="end"/>
            </w:r>
          </w:hyperlink>
        </w:p>
        <w:p w14:paraId="0247A464" w14:textId="77777777" w:rsidR="00C96459" w:rsidRPr="00C96459" w:rsidRDefault="00000000" w:rsidP="00C96459">
          <w:pPr>
            <w:pStyle w:val="TOC1"/>
            <w:tabs>
              <w:tab w:val="right" w:leader="dot" w:pos="9350"/>
            </w:tabs>
            <w:spacing w:line="360" w:lineRule="auto"/>
            <w:jc w:val="both"/>
            <w:rPr>
              <w:rFonts w:ascii="Times New Roman" w:hAnsi="Times New Roman" w:cs="Times New Roman"/>
              <w:noProof/>
              <w:sz w:val="24"/>
              <w:szCs w:val="24"/>
            </w:rPr>
          </w:pPr>
          <w:hyperlink w:anchor="_Toc110532642" w:history="1">
            <w:r w:rsidRPr="00C96459">
              <w:rPr>
                <w:rStyle w:val="Hyperlink"/>
                <w:rFonts w:ascii="Times New Roman" w:hAnsi="Times New Roman" w:cs="Times New Roman"/>
                <w:noProof/>
                <w:sz w:val="24"/>
                <w:szCs w:val="24"/>
              </w:rPr>
              <w:t>Issues faced by the MNCs in recent times</w:t>
            </w:r>
            <w:r w:rsidRPr="00C96459">
              <w:rPr>
                <w:rFonts w:ascii="Times New Roman" w:hAnsi="Times New Roman" w:cs="Times New Roman"/>
                <w:noProof/>
                <w:webHidden/>
                <w:sz w:val="24"/>
                <w:szCs w:val="24"/>
              </w:rPr>
              <w:tab/>
            </w:r>
            <w:r w:rsidRPr="00C96459">
              <w:rPr>
                <w:rFonts w:ascii="Times New Roman" w:hAnsi="Times New Roman" w:cs="Times New Roman"/>
                <w:noProof/>
                <w:webHidden/>
                <w:sz w:val="24"/>
                <w:szCs w:val="24"/>
              </w:rPr>
              <w:fldChar w:fldCharType="begin"/>
            </w:r>
            <w:r w:rsidRPr="00C96459">
              <w:rPr>
                <w:rFonts w:ascii="Times New Roman" w:hAnsi="Times New Roman" w:cs="Times New Roman"/>
                <w:noProof/>
                <w:webHidden/>
                <w:sz w:val="24"/>
                <w:szCs w:val="24"/>
              </w:rPr>
              <w:instrText xml:space="preserve"> PAGEREF _Toc110532642 \h </w:instrText>
            </w:r>
            <w:r w:rsidRPr="00C96459">
              <w:rPr>
                <w:rFonts w:ascii="Times New Roman" w:hAnsi="Times New Roman" w:cs="Times New Roman"/>
                <w:noProof/>
                <w:webHidden/>
                <w:sz w:val="24"/>
                <w:szCs w:val="24"/>
              </w:rPr>
            </w:r>
            <w:r w:rsidRPr="00C96459">
              <w:rPr>
                <w:rFonts w:ascii="Times New Roman" w:hAnsi="Times New Roman" w:cs="Times New Roman"/>
                <w:noProof/>
                <w:webHidden/>
                <w:sz w:val="24"/>
                <w:szCs w:val="24"/>
              </w:rPr>
              <w:fldChar w:fldCharType="separate"/>
            </w:r>
            <w:r w:rsidRPr="00C96459">
              <w:rPr>
                <w:rFonts w:ascii="Times New Roman" w:hAnsi="Times New Roman" w:cs="Times New Roman"/>
                <w:noProof/>
                <w:webHidden/>
                <w:sz w:val="24"/>
                <w:szCs w:val="24"/>
              </w:rPr>
              <w:t>8</w:t>
            </w:r>
            <w:r w:rsidRPr="00C96459">
              <w:rPr>
                <w:rFonts w:ascii="Times New Roman" w:hAnsi="Times New Roman" w:cs="Times New Roman"/>
                <w:noProof/>
                <w:webHidden/>
                <w:sz w:val="24"/>
                <w:szCs w:val="24"/>
              </w:rPr>
              <w:fldChar w:fldCharType="end"/>
            </w:r>
          </w:hyperlink>
        </w:p>
        <w:p w14:paraId="117A45C2" w14:textId="77777777" w:rsidR="00C96459" w:rsidRPr="00C96459" w:rsidRDefault="00000000" w:rsidP="00C96459">
          <w:pPr>
            <w:pStyle w:val="TOC1"/>
            <w:tabs>
              <w:tab w:val="right" w:leader="dot" w:pos="9350"/>
            </w:tabs>
            <w:spacing w:line="360" w:lineRule="auto"/>
            <w:jc w:val="both"/>
            <w:rPr>
              <w:rFonts w:ascii="Times New Roman" w:hAnsi="Times New Roman" w:cs="Times New Roman"/>
              <w:noProof/>
              <w:sz w:val="24"/>
              <w:szCs w:val="24"/>
            </w:rPr>
          </w:pPr>
          <w:hyperlink w:anchor="_Toc110532643" w:history="1">
            <w:r w:rsidRPr="00C96459">
              <w:rPr>
                <w:rStyle w:val="Hyperlink"/>
                <w:rFonts w:ascii="Times New Roman" w:hAnsi="Times New Roman" w:cs="Times New Roman"/>
                <w:noProof/>
                <w:sz w:val="24"/>
                <w:szCs w:val="24"/>
              </w:rPr>
              <w:t>Conclusion</w:t>
            </w:r>
            <w:r w:rsidRPr="00C96459">
              <w:rPr>
                <w:rFonts w:ascii="Times New Roman" w:hAnsi="Times New Roman" w:cs="Times New Roman"/>
                <w:noProof/>
                <w:webHidden/>
                <w:sz w:val="24"/>
                <w:szCs w:val="24"/>
              </w:rPr>
              <w:tab/>
            </w:r>
            <w:r w:rsidRPr="00C96459">
              <w:rPr>
                <w:rFonts w:ascii="Times New Roman" w:hAnsi="Times New Roman" w:cs="Times New Roman"/>
                <w:noProof/>
                <w:webHidden/>
                <w:sz w:val="24"/>
                <w:szCs w:val="24"/>
              </w:rPr>
              <w:fldChar w:fldCharType="begin"/>
            </w:r>
            <w:r w:rsidRPr="00C96459">
              <w:rPr>
                <w:rFonts w:ascii="Times New Roman" w:hAnsi="Times New Roman" w:cs="Times New Roman"/>
                <w:noProof/>
                <w:webHidden/>
                <w:sz w:val="24"/>
                <w:szCs w:val="24"/>
              </w:rPr>
              <w:instrText xml:space="preserve"> PAGEREF _Toc110532643 \h </w:instrText>
            </w:r>
            <w:r w:rsidRPr="00C96459">
              <w:rPr>
                <w:rFonts w:ascii="Times New Roman" w:hAnsi="Times New Roman" w:cs="Times New Roman"/>
                <w:noProof/>
                <w:webHidden/>
                <w:sz w:val="24"/>
                <w:szCs w:val="24"/>
              </w:rPr>
            </w:r>
            <w:r w:rsidRPr="00C96459">
              <w:rPr>
                <w:rFonts w:ascii="Times New Roman" w:hAnsi="Times New Roman" w:cs="Times New Roman"/>
                <w:noProof/>
                <w:webHidden/>
                <w:sz w:val="24"/>
                <w:szCs w:val="24"/>
              </w:rPr>
              <w:fldChar w:fldCharType="separate"/>
            </w:r>
            <w:r w:rsidRPr="00C96459">
              <w:rPr>
                <w:rFonts w:ascii="Times New Roman" w:hAnsi="Times New Roman" w:cs="Times New Roman"/>
                <w:noProof/>
                <w:webHidden/>
                <w:sz w:val="24"/>
                <w:szCs w:val="24"/>
              </w:rPr>
              <w:t>9</w:t>
            </w:r>
            <w:r w:rsidRPr="00C96459">
              <w:rPr>
                <w:rFonts w:ascii="Times New Roman" w:hAnsi="Times New Roman" w:cs="Times New Roman"/>
                <w:noProof/>
                <w:webHidden/>
                <w:sz w:val="24"/>
                <w:szCs w:val="24"/>
              </w:rPr>
              <w:fldChar w:fldCharType="end"/>
            </w:r>
          </w:hyperlink>
        </w:p>
        <w:p w14:paraId="1AD2D286" w14:textId="77777777" w:rsidR="00C96459" w:rsidRPr="00C96459" w:rsidRDefault="00000000" w:rsidP="00C96459">
          <w:pPr>
            <w:pStyle w:val="TOC1"/>
            <w:tabs>
              <w:tab w:val="right" w:leader="dot" w:pos="9350"/>
            </w:tabs>
            <w:spacing w:line="360" w:lineRule="auto"/>
            <w:jc w:val="both"/>
            <w:rPr>
              <w:rFonts w:ascii="Times New Roman" w:hAnsi="Times New Roman" w:cs="Times New Roman"/>
              <w:noProof/>
              <w:sz w:val="24"/>
              <w:szCs w:val="24"/>
            </w:rPr>
          </w:pPr>
          <w:hyperlink w:anchor="_Toc110532644" w:history="1">
            <w:r w:rsidRPr="00C96459">
              <w:rPr>
                <w:rStyle w:val="Hyperlink"/>
                <w:rFonts w:ascii="Times New Roman" w:hAnsi="Times New Roman" w:cs="Times New Roman"/>
                <w:noProof/>
                <w:sz w:val="24"/>
                <w:szCs w:val="24"/>
              </w:rPr>
              <w:t>List of references</w:t>
            </w:r>
            <w:r w:rsidRPr="00C96459">
              <w:rPr>
                <w:rFonts w:ascii="Times New Roman" w:hAnsi="Times New Roman" w:cs="Times New Roman"/>
                <w:noProof/>
                <w:webHidden/>
                <w:sz w:val="24"/>
                <w:szCs w:val="24"/>
              </w:rPr>
              <w:tab/>
            </w:r>
            <w:r w:rsidRPr="00C96459">
              <w:rPr>
                <w:rFonts w:ascii="Times New Roman" w:hAnsi="Times New Roman" w:cs="Times New Roman"/>
                <w:noProof/>
                <w:webHidden/>
                <w:sz w:val="24"/>
                <w:szCs w:val="24"/>
              </w:rPr>
              <w:fldChar w:fldCharType="begin"/>
            </w:r>
            <w:r w:rsidRPr="00C96459">
              <w:rPr>
                <w:rFonts w:ascii="Times New Roman" w:hAnsi="Times New Roman" w:cs="Times New Roman"/>
                <w:noProof/>
                <w:webHidden/>
                <w:sz w:val="24"/>
                <w:szCs w:val="24"/>
              </w:rPr>
              <w:instrText xml:space="preserve"> PAGEREF _Toc110532644 \h </w:instrText>
            </w:r>
            <w:r w:rsidRPr="00C96459">
              <w:rPr>
                <w:rFonts w:ascii="Times New Roman" w:hAnsi="Times New Roman" w:cs="Times New Roman"/>
                <w:noProof/>
                <w:webHidden/>
                <w:sz w:val="24"/>
                <w:szCs w:val="24"/>
              </w:rPr>
            </w:r>
            <w:r w:rsidRPr="00C96459">
              <w:rPr>
                <w:rFonts w:ascii="Times New Roman" w:hAnsi="Times New Roman" w:cs="Times New Roman"/>
                <w:noProof/>
                <w:webHidden/>
                <w:sz w:val="24"/>
                <w:szCs w:val="24"/>
              </w:rPr>
              <w:fldChar w:fldCharType="separate"/>
            </w:r>
            <w:r w:rsidRPr="00C96459">
              <w:rPr>
                <w:rFonts w:ascii="Times New Roman" w:hAnsi="Times New Roman" w:cs="Times New Roman"/>
                <w:noProof/>
                <w:webHidden/>
                <w:sz w:val="24"/>
                <w:szCs w:val="24"/>
              </w:rPr>
              <w:t>10</w:t>
            </w:r>
            <w:r w:rsidRPr="00C96459">
              <w:rPr>
                <w:rFonts w:ascii="Times New Roman" w:hAnsi="Times New Roman" w:cs="Times New Roman"/>
                <w:noProof/>
                <w:webHidden/>
                <w:sz w:val="24"/>
                <w:szCs w:val="24"/>
              </w:rPr>
              <w:fldChar w:fldCharType="end"/>
            </w:r>
          </w:hyperlink>
        </w:p>
        <w:p w14:paraId="24E314F8" w14:textId="77777777" w:rsidR="00C96459" w:rsidRPr="00C96459" w:rsidRDefault="00000000" w:rsidP="00C96459">
          <w:pPr>
            <w:spacing w:line="360" w:lineRule="auto"/>
            <w:jc w:val="both"/>
            <w:rPr>
              <w:rFonts w:ascii="Times New Roman" w:hAnsi="Times New Roman" w:cs="Times New Roman"/>
              <w:sz w:val="24"/>
              <w:szCs w:val="24"/>
            </w:rPr>
          </w:pPr>
          <w:r w:rsidRPr="00C96459">
            <w:rPr>
              <w:rFonts w:ascii="Times New Roman" w:hAnsi="Times New Roman" w:cs="Times New Roman"/>
              <w:b/>
              <w:bCs/>
              <w:noProof/>
              <w:sz w:val="24"/>
              <w:szCs w:val="24"/>
            </w:rPr>
            <w:fldChar w:fldCharType="end"/>
          </w:r>
        </w:p>
      </w:sdtContent>
    </w:sdt>
    <w:p w14:paraId="36A8255B" w14:textId="77777777" w:rsidR="00782D61" w:rsidRPr="00C96459" w:rsidRDefault="00000000" w:rsidP="00C96459">
      <w:pPr>
        <w:spacing w:line="360" w:lineRule="auto"/>
        <w:jc w:val="center"/>
        <w:rPr>
          <w:rFonts w:ascii="Times New Roman" w:eastAsia="Times New Roman" w:hAnsi="Times New Roman" w:cs="Times New Roman"/>
          <w:b/>
          <w:sz w:val="24"/>
          <w:szCs w:val="24"/>
        </w:rPr>
      </w:pPr>
      <w:r w:rsidRPr="00C96459">
        <w:rPr>
          <w:rFonts w:ascii="Times New Roman" w:hAnsi="Times New Roman" w:cs="Times New Roman"/>
          <w:sz w:val="24"/>
          <w:szCs w:val="24"/>
        </w:rPr>
        <w:br w:type="page"/>
      </w:r>
    </w:p>
    <w:p w14:paraId="6BADD92D" w14:textId="77777777" w:rsidR="00782D61" w:rsidRPr="00C96459" w:rsidRDefault="00000000" w:rsidP="00C96459">
      <w:pPr>
        <w:pStyle w:val="Heading1"/>
        <w:spacing w:line="360" w:lineRule="auto"/>
        <w:rPr>
          <w:rFonts w:cs="Times New Roman"/>
          <w:szCs w:val="24"/>
        </w:rPr>
      </w:pPr>
      <w:bookmarkStart w:id="0" w:name="_Toc110532637"/>
      <w:r w:rsidRPr="00C96459">
        <w:rPr>
          <w:rFonts w:cs="Times New Roman"/>
          <w:szCs w:val="24"/>
        </w:rPr>
        <w:lastRenderedPageBreak/>
        <w:t>Introduction</w:t>
      </w:r>
      <w:bookmarkEnd w:id="0"/>
    </w:p>
    <w:p w14:paraId="07719607" w14:textId="77777777" w:rsidR="00782D61" w:rsidRPr="00C96459" w:rsidRDefault="00000000" w:rsidP="00C96459">
      <w:p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sz w:val="24"/>
          <w:szCs w:val="24"/>
        </w:rPr>
        <w:t>In the assessment, the objective is to discuss the benefits of International Financial Management (IFM) that a Multinational Corporation or MNC gets, then to go through the policy of dividend distribution of that company and the EMH as well. After completing the analysis of these two aspects, the project appraisal of that MNC and the recent issues the company is facing right now will be discussed also.</w:t>
      </w:r>
    </w:p>
    <w:p w14:paraId="2B9535A1" w14:textId="77777777" w:rsidR="00782D61" w:rsidRPr="00C96459" w:rsidRDefault="00000000" w:rsidP="00C96459">
      <w:p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sz w:val="24"/>
          <w:szCs w:val="24"/>
        </w:rPr>
        <w:t xml:space="preserve"> In the modern world, </w:t>
      </w:r>
      <w:r w:rsidR="005F4914" w:rsidRPr="00C96459">
        <w:rPr>
          <w:rFonts w:ascii="Times New Roman" w:eastAsia="Times New Roman" w:hAnsi="Times New Roman" w:cs="Times New Roman"/>
          <w:sz w:val="24"/>
          <w:szCs w:val="24"/>
        </w:rPr>
        <w:t>international</w:t>
      </w:r>
      <w:r w:rsidRPr="00C96459">
        <w:rPr>
          <w:rFonts w:ascii="Times New Roman" w:eastAsia="Times New Roman" w:hAnsi="Times New Roman" w:cs="Times New Roman"/>
          <w:sz w:val="24"/>
          <w:szCs w:val="24"/>
        </w:rPr>
        <w:t xml:space="preserve"> finance or International financial management (IFM) resembles the aspects of financial management in a worldwide environment of business. Financial management and IFM are not the same as IFM takes into account various factors such as political aspects, currencies, markets of imperfect competition, differentiated sets of opportunity, etc. (</w:t>
      </w:r>
      <w:r w:rsidRPr="00C96459">
        <w:rPr>
          <w:rFonts w:ascii="Times New Roman" w:eastAsia="Times New Roman" w:hAnsi="Times New Roman" w:cs="Times New Roman"/>
          <w:sz w:val="24"/>
          <w:szCs w:val="24"/>
          <w:highlight w:val="white"/>
        </w:rPr>
        <w:t>Bekaert and Hodrick, 2017).</w:t>
      </w:r>
      <w:r w:rsidRPr="00C96459">
        <w:rPr>
          <w:rFonts w:ascii="Times New Roman" w:eastAsia="Times New Roman" w:hAnsi="Times New Roman" w:cs="Times New Roman"/>
          <w:sz w:val="24"/>
          <w:szCs w:val="24"/>
        </w:rPr>
        <w:t xml:space="preserve"> The MNCs often consider IFM in their businesses to go through various aspects as referred already. In this assessment, the cases of Rio Tinto will be observed. Rio Tinto is said to be an Anglo-Australian Mining and metal company that is headquartered in London the UK but this 2nd largest mining corporation in the world operates in various countries of the world (</w:t>
      </w:r>
      <w:r w:rsidR="005F4914" w:rsidRPr="00C96459">
        <w:rPr>
          <w:rFonts w:ascii="Times New Roman" w:hAnsi="Times New Roman" w:cs="Times New Roman"/>
          <w:color w:val="000000" w:themeColor="text1"/>
          <w:sz w:val="24"/>
          <w:szCs w:val="24"/>
        </w:rPr>
        <w:t>Riotinto, 2022</w:t>
      </w:r>
      <w:r w:rsidRPr="00C96459">
        <w:rPr>
          <w:rFonts w:ascii="Times New Roman" w:eastAsia="Times New Roman" w:hAnsi="Times New Roman" w:cs="Times New Roman"/>
          <w:sz w:val="24"/>
          <w:szCs w:val="24"/>
        </w:rPr>
        <w:t xml:space="preserve">). </w:t>
      </w:r>
    </w:p>
    <w:p w14:paraId="163725FA" w14:textId="77777777" w:rsidR="00782D61" w:rsidRPr="00C96459" w:rsidRDefault="00000000" w:rsidP="00C96459">
      <w:pPr>
        <w:pStyle w:val="Heading1"/>
        <w:spacing w:line="360" w:lineRule="auto"/>
        <w:rPr>
          <w:rFonts w:cs="Times New Roman"/>
          <w:szCs w:val="24"/>
        </w:rPr>
      </w:pPr>
      <w:bookmarkStart w:id="1" w:name="_Toc110532638"/>
      <w:r w:rsidRPr="00C96459">
        <w:rPr>
          <w:rFonts w:cs="Times New Roman"/>
          <w:szCs w:val="24"/>
        </w:rPr>
        <w:t>Benefits of IFM</w:t>
      </w:r>
      <w:bookmarkEnd w:id="1"/>
    </w:p>
    <w:p w14:paraId="5CB89C0B" w14:textId="77777777" w:rsidR="00782D61" w:rsidRPr="00C96459" w:rsidRDefault="00000000" w:rsidP="00C96459">
      <w:p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sz w:val="24"/>
          <w:szCs w:val="24"/>
        </w:rPr>
        <w:t>MNCs initiate IFM in their businesses because it helps the companies to mitigate several challenges. They include-</w:t>
      </w:r>
    </w:p>
    <w:p w14:paraId="314742FD" w14:textId="77777777" w:rsidR="00782D61" w:rsidRPr="00C96459" w:rsidRDefault="00000000" w:rsidP="00C96459">
      <w:pPr>
        <w:numPr>
          <w:ilvl w:val="0"/>
          <w:numId w:val="1"/>
        </w:numPr>
        <w:spacing w:line="360" w:lineRule="auto"/>
        <w:jc w:val="both"/>
        <w:rPr>
          <w:rFonts w:ascii="Times New Roman" w:eastAsia="Times New Roman" w:hAnsi="Times New Roman" w:cs="Times New Roman"/>
          <w:b/>
          <w:sz w:val="24"/>
          <w:szCs w:val="24"/>
        </w:rPr>
      </w:pPr>
      <w:r w:rsidRPr="00C96459">
        <w:rPr>
          <w:rFonts w:ascii="Times New Roman" w:eastAsia="Times New Roman" w:hAnsi="Times New Roman" w:cs="Times New Roman"/>
          <w:b/>
          <w:sz w:val="24"/>
          <w:szCs w:val="24"/>
        </w:rPr>
        <w:t>Managing the working capital:</w:t>
      </w:r>
      <w:r w:rsidRPr="00C96459">
        <w:rPr>
          <w:rFonts w:ascii="Times New Roman" w:eastAsia="Times New Roman" w:hAnsi="Times New Roman" w:cs="Times New Roman"/>
          <w:sz w:val="24"/>
          <w:szCs w:val="24"/>
        </w:rPr>
        <w:t xml:space="preserve"> Short-term liquidity available to a company is termed working capital. This helps the MNCs to meet the short-term debts as the firm's value is maximized because of expenditures on projects having a positive NPV. This can be seen in the positive cash flow statement of the company.</w:t>
      </w:r>
    </w:p>
    <w:p w14:paraId="15E1BA75" w14:textId="77777777" w:rsidR="00782D61" w:rsidRPr="00C96459" w:rsidRDefault="00000000" w:rsidP="00C96459">
      <w:pPr>
        <w:numPr>
          <w:ilvl w:val="0"/>
          <w:numId w:val="1"/>
        </w:numPr>
        <w:spacing w:line="360" w:lineRule="auto"/>
        <w:jc w:val="both"/>
        <w:rPr>
          <w:rFonts w:ascii="Times New Roman" w:eastAsia="Times New Roman" w:hAnsi="Times New Roman" w:cs="Times New Roman"/>
          <w:b/>
          <w:sz w:val="24"/>
          <w:szCs w:val="24"/>
        </w:rPr>
      </w:pPr>
      <w:r w:rsidRPr="00C96459">
        <w:rPr>
          <w:rFonts w:ascii="Times New Roman" w:eastAsia="Times New Roman" w:hAnsi="Times New Roman" w:cs="Times New Roman"/>
          <w:b/>
          <w:sz w:val="24"/>
          <w:szCs w:val="24"/>
        </w:rPr>
        <w:t>Functional activities:</w:t>
      </w:r>
      <w:r w:rsidRPr="00C96459">
        <w:rPr>
          <w:rFonts w:ascii="Times New Roman" w:eastAsia="Times New Roman" w:hAnsi="Times New Roman" w:cs="Times New Roman"/>
          <w:sz w:val="24"/>
          <w:szCs w:val="24"/>
        </w:rPr>
        <w:t xml:space="preserve"> MNCs can achieve the financial objectives by implementing the IFM as it offers comprehensive harmonization in marketing, production, etc. financial sectors. MNCs can become successful as well with the help of IFM. Effective maintenance of the other businesses can be seen in MNCs where the IFM is said to be imperfect</w:t>
      </w:r>
      <w:r w:rsidR="005F4914" w:rsidRPr="00C96459">
        <w:rPr>
          <w:rFonts w:ascii="Times New Roman" w:eastAsia="Times New Roman" w:hAnsi="Times New Roman" w:cs="Times New Roman"/>
          <w:sz w:val="24"/>
          <w:szCs w:val="24"/>
        </w:rPr>
        <w:t xml:space="preserve"> (</w:t>
      </w:r>
      <w:r w:rsidR="005F4914" w:rsidRPr="00C96459">
        <w:rPr>
          <w:rFonts w:ascii="Times New Roman" w:hAnsi="Times New Roman" w:cs="Times New Roman"/>
          <w:color w:val="000000" w:themeColor="text1"/>
          <w:sz w:val="24"/>
          <w:szCs w:val="24"/>
          <w:shd w:val="clear" w:color="auto" w:fill="FFFFFF"/>
        </w:rPr>
        <w:t>Pike and Neale, 2006)</w:t>
      </w:r>
      <w:r w:rsidRPr="00C96459">
        <w:rPr>
          <w:rFonts w:ascii="Times New Roman" w:eastAsia="Times New Roman" w:hAnsi="Times New Roman" w:cs="Times New Roman"/>
          <w:sz w:val="24"/>
          <w:szCs w:val="24"/>
        </w:rPr>
        <w:t xml:space="preserve">. </w:t>
      </w:r>
    </w:p>
    <w:p w14:paraId="0FBAC61E" w14:textId="77777777" w:rsidR="00782D61" w:rsidRPr="00C96459" w:rsidRDefault="00000000" w:rsidP="00C96459">
      <w:pPr>
        <w:numPr>
          <w:ilvl w:val="0"/>
          <w:numId w:val="1"/>
        </w:numPr>
        <w:spacing w:line="360" w:lineRule="auto"/>
        <w:jc w:val="both"/>
        <w:rPr>
          <w:rFonts w:ascii="Times New Roman" w:eastAsia="Times New Roman" w:hAnsi="Times New Roman" w:cs="Times New Roman"/>
          <w:b/>
          <w:sz w:val="24"/>
          <w:szCs w:val="24"/>
        </w:rPr>
      </w:pPr>
      <w:r w:rsidRPr="00C96459">
        <w:rPr>
          <w:rFonts w:ascii="Times New Roman" w:eastAsia="Times New Roman" w:hAnsi="Times New Roman" w:cs="Times New Roman"/>
          <w:b/>
          <w:sz w:val="24"/>
          <w:szCs w:val="24"/>
        </w:rPr>
        <w:t>Handling the exchange currency risks:</w:t>
      </w:r>
      <w:r w:rsidRPr="00C96459">
        <w:rPr>
          <w:rFonts w:ascii="Times New Roman" w:eastAsia="Times New Roman" w:hAnsi="Times New Roman" w:cs="Times New Roman"/>
          <w:sz w:val="24"/>
          <w:szCs w:val="24"/>
        </w:rPr>
        <w:t xml:space="preserve"> Risks associated with currency exchange can be solved easily by the IFM. An MNC can provide invoices to the clients to meet these </w:t>
      </w:r>
      <w:r w:rsidRPr="00C96459">
        <w:rPr>
          <w:rFonts w:ascii="Times New Roman" w:eastAsia="Times New Roman" w:hAnsi="Times New Roman" w:cs="Times New Roman"/>
          <w:sz w:val="24"/>
          <w:szCs w:val="24"/>
        </w:rPr>
        <w:lastRenderedPageBreak/>
        <w:t xml:space="preserve">financial exchange risks. Policies like forwarding contracts, </w:t>
      </w:r>
      <w:r w:rsidR="005F4914" w:rsidRPr="00C96459">
        <w:rPr>
          <w:rFonts w:ascii="Times New Roman" w:eastAsia="Times New Roman" w:hAnsi="Times New Roman" w:cs="Times New Roman"/>
          <w:sz w:val="24"/>
          <w:szCs w:val="24"/>
        </w:rPr>
        <w:t>logging,</w:t>
      </w:r>
      <w:r w:rsidRPr="00C96459">
        <w:rPr>
          <w:rFonts w:ascii="Times New Roman" w:eastAsia="Times New Roman" w:hAnsi="Times New Roman" w:cs="Times New Roman"/>
          <w:sz w:val="24"/>
          <w:szCs w:val="24"/>
        </w:rPr>
        <w:t xml:space="preserve"> lending, settlement, etc. can be implemented as well.</w:t>
      </w:r>
    </w:p>
    <w:p w14:paraId="0B4F1570" w14:textId="77777777" w:rsidR="00782D61" w:rsidRPr="00C96459" w:rsidRDefault="00000000" w:rsidP="00C96459">
      <w:p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sz w:val="24"/>
          <w:szCs w:val="24"/>
        </w:rPr>
        <w:t xml:space="preserve">Rio Tinto has managed to lower the financial, compliance, and operational risks that can influence the performance, licensing, and reputation of the company. IFM has allowed Rio Tinto to manage the management and financial risks effectively to support the delivery of the strategic goals of the company. Also, the company is trying to become more sustainable by using IFM properly. Also, with the help of IFM, Rio Tinto company has managed to develop several strategies to meet the currency exchange risks and all. </w:t>
      </w:r>
    </w:p>
    <w:p w14:paraId="73F6276D" w14:textId="77777777" w:rsidR="00782D61" w:rsidRPr="00C96459" w:rsidRDefault="00000000" w:rsidP="00C96459">
      <w:pPr>
        <w:pStyle w:val="Heading1"/>
        <w:spacing w:line="360" w:lineRule="auto"/>
        <w:rPr>
          <w:rFonts w:cs="Times New Roman"/>
          <w:szCs w:val="24"/>
        </w:rPr>
      </w:pPr>
      <w:bookmarkStart w:id="2" w:name="_Toc110532639"/>
      <w:r w:rsidRPr="00C96459">
        <w:rPr>
          <w:rFonts w:cs="Times New Roman"/>
          <w:szCs w:val="24"/>
        </w:rPr>
        <w:t>Company’s dividend distribution policy</w:t>
      </w:r>
      <w:bookmarkEnd w:id="2"/>
    </w:p>
    <w:p w14:paraId="45537436" w14:textId="77777777" w:rsidR="00782D61" w:rsidRPr="00C96459" w:rsidRDefault="00000000" w:rsidP="00C96459">
      <w:p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sz w:val="24"/>
          <w:szCs w:val="24"/>
        </w:rPr>
        <w:t>Rio Tinto has already released the dividends distribution policy for the financial year 2021-22. According to the reports of the company, the company is expected to receive a dividend in April 2022. In the UK, the ordinary dividend per share is valued at GBP 306.72 for the 2021 final period and the value was 270.84 GBP in the 2021 interim. The special dividend per share for the 2021 final period was 45.60 GBP while the value was 133.26 GBP in the interim period. It can be seen that the value has fallen in the final period than in the interim period. Rio Tinto's management authority evaluates a respective level of ordinary dividend/share at the end of every financial year. The management postulates this level by looking at the growth aspects in the long run of the company and also keeping in mind that the company can maintain a perfect balance sheet. The difference between the interim and final period's dividend is evaluated in the final dividend. Also, the return of total cash to the shareholders expected by the board of the company, in the long run, is estimated to be 40% to 60%. Cash returns and shareholders and investors in the business will be in balance as per the commitment of the board of Rio Tinto. The management has done this to maximize the value of shareholders. The management of the company has intended to supplement the ordinary dividends alongside shareholders' additional returns, to acknowledge the cyclical environment of the mining sector (</w:t>
      </w:r>
      <w:r w:rsidR="005F4914" w:rsidRPr="00C96459">
        <w:rPr>
          <w:rFonts w:ascii="Times New Roman" w:hAnsi="Times New Roman" w:cs="Times New Roman"/>
          <w:color w:val="000000" w:themeColor="text1"/>
          <w:sz w:val="24"/>
          <w:szCs w:val="24"/>
        </w:rPr>
        <w:t>Riotinto, 2022</w:t>
      </w:r>
      <w:r w:rsidRPr="00C96459">
        <w:rPr>
          <w:rFonts w:ascii="Times New Roman" w:eastAsia="Times New Roman" w:hAnsi="Times New Roman" w:cs="Times New Roman"/>
          <w:sz w:val="24"/>
          <w:szCs w:val="24"/>
        </w:rPr>
        <w:t xml:space="preserve">).   </w:t>
      </w:r>
    </w:p>
    <w:p w14:paraId="2D9E1FF3" w14:textId="77777777" w:rsidR="00782D61" w:rsidRPr="00C96459" w:rsidRDefault="00000000" w:rsidP="00C96459">
      <w:pPr>
        <w:pStyle w:val="Heading1"/>
        <w:spacing w:line="360" w:lineRule="auto"/>
        <w:rPr>
          <w:rFonts w:cs="Times New Roman"/>
          <w:szCs w:val="24"/>
        </w:rPr>
      </w:pPr>
      <w:bookmarkStart w:id="3" w:name="_Toc110532640"/>
      <w:r w:rsidRPr="00C96459">
        <w:rPr>
          <w:rFonts w:cs="Times New Roman"/>
          <w:szCs w:val="24"/>
        </w:rPr>
        <w:t>The EMH analysis of Rio Tinto</w:t>
      </w:r>
      <w:bookmarkEnd w:id="3"/>
    </w:p>
    <w:p w14:paraId="263C6912" w14:textId="77777777" w:rsidR="00782D61" w:rsidRPr="00C96459" w:rsidRDefault="00000000" w:rsidP="00C96459">
      <w:p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sz w:val="24"/>
          <w:szCs w:val="24"/>
        </w:rPr>
        <w:t>EMH or Efficient Market Hypothesis is a financial management hypothesis that considers the data related to the prices, investment securities, and all other known aspects. This hypothesis takes into account all the factors that drive a market to operate efficiently</w:t>
      </w:r>
      <w:r w:rsidR="005F4914" w:rsidRPr="00C96459">
        <w:rPr>
          <w:rFonts w:ascii="Times New Roman" w:eastAsia="Times New Roman" w:hAnsi="Times New Roman" w:cs="Times New Roman"/>
          <w:sz w:val="24"/>
          <w:szCs w:val="24"/>
        </w:rPr>
        <w:t xml:space="preserve"> (</w:t>
      </w:r>
      <w:r w:rsidR="005F4914" w:rsidRPr="00C96459">
        <w:rPr>
          <w:rFonts w:ascii="Times New Roman" w:hAnsi="Times New Roman" w:cs="Times New Roman"/>
          <w:color w:val="000000" w:themeColor="text1"/>
          <w:sz w:val="24"/>
          <w:szCs w:val="24"/>
          <w:shd w:val="clear" w:color="auto" w:fill="FFFFFF"/>
        </w:rPr>
        <w:t>McLaney, 2005)</w:t>
      </w:r>
      <w:r w:rsidRPr="00C96459">
        <w:rPr>
          <w:rFonts w:ascii="Times New Roman" w:eastAsia="Times New Roman" w:hAnsi="Times New Roman" w:cs="Times New Roman"/>
          <w:sz w:val="24"/>
          <w:szCs w:val="24"/>
        </w:rPr>
        <w:t xml:space="preserve">. The EMH has </w:t>
      </w:r>
      <w:r w:rsidRPr="00C96459">
        <w:rPr>
          <w:rFonts w:ascii="Times New Roman" w:eastAsia="Times New Roman" w:hAnsi="Times New Roman" w:cs="Times New Roman"/>
          <w:sz w:val="24"/>
          <w:szCs w:val="24"/>
        </w:rPr>
        <w:lastRenderedPageBreak/>
        <w:t>an assumption that the pricing of financial security will be done correctly. So, the stocks are expected to be neither overvalued nor undervalued. EMH can be of three different varieties- Weak, strong, and semi-strong. Investors who are also subscribers of EMH tend to invest in passive index funds more as these funds depict the overall performance of a market. EMH also says that there are not a lot of money managers in the market who can outperform the market regularly.</w:t>
      </w:r>
    </w:p>
    <w:p w14:paraId="7697AF6D" w14:textId="77777777" w:rsidR="00782D61" w:rsidRPr="00C96459" w:rsidRDefault="00000000" w:rsidP="00C96459">
      <w:p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noProof/>
          <w:sz w:val="24"/>
          <w:szCs w:val="24"/>
        </w:rPr>
        <w:drawing>
          <wp:inline distT="114300" distB="114300" distL="114300" distR="114300" wp14:anchorId="72DD3B66" wp14:editId="2C3CA560">
            <wp:extent cx="5943600" cy="2971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2971800"/>
                    </a:xfrm>
                    <a:prstGeom prst="rect">
                      <a:avLst/>
                    </a:prstGeom>
                  </pic:spPr>
                </pic:pic>
              </a:graphicData>
            </a:graphic>
          </wp:inline>
        </w:drawing>
      </w:r>
      <w:r w:rsidRPr="00C96459">
        <w:rPr>
          <w:rFonts w:ascii="Times New Roman" w:eastAsia="Times New Roman" w:hAnsi="Times New Roman" w:cs="Times New Roman"/>
          <w:sz w:val="24"/>
          <w:szCs w:val="24"/>
        </w:rPr>
        <w:t xml:space="preserve">   </w:t>
      </w:r>
    </w:p>
    <w:p w14:paraId="3431EB46" w14:textId="77777777" w:rsidR="00782D61" w:rsidRPr="00C96459" w:rsidRDefault="00000000" w:rsidP="00C96459">
      <w:pPr>
        <w:spacing w:before="240" w:after="240" w:line="360" w:lineRule="auto"/>
        <w:jc w:val="center"/>
        <w:rPr>
          <w:rFonts w:ascii="Times New Roman" w:eastAsia="Times New Roman" w:hAnsi="Times New Roman" w:cs="Times New Roman"/>
          <w:b/>
          <w:sz w:val="24"/>
          <w:szCs w:val="24"/>
          <w:highlight w:val="white"/>
        </w:rPr>
      </w:pPr>
      <w:r w:rsidRPr="00C96459">
        <w:rPr>
          <w:rFonts w:ascii="Times New Roman" w:eastAsia="Times New Roman" w:hAnsi="Times New Roman" w:cs="Times New Roman"/>
          <w:b/>
          <w:sz w:val="24"/>
          <w:szCs w:val="24"/>
          <w:highlight w:val="white"/>
        </w:rPr>
        <w:t>Fig. 1: Three forms of Efficient Market Hypothesis</w:t>
      </w:r>
    </w:p>
    <w:p w14:paraId="7A1BADE0" w14:textId="77777777" w:rsidR="00782D61" w:rsidRPr="00C96459" w:rsidRDefault="00000000" w:rsidP="00C96459">
      <w:pPr>
        <w:spacing w:before="240" w:after="240" w:line="360" w:lineRule="auto"/>
        <w:jc w:val="center"/>
        <w:rPr>
          <w:rFonts w:ascii="Times New Roman" w:eastAsia="Times New Roman" w:hAnsi="Times New Roman" w:cs="Times New Roman"/>
          <w:sz w:val="24"/>
          <w:szCs w:val="24"/>
          <w:highlight w:val="white"/>
        </w:rPr>
      </w:pPr>
      <w:r w:rsidRPr="00C96459">
        <w:rPr>
          <w:rFonts w:ascii="Times New Roman" w:eastAsia="Times New Roman" w:hAnsi="Times New Roman" w:cs="Times New Roman"/>
          <w:sz w:val="24"/>
          <w:szCs w:val="24"/>
          <w:highlight w:val="white"/>
        </w:rPr>
        <w:t>(Source:</w:t>
      </w:r>
      <w:r w:rsidRPr="00C96459">
        <w:rPr>
          <w:rFonts w:ascii="Times New Roman" w:eastAsia="Times New Roman" w:hAnsi="Times New Roman" w:cs="Times New Roman"/>
          <w:sz w:val="24"/>
          <w:szCs w:val="24"/>
        </w:rPr>
        <w:t xml:space="preserve"> QS Study, 2022</w:t>
      </w:r>
      <w:r w:rsidRPr="00C96459">
        <w:rPr>
          <w:rFonts w:ascii="Times New Roman" w:eastAsia="Times New Roman" w:hAnsi="Times New Roman" w:cs="Times New Roman"/>
          <w:sz w:val="24"/>
          <w:szCs w:val="24"/>
          <w:highlight w:val="white"/>
        </w:rPr>
        <w:t>)</w:t>
      </w:r>
    </w:p>
    <w:p w14:paraId="12EA553A" w14:textId="77777777" w:rsidR="00782D61" w:rsidRPr="00C96459" w:rsidRDefault="00000000" w:rsidP="00C96459">
      <w:pPr>
        <w:numPr>
          <w:ilvl w:val="0"/>
          <w:numId w:val="2"/>
        </w:numPr>
        <w:spacing w:before="240" w:after="240" w:line="360" w:lineRule="auto"/>
        <w:jc w:val="both"/>
        <w:rPr>
          <w:rFonts w:ascii="Times New Roman" w:eastAsia="Times New Roman" w:hAnsi="Times New Roman" w:cs="Times New Roman"/>
          <w:sz w:val="24"/>
          <w:szCs w:val="24"/>
          <w:highlight w:val="white"/>
        </w:rPr>
      </w:pPr>
      <w:r w:rsidRPr="00C96459">
        <w:rPr>
          <w:rFonts w:ascii="Times New Roman" w:eastAsia="Times New Roman" w:hAnsi="Times New Roman" w:cs="Times New Roman"/>
          <w:b/>
          <w:bCs/>
          <w:sz w:val="24"/>
          <w:szCs w:val="24"/>
          <w:highlight w:val="white"/>
        </w:rPr>
        <w:t>Weak form:</w:t>
      </w:r>
      <w:r w:rsidRPr="00C96459">
        <w:rPr>
          <w:rFonts w:ascii="Times New Roman" w:eastAsia="Times New Roman" w:hAnsi="Times New Roman" w:cs="Times New Roman"/>
          <w:sz w:val="24"/>
          <w:szCs w:val="24"/>
          <w:highlight w:val="white"/>
        </w:rPr>
        <w:t xml:space="preserve"> </w:t>
      </w:r>
      <w:r w:rsidR="003A41E4" w:rsidRPr="00C96459">
        <w:rPr>
          <w:rFonts w:ascii="Times New Roman" w:eastAsia="Times New Roman" w:hAnsi="Times New Roman" w:cs="Times New Roman"/>
          <w:sz w:val="24"/>
          <w:szCs w:val="24"/>
          <w:highlight w:val="white"/>
        </w:rPr>
        <w:t>Securities’</w:t>
      </w:r>
      <w:r w:rsidRPr="00C96459">
        <w:rPr>
          <w:rFonts w:ascii="Times New Roman" w:eastAsia="Times New Roman" w:hAnsi="Times New Roman" w:cs="Times New Roman"/>
          <w:sz w:val="24"/>
          <w:szCs w:val="24"/>
          <w:highlight w:val="white"/>
        </w:rPr>
        <w:t xml:space="preserve"> prices are assumed to reflect the available data of the public market but there will be no reference for the new information. Consistent returns are not evaluated in the weak form as past price levels can never give a view of what the future price can be</w:t>
      </w:r>
      <w:r w:rsidR="00C96459" w:rsidRPr="00C96459">
        <w:rPr>
          <w:rFonts w:ascii="Times New Roman" w:eastAsia="Times New Roman" w:hAnsi="Times New Roman" w:cs="Times New Roman"/>
          <w:sz w:val="24"/>
          <w:szCs w:val="24"/>
          <w:highlight w:val="white"/>
        </w:rPr>
        <w:t xml:space="preserve"> (</w:t>
      </w:r>
      <w:r w:rsidR="00C96459" w:rsidRPr="00C96459">
        <w:rPr>
          <w:rFonts w:ascii="Times New Roman" w:hAnsi="Times New Roman" w:cs="Times New Roman"/>
          <w:color w:val="000000" w:themeColor="text1"/>
          <w:sz w:val="24"/>
          <w:szCs w:val="24"/>
          <w:shd w:val="clear" w:color="auto" w:fill="FFFFFF"/>
        </w:rPr>
        <w:t>Atrill, 2017)</w:t>
      </w:r>
      <w:r w:rsidRPr="00C96459">
        <w:rPr>
          <w:rFonts w:ascii="Times New Roman" w:eastAsia="Times New Roman" w:hAnsi="Times New Roman" w:cs="Times New Roman"/>
          <w:sz w:val="24"/>
          <w:szCs w:val="24"/>
          <w:highlight w:val="white"/>
        </w:rPr>
        <w:t xml:space="preserve">. </w:t>
      </w:r>
    </w:p>
    <w:p w14:paraId="42D44672" w14:textId="77777777" w:rsidR="00782D61" w:rsidRPr="00C96459" w:rsidRDefault="00000000" w:rsidP="00C96459">
      <w:pPr>
        <w:spacing w:before="240" w:after="240" w:line="360" w:lineRule="auto"/>
        <w:ind w:left="720"/>
        <w:jc w:val="both"/>
        <w:rPr>
          <w:rFonts w:ascii="Times New Roman" w:eastAsia="Times New Roman" w:hAnsi="Times New Roman" w:cs="Times New Roman"/>
          <w:sz w:val="24"/>
          <w:szCs w:val="24"/>
          <w:highlight w:val="white"/>
        </w:rPr>
      </w:pPr>
      <w:r w:rsidRPr="00C96459">
        <w:rPr>
          <w:rFonts w:ascii="Times New Roman" w:eastAsia="Times New Roman" w:hAnsi="Times New Roman" w:cs="Times New Roman"/>
          <w:sz w:val="24"/>
          <w:szCs w:val="24"/>
          <w:highlight w:val="white"/>
        </w:rPr>
        <w:t xml:space="preserve">Rio Tinto’s share price will be presented here in this assessment to analyze this. </w:t>
      </w:r>
    </w:p>
    <w:tbl>
      <w:tblPr>
        <w:tblW w:w="88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3"/>
        <w:gridCol w:w="2350"/>
        <w:gridCol w:w="1255"/>
        <w:gridCol w:w="1255"/>
        <w:gridCol w:w="1542"/>
      </w:tblGrid>
      <w:tr w:rsidR="00FC3E1D" w14:paraId="21C494EC" w14:textId="77777777" w:rsidTr="003A41E4">
        <w:trPr>
          <w:trHeight w:val="476"/>
          <w:jc w:val="center"/>
        </w:trPr>
        <w:tc>
          <w:tcPr>
            <w:tcW w:w="2483" w:type="dxa"/>
            <w:noWrap/>
            <w:tcMar>
              <w:top w:w="240" w:type="dxa"/>
              <w:left w:w="240" w:type="dxa"/>
              <w:bottom w:w="240" w:type="dxa"/>
              <w:right w:w="240" w:type="dxa"/>
            </w:tcMar>
            <w:vAlign w:val="center"/>
          </w:tcPr>
          <w:p w14:paraId="649F5BFA" w14:textId="77777777" w:rsidR="003A41E4" w:rsidRPr="00C96459" w:rsidRDefault="00000000" w:rsidP="00C96459">
            <w:pPr>
              <w:spacing w:line="360" w:lineRule="auto"/>
              <w:rPr>
                <w:rFonts w:ascii="Times New Roman" w:eastAsia="Times New Roman" w:hAnsi="Times New Roman" w:cs="Times New Roman"/>
                <w:color w:val="000000" w:themeColor="text1"/>
                <w:sz w:val="24"/>
                <w:szCs w:val="24"/>
                <w:lang w:val="en-IN"/>
              </w:rPr>
            </w:pPr>
            <w:r w:rsidRPr="00C96459">
              <w:rPr>
                <w:rFonts w:ascii="Times New Roman" w:eastAsia="Times New Roman" w:hAnsi="Times New Roman" w:cs="Times New Roman"/>
                <w:color w:val="000000" w:themeColor="text1"/>
                <w:sz w:val="24"/>
                <w:szCs w:val="24"/>
                <w:lang w:val="en-IN"/>
              </w:rPr>
              <w:t>Date of the month</w:t>
            </w:r>
          </w:p>
        </w:tc>
        <w:tc>
          <w:tcPr>
            <w:tcW w:w="0" w:type="auto"/>
            <w:noWrap/>
            <w:tcMar>
              <w:top w:w="240" w:type="dxa"/>
              <w:left w:w="240" w:type="dxa"/>
              <w:bottom w:w="240" w:type="dxa"/>
              <w:right w:w="240" w:type="dxa"/>
            </w:tcMar>
            <w:vAlign w:val="center"/>
          </w:tcPr>
          <w:p w14:paraId="50987A7C" w14:textId="77777777" w:rsidR="003A41E4" w:rsidRPr="00C96459"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C96459">
              <w:rPr>
                <w:rFonts w:ascii="Times New Roman" w:eastAsia="Times New Roman" w:hAnsi="Times New Roman" w:cs="Times New Roman"/>
                <w:color w:val="000000" w:themeColor="text1"/>
                <w:sz w:val="24"/>
                <w:szCs w:val="24"/>
                <w:lang w:val="en-IN"/>
              </w:rPr>
              <w:t>Price of the shares</w:t>
            </w:r>
          </w:p>
        </w:tc>
        <w:tc>
          <w:tcPr>
            <w:tcW w:w="0" w:type="auto"/>
            <w:noWrap/>
            <w:tcMar>
              <w:top w:w="240" w:type="dxa"/>
              <w:left w:w="240" w:type="dxa"/>
              <w:bottom w:w="240" w:type="dxa"/>
              <w:right w:w="240" w:type="dxa"/>
            </w:tcMar>
            <w:vAlign w:val="center"/>
          </w:tcPr>
          <w:p w14:paraId="049FB9C6" w14:textId="77777777" w:rsidR="003A41E4" w:rsidRPr="00C96459"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C96459">
              <w:rPr>
                <w:rFonts w:ascii="Times New Roman" w:eastAsia="Times New Roman" w:hAnsi="Times New Roman" w:cs="Times New Roman"/>
                <w:color w:val="000000" w:themeColor="text1"/>
                <w:sz w:val="24"/>
                <w:szCs w:val="24"/>
                <w:lang w:val="en-IN"/>
              </w:rPr>
              <w:t>Open</w:t>
            </w:r>
          </w:p>
        </w:tc>
        <w:tc>
          <w:tcPr>
            <w:tcW w:w="0" w:type="auto"/>
            <w:noWrap/>
            <w:tcMar>
              <w:top w:w="240" w:type="dxa"/>
              <w:left w:w="240" w:type="dxa"/>
              <w:bottom w:w="240" w:type="dxa"/>
              <w:right w:w="240" w:type="dxa"/>
            </w:tcMar>
            <w:vAlign w:val="center"/>
          </w:tcPr>
          <w:p w14:paraId="7EA6826B" w14:textId="77777777" w:rsidR="003A41E4" w:rsidRPr="00C96459"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C96459">
              <w:rPr>
                <w:rFonts w:ascii="Times New Roman" w:eastAsia="Times New Roman" w:hAnsi="Times New Roman" w:cs="Times New Roman"/>
                <w:color w:val="000000" w:themeColor="text1"/>
                <w:sz w:val="24"/>
                <w:szCs w:val="24"/>
                <w:lang w:val="en-IN"/>
              </w:rPr>
              <w:t>High</w:t>
            </w:r>
          </w:p>
        </w:tc>
        <w:tc>
          <w:tcPr>
            <w:tcW w:w="0" w:type="auto"/>
            <w:noWrap/>
            <w:tcMar>
              <w:top w:w="240" w:type="dxa"/>
              <w:left w:w="240" w:type="dxa"/>
              <w:bottom w:w="240" w:type="dxa"/>
              <w:right w:w="240" w:type="dxa"/>
            </w:tcMar>
            <w:vAlign w:val="center"/>
          </w:tcPr>
          <w:p w14:paraId="54E64A7E" w14:textId="77777777" w:rsidR="003A41E4" w:rsidRPr="00C96459"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C96459">
              <w:rPr>
                <w:rFonts w:ascii="Times New Roman" w:eastAsia="Times New Roman" w:hAnsi="Times New Roman" w:cs="Times New Roman"/>
                <w:color w:val="000000" w:themeColor="text1"/>
                <w:sz w:val="24"/>
                <w:szCs w:val="24"/>
                <w:lang w:val="en-IN"/>
              </w:rPr>
              <w:t>Change %</w:t>
            </w:r>
          </w:p>
        </w:tc>
      </w:tr>
      <w:tr w:rsidR="00FC3E1D" w14:paraId="713FEAA8" w14:textId="77777777" w:rsidTr="003A41E4">
        <w:trPr>
          <w:trHeight w:val="476"/>
          <w:jc w:val="center"/>
        </w:trPr>
        <w:tc>
          <w:tcPr>
            <w:tcW w:w="2483" w:type="dxa"/>
            <w:noWrap/>
            <w:tcMar>
              <w:top w:w="240" w:type="dxa"/>
              <w:left w:w="240" w:type="dxa"/>
              <w:bottom w:w="240" w:type="dxa"/>
              <w:right w:w="240" w:type="dxa"/>
            </w:tcMar>
            <w:vAlign w:val="center"/>
            <w:hideMark/>
          </w:tcPr>
          <w:p w14:paraId="0D91F0B6"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Aug 2022</w:t>
            </w:r>
          </w:p>
        </w:tc>
        <w:tc>
          <w:tcPr>
            <w:tcW w:w="0" w:type="auto"/>
            <w:noWrap/>
            <w:tcMar>
              <w:top w:w="240" w:type="dxa"/>
              <w:left w:w="240" w:type="dxa"/>
              <w:bottom w:w="240" w:type="dxa"/>
              <w:right w:w="240" w:type="dxa"/>
            </w:tcMar>
            <w:vAlign w:val="center"/>
            <w:hideMark/>
          </w:tcPr>
          <w:p w14:paraId="32CC3AD4"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4,829.5</w:t>
            </w:r>
          </w:p>
        </w:tc>
        <w:tc>
          <w:tcPr>
            <w:tcW w:w="0" w:type="auto"/>
            <w:noWrap/>
            <w:tcMar>
              <w:top w:w="240" w:type="dxa"/>
              <w:left w:w="240" w:type="dxa"/>
              <w:bottom w:w="240" w:type="dxa"/>
              <w:right w:w="240" w:type="dxa"/>
            </w:tcMar>
            <w:vAlign w:val="center"/>
            <w:hideMark/>
          </w:tcPr>
          <w:p w14:paraId="5FF9A025"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4,931.0</w:t>
            </w:r>
          </w:p>
        </w:tc>
        <w:tc>
          <w:tcPr>
            <w:tcW w:w="0" w:type="auto"/>
            <w:noWrap/>
            <w:tcMar>
              <w:top w:w="240" w:type="dxa"/>
              <w:left w:w="240" w:type="dxa"/>
              <w:bottom w:w="240" w:type="dxa"/>
              <w:right w:w="240" w:type="dxa"/>
            </w:tcMar>
            <w:vAlign w:val="center"/>
            <w:hideMark/>
          </w:tcPr>
          <w:p w14:paraId="06819013"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4,977.9</w:t>
            </w:r>
          </w:p>
        </w:tc>
        <w:tc>
          <w:tcPr>
            <w:tcW w:w="0" w:type="auto"/>
            <w:noWrap/>
            <w:tcMar>
              <w:top w:w="240" w:type="dxa"/>
              <w:left w:w="240" w:type="dxa"/>
              <w:bottom w:w="240" w:type="dxa"/>
              <w:right w:w="240" w:type="dxa"/>
            </w:tcMar>
            <w:vAlign w:val="center"/>
            <w:hideMark/>
          </w:tcPr>
          <w:p w14:paraId="3380DA35"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-1.93%</w:t>
            </w:r>
          </w:p>
        </w:tc>
      </w:tr>
      <w:tr w:rsidR="00FC3E1D" w14:paraId="103D9999" w14:textId="77777777" w:rsidTr="003A41E4">
        <w:trPr>
          <w:trHeight w:val="476"/>
          <w:jc w:val="center"/>
        </w:trPr>
        <w:tc>
          <w:tcPr>
            <w:tcW w:w="2483" w:type="dxa"/>
            <w:noWrap/>
            <w:tcMar>
              <w:top w:w="240" w:type="dxa"/>
              <w:left w:w="240" w:type="dxa"/>
              <w:bottom w:w="240" w:type="dxa"/>
              <w:right w:w="240" w:type="dxa"/>
            </w:tcMar>
            <w:vAlign w:val="center"/>
            <w:hideMark/>
          </w:tcPr>
          <w:p w14:paraId="3C1A3335"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lastRenderedPageBreak/>
              <w:t>Jul 2022</w:t>
            </w:r>
          </w:p>
        </w:tc>
        <w:tc>
          <w:tcPr>
            <w:tcW w:w="0" w:type="auto"/>
            <w:noWrap/>
            <w:tcMar>
              <w:top w:w="240" w:type="dxa"/>
              <w:left w:w="240" w:type="dxa"/>
              <w:bottom w:w="240" w:type="dxa"/>
              <w:right w:w="240" w:type="dxa"/>
            </w:tcMar>
            <w:vAlign w:val="center"/>
            <w:hideMark/>
          </w:tcPr>
          <w:p w14:paraId="542B3B9D"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4,924.5</w:t>
            </w:r>
          </w:p>
        </w:tc>
        <w:tc>
          <w:tcPr>
            <w:tcW w:w="0" w:type="auto"/>
            <w:noWrap/>
            <w:tcMar>
              <w:top w:w="240" w:type="dxa"/>
              <w:left w:w="240" w:type="dxa"/>
              <w:bottom w:w="240" w:type="dxa"/>
              <w:right w:w="240" w:type="dxa"/>
            </w:tcMar>
            <w:vAlign w:val="center"/>
            <w:hideMark/>
          </w:tcPr>
          <w:p w14:paraId="199ADB31"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4,846.0</w:t>
            </w:r>
          </w:p>
        </w:tc>
        <w:tc>
          <w:tcPr>
            <w:tcW w:w="0" w:type="auto"/>
            <w:noWrap/>
            <w:tcMar>
              <w:top w:w="240" w:type="dxa"/>
              <w:left w:w="240" w:type="dxa"/>
              <w:bottom w:w="240" w:type="dxa"/>
              <w:right w:w="240" w:type="dxa"/>
            </w:tcMar>
            <w:vAlign w:val="center"/>
            <w:hideMark/>
          </w:tcPr>
          <w:p w14:paraId="64D7A284"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4,968.0</w:t>
            </w:r>
          </w:p>
        </w:tc>
        <w:tc>
          <w:tcPr>
            <w:tcW w:w="0" w:type="auto"/>
            <w:noWrap/>
            <w:tcMar>
              <w:top w:w="240" w:type="dxa"/>
              <w:left w:w="240" w:type="dxa"/>
              <w:bottom w:w="240" w:type="dxa"/>
              <w:right w:w="240" w:type="dxa"/>
            </w:tcMar>
            <w:vAlign w:val="center"/>
            <w:hideMark/>
          </w:tcPr>
          <w:p w14:paraId="3F82993D"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0.16%</w:t>
            </w:r>
          </w:p>
        </w:tc>
      </w:tr>
      <w:tr w:rsidR="00FC3E1D" w14:paraId="776870D6" w14:textId="77777777" w:rsidTr="003A41E4">
        <w:trPr>
          <w:trHeight w:val="476"/>
          <w:jc w:val="center"/>
        </w:trPr>
        <w:tc>
          <w:tcPr>
            <w:tcW w:w="2483" w:type="dxa"/>
            <w:noWrap/>
            <w:tcMar>
              <w:top w:w="240" w:type="dxa"/>
              <w:left w:w="240" w:type="dxa"/>
              <w:bottom w:w="240" w:type="dxa"/>
              <w:right w:w="240" w:type="dxa"/>
            </w:tcMar>
            <w:vAlign w:val="center"/>
            <w:hideMark/>
          </w:tcPr>
          <w:p w14:paraId="263A2D4B"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Jun 2022</w:t>
            </w:r>
          </w:p>
        </w:tc>
        <w:tc>
          <w:tcPr>
            <w:tcW w:w="0" w:type="auto"/>
            <w:noWrap/>
            <w:tcMar>
              <w:top w:w="240" w:type="dxa"/>
              <w:left w:w="240" w:type="dxa"/>
              <w:bottom w:w="240" w:type="dxa"/>
              <w:right w:w="240" w:type="dxa"/>
            </w:tcMar>
            <w:vAlign w:val="center"/>
            <w:hideMark/>
          </w:tcPr>
          <w:p w14:paraId="20E85E41"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4,916.5</w:t>
            </w:r>
          </w:p>
        </w:tc>
        <w:tc>
          <w:tcPr>
            <w:tcW w:w="0" w:type="auto"/>
            <w:noWrap/>
            <w:tcMar>
              <w:top w:w="240" w:type="dxa"/>
              <w:left w:w="240" w:type="dxa"/>
              <w:bottom w:w="240" w:type="dxa"/>
              <w:right w:w="240" w:type="dxa"/>
            </w:tcMar>
            <w:vAlign w:val="center"/>
            <w:hideMark/>
          </w:tcPr>
          <w:p w14:paraId="0D74AC72"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5,788.0</w:t>
            </w:r>
          </w:p>
        </w:tc>
        <w:tc>
          <w:tcPr>
            <w:tcW w:w="0" w:type="auto"/>
            <w:noWrap/>
            <w:tcMar>
              <w:top w:w="240" w:type="dxa"/>
              <w:left w:w="240" w:type="dxa"/>
              <w:bottom w:w="240" w:type="dxa"/>
              <w:right w:w="240" w:type="dxa"/>
            </w:tcMar>
            <w:vAlign w:val="center"/>
            <w:hideMark/>
          </w:tcPr>
          <w:p w14:paraId="50085A2B"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6,118.0</w:t>
            </w:r>
          </w:p>
        </w:tc>
        <w:tc>
          <w:tcPr>
            <w:tcW w:w="0" w:type="auto"/>
            <w:noWrap/>
            <w:tcMar>
              <w:top w:w="240" w:type="dxa"/>
              <w:left w:w="240" w:type="dxa"/>
              <w:bottom w:w="240" w:type="dxa"/>
              <w:right w:w="240" w:type="dxa"/>
            </w:tcMar>
            <w:vAlign w:val="center"/>
            <w:hideMark/>
          </w:tcPr>
          <w:p w14:paraId="6B780BC5"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-14.50%</w:t>
            </w:r>
          </w:p>
        </w:tc>
      </w:tr>
      <w:tr w:rsidR="00FC3E1D" w14:paraId="2604D0E1" w14:textId="77777777" w:rsidTr="003A41E4">
        <w:trPr>
          <w:trHeight w:val="476"/>
          <w:jc w:val="center"/>
        </w:trPr>
        <w:tc>
          <w:tcPr>
            <w:tcW w:w="2483" w:type="dxa"/>
            <w:noWrap/>
            <w:tcMar>
              <w:top w:w="240" w:type="dxa"/>
              <w:left w:w="240" w:type="dxa"/>
              <w:bottom w:w="240" w:type="dxa"/>
              <w:right w:w="240" w:type="dxa"/>
            </w:tcMar>
            <w:vAlign w:val="center"/>
            <w:hideMark/>
          </w:tcPr>
          <w:p w14:paraId="7CBDADB6"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May 2022</w:t>
            </w:r>
          </w:p>
        </w:tc>
        <w:tc>
          <w:tcPr>
            <w:tcW w:w="0" w:type="auto"/>
            <w:noWrap/>
            <w:tcMar>
              <w:top w:w="240" w:type="dxa"/>
              <w:left w:w="240" w:type="dxa"/>
              <w:bottom w:w="240" w:type="dxa"/>
              <w:right w:w="240" w:type="dxa"/>
            </w:tcMar>
            <w:vAlign w:val="center"/>
            <w:hideMark/>
          </w:tcPr>
          <w:p w14:paraId="13BE1595"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5,750.0</w:t>
            </w:r>
          </w:p>
        </w:tc>
        <w:tc>
          <w:tcPr>
            <w:tcW w:w="0" w:type="auto"/>
            <w:noWrap/>
            <w:tcMar>
              <w:top w:w="240" w:type="dxa"/>
              <w:left w:w="240" w:type="dxa"/>
              <w:bottom w:w="240" w:type="dxa"/>
              <w:right w:w="240" w:type="dxa"/>
            </w:tcMar>
            <w:vAlign w:val="center"/>
            <w:hideMark/>
          </w:tcPr>
          <w:p w14:paraId="7E4EAF58"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5,699.0</w:t>
            </w:r>
          </w:p>
        </w:tc>
        <w:tc>
          <w:tcPr>
            <w:tcW w:w="0" w:type="auto"/>
            <w:noWrap/>
            <w:tcMar>
              <w:top w:w="240" w:type="dxa"/>
              <w:left w:w="240" w:type="dxa"/>
              <w:bottom w:w="240" w:type="dxa"/>
              <w:right w:w="240" w:type="dxa"/>
            </w:tcMar>
            <w:vAlign w:val="center"/>
            <w:hideMark/>
          </w:tcPr>
          <w:p w14:paraId="2BA9C858"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5,851.0</w:t>
            </w:r>
          </w:p>
        </w:tc>
        <w:tc>
          <w:tcPr>
            <w:tcW w:w="0" w:type="auto"/>
            <w:noWrap/>
            <w:tcMar>
              <w:top w:w="240" w:type="dxa"/>
              <w:left w:w="240" w:type="dxa"/>
              <w:bottom w:w="240" w:type="dxa"/>
              <w:right w:w="240" w:type="dxa"/>
            </w:tcMar>
            <w:vAlign w:val="center"/>
            <w:hideMark/>
          </w:tcPr>
          <w:p w14:paraId="2B7797BC"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0.77%</w:t>
            </w:r>
          </w:p>
        </w:tc>
      </w:tr>
      <w:tr w:rsidR="00FC3E1D" w14:paraId="4E17FD0A" w14:textId="77777777" w:rsidTr="003A41E4">
        <w:trPr>
          <w:trHeight w:val="476"/>
          <w:jc w:val="center"/>
        </w:trPr>
        <w:tc>
          <w:tcPr>
            <w:tcW w:w="2483" w:type="dxa"/>
            <w:noWrap/>
            <w:tcMar>
              <w:top w:w="240" w:type="dxa"/>
              <w:left w:w="240" w:type="dxa"/>
              <w:bottom w:w="240" w:type="dxa"/>
              <w:right w:w="240" w:type="dxa"/>
            </w:tcMar>
            <w:vAlign w:val="center"/>
            <w:hideMark/>
          </w:tcPr>
          <w:p w14:paraId="21CE0974"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Apr 2022</w:t>
            </w:r>
          </w:p>
        </w:tc>
        <w:tc>
          <w:tcPr>
            <w:tcW w:w="0" w:type="auto"/>
            <w:noWrap/>
            <w:tcMar>
              <w:top w:w="240" w:type="dxa"/>
              <w:left w:w="240" w:type="dxa"/>
              <w:bottom w:w="240" w:type="dxa"/>
              <w:right w:w="240" w:type="dxa"/>
            </w:tcMar>
            <w:vAlign w:val="center"/>
            <w:hideMark/>
          </w:tcPr>
          <w:p w14:paraId="784D6614"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5,706.0</w:t>
            </w:r>
          </w:p>
        </w:tc>
        <w:tc>
          <w:tcPr>
            <w:tcW w:w="0" w:type="auto"/>
            <w:noWrap/>
            <w:tcMar>
              <w:top w:w="240" w:type="dxa"/>
              <w:left w:w="240" w:type="dxa"/>
              <w:bottom w:w="240" w:type="dxa"/>
              <w:right w:w="240" w:type="dxa"/>
            </w:tcMar>
            <w:vAlign w:val="center"/>
            <w:hideMark/>
          </w:tcPr>
          <w:p w14:paraId="4C51FD48"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6,105.0</w:t>
            </w:r>
          </w:p>
        </w:tc>
        <w:tc>
          <w:tcPr>
            <w:tcW w:w="0" w:type="auto"/>
            <w:noWrap/>
            <w:tcMar>
              <w:top w:w="240" w:type="dxa"/>
              <w:left w:w="240" w:type="dxa"/>
              <w:bottom w:w="240" w:type="dxa"/>
              <w:right w:w="240" w:type="dxa"/>
            </w:tcMar>
            <w:vAlign w:val="center"/>
            <w:hideMark/>
          </w:tcPr>
          <w:p w14:paraId="006EA247"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6,288.0</w:t>
            </w:r>
          </w:p>
        </w:tc>
        <w:tc>
          <w:tcPr>
            <w:tcW w:w="0" w:type="auto"/>
            <w:noWrap/>
            <w:tcMar>
              <w:top w:w="240" w:type="dxa"/>
              <w:left w:w="240" w:type="dxa"/>
              <w:bottom w:w="240" w:type="dxa"/>
              <w:right w:w="240" w:type="dxa"/>
            </w:tcMar>
            <w:vAlign w:val="center"/>
            <w:hideMark/>
          </w:tcPr>
          <w:p w14:paraId="2F543F95"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-6.17%</w:t>
            </w:r>
          </w:p>
        </w:tc>
      </w:tr>
      <w:tr w:rsidR="00FC3E1D" w14:paraId="4D3F39D5" w14:textId="77777777" w:rsidTr="003A41E4">
        <w:trPr>
          <w:trHeight w:val="476"/>
          <w:jc w:val="center"/>
        </w:trPr>
        <w:tc>
          <w:tcPr>
            <w:tcW w:w="2483" w:type="dxa"/>
            <w:noWrap/>
            <w:tcMar>
              <w:top w:w="240" w:type="dxa"/>
              <w:left w:w="240" w:type="dxa"/>
              <w:bottom w:w="240" w:type="dxa"/>
              <w:right w:w="240" w:type="dxa"/>
            </w:tcMar>
            <w:vAlign w:val="center"/>
            <w:hideMark/>
          </w:tcPr>
          <w:p w14:paraId="095339AC"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Mar 2022</w:t>
            </w:r>
          </w:p>
        </w:tc>
        <w:tc>
          <w:tcPr>
            <w:tcW w:w="0" w:type="auto"/>
            <w:noWrap/>
            <w:tcMar>
              <w:top w:w="240" w:type="dxa"/>
              <w:left w:w="240" w:type="dxa"/>
              <w:bottom w:w="240" w:type="dxa"/>
              <w:right w:w="240" w:type="dxa"/>
            </w:tcMar>
            <w:vAlign w:val="center"/>
            <w:hideMark/>
          </w:tcPr>
          <w:p w14:paraId="58D82CC9"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6,081.0</w:t>
            </w:r>
          </w:p>
        </w:tc>
        <w:tc>
          <w:tcPr>
            <w:tcW w:w="0" w:type="auto"/>
            <w:noWrap/>
            <w:tcMar>
              <w:top w:w="240" w:type="dxa"/>
              <w:left w:w="240" w:type="dxa"/>
              <w:bottom w:w="240" w:type="dxa"/>
              <w:right w:w="240" w:type="dxa"/>
            </w:tcMar>
            <w:vAlign w:val="center"/>
            <w:hideMark/>
          </w:tcPr>
          <w:p w14:paraId="783B08C9"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5,809.1</w:t>
            </w:r>
          </w:p>
        </w:tc>
        <w:tc>
          <w:tcPr>
            <w:tcW w:w="0" w:type="auto"/>
            <w:noWrap/>
            <w:tcMar>
              <w:top w:w="240" w:type="dxa"/>
              <w:left w:w="240" w:type="dxa"/>
              <w:bottom w:w="240" w:type="dxa"/>
              <w:right w:w="240" w:type="dxa"/>
            </w:tcMar>
            <w:vAlign w:val="center"/>
            <w:hideMark/>
          </w:tcPr>
          <w:p w14:paraId="0BCD0B32"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6,293.3</w:t>
            </w:r>
          </w:p>
        </w:tc>
        <w:tc>
          <w:tcPr>
            <w:tcW w:w="0" w:type="auto"/>
            <w:noWrap/>
            <w:tcMar>
              <w:top w:w="240" w:type="dxa"/>
              <w:left w:w="240" w:type="dxa"/>
              <w:bottom w:w="240" w:type="dxa"/>
              <w:right w:w="240" w:type="dxa"/>
            </w:tcMar>
            <w:vAlign w:val="center"/>
            <w:hideMark/>
          </w:tcPr>
          <w:p w14:paraId="54334086"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5.84%</w:t>
            </w:r>
          </w:p>
        </w:tc>
      </w:tr>
      <w:tr w:rsidR="00FC3E1D" w14:paraId="3B676473" w14:textId="77777777" w:rsidTr="003A41E4">
        <w:trPr>
          <w:trHeight w:val="476"/>
          <w:jc w:val="center"/>
        </w:trPr>
        <w:tc>
          <w:tcPr>
            <w:tcW w:w="2483" w:type="dxa"/>
            <w:noWrap/>
            <w:tcMar>
              <w:top w:w="240" w:type="dxa"/>
              <w:left w:w="240" w:type="dxa"/>
              <w:bottom w:w="240" w:type="dxa"/>
              <w:right w:w="240" w:type="dxa"/>
            </w:tcMar>
            <w:vAlign w:val="center"/>
            <w:hideMark/>
          </w:tcPr>
          <w:p w14:paraId="0D9A8277"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Feb 2022</w:t>
            </w:r>
          </w:p>
        </w:tc>
        <w:tc>
          <w:tcPr>
            <w:tcW w:w="0" w:type="auto"/>
            <w:noWrap/>
            <w:tcMar>
              <w:top w:w="240" w:type="dxa"/>
              <w:left w:w="240" w:type="dxa"/>
              <w:bottom w:w="240" w:type="dxa"/>
              <w:right w:w="240" w:type="dxa"/>
            </w:tcMar>
            <w:vAlign w:val="center"/>
            <w:hideMark/>
          </w:tcPr>
          <w:p w14:paraId="7B8BB9C9"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5,745.6</w:t>
            </w:r>
          </w:p>
        </w:tc>
        <w:tc>
          <w:tcPr>
            <w:tcW w:w="0" w:type="auto"/>
            <w:noWrap/>
            <w:tcMar>
              <w:top w:w="240" w:type="dxa"/>
              <w:left w:w="240" w:type="dxa"/>
              <w:bottom w:w="240" w:type="dxa"/>
              <w:right w:w="240" w:type="dxa"/>
            </w:tcMar>
            <w:vAlign w:val="center"/>
            <w:hideMark/>
          </w:tcPr>
          <w:p w14:paraId="3A635AD1"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5,238.6</w:t>
            </w:r>
          </w:p>
        </w:tc>
        <w:tc>
          <w:tcPr>
            <w:tcW w:w="0" w:type="auto"/>
            <w:noWrap/>
            <w:tcMar>
              <w:top w:w="240" w:type="dxa"/>
              <w:left w:w="240" w:type="dxa"/>
              <w:bottom w:w="240" w:type="dxa"/>
              <w:right w:w="240" w:type="dxa"/>
            </w:tcMar>
            <w:vAlign w:val="center"/>
            <w:hideMark/>
          </w:tcPr>
          <w:p w14:paraId="109FD514"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5,796.2</w:t>
            </w:r>
          </w:p>
        </w:tc>
        <w:tc>
          <w:tcPr>
            <w:tcW w:w="0" w:type="auto"/>
            <w:noWrap/>
            <w:tcMar>
              <w:top w:w="240" w:type="dxa"/>
              <w:left w:w="240" w:type="dxa"/>
              <w:bottom w:w="240" w:type="dxa"/>
              <w:right w:w="240" w:type="dxa"/>
            </w:tcMar>
            <w:vAlign w:val="center"/>
            <w:hideMark/>
          </w:tcPr>
          <w:p w14:paraId="5EBE08E0"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11.69%</w:t>
            </w:r>
          </w:p>
        </w:tc>
      </w:tr>
      <w:tr w:rsidR="00FC3E1D" w14:paraId="6D4B4FEC" w14:textId="77777777" w:rsidTr="003A41E4">
        <w:trPr>
          <w:trHeight w:val="476"/>
          <w:jc w:val="center"/>
        </w:trPr>
        <w:tc>
          <w:tcPr>
            <w:tcW w:w="2483" w:type="dxa"/>
            <w:noWrap/>
            <w:tcMar>
              <w:top w:w="240" w:type="dxa"/>
              <w:left w:w="240" w:type="dxa"/>
              <w:bottom w:w="240" w:type="dxa"/>
              <w:right w:w="240" w:type="dxa"/>
            </w:tcMar>
            <w:vAlign w:val="center"/>
            <w:hideMark/>
          </w:tcPr>
          <w:p w14:paraId="088558E9"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Jan 2022</w:t>
            </w:r>
          </w:p>
        </w:tc>
        <w:tc>
          <w:tcPr>
            <w:tcW w:w="0" w:type="auto"/>
            <w:noWrap/>
            <w:tcMar>
              <w:top w:w="240" w:type="dxa"/>
              <w:left w:w="240" w:type="dxa"/>
              <w:bottom w:w="240" w:type="dxa"/>
              <w:right w:w="240" w:type="dxa"/>
            </w:tcMar>
            <w:vAlign w:val="center"/>
            <w:hideMark/>
          </w:tcPr>
          <w:p w14:paraId="7EB0A0E8"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5,144.4</w:t>
            </w:r>
          </w:p>
        </w:tc>
        <w:tc>
          <w:tcPr>
            <w:tcW w:w="0" w:type="auto"/>
            <w:noWrap/>
            <w:tcMar>
              <w:top w:w="240" w:type="dxa"/>
              <w:left w:w="240" w:type="dxa"/>
              <w:bottom w:w="240" w:type="dxa"/>
              <w:right w:w="240" w:type="dxa"/>
            </w:tcMar>
            <w:vAlign w:val="center"/>
            <w:hideMark/>
          </w:tcPr>
          <w:p w14:paraId="5919E24F"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4,882.4</w:t>
            </w:r>
          </w:p>
        </w:tc>
        <w:tc>
          <w:tcPr>
            <w:tcW w:w="0" w:type="auto"/>
            <w:noWrap/>
            <w:tcMar>
              <w:top w:w="240" w:type="dxa"/>
              <w:left w:w="240" w:type="dxa"/>
              <w:bottom w:w="240" w:type="dxa"/>
              <w:right w:w="240" w:type="dxa"/>
            </w:tcMar>
            <w:vAlign w:val="center"/>
            <w:hideMark/>
          </w:tcPr>
          <w:p w14:paraId="510BDE9E"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5,657.3</w:t>
            </w:r>
          </w:p>
        </w:tc>
        <w:tc>
          <w:tcPr>
            <w:tcW w:w="0" w:type="auto"/>
            <w:noWrap/>
            <w:tcMar>
              <w:top w:w="240" w:type="dxa"/>
              <w:left w:w="240" w:type="dxa"/>
              <w:bottom w:w="240" w:type="dxa"/>
              <w:right w:w="240" w:type="dxa"/>
            </w:tcMar>
            <w:vAlign w:val="center"/>
            <w:hideMark/>
          </w:tcPr>
          <w:p w14:paraId="4F683F25"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5.16%</w:t>
            </w:r>
          </w:p>
        </w:tc>
      </w:tr>
      <w:tr w:rsidR="00FC3E1D" w14:paraId="7FEC57A4" w14:textId="77777777" w:rsidTr="003A41E4">
        <w:trPr>
          <w:trHeight w:val="476"/>
          <w:jc w:val="center"/>
        </w:trPr>
        <w:tc>
          <w:tcPr>
            <w:tcW w:w="2483" w:type="dxa"/>
            <w:noWrap/>
            <w:tcMar>
              <w:top w:w="240" w:type="dxa"/>
              <w:left w:w="240" w:type="dxa"/>
              <w:bottom w:w="240" w:type="dxa"/>
              <w:right w:w="240" w:type="dxa"/>
            </w:tcMar>
            <w:vAlign w:val="center"/>
            <w:hideMark/>
          </w:tcPr>
          <w:p w14:paraId="7D45F6A2"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Dec 2021</w:t>
            </w:r>
          </w:p>
        </w:tc>
        <w:tc>
          <w:tcPr>
            <w:tcW w:w="0" w:type="auto"/>
            <w:noWrap/>
            <w:tcMar>
              <w:top w:w="240" w:type="dxa"/>
              <w:left w:w="240" w:type="dxa"/>
              <w:bottom w:w="240" w:type="dxa"/>
              <w:right w:w="240" w:type="dxa"/>
            </w:tcMar>
            <w:vAlign w:val="center"/>
            <w:hideMark/>
          </w:tcPr>
          <w:p w14:paraId="0013A642"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4,892.0</w:t>
            </w:r>
          </w:p>
        </w:tc>
        <w:tc>
          <w:tcPr>
            <w:tcW w:w="0" w:type="auto"/>
            <w:noWrap/>
            <w:tcMar>
              <w:top w:w="240" w:type="dxa"/>
              <w:left w:w="240" w:type="dxa"/>
              <w:bottom w:w="240" w:type="dxa"/>
              <w:right w:w="240" w:type="dxa"/>
            </w:tcMar>
            <w:vAlign w:val="center"/>
            <w:hideMark/>
          </w:tcPr>
          <w:p w14:paraId="0CDDD9C4"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4,612.0</w:t>
            </w:r>
          </w:p>
        </w:tc>
        <w:tc>
          <w:tcPr>
            <w:tcW w:w="0" w:type="auto"/>
            <w:noWrap/>
            <w:tcMar>
              <w:top w:w="240" w:type="dxa"/>
              <w:left w:w="240" w:type="dxa"/>
              <w:bottom w:w="240" w:type="dxa"/>
              <w:right w:w="240" w:type="dxa"/>
            </w:tcMar>
            <w:vAlign w:val="center"/>
            <w:hideMark/>
          </w:tcPr>
          <w:p w14:paraId="35F7F8FD"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4,946.0</w:t>
            </w:r>
          </w:p>
        </w:tc>
        <w:tc>
          <w:tcPr>
            <w:tcW w:w="0" w:type="auto"/>
            <w:noWrap/>
            <w:tcMar>
              <w:top w:w="240" w:type="dxa"/>
              <w:left w:w="240" w:type="dxa"/>
              <w:bottom w:w="240" w:type="dxa"/>
              <w:right w:w="240" w:type="dxa"/>
            </w:tcMar>
            <w:vAlign w:val="center"/>
            <w:hideMark/>
          </w:tcPr>
          <w:p w14:paraId="0517DFAB"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6.07%</w:t>
            </w:r>
          </w:p>
        </w:tc>
      </w:tr>
      <w:tr w:rsidR="00FC3E1D" w14:paraId="54E34F59" w14:textId="77777777" w:rsidTr="003A41E4">
        <w:trPr>
          <w:trHeight w:val="476"/>
          <w:jc w:val="center"/>
        </w:trPr>
        <w:tc>
          <w:tcPr>
            <w:tcW w:w="2483" w:type="dxa"/>
            <w:noWrap/>
            <w:tcMar>
              <w:top w:w="240" w:type="dxa"/>
              <w:left w:w="240" w:type="dxa"/>
              <w:bottom w:w="240" w:type="dxa"/>
              <w:right w:w="240" w:type="dxa"/>
            </w:tcMar>
            <w:vAlign w:val="center"/>
            <w:hideMark/>
          </w:tcPr>
          <w:p w14:paraId="28EB3B72"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Nov 2021</w:t>
            </w:r>
          </w:p>
        </w:tc>
        <w:tc>
          <w:tcPr>
            <w:tcW w:w="0" w:type="auto"/>
            <w:noWrap/>
            <w:tcMar>
              <w:top w:w="240" w:type="dxa"/>
              <w:left w:w="240" w:type="dxa"/>
              <w:bottom w:w="240" w:type="dxa"/>
              <w:right w:w="240" w:type="dxa"/>
            </w:tcMar>
            <w:vAlign w:val="center"/>
            <w:hideMark/>
          </w:tcPr>
          <w:p w14:paraId="63544A78"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4,612.0</w:t>
            </w:r>
          </w:p>
        </w:tc>
        <w:tc>
          <w:tcPr>
            <w:tcW w:w="0" w:type="auto"/>
            <w:noWrap/>
            <w:tcMar>
              <w:top w:w="240" w:type="dxa"/>
              <w:left w:w="240" w:type="dxa"/>
              <w:bottom w:w="240" w:type="dxa"/>
              <w:right w:w="240" w:type="dxa"/>
            </w:tcMar>
            <w:vAlign w:val="center"/>
            <w:hideMark/>
          </w:tcPr>
          <w:p w14:paraId="33B9D76E"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4,599.0</w:t>
            </w:r>
          </w:p>
        </w:tc>
        <w:tc>
          <w:tcPr>
            <w:tcW w:w="0" w:type="auto"/>
            <w:noWrap/>
            <w:tcMar>
              <w:top w:w="240" w:type="dxa"/>
              <w:left w:w="240" w:type="dxa"/>
              <w:bottom w:w="240" w:type="dxa"/>
              <w:right w:w="240" w:type="dxa"/>
            </w:tcMar>
            <w:vAlign w:val="center"/>
            <w:hideMark/>
          </w:tcPr>
          <w:p w14:paraId="7B8A57C5"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4,780.0</w:t>
            </w:r>
          </w:p>
        </w:tc>
        <w:tc>
          <w:tcPr>
            <w:tcW w:w="0" w:type="auto"/>
            <w:noWrap/>
            <w:tcMar>
              <w:top w:w="240" w:type="dxa"/>
              <w:left w:w="240" w:type="dxa"/>
              <w:bottom w:w="240" w:type="dxa"/>
              <w:right w:w="240" w:type="dxa"/>
            </w:tcMar>
            <w:vAlign w:val="center"/>
            <w:hideMark/>
          </w:tcPr>
          <w:p w14:paraId="05562558"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1.13%</w:t>
            </w:r>
          </w:p>
        </w:tc>
      </w:tr>
      <w:tr w:rsidR="00FC3E1D" w14:paraId="3059DCE0" w14:textId="77777777" w:rsidTr="003A41E4">
        <w:trPr>
          <w:trHeight w:val="476"/>
          <w:jc w:val="center"/>
        </w:trPr>
        <w:tc>
          <w:tcPr>
            <w:tcW w:w="2483" w:type="dxa"/>
            <w:noWrap/>
            <w:tcMar>
              <w:top w:w="240" w:type="dxa"/>
              <w:left w:w="240" w:type="dxa"/>
              <w:bottom w:w="240" w:type="dxa"/>
              <w:right w:w="240" w:type="dxa"/>
            </w:tcMar>
            <w:vAlign w:val="center"/>
            <w:hideMark/>
          </w:tcPr>
          <w:p w14:paraId="2F67F3E2"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Oct 2021</w:t>
            </w:r>
          </w:p>
        </w:tc>
        <w:tc>
          <w:tcPr>
            <w:tcW w:w="0" w:type="auto"/>
            <w:noWrap/>
            <w:tcMar>
              <w:top w:w="240" w:type="dxa"/>
              <w:left w:w="240" w:type="dxa"/>
              <w:bottom w:w="240" w:type="dxa"/>
              <w:right w:w="240" w:type="dxa"/>
            </w:tcMar>
            <w:vAlign w:val="center"/>
            <w:hideMark/>
          </w:tcPr>
          <w:p w14:paraId="4203E3D1"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4,560.5</w:t>
            </w:r>
          </w:p>
        </w:tc>
        <w:tc>
          <w:tcPr>
            <w:tcW w:w="0" w:type="auto"/>
            <w:noWrap/>
            <w:tcMar>
              <w:top w:w="240" w:type="dxa"/>
              <w:left w:w="240" w:type="dxa"/>
              <w:bottom w:w="240" w:type="dxa"/>
              <w:right w:w="240" w:type="dxa"/>
            </w:tcMar>
            <w:vAlign w:val="center"/>
            <w:hideMark/>
          </w:tcPr>
          <w:p w14:paraId="2A47A40A"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4,820.5</w:t>
            </w:r>
          </w:p>
        </w:tc>
        <w:tc>
          <w:tcPr>
            <w:tcW w:w="0" w:type="auto"/>
            <w:noWrap/>
            <w:tcMar>
              <w:top w:w="240" w:type="dxa"/>
              <w:left w:w="240" w:type="dxa"/>
              <w:bottom w:w="240" w:type="dxa"/>
              <w:right w:w="240" w:type="dxa"/>
            </w:tcMar>
            <w:vAlign w:val="center"/>
            <w:hideMark/>
          </w:tcPr>
          <w:p w14:paraId="196CE8AE"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5,153.0</w:t>
            </w:r>
          </w:p>
        </w:tc>
        <w:tc>
          <w:tcPr>
            <w:tcW w:w="0" w:type="auto"/>
            <w:noWrap/>
            <w:tcMar>
              <w:top w:w="240" w:type="dxa"/>
              <w:left w:w="240" w:type="dxa"/>
              <w:bottom w:w="240" w:type="dxa"/>
              <w:right w:w="240" w:type="dxa"/>
            </w:tcMar>
            <w:vAlign w:val="center"/>
            <w:hideMark/>
          </w:tcPr>
          <w:p w14:paraId="022714E9"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-7.18%</w:t>
            </w:r>
          </w:p>
        </w:tc>
      </w:tr>
      <w:tr w:rsidR="00FC3E1D" w14:paraId="2417E520" w14:textId="77777777" w:rsidTr="003A41E4">
        <w:trPr>
          <w:trHeight w:val="476"/>
          <w:jc w:val="center"/>
        </w:trPr>
        <w:tc>
          <w:tcPr>
            <w:tcW w:w="2483" w:type="dxa"/>
            <w:noWrap/>
            <w:tcMar>
              <w:top w:w="240" w:type="dxa"/>
              <w:left w:w="240" w:type="dxa"/>
              <w:bottom w:w="240" w:type="dxa"/>
              <w:right w:w="240" w:type="dxa"/>
            </w:tcMar>
            <w:vAlign w:val="center"/>
            <w:hideMark/>
          </w:tcPr>
          <w:p w14:paraId="027B59FE"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Sep 2021</w:t>
            </w:r>
          </w:p>
        </w:tc>
        <w:tc>
          <w:tcPr>
            <w:tcW w:w="0" w:type="auto"/>
            <w:noWrap/>
            <w:tcMar>
              <w:top w:w="240" w:type="dxa"/>
              <w:left w:w="240" w:type="dxa"/>
              <w:bottom w:w="240" w:type="dxa"/>
              <w:right w:w="240" w:type="dxa"/>
            </w:tcMar>
            <w:vAlign w:val="center"/>
            <w:hideMark/>
          </w:tcPr>
          <w:p w14:paraId="51381CDF"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4,913.5</w:t>
            </w:r>
          </w:p>
        </w:tc>
        <w:tc>
          <w:tcPr>
            <w:tcW w:w="0" w:type="auto"/>
            <w:noWrap/>
            <w:tcMar>
              <w:top w:w="240" w:type="dxa"/>
              <w:left w:w="240" w:type="dxa"/>
              <w:bottom w:w="240" w:type="dxa"/>
              <w:right w:w="240" w:type="dxa"/>
            </w:tcMar>
            <w:vAlign w:val="center"/>
            <w:hideMark/>
          </w:tcPr>
          <w:p w14:paraId="70B8684F"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5,343.0</w:t>
            </w:r>
          </w:p>
        </w:tc>
        <w:tc>
          <w:tcPr>
            <w:tcW w:w="0" w:type="auto"/>
            <w:noWrap/>
            <w:tcMar>
              <w:top w:w="240" w:type="dxa"/>
              <w:left w:w="240" w:type="dxa"/>
              <w:bottom w:w="240" w:type="dxa"/>
              <w:right w:w="240" w:type="dxa"/>
            </w:tcMar>
            <w:vAlign w:val="center"/>
            <w:hideMark/>
          </w:tcPr>
          <w:p w14:paraId="6D86929C"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5,488.0</w:t>
            </w:r>
          </w:p>
        </w:tc>
        <w:tc>
          <w:tcPr>
            <w:tcW w:w="0" w:type="auto"/>
            <w:noWrap/>
            <w:tcMar>
              <w:top w:w="240" w:type="dxa"/>
              <w:left w:w="240" w:type="dxa"/>
              <w:bottom w:w="240" w:type="dxa"/>
              <w:right w:w="240" w:type="dxa"/>
            </w:tcMar>
            <w:vAlign w:val="center"/>
            <w:hideMark/>
          </w:tcPr>
          <w:p w14:paraId="5EB36ADF"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-8.70%</w:t>
            </w:r>
          </w:p>
        </w:tc>
      </w:tr>
      <w:tr w:rsidR="00FC3E1D" w14:paraId="47BAB1CE" w14:textId="77777777" w:rsidTr="003A41E4">
        <w:trPr>
          <w:trHeight w:val="476"/>
          <w:jc w:val="center"/>
        </w:trPr>
        <w:tc>
          <w:tcPr>
            <w:tcW w:w="2483" w:type="dxa"/>
            <w:noWrap/>
            <w:tcMar>
              <w:top w:w="240" w:type="dxa"/>
              <w:left w:w="240" w:type="dxa"/>
              <w:bottom w:w="240" w:type="dxa"/>
              <w:right w:w="240" w:type="dxa"/>
            </w:tcMar>
            <w:vAlign w:val="center"/>
            <w:hideMark/>
          </w:tcPr>
          <w:p w14:paraId="43BDB69F" w14:textId="77777777" w:rsidR="003A41E4" w:rsidRPr="003731F0" w:rsidRDefault="00000000" w:rsidP="00C96459">
            <w:pPr>
              <w:spacing w:line="360" w:lineRule="auto"/>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Aug 2021</w:t>
            </w:r>
          </w:p>
        </w:tc>
        <w:tc>
          <w:tcPr>
            <w:tcW w:w="0" w:type="auto"/>
            <w:noWrap/>
            <w:tcMar>
              <w:top w:w="240" w:type="dxa"/>
              <w:left w:w="240" w:type="dxa"/>
              <w:bottom w:w="240" w:type="dxa"/>
              <w:right w:w="240" w:type="dxa"/>
            </w:tcMar>
            <w:vAlign w:val="center"/>
            <w:hideMark/>
          </w:tcPr>
          <w:p w14:paraId="6013BBDD"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5,382.0</w:t>
            </w:r>
          </w:p>
        </w:tc>
        <w:tc>
          <w:tcPr>
            <w:tcW w:w="0" w:type="auto"/>
            <w:noWrap/>
            <w:tcMar>
              <w:top w:w="240" w:type="dxa"/>
              <w:left w:w="240" w:type="dxa"/>
              <w:bottom w:w="240" w:type="dxa"/>
              <w:right w:w="240" w:type="dxa"/>
            </w:tcMar>
            <w:vAlign w:val="center"/>
            <w:hideMark/>
          </w:tcPr>
          <w:p w14:paraId="701AFFC6"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6,041.1</w:t>
            </w:r>
          </w:p>
        </w:tc>
        <w:tc>
          <w:tcPr>
            <w:tcW w:w="0" w:type="auto"/>
            <w:noWrap/>
            <w:tcMar>
              <w:top w:w="240" w:type="dxa"/>
              <w:left w:w="240" w:type="dxa"/>
              <w:bottom w:w="240" w:type="dxa"/>
              <w:right w:w="240" w:type="dxa"/>
            </w:tcMar>
            <w:vAlign w:val="center"/>
            <w:hideMark/>
          </w:tcPr>
          <w:p w14:paraId="56D33DBF"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6,203.5</w:t>
            </w:r>
          </w:p>
        </w:tc>
        <w:tc>
          <w:tcPr>
            <w:tcW w:w="0" w:type="auto"/>
            <w:noWrap/>
            <w:tcMar>
              <w:top w:w="240" w:type="dxa"/>
              <w:left w:w="240" w:type="dxa"/>
              <w:bottom w:w="240" w:type="dxa"/>
              <w:right w:w="240" w:type="dxa"/>
            </w:tcMar>
            <w:vAlign w:val="center"/>
            <w:hideMark/>
          </w:tcPr>
          <w:p w14:paraId="00F4BB1B" w14:textId="77777777" w:rsidR="003A41E4" w:rsidRPr="003731F0" w:rsidRDefault="00000000" w:rsidP="00C96459">
            <w:pPr>
              <w:spacing w:line="360" w:lineRule="auto"/>
              <w:jc w:val="right"/>
              <w:rPr>
                <w:rFonts w:ascii="Times New Roman" w:eastAsia="Times New Roman" w:hAnsi="Times New Roman" w:cs="Times New Roman"/>
                <w:color w:val="000000" w:themeColor="text1"/>
                <w:sz w:val="24"/>
                <w:szCs w:val="24"/>
                <w:lang w:val="en-IN"/>
              </w:rPr>
            </w:pPr>
            <w:r w:rsidRPr="003731F0">
              <w:rPr>
                <w:rFonts w:ascii="Times New Roman" w:eastAsia="Times New Roman" w:hAnsi="Times New Roman" w:cs="Times New Roman"/>
                <w:color w:val="000000" w:themeColor="text1"/>
                <w:sz w:val="24"/>
                <w:szCs w:val="24"/>
                <w:lang w:val="en-IN"/>
              </w:rPr>
              <w:t>-11.78%</w:t>
            </w:r>
          </w:p>
        </w:tc>
      </w:tr>
    </w:tbl>
    <w:p w14:paraId="6044121D" w14:textId="77777777" w:rsidR="00782D61" w:rsidRPr="00C96459" w:rsidRDefault="00000000" w:rsidP="00C96459">
      <w:pPr>
        <w:spacing w:before="240" w:after="240" w:line="360" w:lineRule="auto"/>
        <w:ind w:left="720"/>
        <w:jc w:val="center"/>
        <w:rPr>
          <w:rFonts w:ascii="Times New Roman" w:eastAsia="Times New Roman" w:hAnsi="Times New Roman" w:cs="Times New Roman"/>
          <w:b/>
          <w:bCs/>
          <w:sz w:val="24"/>
          <w:szCs w:val="24"/>
          <w:highlight w:val="white"/>
        </w:rPr>
      </w:pPr>
      <w:r w:rsidRPr="00C96459">
        <w:rPr>
          <w:rFonts w:ascii="Times New Roman" w:eastAsia="Times New Roman" w:hAnsi="Times New Roman" w:cs="Times New Roman"/>
          <w:b/>
          <w:bCs/>
          <w:sz w:val="24"/>
          <w:szCs w:val="24"/>
          <w:highlight w:val="white"/>
        </w:rPr>
        <w:t>Table 1: History of the share price of Rio Tinto for last 1 year</w:t>
      </w:r>
    </w:p>
    <w:p w14:paraId="2E77C584" w14:textId="77777777" w:rsidR="003A41E4" w:rsidRPr="00C96459" w:rsidRDefault="00000000" w:rsidP="00C96459">
      <w:pPr>
        <w:spacing w:before="240" w:after="240" w:line="360" w:lineRule="auto"/>
        <w:ind w:left="720"/>
        <w:jc w:val="center"/>
        <w:rPr>
          <w:rFonts w:ascii="Times New Roman" w:eastAsia="Times New Roman" w:hAnsi="Times New Roman" w:cs="Times New Roman"/>
          <w:sz w:val="24"/>
          <w:szCs w:val="24"/>
          <w:highlight w:val="white"/>
        </w:rPr>
      </w:pPr>
      <w:r w:rsidRPr="00C96459">
        <w:rPr>
          <w:rFonts w:ascii="Times New Roman" w:eastAsia="Times New Roman" w:hAnsi="Times New Roman" w:cs="Times New Roman"/>
          <w:sz w:val="24"/>
          <w:szCs w:val="24"/>
          <w:highlight w:val="white"/>
        </w:rPr>
        <w:t>(Source:</w:t>
      </w:r>
      <w:r w:rsidR="005F4914" w:rsidRPr="00C96459">
        <w:rPr>
          <w:rFonts w:ascii="Times New Roman" w:eastAsia="Times New Roman" w:hAnsi="Times New Roman" w:cs="Times New Roman"/>
          <w:sz w:val="24"/>
          <w:szCs w:val="24"/>
          <w:highlight w:val="white"/>
        </w:rPr>
        <w:t xml:space="preserve"> </w:t>
      </w:r>
      <w:r w:rsidR="005F4914" w:rsidRPr="00C96459">
        <w:rPr>
          <w:rFonts w:ascii="Times New Roman" w:hAnsi="Times New Roman" w:cs="Times New Roman"/>
          <w:color w:val="000000" w:themeColor="text1"/>
          <w:sz w:val="24"/>
          <w:szCs w:val="24"/>
        </w:rPr>
        <w:t>Finance, 2022</w:t>
      </w:r>
      <w:r w:rsidRPr="00C96459">
        <w:rPr>
          <w:rFonts w:ascii="Times New Roman" w:eastAsia="Times New Roman" w:hAnsi="Times New Roman" w:cs="Times New Roman"/>
          <w:sz w:val="24"/>
          <w:szCs w:val="24"/>
          <w:highlight w:val="white"/>
        </w:rPr>
        <w:t>)</w:t>
      </w:r>
    </w:p>
    <w:p w14:paraId="43E130C5" w14:textId="77777777" w:rsidR="003A41E4" w:rsidRPr="00C96459" w:rsidRDefault="00000000" w:rsidP="00C96459">
      <w:pPr>
        <w:spacing w:before="240" w:after="240" w:line="360" w:lineRule="auto"/>
        <w:jc w:val="both"/>
        <w:rPr>
          <w:rFonts w:ascii="Times New Roman" w:eastAsia="Times New Roman" w:hAnsi="Times New Roman" w:cs="Times New Roman"/>
          <w:sz w:val="24"/>
          <w:szCs w:val="24"/>
          <w:highlight w:val="white"/>
        </w:rPr>
      </w:pPr>
      <w:r w:rsidRPr="00C96459">
        <w:rPr>
          <w:rFonts w:ascii="Times New Roman" w:eastAsia="Times New Roman" w:hAnsi="Times New Roman" w:cs="Times New Roman"/>
          <w:sz w:val="24"/>
          <w:szCs w:val="24"/>
          <w:highlight w:val="white"/>
        </w:rPr>
        <w:lastRenderedPageBreak/>
        <w:t xml:space="preserve">These share prices will not provide any estimate about future share prices as the value of shares changes in the stock market daily. </w:t>
      </w:r>
    </w:p>
    <w:p w14:paraId="3118CAE9" w14:textId="77777777" w:rsidR="005532BC" w:rsidRPr="00C96459" w:rsidRDefault="00000000" w:rsidP="00C96459">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b/>
          <w:bCs/>
          <w:sz w:val="24"/>
          <w:szCs w:val="24"/>
          <w:highlight w:val="white"/>
        </w:rPr>
        <w:t>Semi-strong form:</w:t>
      </w:r>
      <w:r w:rsidRPr="00C96459">
        <w:rPr>
          <w:rFonts w:ascii="Times New Roman" w:eastAsia="Times New Roman" w:hAnsi="Times New Roman" w:cs="Times New Roman"/>
          <w:sz w:val="24"/>
          <w:szCs w:val="24"/>
        </w:rPr>
        <w:t xml:space="preserve"> This variation will talk about the public and private details of Rio Tinto. Non-farm payroll report of the company resembles that as the market gathers new information, prices adjust rapidly to this case. </w:t>
      </w:r>
    </w:p>
    <w:p w14:paraId="1F2D2237" w14:textId="77777777" w:rsidR="00782D61" w:rsidRPr="00C96459" w:rsidRDefault="00000000" w:rsidP="00C96459">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b/>
          <w:bCs/>
          <w:sz w:val="24"/>
          <w:szCs w:val="24"/>
        </w:rPr>
        <w:t>Strong form:</w:t>
      </w:r>
      <w:r w:rsidRPr="00C96459">
        <w:rPr>
          <w:rFonts w:ascii="Times New Roman" w:eastAsia="Times New Roman" w:hAnsi="Times New Roman" w:cs="Times New Roman"/>
          <w:sz w:val="24"/>
          <w:szCs w:val="24"/>
        </w:rPr>
        <w:t xml:space="preserve"> The Strong form EMH of Rio Tinto says that the public and private information are reflected by the share prices regularly. The company will see a rise in the current stock price if the private information known to the leaders of the company is implemented properly. </w:t>
      </w:r>
      <w:r w:rsidR="00B12811" w:rsidRPr="00C96459">
        <w:rPr>
          <w:rFonts w:ascii="Times New Roman" w:eastAsia="Times New Roman" w:hAnsi="Times New Roman" w:cs="Times New Roman"/>
          <w:sz w:val="24"/>
          <w:szCs w:val="24"/>
        </w:rPr>
        <w:t xml:space="preserve">  </w:t>
      </w:r>
    </w:p>
    <w:p w14:paraId="21865C18" w14:textId="77777777" w:rsidR="00782D61" w:rsidRPr="00C96459" w:rsidRDefault="00000000" w:rsidP="00C96459">
      <w:pPr>
        <w:pStyle w:val="Heading1"/>
        <w:spacing w:line="360" w:lineRule="auto"/>
        <w:rPr>
          <w:rFonts w:cs="Times New Roman"/>
          <w:szCs w:val="24"/>
        </w:rPr>
      </w:pPr>
      <w:bookmarkStart w:id="4" w:name="_Toc110532641"/>
      <w:r w:rsidRPr="00C96459">
        <w:rPr>
          <w:rFonts w:cs="Times New Roman"/>
          <w:szCs w:val="24"/>
        </w:rPr>
        <w:t>Project appraisal</w:t>
      </w:r>
      <w:r w:rsidR="00941FD0" w:rsidRPr="00C96459">
        <w:rPr>
          <w:rFonts w:cs="Times New Roman"/>
          <w:szCs w:val="24"/>
        </w:rPr>
        <w:t xml:space="preserve"> methods</w:t>
      </w:r>
      <w:r w:rsidRPr="00C96459">
        <w:rPr>
          <w:rFonts w:cs="Times New Roman"/>
          <w:szCs w:val="24"/>
        </w:rPr>
        <w:t xml:space="preserve"> of Rio Tinto</w:t>
      </w:r>
      <w:bookmarkEnd w:id="4"/>
    </w:p>
    <w:p w14:paraId="3A87BC77" w14:textId="77777777" w:rsidR="00941FD0" w:rsidRPr="00C96459" w:rsidRDefault="00000000" w:rsidP="00C96459">
      <w:pPr>
        <w:spacing w:line="360" w:lineRule="auto"/>
        <w:jc w:val="both"/>
        <w:rPr>
          <w:rFonts w:ascii="Times New Roman" w:eastAsia="Times New Roman" w:hAnsi="Times New Roman" w:cs="Times New Roman"/>
          <w:bCs/>
          <w:sz w:val="24"/>
          <w:szCs w:val="24"/>
        </w:rPr>
      </w:pPr>
      <w:r w:rsidRPr="00C96459">
        <w:rPr>
          <w:rFonts w:ascii="Times New Roman" w:eastAsia="Times New Roman" w:hAnsi="Times New Roman" w:cs="Times New Roman"/>
          <w:bCs/>
          <w:sz w:val="24"/>
          <w:szCs w:val="24"/>
        </w:rPr>
        <w:t>There are various methods that a company can undertake in appraising its projects</w:t>
      </w:r>
      <w:r w:rsidR="00C96459" w:rsidRPr="00C96459">
        <w:rPr>
          <w:rFonts w:ascii="Times New Roman" w:eastAsia="Times New Roman" w:hAnsi="Times New Roman" w:cs="Times New Roman"/>
          <w:bCs/>
          <w:sz w:val="24"/>
          <w:szCs w:val="24"/>
        </w:rPr>
        <w:t xml:space="preserve"> (</w:t>
      </w:r>
      <w:r w:rsidR="00C96459" w:rsidRPr="00C96459">
        <w:rPr>
          <w:rFonts w:ascii="Times New Roman" w:hAnsi="Times New Roman" w:cs="Times New Roman"/>
          <w:color w:val="000000" w:themeColor="text1"/>
          <w:sz w:val="24"/>
          <w:szCs w:val="24"/>
          <w:shd w:val="clear" w:color="auto" w:fill="FFFFFF"/>
        </w:rPr>
        <w:t>Arnold, 2013)</w:t>
      </w:r>
      <w:r w:rsidRPr="00C96459">
        <w:rPr>
          <w:rFonts w:ascii="Times New Roman" w:eastAsia="Times New Roman" w:hAnsi="Times New Roman" w:cs="Times New Roman"/>
          <w:bCs/>
          <w:sz w:val="24"/>
          <w:szCs w:val="24"/>
        </w:rPr>
        <w:t>. Here in this assessment, a</w:t>
      </w:r>
      <w:r w:rsidR="009138BD" w:rsidRPr="00C96459">
        <w:rPr>
          <w:rFonts w:ascii="Times New Roman" w:eastAsia="Times New Roman" w:hAnsi="Times New Roman" w:cs="Times New Roman"/>
          <w:bCs/>
          <w:sz w:val="24"/>
          <w:szCs w:val="24"/>
        </w:rPr>
        <w:t xml:space="preserve"> cash flow statement </w:t>
      </w:r>
      <w:r w:rsidRPr="00C96459">
        <w:rPr>
          <w:rFonts w:ascii="Times New Roman" w:eastAsia="Times New Roman" w:hAnsi="Times New Roman" w:cs="Times New Roman"/>
          <w:bCs/>
          <w:sz w:val="24"/>
          <w:szCs w:val="24"/>
        </w:rPr>
        <w:t xml:space="preserve">of Rio Tinto for the last </w:t>
      </w:r>
      <w:r w:rsidR="009138BD" w:rsidRPr="00C96459">
        <w:rPr>
          <w:rFonts w:ascii="Times New Roman" w:eastAsia="Times New Roman" w:hAnsi="Times New Roman" w:cs="Times New Roman"/>
          <w:bCs/>
          <w:sz w:val="24"/>
          <w:szCs w:val="24"/>
        </w:rPr>
        <w:t xml:space="preserve">5 </w:t>
      </w:r>
      <w:r w:rsidRPr="00C96459">
        <w:rPr>
          <w:rFonts w:ascii="Times New Roman" w:eastAsia="Times New Roman" w:hAnsi="Times New Roman" w:cs="Times New Roman"/>
          <w:bCs/>
          <w:sz w:val="24"/>
          <w:szCs w:val="24"/>
        </w:rPr>
        <w:t xml:space="preserve">years </w:t>
      </w:r>
      <w:r w:rsidR="009138BD" w:rsidRPr="00C96459">
        <w:rPr>
          <w:rFonts w:ascii="Times New Roman" w:eastAsia="Times New Roman" w:hAnsi="Times New Roman" w:cs="Times New Roman"/>
          <w:bCs/>
          <w:sz w:val="24"/>
          <w:szCs w:val="24"/>
        </w:rPr>
        <w:t>has</w:t>
      </w:r>
      <w:r w:rsidRPr="00C96459">
        <w:rPr>
          <w:rFonts w:ascii="Times New Roman" w:eastAsia="Times New Roman" w:hAnsi="Times New Roman" w:cs="Times New Roman"/>
          <w:bCs/>
          <w:sz w:val="24"/>
          <w:szCs w:val="24"/>
        </w:rPr>
        <w:t xml:space="preserve"> be</w:t>
      </w:r>
      <w:r w:rsidR="009138BD" w:rsidRPr="00C96459">
        <w:rPr>
          <w:rFonts w:ascii="Times New Roman" w:eastAsia="Times New Roman" w:hAnsi="Times New Roman" w:cs="Times New Roman"/>
          <w:bCs/>
          <w:sz w:val="24"/>
          <w:szCs w:val="24"/>
        </w:rPr>
        <w:t>en</w:t>
      </w:r>
      <w:r w:rsidRPr="00C96459">
        <w:rPr>
          <w:rFonts w:ascii="Times New Roman" w:eastAsia="Times New Roman" w:hAnsi="Times New Roman" w:cs="Times New Roman"/>
          <w:bCs/>
          <w:sz w:val="24"/>
          <w:szCs w:val="24"/>
        </w:rPr>
        <w:t xml:space="preserve"> presented.</w:t>
      </w:r>
    </w:p>
    <w:p w14:paraId="04560078" w14:textId="77777777" w:rsidR="009138BD" w:rsidRPr="00C96459" w:rsidRDefault="009138BD" w:rsidP="00C96459">
      <w:pPr>
        <w:pStyle w:val="Heading2"/>
        <w:spacing w:before="0" w:after="0" w:line="360" w:lineRule="auto"/>
        <w:textAlignment w:val="baseline"/>
        <w:rPr>
          <w:rFonts w:ascii="Times New Roman" w:hAnsi="Times New Roman" w:cs="Times New Roman"/>
          <w:color w:val="000000"/>
          <w:sz w:val="24"/>
          <w:szCs w:val="24"/>
        </w:rPr>
      </w:pPr>
    </w:p>
    <w:tbl>
      <w:tblPr>
        <w:tblW w:w="1019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457"/>
        <w:gridCol w:w="1171"/>
        <w:gridCol w:w="1141"/>
        <w:gridCol w:w="1141"/>
        <w:gridCol w:w="1141"/>
        <w:gridCol w:w="1141"/>
      </w:tblGrid>
      <w:tr w:rsidR="00FC3E1D" w14:paraId="4B81CDB7" w14:textId="77777777" w:rsidTr="009138BD">
        <w:trPr>
          <w:trHeight w:val="268"/>
          <w:tblHeader/>
          <w:jc w:val="center"/>
        </w:trPr>
        <w:tc>
          <w:tcPr>
            <w:tcW w:w="0" w:type="auto"/>
            <w:shd w:val="clear" w:color="auto" w:fill="auto"/>
            <w:tcMar>
              <w:top w:w="105" w:type="dxa"/>
              <w:left w:w="0" w:type="dxa"/>
              <w:bottom w:w="105" w:type="dxa"/>
              <w:right w:w="120" w:type="dxa"/>
            </w:tcMar>
            <w:vAlign w:val="bottom"/>
            <w:hideMark/>
          </w:tcPr>
          <w:p w14:paraId="725CA9E6"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The fiscal year is January-December. All values GBP Millions.</w:t>
            </w:r>
          </w:p>
        </w:tc>
        <w:tc>
          <w:tcPr>
            <w:tcW w:w="0" w:type="auto"/>
            <w:shd w:val="clear" w:color="auto" w:fill="auto"/>
            <w:tcMar>
              <w:top w:w="105" w:type="dxa"/>
              <w:left w:w="0" w:type="dxa"/>
              <w:bottom w:w="105" w:type="dxa"/>
              <w:right w:w="120" w:type="dxa"/>
            </w:tcMar>
            <w:vAlign w:val="bottom"/>
            <w:hideMark/>
          </w:tcPr>
          <w:p w14:paraId="67EEC022"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2021</w:t>
            </w:r>
          </w:p>
        </w:tc>
        <w:tc>
          <w:tcPr>
            <w:tcW w:w="0" w:type="auto"/>
            <w:shd w:val="clear" w:color="auto" w:fill="auto"/>
            <w:tcMar>
              <w:top w:w="105" w:type="dxa"/>
              <w:left w:w="0" w:type="dxa"/>
              <w:bottom w:w="105" w:type="dxa"/>
              <w:right w:w="120" w:type="dxa"/>
            </w:tcMar>
            <w:vAlign w:val="bottom"/>
            <w:hideMark/>
          </w:tcPr>
          <w:p w14:paraId="4D4DC1A0"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2020</w:t>
            </w:r>
          </w:p>
        </w:tc>
        <w:tc>
          <w:tcPr>
            <w:tcW w:w="0" w:type="auto"/>
            <w:shd w:val="clear" w:color="auto" w:fill="auto"/>
            <w:tcMar>
              <w:top w:w="105" w:type="dxa"/>
              <w:left w:w="0" w:type="dxa"/>
              <w:bottom w:w="105" w:type="dxa"/>
              <w:right w:w="120" w:type="dxa"/>
            </w:tcMar>
            <w:vAlign w:val="bottom"/>
            <w:hideMark/>
          </w:tcPr>
          <w:p w14:paraId="3B09F8D5"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2019</w:t>
            </w:r>
          </w:p>
        </w:tc>
        <w:tc>
          <w:tcPr>
            <w:tcW w:w="0" w:type="auto"/>
            <w:shd w:val="clear" w:color="auto" w:fill="auto"/>
            <w:tcMar>
              <w:top w:w="105" w:type="dxa"/>
              <w:left w:w="0" w:type="dxa"/>
              <w:bottom w:w="105" w:type="dxa"/>
              <w:right w:w="120" w:type="dxa"/>
            </w:tcMar>
            <w:vAlign w:val="bottom"/>
            <w:hideMark/>
          </w:tcPr>
          <w:p w14:paraId="089BD7D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2018</w:t>
            </w:r>
          </w:p>
        </w:tc>
        <w:tc>
          <w:tcPr>
            <w:tcW w:w="0" w:type="auto"/>
            <w:shd w:val="clear" w:color="auto" w:fill="auto"/>
            <w:tcMar>
              <w:top w:w="105" w:type="dxa"/>
              <w:left w:w="0" w:type="dxa"/>
              <w:bottom w:w="105" w:type="dxa"/>
              <w:right w:w="120" w:type="dxa"/>
            </w:tcMar>
            <w:vAlign w:val="bottom"/>
            <w:hideMark/>
          </w:tcPr>
          <w:p w14:paraId="5DB38853"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2017</w:t>
            </w:r>
          </w:p>
        </w:tc>
      </w:tr>
      <w:tr w:rsidR="00FC3E1D" w14:paraId="3B2916CA" w14:textId="77777777" w:rsidTr="009138BD">
        <w:trPr>
          <w:trHeight w:val="515"/>
          <w:jc w:val="center"/>
        </w:trPr>
        <w:tc>
          <w:tcPr>
            <w:tcW w:w="4457" w:type="dxa"/>
            <w:shd w:val="clear" w:color="auto" w:fill="auto"/>
            <w:tcMar>
              <w:top w:w="105" w:type="dxa"/>
              <w:left w:w="0" w:type="dxa"/>
              <w:bottom w:w="105" w:type="dxa"/>
              <w:right w:w="120" w:type="dxa"/>
            </w:tcMar>
            <w:vAlign w:val="center"/>
            <w:hideMark/>
          </w:tcPr>
          <w:p w14:paraId="4DBDBF18"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Net Income before Extraordinaries</w:t>
            </w:r>
          </w:p>
        </w:tc>
        <w:tc>
          <w:tcPr>
            <w:tcW w:w="1171" w:type="dxa"/>
            <w:shd w:val="clear" w:color="auto" w:fill="auto"/>
            <w:tcMar>
              <w:top w:w="105" w:type="dxa"/>
              <w:left w:w="0" w:type="dxa"/>
              <w:bottom w:w="105" w:type="dxa"/>
              <w:right w:w="120" w:type="dxa"/>
            </w:tcMar>
            <w:vAlign w:val="center"/>
            <w:hideMark/>
          </w:tcPr>
          <w:p w14:paraId="0358DEDA"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16,415</w:t>
            </w:r>
          </w:p>
        </w:tc>
        <w:tc>
          <w:tcPr>
            <w:tcW w:w="1141" w:type="dxa"/>
            <w:shd w:val="clear" w:color="auto" w:fill="auto"/>
            <w:tcMar>
              <w:top w:w="105" w:type="dxa"/>
              <w:left w:w="0" w:type="dxa"/>
              <w:bottom w:w="105" w:type="dxa"/>
              <w:right w:w="120" w:type="dxa"/>
            </w:tcMar>
            <w:vAlign w:val="center"/>
            <w:hideMark/>
          </w:tcPr>
          <w:p w14:paraId="036A1097"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8,110</w:t>
            </w:r>
          </w:p>
        </w:tc>
        <w:tc>
          <w:tcPr>
            <w:tcW w:w="1141" w:type="dxa"/>
            <w:shd w:val="clear" w:color="auto" w:fill="auto"/>
            <w:tcMar>
              <w:top w:w="105" w:type="dxa"/>
              <w:left w:w="0" w:type="dxa"/>
              <w:bottom w:w="105" w:type="dxa"/>
              <w:right w:w="120" w:type="dxa"/>
            </w:tcMar>
            <w:vAlign w:val="center"/>
            <w:hideMark/>
          </w:tcPr>
          <w:p w14:paraId="170B1799"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5,465</w:t>
            </w:r>
          </w:p>
        </w:tc>
        <w:tc>
          <w:tcPr>
            <w:tcW w:w="1141" w:type="dxa"/>
            <w:shd w:val="clear" w:color="auto" w:fill="auto"/>
            <w:tcMar>
              <w:top w:w="105" w:type="dxa"/>
              <w:left w:w="0" w:type="dxa"/>
              <w:bottom w:w="105" w:type="dxa"/>
              <w:right w:w="120" w:type="dxa"/>
            </w:tcMar>
            <w:vAlign w:val="center"/>
            <w:hideMark/>
          </w:tcPr>
          <w:p w14:paraId="1F94F88A"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10,443</w:t>
            </w:r>
          </w:p>
        </w:tc>
        <w:tc>
          <w:tcPr>
            <w:tcW w:w="1141" w:type="dxa"/>
            <w:shd w:val="clear" w:color="auto" w:fill="auto"/>
            <w:tcMar>
              <w:top w:w="105" w:type="dxa"/>
              <w:left w:w="0" w:type="dxa"/>
              <w:bottom w:w="105" w:type="dxa"/>
              <w:right w:w="120" w:type="dxa"/>
            </w:tcMar>
            <w:vAlign w:val="center"/>
            <w:hideMark/>
          </w:tcPr>
          <w:p w14:paraId="310F8333"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6,873</w:t>
            </w:r>
          </w:p>
        </w:tc>
      </w:tr>
      <w:tr w:rsidR="00FC3E1D" w14:paraId="3110C5A8"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325C265D"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Net Income Growth</w:t>
            </w:r>
          </w:p>
        </w:tc>
        <w:tc>
          <w:tcPr>
            <w:tcW w:w="1171" w:type="dxa"/>
            <w:shd w:val="clear" w:color="auto" w:fill="auto"/>
            <w:tcMar>
              <w:top w:w="105" w:type="dxa"/>
              <w:left w:w="0" w:type="dxa"/>
              <w:bottom w:w="105" w:type="dxa"/>
              <w:right w:w="120" w:type="dxa"/>
            </w:tcMar>
            <w:vAlign w:val="center"/>
            <w:hideMark/>
          </w:tcPr>
          <w:p w14:paraId="1438959B"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102.40%</w:t>
            </w:r>
          </w:p>
        </w:tc>
        <w:tc>
          <w:tcPr>
            <w:tcW w:w="1141" w:type="dxa"/>
            <w:shd w:val="clear" w:color="auto" w:fill="auto"/>
            <w:tcMar>
              <w:top w:w="105" w:type="dxa"/>
              <w:left w:w="0" w:type="dxa"/>
              <w:bottom w:w="105" w:type="dxa"/>
              <w:right w:w="120" w:type="dxa"/>
            </w:tcMar>
            <w:vAlign w:val="center"/>
            <w:hideMark/>
          </w:tcPr>
          <w:p w14:paraId="59D00A4A"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48.40%</w:t>
            </w:r>
          </w:p>
        </w:tc>
        <w:tc>
          <w:tcPr>
            <w:tcW w:w="1141" w:type="dxa"/>
            <w:shd w:val="clear" w:color="auto" w:fill="auto"/>
            <w:tcMar>
              <w:top w:w="105" w:type="dxa"/>
              <w:left w:w="0" w:type="dxa"/>
              <w:bottom w:w="105" w:type="dxa"/>
              <w:right w:w="120" w:type="dxa"/>
            </w:tcMar>
            <w:vAlign w:val="center"/>
            <w:hideMark/>
          </w:tcPr>
          <w:p w14:paraId="1D278E7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-47.67%</w:t>
            </w:r>
          </w:p>
        </w:tc>
        <w:tc>
          <w:tcPr>
            <w:tcW w:w="1141" w:type="dxa"/>
            <w:shd w:val="clear" w:color="auto" w:fill="auto"/>
            <w:tcMar>
              <w:top w:w="105" w:type="dxa"/>
              <w:left w:w="0" w:type="dxa"/>
              <w:bottom w:w="105" w:type="dxa"/>
              <w:right w:w="120" w:type="dxa"/>
            </w:tcMar>
            <w:vAlign w:val="center"/>
            <w:hideMark/>
          </w:tcPr>
          <w:p w14:paraId="1190BC41"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51.95%</w:t>
            </w:r>
          </w:p>
        </w:tc>
        <w:tc>
          <w:tcPr>
            <w:tcW w:w="1141" w:type="dxa"/>
            <w:shd w:val="clear" w:color="auto" w:fill="auto"/>
            <w:tcMar>
              <w:top w:w="105" w:type="dxa"/>
              <w:left w:w="0" w:type="dxa"/>
              <w:bottom w:w="105" w:type="dxa"/>
              <w:right w:w="120" w:type="dxa"/>
            </w:tcMar>
            <w:vAlign w:val="center"/>
            <w:hideMark/>
          </w:tcPr>
          <w:p w14:paraId="7892C15B"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w:t>
            </w:r>
          </w:p>
        </w:tc>
      </w:tr>
      <w:tr w:rsidR="00FC3E1D" w14:paraId="10300177" w14:textId="77777777" w:rsidTr="009138BD">
        <w:trPr>
          <w:trHeight w:val="515"/>
          <w:jc w:val="center"/>
        </w:trPr>
        <w:tc>
          <w:tcPr>
            <w:tcW w:w="4457" w:type="dxa"/>
            <w:shd w:val="clear" w:color="auto" w:fill="auto"/>
            <w:tcMar>
              <w:top w:w="105" w:type="dxa"/>
              <w:left w:w="0" w:type="dxa"/>
              <w:bottom w:w="105" w:type="dxa"/>
              <w:right w:w="120" w:type="dxa"/>
            </w:tcMar>
            <w:vAlign w:val="center"/>
            <w:hideMark/>
          </w:tcPr>
          <w:p w14:paraId="6B7B92C6"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Depreciation, Depletion &amp; Amortization</w:t>
            </w:r>
          </w:p>
        </w:tc>
        <w:tc>
          <w:tcPr>
            <w:tcW w:w="1171" w:type="dxa"/>
            <w:shd w:val="clear" w:color="auto" w:fill="auto"/>
            <w:tcMar>
              <w:top w:w="105" w:type="dxa"/>
              <w:left w:w="0" w:type="dxa"/>
              <w:bottom w:w="105" w:type="dxa"/>
              <w:right w:w="120" w:type="dxa"/>
            </w:tcMar>
            <w:vAlign w:val="center"/>
            <w:hideMark/>
          </w:tcPr>
          <w:p w14:paraId="7EBAA079"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3,415</w:t>
            </w:r>
          </w:p>
        </w:tc>
        <w:tc>
          <w:tcPr>
            <w:tcW w:w="1141" w:type="dxa"/>
            <w:shd w:val="clear" w:color="auto" w:fill="auto"/>
            <w:tcMar>
              <w:top w:w="105" w:type="dxa"/>
              <w:left w:w="0" w:type="dxa"/>
              <w:bottom w:w="105" w:type="dxa"/>
              <w:right w:w="120" w:type="dxa"/>
            </w:tcMar>
            <w:vAlign w:val="center"/>
            <w:hideMark/>
          </w:tcPr>
          <w:p w14:paraId="58AB4D8C"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3,337</w:t>
            </w:r>
          </w:p>
        </w:tc>
        <w:tc>
          <w:tcPr>
            <w:tcW w:w="1141" w:type="dxa"/>
            <w:shd w:val="clear" w:color="auto" w:fill="auto"/>
            <w:tcMar>
              <w:top w:w="105" w:type="dxa"/>
              <w:left w:w="0" w:type="dxa"/>
              <w:bottom w:w="105" w:type="dxa"/>
              <w:right w:w="120" w:type="dxa"/>
            </w:tcMar>
            <w:vAlign w:val="center"/>
            <w:hideMark/>
          </w:tcPr>
          <w:p w14:paraId="3ECADCFC"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3,436</w:t>
            </w:r>
          </w:p>
        </w:tc>
        <w:tc>
          <w:tcPr>
            <w:tcW w:w="1141" w:type="dxa"/>
            <w:shd w:val="clear" w:color="auto" w:fill="auto"/>
            <w:tcMar>
              <w:top w:w="105" w:type="dxa"/>
              <w:left w:w="0" w:type="dxa"/>
              <w:bottom w:w="105" w:type="dxa"/>
              <w:right w:w="120" w:type="dxa"/>
            </w:tcMar>
            <w:vAlign w:val="center"/>
            <w:hideMark/>
          </w:tcPr>
          <w:p w14:paraId="078C8352"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3,011</w:t>
            </w:r>
          </w:p>
        </w:tc>
        <w:tc>
          <w:tcPr>
            <w:tcW w:w="1141" w:type="dxa"/>
            <w:shd w:val="clear" w:color="auto" w:fill="auto"/>
            <w:tcMar>
              <w:top w:w="105" w:type="dxa"/>
              <w:left w:w="0" w:type="dxa"/>
              <w:bottom w:w="105" w:type="dxa"/>
              <w:right w:w="120" w:type="dxa"/>
            </w:tcMar>
            <w:vAlign w:val="center"/>
            <w:hideMark/>
          </w:tcPr>
          <w:p w14:paraId="3496971D"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3,397</w:t>
            </w:r>
          </w:p>
        </w:tc>
      </w:tr>
      <w:tr w:rsidR="00FC3E1D" w14:paraId="73485F60"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1CB4E21D"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Depreciation and Depletion</w:t>
            </w:r>
          </w:p>
        </w:tc>
        <w:tc>
          <w:tcPr>
            <w:tcW w:w="1171" w:type="dxa"/>
            <w:shd w:val="clear" w:color="auto" w:fill="auto"/>
            <w:tcMar>
              <w:top w:w="105" w:type="dxa"/>
              <w:left w:w="0" w:type="dxa"/>
              <w:bottom w:w="105" w:type="dxa"/>
              <w:right w:w="120" w:type="dxa"/>
            </w:tcMar>
            <w:vAlign w:val="center"/>
            <w:hideMark/>
          </w:tcPr>
          <w:p w14:paraId="625328A2"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3,286</w:t>
            </w:r>
          </w:p>
        </w:tc>
        <w:tc>
          <w:tcPr>
            <w:tcW w:w="1141" w:type="dxa"/>
            <w:shd w:val="clear" w:color="auto" w:fill="auto"/>
            <w:tcMar>
              <w:top w:w="105" w:type="dxa"/>
              <w:left w:w="0" w:type="dxa"/>
              <w:bottom w:w="105" w:type="dxa"/>
              <w:right w:w="120" w:type="dxa"/>
            </w:tcMar>
            <w:vAlign w:val="center"/>
            <w:hideMark/>
          </w:tcPr>
          <w:p w14:paraId="2B4AAE3D"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3,211</w:t>
            </w:r>
          </w:p>
        </w:tc>
        <w:tc>
          <w:tcPr>
            <w:tcW w:w="1141" w:type="dxa"/>
            <w:shd w:val="clear" w:color="auto" w:fill="auto"/>
            <w:tcMar>
              <w:top w:w="105" w:type="dxa"/>
              <w:left w:w="0" w:type="dxa"/>
              <w:bottom w:w="105" w:type="dxa"/>
              <w:right w:w="120" w:type="dxa"/>
            </w:tcMar>
            <w:vAlign w:val="center"/>
            <w:hideMark/>
          </w:tcPr>
          <w:p w14:paraId="6B0B1666"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3,332</w:t>
            </w:r>
          </w:p>
        </w:tc>
        <w:tc>
          <w:tcPr>
            <w:tcW w:w="1141" w:type="dxa"/>
            <w:shd w:val="clear" w:color="auto" w:fill="auto"/>
            <w:tcMar>
              <w:top w:w="105" w:type="dxa"/>
              <w:left w:w="0" w:type="dxa"/>
              <w:bottom w:w="105" w:type="dxa"/>
              <w:right w:w="120" w:type="dxa"/>
            </w:tcMar>
            <w:vAlign w:val="center"/>
            <w:hideMark/>
          </w:tcPr>
          <w:p w14:paraId="236748C2"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2,911</w:t>
            </w:r>
          </w:p>
        </w:tc>
        <w:tc>
          <w:tcPr>
            <w:tcW w:w="1141" w:type="dxa"/>
            <w:shd w:val="clear" w:color="auto" w:fill="auto"/>
            <w:tcMar>
              <w:top w:w="105" w:type="dxa"/>
              <w:left w:w="0" w:type="dxa"/>
              <w:bottom w:w="105" w:type="dxa"/>
              <w:right w:w="120" w:type="dxa"/>
            </w:tcMar>
            <w:vAlign w:val="center"/>
            <w:hideMark/>
          </w:tcPr>
          <w:p w14:paraId="4C5EFE23"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3,260</w:t>
            </w:r>
          </w:p>
        </w:tc>
      </w:tr>
      <w:tr w:rsidR="00FC3E1D" w14:paraId="2B2631DC"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3A7FDDD6"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Amortization of Intangible Assets</w:t>
            </w:r>
          </w:p>
        </w:tc>
        <w:tc>
          <w:tcPr>
            <w:tcW w:w="1171" w:type="dxa"/>
            <w:shd w:val="clear" w:color="auto" w:fill="auto"/>
            <w:tcMar>
              <w:top w:w="105" w:type="dxa"/>
              <w:left w:w="0" w:type="dxa"/>
              <w:bottom w:w="105" w:type="dxa"/>
              <w:right w:w="120" w:type="dxa"/>
            </w:tcMar>
            <w:vAlign w:val="center"/>
            <w:hideMark/>
          </w:tcPr>
          <w:p w14:paraId="566E2D3D"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129</w:t>
            </w:r>
          </w:p>
        </w:tc>
        <w:tc>
          <w:tcPr>
            <w:tcW w:w="1141" w:type="dxa"/>
            <w:shd w:val="clear" w:color="auto" w:fill="auto"/>
            <w:tcMar>
              <w:top w:w="105" w:type="dxa"/>
              <w:left w:w="0" w:type="dxa"/>
              <w:bottom w:w="105" w:type="dxa"/>
              <w:right w:w="120" w:type="dxa"/>
            </w:tcMar>
            <w:vAlign w:val="center"/>
            <w:hideMark/>
          </w:tcPr>
          <w:p w14:paraId="5BCA5679"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126</w:t>
            </w:r>
          </w:p>
        </w:tc>
        <w:tc>
          <w:tcPr>
            <w:tcW w:w="1141" w:type="dxa"/>
            <w:shd w:val="clear" w:color="auto" w:fill="auto"/>
            <w:tcMar>
              <w:top w:w="105" w:type="dxa"/>
              <w:left w:w="0" w:type="dxa"/>
              <w:bottom w:w="105" w:type="dxa"/>
              <w:right w:w="120" w:type="dxa"/>
            </w:tcMar>
            <w:vAlign w:val="center"/>
            <w:hideMark/>
          </w:tcPr>
          <w:p w14:paraId="7C644D93"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104</w:t>
            </w:r>
          </w:p>
        </w:tc>
        <w:tc>
          <w:tcPr>
            <w:tcW w:w="1141" w:type="dxa"/>
            <w:shd w:val="clear" w:color="auto" w:fill="auto"/>
            <w:tcMar>
              <w:top w:w="105" w:type="dxa"/>
              <w:left w:w="0" w:type="dxa"/>
              <w:bottom w:w="105" w:type="dxa"/>
              <w:right w:w="120" w:type="dxa"/>
            </w:tcMar>
            <w:vAlign w:val="center"/>
            <w:hideMark/>
          </w:tcPr>
          <w:p w14:paraId="2F00F6A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100</w:t>
            </w:r>
          </w:p>
        </w:tc>
        <w:tc>
          <w:tcPr>
            <w:tcW w:w="1141" w:type="dxa"/>
            <w:shd w:val="clear" w:color="auto" w:fill="auto"/>
            <w:tcMar>
              <w:top w:w="105" w:type="dxa"/>
              <w:left w:w="0" w:type="dxa"/>
              <w:bottom w:w="105" w:type="dxa"/>
              <w:right w:w="120" w:type="dxa"/>
            </w:tcMar>
            <w:vAlign w:val="center"/>
            <w:hideMark/>
          </w:tcPr>
          <w:p w14:paraId="5302BD5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137</w:t>
            </w:r>
          </w:p>
        </w:tc>
      </w:tr>
      <w:tr w:rsidR="00FC3E1D" w14:paraId="476938BA" w14:textId="77777777" w:rsidTr="009138BD">
        <w:trPr>
          <w:trHeight w:val="515"/>
          <w:jc w:val="center"/>
        </w:trPr>
        <w:tc>
          <w:tcPr>
            <w:tcW w:w="4457" w:type="dxa"/>
            <w:shd w:val="clear" w:color="auto" w:fill="auto"/>
            <w:tcMar>
              <w:top w:w="105" w:type="dxa"/>
              <w:left w:w="0" w:type="dxa"/>
              <w:bottom w:w="105" w:type="dxa"/>
              <w:right w:w="120" w:type="dxa"/>
            </w:tcMar>
            <w:vAlign w:val="center"/>
            <w:hideMark/>
          </w:tcPr>
          <w:p w14:paraId="73537F70"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Deferred Taxes &amp; Investment Tax Credit</w:t>
            </w:r>
          </w:p>
        </w:tc>
        <w:tc>
          <w:tcPr>
            <w:tcW w:w="1171" w:type="dxa"/>
            <w:shd w:val="clear" w:color="auto" w:fill="auto"/>
            <w:tcMar>
              <w:top w:w="105" w:type="dxa"/>
              <w:left w:w="0" w:type="dxa"/>
              <w:bottom w:w="105" w:type="dxa"/>
              <w:right w:w="120" w:type="dxa"/>
            </w:tcMar>
            <w:vAlign w:val="center"/>
            <w:hideMark/>
          </w:tcPr>
          <w:p w14:paraId="654CE691"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83</w:t>
            </w:r>
          </w:p>
        </w:tc>
        <w:tc>
          <w:tcPr>
            <w:tcW w:w="1141" w:type="dxa"/>
            <w:shd w:val="clear" w:color="auto" w:fill="auto"/>
            <w:tcMar>
              <w:top w:w="105" w:type="dxa"/>
              <w:left w:w="0" w:type="dxa"/>
              <w:bottom w:w="105" w:type="dxa"/>
              <w:right w:w="120" w:type="dxa"/>
            </w:tcMar>
            <w:vAlign w:val="center"/>
            <w:hideMark/>
          </w:tcPr>
          <w:p w14:paraId="523644AE"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(139)</w:t>
            </w:r>
          </w:p>
        </w:tc>
        <w:tc>
          <w:tcPr>
            <w:tcW w:w="1141" w:type="dxa"/>
            <w:shd w:val="clear" w:color="auto" w:fill="auto"/>
            <w:tcMar>
              <w:top w:w="105" w:type="dxa"/>
              <w:left w:w="0" w:type="dxa"/>
              <w:bottom w:w="105" w:type="dxa"/>
              <w:right w:w="120" w:type="dxa"/>
            </w:tcMar>
            <w:vAlign w:val="center"/>
            <w:hideMark/>
          </w:tcPr>
          <w:p w14:paraId="06F5B8A8"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(227)</w:t>
            </w:r>
          </w:p>
        </w:tc>
        <w:tc>
          <w:tcPr>
            <w:tcW w:w="1141" w:type="dxa"/>
            <w:shd w:val="clear" w:color="auto" w:fill="auto"/>
            <w:tcMar>
              <w:top w:w="105" w:type="dxa"/>
              <w:left w:w="0" w:type="dxa"/>
              <w:bottom w:w="105" w:type="dxa"/>
              <w:right w:w="120" w:type="dxa"/>
            </w:tcMar>
            <w:vAlign w:val="center"/>
            <w:hideMark/>
          </w:tcPr>
          <w:p w14:paraId="1BB9B8A9"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387</w:t>
            </w:r>
          </w:p>
        </w:tc>
        <w:tc>
          <w:tcPr>
            <w:tcW w:w="1141" w:type="dxa"/>
            <w:shd w:val="clear" w:color="auto" w:fill="auto"/>
            <w:tcMar>
              <w:top w:w="105" w:type="dxa"/>
              <w:left w:w="0" w:type="dxa"/>
              <w:bottom w:w="105" w:type="dxa"/>
              <w:right w:w="120" w:type="dxa"/>
            </w:tcMar>
            <w:vAlign w:val="center"/>
            <w:hideMark/>
          </w:tcPr>
          <w:p w14:paraId="3EEDE4A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540</w:t>
            </w:r>
          </w:p>
        </w:tc>
      </w:tr>
      <w:tr w:rsidR="00FC3E1D" w14:paraId="0628351B"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2AB2068C"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Deferred Taxes</w:t>
            </w:r>
          </w:p>
        </w:tc>
        <w:tc>
          <w:tcPr>
            <w:tcW w:w="1171" w:type="dxa"/>
            <w:shd w:val="clear" w:color="auto" w:fill="auto"/>
            <w:tcMar>
              <w:top w:w="105" w:type="dxa"/>
              <w:left w:w="0" w:type="dxa"/>
              <w:bottom w:w="105" w:type="dxa"/>
              <w:right w:w="120" w:type="dxa"/>
            </w:tcMar>
            <w:vAlign w:val="center"/>
            <w:hideMark/>
          </w:tcPr>
          <w:p w14:paraId="0AB1ED92"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83</w:t>
            </w:r>
          </w:p>
        </w:tc>
        <w:tc>
          <w:tcPr>
            <w:tcW w:w="1141" w:type="dxa"/>
            <w:shd w:val="clear" w:color="auto" w:fill="auto"/>
            <w:tcMar>
              <w:top w:w="105" w:type="dxa"/>
              <w:left w:w="0" w:type="dxa"/>
              <w:bottom w:w="105" w:type="dxa"/>
              <w:right w:w="120" w:type="dxa"/>
            </w:tcMar>
            <w:vAlign w:val="center"/>
            <w:hideMark/>
          </w:tcPr>
          <w:p w14:paraId="66F3C32B"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(139)</w:t>
            </w:r>
          </w:p>
        </w:tc>
        <w:tc>
          <w:tcPr>
            <w:tcW w:w="1141" w:type="dxa"/>
            <w:shd w:val="clear" w:color="auto" w:fill="auto"/>
            <w:tcMar>
              <w:top w:w="105" w:type="dxa"/>
              <w:left w:w="0" w:type="dxa"/>
              <w:bottom w:w="105" w:type="dxa"/>
              <w:right w:w="120" w:type="dxa"/>
            </w:tcMar>
            <w:vAlign w:val="center"/>
            <w:hideMark/>
          </w:tcPr>
          <w:p w14:paraId="30932D40"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(227)</w:t>
            </w:r>
          </w:p>
        </w:tc>
        <w:tc>
          <w:tcPr>
            <w:tcW w:w="1141" w:type="dxa"/>
            <w:shd w:val="clear" w:color="auto" w:fill="auto"/>
            <w:tcMar>
              <w:top w:w="105" w:type="dxa"/>
              <w:left w:w="0" w:type="dxa"/>
              <w:bottom w:w="105" w:type="dxa"/>
              <w:right w:w="120" w:type="dxa"/>
            </w:tcMar>
            <w:vAlign w:val="center"/>
            <w:hideMark/>
          </w:tcPr>
          <w:p w14:paraId="193BC7EB"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387</w:t>
            </w:r>
          </w:p>
        </w:tc>
        <w:tc>
          <w:tcPr>
            <w:tcW w:w="1141" w:type="dxa"/>
            <w:shd w:val="clear" w:color="auto" w:fill="auto"/>
            <w:tcMar>
              <w:top w:w="105" w:type="dxa"/>
              <w:left w:w="0" w:type="dxa"/>
              <w:bottom w:w="105" w:type="dxa"/>
              <w:right w:w="120" w:type="dxa"/>
            </w:tcMar>
            <w:vAlign w:val="center"/>
            <w:hideMark/>
          </w:tcPr>
          <w:p w14:paraId="257149C8"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540</w:t>
            </w:r>
          </w:p>
        </w:tc>
      </w:tr>
      <w:tr w:rsidR="00FC3E1D" w14:paraId="52F0D052" w14:textId="77777777" w:rsidTr="009138BD">
        <w:trPr>
          <w:trHeight w:val="515"/>
          <w:jc w:val="center"/>
        </w:trPr>
        <w:tc>
          <w:tcPr>
            <w:tcW w:w="4457" w:type="dxa"/>
            <w:shd w:val="clear" w:color="auto" w:fill="auto"/>
            <w:tcMar>
              <w:top w:w="105" w:type="dxa"/>
              <w:left w:w="0" w:type="dxa"/>
              <w:bottom w:w="105" w:type="dxa"/>
              <w:right w:w="120" w:type="dxa"/>
            </w:tcMar>
            <w:vAlign w:val="center"/>
            <w:hideMark/>
          </w:tcPr>
          <w:p w14:paraId="4F8A102B"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lastRenderedPageBreak/>
              <w:t>Other Funds</w:t>
            </w:r>
          </w:p>
        </w:tc>
        <w:tc>
          <w:tcPr>
            <w:tcW w:w="1171" w:type="dxa"/>
            <w:shd w:val="clear" w:color="auto" w:fill="auto"/>
            <w:tcMar>
              <w:top w:w="105" w:type="dxa"/>
              <w:left w:w="0" w:type="dxa"/>
              <w:bottom w:w="105" w:type="dxa"/>
              <w:right w:w="120" w:type="dxa"/>
            </w:tcMar>
            <w:vAlign w:val="center"/>
            <w:hideMark/>
          </w:tcPr>
          <w:p w14:paraId="7E9B26C5"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93</w:t>
            </w:r>
          </w:p>
        </w:tc>
        <w:tc>
          <w:tcPr>
            <w:tcW w:w="1141" w:type="dxa"/>
            <w:shd w:val="clear" w:color="auto" w:fill="auto"/>
            <w:tcMar>
              <w:top w:w="105" w:type="dxa"/>
              <w:left w:w="0" w:type="dxa"/>
              <w:bottom w:w="105" w:type="dxa"/>
              <w:right w:w="120" w:type="dxa"/>
            </w:tcMar>
            <w:vAlign w:val="center"/>
            <w:hideMark/>
          </w:tcPr>
          <w:p w14:paraId="212B5C03"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1,826</w:t>
            </w:r>
          </w:p>
        </w:tc>
        <w:tc>
          <w:tcPr>
            <w:tcW w:w="1141" w:type="dxa"/>
            <w:shd w:val="clear" w:color="auto" w:fill="auto"/>
            <w:tcMar>
              <w:top w:w="105" w:type="dxa"/>
              <w:left w:w="0" w:type="dxa"/>
              <w:bottom w:w="105" w:type="dxa"/>
              <w:right w:w="120" w:type="dxa"/>
            </w:tcMar>
            <w:vAlign w:val="center"/>
            <w:hideMark/>
          </w:tcPr>
          <w:p w14:paraId="1775B017"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3,309</w:t>
            </w:r>
          </w:p>
        </w:tc>
        <w:tc>
          <w:tcPr>
            <w:tcW w:w="1141" w:type="dxa"/>
            <w:shd w:val="clear" w:color="auto" w:fill="auto"/>
            <w:tcMar>
              <w:top w:w="105" w:type="dxa"/>
              <w:left w:w="0" w:type="dxa"/>
              <w:bottom w:w="105" w:type="dxa"/>
              <w:right w:w="120" w:type="dxa"/>
            </w:tcMar>
            <w:vAlign w:val="center"/>
            <w:hideMark/>
          </w:tcPr>
          <w:p w14:paraId="18F12365"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(4,262)</w:t>
            </w:r>
          </w:p>
        </w:tc>
        <w:tc>
          <w:tcPr>
            <w:tcW w:w="1141" w:type="dxa"/>
            <w:shd w:val="clear" w:color="auto" w:fill="auto"/>
            <w:tcMar>
              <w:top w:w="105" w:type="dxa"/>
              <w:left w:w="0" w:type="dxa"/>
              <w:bottom w:w="105" w:type="dxa"/>
              <w:right w:w="120" w:type="dxa"/>
            </w:tcMar>
            <w:vAlign w:val="center"/>
            <w:hideMark/>
          </w:tcPr>
          <w:p w14:paraId="75E7A6A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436</w:t>
            </w:r>
          </w:p>
        </w:tc>
      </w:tr>
      <w:tr w:rsidR="00FC3E1D" w14:paraId="78130A8E" w14:textId="77777777" w:rsidTr="009138BD">
        <w:trPr>
          <w:trHeight w:val="515"/>
          <w:jc w:val="center"/>
        </w:trPr>
        <w:tc>
          <w:tcPr>
            <w:tcW w:w="4457" w:type="dxa"/>
            <w:shd w:val="clear" w:color="auto" w:fill="auto"/>
            <w:tcMar>
              <w:top w:w="105" w:type="dxa"/>
              <w:left w:w="0" w:type="dxa"/>
              <w:bottom w:w="105" w:type="dxa"/>
              <w:right w:w="120" w:type="dxa"/>
            </w:tcMar>
            <w:vAlign w:val="center"/>
            <w:hideMark/>
          </w:tcPr>
          <w:p w14:paraId="7B74C59C"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Funds from Operations</w:t>
            </w:r>
          </w:p>
        </w:tc>
        <w:tc>
          <w:tcPr>
            <w:tcW w:w="1171" w:type="dxa"/>
            <w:shd w:val="clear" w:color="auto" w:fill="auto"/>
            <w:tcMar>
              <w:top w:w="105" w:type="dxa"/>
              <w:left w:w="0" w:type="dxa"/>
              <w:bottom w:w="105" w:type="dxa"/>
              <w:right w:w="120" w:type="dxa"/>
            </w:tcMar>
            <w:vAlign w:val="center"/>
            <w:hideMark/>
          </w:tcPr>
          <w:p w14:paraId="49CDDA1F"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20,006</w:t>
            </w:r>
          </w:p>
        </w:tc>
        <w:tc>
          <w:tcPr>
            <w:tcW w:w="1141" w:type="dxa"/>
            <w:shd w:val="clear" w:color="auto" w:fill="auto"/>
            <w:tcMar>
              <w:top w:w="105" w:type="dxa"/>
              <w:left w:w="0" w:type="dxa"/>
              <w:bottom w:w="105" w:type="dxa"/>
              <w:right w:w="120" w:type="dxa"/>
            </w:tcMar>
            <w:vAlign w:val="center"/>
            <w:hideMark/>
          </w:tcPr>
          <w:p w14:paraId="7935B931"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13,134</w:t>
            </w:r>
          </w:p>
        </w:tc>
        <w:tc>
          <w:tcPr>
            <w:tcW w:w="1141" w:type="dxa"/>
            <w:shd w:val="clear" w:color="auto" w:fill="auto"/>
            <w:tcMar>
              <w:top w:w="105" w:type="dxa"/>
              <w:left w:w="0" w:type="dxa"/>
              <w:bottom w:w="105" w:type="dxa"/>
              <w:right w:w="120" w:type="dxa"/>
            </w:tcMar>
            <w:vAlign w:val="center"/>
            <w:hideMark/>
          </w:tcPr>
          <w:p w14:paraId="1D0E7627"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11,984</w:t>
            </w:r>
          </w:p>
        </w:tc>
        <w:tc>
          <w:tcPr>
            <w:tcW w:w="1141" w:type="dxa"/>
            <w:shd w:val="clear" w:color="auto" w:fill="auto"/>
            <w:tcMar>
              <w:top w:w="105" w:type="dxa"/>
              <w:left w:w="0" w:type="dxa"/>
              <w:bottom w:w="105" w:type="dxa"/>
              <w:right w:w="120" w:type="dxa"/>
            </w:tcMar>
            <w:vAlign w:val="center"/>
            <w:hideMark/>
          </w:tcPr>
          <w:p w14:paraId="4ED778A1"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9,579</w:t>
            </w:r>
          </w:p>
        </w:tc>
        <w:tc>
          <w:tcPr>
            <w:tcW w:w="1141" w:type="dxa"/>
            <w:shd w:val="clear" w:color="auto" w:fill="auto"/>
            <w:tcMar>
              <w:top w:w="105" w:type="dxa"/>
              <w:left w:w="0" w:type="dxa"/>
              <w:bottom w:w="105" w:type="dxa"/>
              <w:right w:w="120" w:type="dxa"/>
            </w:tcMar>
            <w:vAlign w:val="center"/>
            <w:hideMark/>
          </w:tcPr>
          <w:p w14:paraId="3B3B96C0"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11,245</w:t>
            </w:r>
          </w:p>
        </w:tc>
      </w:tr>
      <w:tr w:rsidR="00FC3E1D" w14:paraId="1A95A154" w14:textId="77777777" w:rsidTr="009138BD">
        <w:trPr>
          <w:trHeight w:val="515"/>
          <w:jc w:val="center"/>
        </w:trPr>
        <w:tc>
          <w:tcPr>
            <w:tcW w:w="4457" w:type="dxa"/>
            <w:shd w:val="clear" w:color="auto" w:fill="auto"/>
            <w:tcMar>
              <w:top w:w="105" w:type="dxa"/>
              <w:left w:w="0" w:type="dxa"/>
              <w:bottom w:w="105" w:type="dxa"/>
              <w:right w:w="120" w:type="dxa"/>
            </w:tcMar>
            <w:vAlign w:val="center"/>
            <w:hideMark/>
          </w:tcPr>
          <w:p w14:paraId="0D88DC61"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Changes in Working Capital</w:t>
            </w:r>
          </w:p>
        </w:tc>
        <w:tc>
          <w:tcPr>
            <w:tcW w:w="1171" w:type="dxa"/>
            <w:shd w:val="clear" w:color="auto" w:fill="auto"/>
            <w:tcMar>
              <w:top w:w="105" w:type="dxa"/>
              <w:left w:w="0" w:type="dxa"/>
              <w:bottom w:w="105" w:type="dxa"/>
              <w:right w:w="120" w:type="dxa"/>
            </w:tcMar>
            <w:vAlign w:val="center"/>
            <w:hideMark/>
          </w:tcPr>
          <w:p w14:paraId="567B333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(785)</w:t>
            </w:r>
          </w:p>
        </w:tc>
        <w:tc>
          <w:tcPr>
            <w:tcW w:w="1141" w:type="dxa"/>
            <w:shd w:val="clear" w:color="auto" w:fill="auto"/>
            <w:tcMar>
              <w:top w:w="105" w:type="dxa"/>
              <w:left w:w="0" w:type="dxa"/>
              <w:bottom w:w="105" w:type="dxa"/>
              <w:right w:w="120" w:type="dxa"/>
            </w:tcMar>
            <w:vAlign w:val="center"/>
            <w:hideMark/>
          </w:tcPr>
          <w:p w14:paraId="4F68340C"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(222)</w:t>
            </w:r>
          </w:p>
        </w:tc>
        <w:tc>
          <w:tcPr>
            <w:tcW w:w="1141" w:type="dxa"/>
            <w:shd w:val="clear" w:color="auto" w:fill="auto"/>
            <w:tcMar>
              <w:top w:w="105" w:type="dxa"/>
              <w:left w:w="0" w:type="dxa"/>
              <w:bottom w:w="105" w:type="dxa"/>
              <w:right w:w="120" w:type="dxa"/>
            </w:tcMar>
            <w:vAlign w:val="center"/>
            <w:hideMark/>
          </w:tcPr>
          <w:p w14:paraId="6BA1883F"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w:t>
            </w:r>
          </w:p>
        </w:tc>
        <w:tc>
          <w:tcPr>
            <w:tcW w:w="1141" w:type="dxa"/>
            <w:shd w:val="clear" w:color="auto" w:fill="auto"/>
            <w:tcMar>
              <w:top w:w="105" w:type="dxa"/>
              <w:left w:w="0" w:type="dxa"/>
              <w:bottom w:w="105" w:type="dxa"/>
              <w:right w:w="120" w:type="dxa"/>
            </w:tcMar>
            <w:vAlign w:val="center"/>
            <w:hideMark/>
          </w:tcPr>
          <w:p w14:paraId="2EF4DB90"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(399)</w:t>
            </w:r>
          </w:p>
        </w:tc>
        <w:tc>
          <w:tcPr>
            <w:tcW w:w="1141" w:type="dxa"/>
            <w:shd w:val="clear" w:color="auto" w:fill="auto"/>
            <w:tcMar>
              <w:top w:w="105" w:type="dxa"/>
              <w:left w:w="0" w:type="dxa"/>
              <w:bottom w:w="105" w:type="dxa"/>
              <w:right w:w="120" w:type="dxa"/>
            </w:tcMar>
            <w:vAlign w:val="center"/>
            <w:hideMark/>
          </w:tcPr>
          <w:p w14:paraId="0297F4C3"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(155)</w:t>
            </w:r>
          </w:p>
        </w:tc>
      </w:tr>
      <w:tr w:rsidR="00FC3E1D" w14:paraId="396A4C1D"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795AC7BD"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Receivables</w:t>
            </w:r>
          </w:p>
        </w:tc>
        <w:tc>
          <w:tcPr>
            <w:tcW w:w="1171" w:type="dxa"/>
            <w:shd w:val="clear" w:color="auto" w:fill="auto"/>
            <w:tcMar>
              <w:top w:w="105" w:type="dxa"/>
              <w:left w:w="0" w:type="dxa"/>
              <w:bottom w:w="105" w:type="dxa"/>
              <w:right w:w="120" w:type="dxa"/>
            </w:tcMar>
            <w:vAlign w:val="center"/>
            <w:hideMark/>
          </w:tcPr>
          <w:p w14:paraId="2AADA5A8"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(267)</w:t>
            </w:r>
          </w:p>
        </w:tc>
        <w:tc>
          <w:tcPr>
            <w:tcW w:w="1141" w:type="dxa"/>
            <w:shd w:val="clear" w:color="auto" w:fill="auto"/>
            <w:tcMar>
              <w:top w:w="105" w:type="dxa"/>
              <w:left w:w="0" w:type="dxa"/>
              <w:bottom w:w="105" w:type="dxa"/>
              <w:right w:w="120" w:type="dxa"/>
            </w:tcMar>
            <w:vAlign w:val="center"/>
            <w:hideMark/>
          </w:tcPr>
          <w:p w14:paraId="62B8EB95"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(438)</w:t>
            </w:r>
          </w:p>
        </w:tc>
        <w:tc>
          <w:tcPr>
            <w:tcW w:w="1141" w:type="dxa"/>
            <w:shd w:val="clear" w:color="auto" w:fill="auto"/>
            <w:tcMar>
              <w:top w:w="105" w:type="dxa"/>
              <w:left w:w="0" w:type="dxa"/>
              <w:bottom w:w="105" w:type="dxa"/>
              <w:right w:w="120" w:type="dxa"/>
            </w:tcMar>
            <w:vAlign w:val="center"/>
            <w:hideMark/>
          </w:tcPr>
          <w:p w14:paraId="6B328CE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128</w:t>
            </w:r>
          </w:p>
        </w:tc>
        <w:tc>
          <w:tcPr>
            <w:tcW w:w="1141" w:type="dxa"/>
            <w:shd w:val="clear" w:color="auto" w:fill="auto"/>
            <w:tcMar>
              <w:top w:w="105" w:type="dxa"/>
              <w:left w:w="0" w:type="dxa"/>
              <w:bottom w:w="105" w:type="dxa"/>
              <w:right w:w="120" w:type="dxa"/>
            </w:tcMar>
            <w:vAlign w:val="center"/>
            <w:hideMark/>
          </w:tcPr>
          <w:p w14:paraId="0D53F7E6"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(316)</w:t>
            </w:r>
          </w:p>
        </w:tc>
        <w:tc>
          <w:tcPr>
            <w:tcW w:w="1141" w:type="dxa"/>
            <w:shd w:val="clear" w:color="auto" w:fill="auto"/>
            <w:tcMar>
              <w:top w:w="105" w:type="dxa"/>
              <w:left w:w="0" w:type="dxa"/>
              <w:bottom w:w="105" w:type="dxa"/>
              <w:right w:w="120" w:type="dxa"/>
            </w:tcMar>
            <w:vAlign w:val="center"/>
            <w:hideMark/>
          </w:tcPr>
          <w:p w14:paraId="6959E9C6"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(107)</w:t>
            </w:r>
          </w:p>
        </w:tc>
      </w:tr>
      <w:tr w:rsidR="00FC3E1D" w14:paraId="3C9AF14B"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3DF6BFB0"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Inventories</w:t>
            </w:r>
          </w:p>
        </w:tc>
        <w:tc>
          <w:tcPr>
            <w:tcW w:w="1171" w:type="dxa"/>
            <w:shd w:val="clear" w:color="auto" w:fill="auto"/>
            <w:tcMar>
              <w:top w:w="105" w:type="dxa"/>
              <w:left w:w="0" w:type="dxa"/>
              <w:bottom w:w="105" w:type="dxa"/>
              <w:right w:w="120" w:type="dxa"/>
            </w:tcMar>
            <w:vAlign w:val="center"/>
            <w:hideMark/>
          </w:tcPr>
          <w:p w14:paraId="3E24A3E5"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(1,016)</w:t>
            </w:r>
          </w:p>
        </w:tc>
        <w:tc>
          <w:tcPr>
            <w:tcW w:w="1141" w:type="dxa"/>
            <w:shd w:val="clear" w:color="auto" w:fill="auto"/>
            <w:tcMar>
              <w:top w:w="105" w:type="dxa"/>
              <w:left w:w="0" w:type="dxa"/>
              <w:bottom w:w="105" w:type="dxa"/>
              <w:right w:w="120" w:type="dxa"/>
            </w:tcMar>
            <w:vAlign w:val="center"/>
            <w:hideMark/>
          </w:tcPr>
          <w:p w14:paraId="1EB063AE"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(219)</w:t>
            </w:r>
          </w:p>
        </w:tc>
        <w:tc>
          <w:tcPr>
            <w:tcW w:w="1141" w:type="dxa"/>
            <w:shd w:val="clear" w:color="auto" w:fill="auto"/>
            <w:tcMar>
              <w:top w:w="105" w:type="dxa"/>
              <w:left w:w="0" w:type="dxa"/>
              <w:bottom w:w="105" w:type="dxa"/>
              <w:right w:w="120" w:type="dxa"/>
            </w:tcMar>
            <w:vAlign w:val="center"/>
            <w:hideMark/>
          </w:tcPr>
          <w:p w14:paraId="6FECDBBB"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22</w:t>
            </w:r>
          </w:p>
        </w:tc>
        <w:tc>
          <w:tcPr>
            <w:tcW w:w="1141" w:type="dxa"/>
            <w:shd w:val="clear" w:color="auto" w:fill="auto"/>
            <w:tcMar>
              <w:top w:w="105" w:type="dxa"/>
              <w:left w:w="0" w:type="dxa"/>
              <w:bottom w:w="105" w:type="dxa"/>
              <w:right w:w="120" w:type="dxa"/>
            </w:tcMar>
            <w:vAlign w:val="center"/>
            <w:hideMark/>
          </w:tcPr>
          <w:p w14:paraId="6CB686BF"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(440)</w:t>
            </w:r>
          </w:p>
        </w:tc>
        <w:tc>
          <w:tcPr>
            <w:tcW w:w="1141" w:type="dxa"/>
            <w:shd w:val="clear" w:color="auto" w:fill="auto"/>
            <w:tcMar>
              <w:top w:w="105" w:type="dxa"/>
              <w:left w:w="0" w:type="dxa"/>
              <w:bottom w:w="105" w:type="dxa"/>
              <w:right w:w="120" w:type="dxa"/>
            </w:tcMar>
            <w:vAlign w:val="center"/>
            <w:hideMark/>
          </w:tcPr>
          <w:p w14:paraId="315C4A4B"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(374)</w:t>
            </w:r>
          </w:p>
        </w:tc>
      </w:tr>
      <w:tr w:rsidR="00FC3E1D" w14:paraId="382631AC"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1F27A01E"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Accounts Payable</w:t>
            </w:r>
          </w:p>
        </w:tc>
        <w:tc>
          <w:tcPr>
            <w:tcW w:w="1171" w:type="dxa"/>
            <w:shd w:val="clear" w:color="auto" w:fill="auto"/>
            <w:tcMar>
              <w:top w:w="105" w:type="dxa"/>
              <w:left w:w="0" w:type="dxa"/>
              <w:bottom w:w="105" w:type="dxa"/>
              <w:right w:w="120" w:type="dxa"/>
            </w:tcMar>
            <w:vAlign w:val="center"/>
            <w:hideMark/>
          </w:tcPr>
          <w:p w14:paraId="4E365885"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498</w:t>
            </w:r>
          </w:p>
        </w:tc>
        <w:tc>
          <w:tcPr>
            <w:tcW w:w="1141" w:type="dxa"/>
            <w:shd w:val="clear" w:color="auto" w:fill="auto"/>
            <w:tcMar>
              <w:top w:w="105" w:type="dxa"/>
              <w:left w:w="0" w:type="dxa"/>
              <w:bottom w:w="105" w:type="dxa"/>
              <w:right w:w="120" w:type="dxa"/>
            </w:tcMar>
            <w:vAlign w:val="center"/>
            <w:hideMark/>
          </w:tcPr>
          <w:p w14:paraId="15EEB3F2"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435</w:t>
            </w:r>
          </w:p>
        </w:tc>
        <w:tc>
          <w:tcPr>
            <w:tcW w:w="1141" w:type="dxa"/>
            <w:shd w:val="clear" w:color="auto" w:fill="auto"/>
            <w:tcMar>
              <w:top w:w="105" w:type="dxa"/>
              <w:left w:w="0" w:type="dxa"/>
              <w:bottom w:w="105" w:type="dxa"/>
              <w:right w:w="120" w:type="dxa"/>
            </w:tcMar>
            <w:vAlign w:val="center"/>
            <w:hideMark/>
          </w:tcPr>
          <w:p w14:paraId="017A054A"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(150)</w:t>
            </w:r>
          </w:p>
        </w:tc>
        <w:tc>
          <w:tcPr>
            <w:tcW w:w="1141" w:type="dxa"/>
            <w:shd w:val="clear" w:color="auto" w:fill="auto"/>
            <w:tcMar>
              <w:top w:w="105" w:type="dxa"/>
              <w:left w:w="0" w:type="dxa"/>
              <w:bottom w:w="105" w:type="dxa"/>
              <w:right w:w="120" w:type="dxa"/>
            </w:tcMar>
            <w:vAlign w:val="center"/>
            <w:hideMark/>
          </w:tcPr>
          <w:p w14:paraId="4129881A"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357</w:t>
            </w:r>
          </w:p>
        </w:tc>
        <w:tc>
          <w:tcPr>
            <w:tcW w:w="1141" w:type="dxa"/>
            <w:shd w:val="clear" w:color="auto" w:fill="auto"/>
            <w:tcMar>
              <w:top w:w="105" w:type="dxa"/>
              <w:left w:w="0" w:type="dxa"/>
              <w:bottom w:w="105" w:type="dxa"/>
              <w:right w:w="120" w:type="dxa"/>
            </w:tcMar>
            <w:vAlign w:val="center"/>
            <w:hideMark/>
          </w:tcPr>
          <w:p w14:paraId="71572B5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327</w:t>
            </w:r>
          </w:p>
        </w:tc>
      </w:tr>
      <w:tr w:rsidR="00FC3E1D" w14:paraId="15F97797" w14:textId="77777777" w:rsidTr="009138BD">
        <w:trPr>
          <w:trHeight w:val="515"/>
          <w:jc w:val="center"/>
        </w:trPr>
        <w:tc>
          <w:tcPr>
            <w:tcW w:w="4457" w:type="dxa"/>
            <w:shd w:val="clear" w:color="auto" w:fill="auto"/>
            <w:tcMar>
              <w:top w:w="105" w:type="dxa"/>
              <w:left w:w="0" w:type="dxa"/>
              <w:bottom w:w="105" w:type="dxa"/>
              <w:right w:w="120" w:type="dxa"/>
            </w:tcMar>
            <w:vAlign w:val="center"/>
            <w:hideMark/>
          </w:tcPr>
          <w:p w14:paraId="2C4C6C93"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Net Operating Cash Flow</w:t>
            </w:r>
          </w:p>
        </w:tc>
        <w:tc>
          <w:tcPr>
            <w:tcW w:w="1171" w:type="dxa"/>
            <w:shd w:val="clear" w:color="auto" w:fill="auto"/>
            <w:tcMar>
              <w:top w:w="105" w:type="dxa"/>
              <w:left w:w="0" w:type="dxa"/>
              <w:bottom w:w="105" w:type="dxa"/>
              <w:right w:w="120" w:type="dxa"/>
            </w:tcMar>
            <w:vAlign w:val="center"/>
            <w:hideMark/>
          </w:tcPr>
          <w:p w14:paraId="0AEE1C1F"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19,221</w:t>
            </w:r>
          </w:p>
        </w:tc>
        <w:tc>
          <w:tcPr>
            <w:tcW w:w="1141" w:type="dxa"/>
            <w:shd w:val="clear" w:color="auto" w:fill="auto"/>
            <w:tcMar>
              <w:top w:w="105" w:type="dxa"/>
              <w:left w:w="0" w:type="dxa"/>
              <w:bottom w:w="105" w:type="dxa"/>
              <w:right w:w="120" w:type="dxa"/>
            </w:tcMar>
            <w:vAlign w:val="center"/>
            <w:hideMark/>
          </w:tcPr>
          <w:p w14:paraId="6BB98722"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12,912</w:t>
            </w:r>
          </w:p>
        </w:tc>
        <w:tc>
          <w:tcPr>
            <w:tcW w:w="1141" w:type="dxa"/>
            <w:shd w:val="clear" w:color="auto" w:fill="auto"/>
            <w:tcMar>
              <w:top w:w="105" w:type="dxa"/>
              <w:left w:w="0" w:type="dxa"/>
              <w:bottom w:w="105" w:type="dxa"/>
              <w:right w:w="120" w:type="dxa"/>
            </w:tcMar>
            <w:vAlign w:val="center"/>
            <w:hideMark/>
          </w:tcPr>
          <w:p w14:paraId="47821432"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11,984</w:t>
            </w:r>
          </w:p>
        </w:tc>
        <w:tc>
          <w:tcPr>
            <w:tcW w:w="1141" w:type="dxa"/>
            <w:shd w:val="clear" w:color="auto" w:fill="auto"/>
            <w:tcMar>
              <w:top w:w="105" w:type="dxa"/>
              <w:left w:w="0" w:type="dxa"/>
              <w:bottom w:w="105" w:type="dxa"/>
              <w:right w:w="120" w:type="dxa"/>
            </w:tcMar>
            <w:vAlign w:val="center"/>
            <w:hideMark/>
          </w:tcPr>
          <w:p w14:paraId="644D8AEB"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9,180</w:t>
            </w:r>
          </w:p>
        </w:tc>
        <w:tc>
          <w:tcPr>
            <w:tcW w:w="1141" w:type="dxa"/>
            <w:shd w:val="clear" w:color="auto" w:fill="auto"/>
            <w:tcMar>
              <w:top w:w="105" w:type="dxa"/>
              <w:left w:w="0" w:type="dxa"/>
              <w:bottom w:w="105" w:type="dxa"/>
              <w:right w:w="120" w:type="dxa"/>
            </w:tcMar>
            <w:vAlign w:val="center"/>
            <w:hideMark/>
          </w:tcPr>
          <w:p w14:paraId="0DD74186"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11,091</w:t>
            </w:r>
          </w:p>
        </w:tc>
      </w:tr>
      <w:tr w:rsidR="00FC3E1D" w14:paraId="41459D2D"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1E6DA164"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Net Operating Cash Flow Growth</w:t>
            </w:r>
          </w:p>
        </w:tc>
        <w:tc>
          <w:tcPr>
            <w:tcW w:w="1171" w:type="dxa"/>
            <w:shd w:val="clear" w:color="auto" w:fill="auto"/>
            <w:tcMar>
              <w:top w:w="105" w:type="dxa"/>
              <w:left w:w="0" w:type="dxa"/>
              <w:bottom w:w="105" w:type="dxa"/>
              <w:right w:w="120" w:type="dxa"/>
            </w:tcMar>
            <w:vAlign w:val="center"/>
            <w:hideMark/>
          </w:tcPr>
          <w:p w14:paraId="6ED54261"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48.86%</w:t>
            </w:r>
          </w:p>
        </w:tc>
        <w:tc>
          <w:tcPr>
            <w:tcW w:w="1141" w:type="dxa"/>
            <w:shd w:val="clear" w:color="auto" w:fill="auto"/>
            <w:tcMar>
              <w:top w:w="105" w:type="dxa"/>
              <w:left w:w="0" w:type="dxa"/>
              <w:bottom w:w="105" w:type="dxa"/>
              <w:right w:w="120" w:type="dxa"/>
            </w:tcMar>
            <w:vAlign w:val="center"/>
            <w:hideMark/>
          </w:tcPr>
          <w:p w14:paraId="0660874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7.75%</w:t>
            </w:r>
          </w:p>
        </w:tc>
        <w:tc>
          <w:tcPr>
            <w:tcW w:w="1141" w:type="dxa"/>
            <w:shd w:val="clear" w:color="auto" w:fill="auto"/>
            <w:tcMar>
              <w:top w:w="105" w:type="dxa"/>
              <w:left w:w="0" w:type="dxa"/>
              <w:bottom w:w="105" w:type="dxa"/>
              <w:right w:w="120" w:type="dxa"/>
            </w:tcMar>
            <w:vAlign w:val="center"/>
            <w:hideMark/>
          </w:tcPr>
          <w:p w14:paraId="4031F147"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30.54%</w:t>
            </w:r>
          </w:p>
        </w:tc>
        <w:tc>
          <w:tcPr>
            <w:tcW w:w="1141" w:type="dxa"/>
            <w:shd w:val="clear" w:color="auto" w:fill="auto"/>
            <w:tcMar>
              <w:top w:w="105" w:type="dxa"/>
              <w:left w:w="0" w:type="dxa"/>
              <w:bottom w:w="105" w:type="dxa"/>
              <w:right w:w="120" w:type="dxa"/>
            </w:tcMar>
            <w:vAlign w:val="center"/>
            <w:hideMark/>
          </w:tcPr>
          <w:p w14:paraId="570205C3"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-17.23%</w:t>
            </w:r>
          </w:p>
        </w:tc>
        <w:tc>
          <w:tcPr>
            <w:tcW w:w="1141" w:type="dxa"/>
            <w:shd w:val="clear" w:color="auto" w:fill="auto"/>
            <w:tcMar>
              <w:top w:w="105" w:type="dxa"/>
              <w:left w:w="0" w:type="dxa"/>
              <w:bottom w:w="105" w:type="dxa"/>
              <w:right w:w="120" w:type="dxa"/>
            </w:tcMar>
            <w:vAlign w:val="center"/>
            <w:hideMark/>
          </w:tcPr>
          <w:p w14:paraId="03A3E2EF"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w:t>
            </w:r>
          </w:p>
        </w:tc>
      </w:tr>
      <w:tr w:rsidR="00FC3E1D" w14:paraId="4614CAE0" w14:textId="77777777" w:rsidTr="009138BD">
        <w:trPr>
          <w:trHeight w:val="515"/>
          <w:jc w:val="center"/>
        </w:trPr>
        <w:tc>
          <w:tcPr>
            <w:tcW w:w="4457" w:type="dxa"/>
            <w:shd w:val="clear" w:color="auto" w:fill="auto"/>
            <w:tcMar>
              <w:top w:w="105" w:type="dxa"/>
              <w:left w:w="300" w:type="dxa"/>
              <w:bottom w:w="105" w:type="dxa"/>
              <w:right w:w="120" w:type="dxa"/>
            </w:tcMar>
            <w:vAlign w:val="center"/>
            <w:hideMark/>
          </w:tcPr>
          <w:p w14:paraId="26ABA396" w14:textId="77777777" w:rsidR="009138BD" w:rsidRPr="00C96459" w:rsidRDefault="00000000" w:rsidP="00C96459">
            <w:pPr>
              <w:spacing w:line="360" w:lineRule="auto"/>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Net Operating Cash Flow / Sales</w:t>
            </w:r>
          </w:p>
        </w:tc>
        <w:tc>
          <w:tcPr>
            <w:tcW w:w="1171" w:type="dxa"/>
            <w:shd w:val="clear" w:color="auto" w:fill="auto"/>
            <w:tcMar>
              <w:top w:w="105" w:type="dxa"/>
              <w:left w:w="0" w:type="dxa"/>
              <w:bottom w:w="105" w:type="dxa"/>
              <w:right w:w="120" w:type="dxa"/>
            </w:tcMar>
            <w:vAlign w:val="center"/>
            <w:hideMark/>
          </w:tcPr>
          <w:p w14:paraId="21AF7BF9"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41.63%</w:t>
            </w:r>
          </w:p>
        </w:tc>
        <w:tc>
          <w:tcPr>
            <w:tcW w:w="1141" w:type="dxa"/>
            <w:shd w:val="clear" w:color="auto" w:fill="auto"/>
            <w:tcMar>
              <w:top w:w="105" w:type="dxa"/>
              <w:left w:w="0" w:type="dxa"/>
              <w:bottom w:w="105" w:type="dxa"/>
              <w:right w:w="120" w:type="dxa"/>
            </w:tcMar>
            <w:vAlign w:val="center"/>
            <w:hideMark/>
          </w:tcPr>
          <w:p w14:paraId="6433C810"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37.12%</w:t>
            </w:r>
          </w:p>
        </w:tc>
        <w:tc>
          <w:tcPr>
            <w:tcW w:w="1141" w:type="dxa"/>
            <w:shd w:val="clear" w:color="auto" w:fill="auto"/>
            <w:tcMar>
              <w:top w:w="105" w:type="dxa"/>
              <w:left w:w="0" w:type="dxa"/>
              <w:bottom w:w="105" w:type="dxa"/>
              <w:right w:w="120" w:type="dxa"/>
            </w:tcMar>
            <w:vAlign w:val="center"/>
            <w:hideMark/>
          </w:tcPr>
          <w:p w14:paraId="318EE807"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35.42%</w:t>
            </w:r>
          </w:p>
        </w:tc>
        <w:tc>
          <w:tcPr>
            <w:tcW w:w="1141" w:type="dxa"/>
            <w:shd w:val="clear" w:color="auto" w:fill="auto"/>
            <w:tcMar>
              <w:top w:w="105" w:type="dxa"/>
              <w:left w:w="0" w:type="dxa"/>
              <w:bottom w:w="105" w:type="dxa"/>
              <w:right w:w="120" w:type="dxa"/>
            </w:tcMar>
            <w:vAlign w:val="center"/>
            <w:hideMark/>
          </w:tcPr>
          <w:p w14:paraId="526822B1"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30.21%</w:t>
            </w:r>
          </w:p>
        </w:tc>
        <w:tc>
          <w:tcPr>
            <w:tcW w:w="1141" w:type="dxa"/>
            <w:shd w:val="clear" w:color="auto" w:fill="auto"/>
            <w:tcMar>
              <w:top w:w="105" w:type="dxa"/>
              <w:left w:w="0" w:type="dxa"/>
              <w:bottom w:w="105" w:type="dxa"/>
              <w:right w:w="120" w:type="dxa"/>
            </w:tcMar>
            <w:vAlign w:val="center"/>
            <w:hideMark/>
          </w:tcPr>
          <w:p w14:paraId="0007CB74" w14:textId="77777777" w:rsidR="009138BD" w:rsidRPr="00C96459" w:rsidRDefault="00000000" w:rsidP="00C96459">
            <w:pPr>
              <w:spacing w:line="360" w:lineRule="auto"/>
              <w:jc w:val="right"/>
              <w:rPr>
                <w:rFonts w:ascii="Times New Roman" w:hAnsi="Times New Roman" w:cs="Times New Roman"/>
                <w:color w:val="000000" w:themeColor="text1"/>
                <w:sz w:val="24"/>
                <w:szCs w:val="24"/>
              </w:rPr>
            </w:pPr>
            <w:r w:rsidRPr="00C96459">
              <w:rPr>
                <w:rFonts w:ascii="Times New Roman" w:hAnsi="Times New Roman" w:cs="Times New Roman"/>
                <w:color w:val="000000" w:themeColor="text1"/>
                <w:sz w:val="24"/>
                <w:szCs w:val="24"/>
              </w:rPr>
              <w:t>35.68%</w:t>
            </w:r>
          </w:p>
        </w:tc>
      </w:tr>
    </w:tbl>
    <w:p w14:paraId="26B7D3E3" w14:textId="77777777" w:rsidR="009138BD" w:rsidRPr="00C96459" w:rsidRDefault="00000000" w:rsidP="00C96459">
      <w:pPr>
        <w:spacing w:line="360" w:lineRule="auto"/>
        <w:jc w:val="center"/>
        <w:rPr>
          <w:rFonts w:ascii="Times New Roman" w:eastAsia="Times New Roman" w:hAnsi="Times New Roman" w:cs="Times New Roman"/>
          <w:b/>
          <w:sz w:val="24"/>
          <w:szCs w:val="24"/>
        </w:rPr>
      </w:pPr>
      <w:r w:rsidRPr="00C96459">
        <w:rPr>
          <w:rFonts w:ascii="Times New Roman" w:eastAsia="Times New Roman" w:hAnsi="Times New Roman" w:cs="Times New Roman"/>
          <w:b/>
          <w:sz w:val="24"/>
          <w:szCs w:val="24"/>
        </w:rPr>
        <w:t>Table 2: Method of appraising project- a cash flow statement</w:t>
      </w:r>
      <w:r w:rsidR="00D66D6A" w:rsidRPr="00C96459">
        <w:rPr>
          <w:rFonts w:ascii="Times New Roman" w:eastAsia="Times New Roman" w:hAnsi="Times New Roman" w:cs="Times New Roman"/>
          <w:b/>
          <w:sz w:val="24"/>
          <w:szCs w:val="24"/>
        </w:rPr>
        <w:t xml:space="preserve"> of Rio Tinto</w:t>
      </w:r>
    </w:p>
    <w:p w14:paraId="75486AC7" w14:textId="77777777" w:rsidR="009138BD" w:rsidRPr="00C96459" w:rsidRDefault="00000000" w:rsidP="00C96459">
      <w:pPr>
        <w:spacing w:line="360" w:lineRule="auto"/>
        <w:jc w:val="center"/>
        <w:rPr>
          <w:rFonts w:ascii="Times New Roman" w:eastAsia="Times New Roman" w:hAnsi="Times New Roman" w:cs="Times New Roman"/>
          <w:bCs/>
          <w:sz w:val="24"/>
          <w:szCs w:val="24"/>
        </w:rPr>
      </w:pPr>
      <w:r w:rsidRPr="00C96459">
        <w:rPr>
          <w:rFonts w:ascii="Times New Roman" w:eastAsia="Times New Roman" w:hAnsi="Times New Roman" w:cs="Times New Roman"/>
          <w:bCs/>
          <w:sz w:val="24"/>
          <w:szCs w:val="24"/>
        </w:rPr>
        <w:t>(Source:</w:t>
      </w:r>
      <w:r w:rsidR="005F4914" w:rsidRPr="00C96459">
        <w:rPr>
          <w:rFonts w:ascii="Times New Roman" w:hAnsi="Times New Roman" w:cs="Times New Roman"/>
          <w:color w:val="000000" w:themeColor="text1"/>
          <w:sz w:val="24"/>
          <w:szCs w:val="24"/>
        </w:rPr>
        <w:t xml:space="preserve"> WSJ, 2022</w:t>
      </w:r>
      <w:r w:rsidR="00D66D6A" w:rsidRPr="00C96459">
        <w:rPr>
          <w:rFonts w:ascii="Times New Roman" w:eastAsia="Times New Roman" w:hAnsi="Times New Roman" w:cs="Times New Roman"/>
          <w:bCs/>
          <w:sz w:val="24"/>
          <w:szCs w:val="24"/>
        </w:rPr>
        <w:t>)</w:t>
      </w:r>
    </w:p>
    <w:p w14:paraId="763540C9" w14:textId="77777777" w:rsidR="005532BC" w:rsidRPr="00C96459" w:rsidRDefault="00000000" w:rsidP="00C96459">
      <w:pPr>
        <w:spacing w:line="360" w:lineRule="auto"/>
        <w:jc w:val="both"/>
        <w:rPr>
          <w:rFonts w:ascii="Times New Roman" w:eastAsia="Times New Roman" w:hAnsi="Times New Roman" w:cs="Times New Roman"/>
          <w:bCs/>
          <w:sz w:val="24"/>
          <w:szCs w:val="24"/>
        </w:rPr>
      </w:pPr>
      <w:r w:rsidRPr="00C96459">
        <w:rPr>
          <w:rFonts w:ascii="Times New Roman" w:eastAsia="Times New Roman" w:hAnsi="Times New Roman" w:cs="Times New Roman"/>
          <w:bCs/>
          <w:sz w:val="24"/>
          <w:szCs w:val="24"/>
        </w:rPr>
        <w:t xml:space="preserve">This cash flow statement will talk about the flow of liquidity of the project of Rio Tinto. A positive </w:t>
      </w:r>
      <w:r w:rsidR="009051E6" w:rsidRPr="00C96459">
        <w:rPr>
          <w:rFonts w:ascii="Times New Roman" w:eastAsia="Times New Roman" w:hAnsi="Times New Roman" w:cs="Times New Roman"/>
          <w:bCs/>
          <w:sz w:val="24"/>
          <w:szCs w:val="24"/>
        </w:rPr>
        <w:t xml:space="preserve">net </w:t>
      </w:r>
      <w:r w:rsidRPr="00C96459">
        <w:rPr>
          <w:rFonts w:ascii="Times New Roman" w:eastAsia="Times New Roman" w:hAnsi="Times New Roman" w:cs="Times New Roman"/>
          <w:bCs/>
          <w:sz w:val="24"/>
          <w:szCs w:val="24"/>
        </w:rPr>
        <w:t xml:space="preserve">cash flow </w:t>
      </w:r>
      <w:r w:rsidR="009051E6" w:rsidRPr="00C96459">
        <w:rPr>
          <w:rFonts w:ascii="Times New Roman" w:eastAsia="Times New Roman" w:hAnsi="Times New Roman" w:cs="Times New Roman"/>
          <w:bCs/>
          <w:sz w:val="24"/>
          <w:szCs w:val="24"/>
        </w:rPr>
        <w:t xml:space="preserve">shows that this method will be effective in appraising projects of the company. </w:t>
      </w:r>
    </w:p>
    <w:p w14:paraId="74035FD2" w14:textId="77777777" w:rsidR="00782D61" w:rsidRPr="00C96459" w:rsidRDefault="00000000" w:rsidP="00C96459">
      <w:pPr>
        <w:pStyle w:val="Heading1"/>
        <w:spacing w:line="360" w:lineRule="auto"/>
        <w:rPr>
          <w:rFonts w:cs="Times New Roman"/>
          <w:szCs w:val="24"/>
        </w:rPr>
      </w:pPr>
      <w:bookmarkStart w:id="5" w:name="_Toc110532642"/>
      <w:r w:rsidRPr="00C96459">
        <w:rPr>
          <w:rFonts w:cs="Times New Roman"/>
          <w:szCs w:val="24"/>
        </w:rPr>
        <w:t>Issues faced by the MNCs in recent times</w:t>
      </w:r>
      <w:bookmarkEnd w:id="5"/>
    </w:p>
    <w:p w14:paraId="407FDE6B" w14:textId="77777777" w:rsidR="009051E6" w:rsidRPr="00C96459" w:rsidRDefault="00000000" w:rsidP="00C96459">
      <w:pPr>
        <w:numPr>
          <w:ilvl w:val="0"/>
          <w:numId w:val="3"/>
        </w:num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b/>
          <w:sz w:val="24"/>
          <w:szCs w:val="24"/>
        </w:rPr>
        <w:t xml:space="preserve">Competition regarding taxes: </w:t>
      </w:r>
      <w:r w:rsidRPr="00C96459">
        <w:rPr>
          <w:rFonts w:ascii="Times New Roman" w:eastAsia="Times New Roman" w:hAnsi="Times New Roman" w:cs="Times New Roman"/>
          <w:sz w:val="24"/>
          <w:szCs w:val="24"/>
        </w:rPr>
        <w:t>Unstable tax structure can hurt an MNC in terms of its economic activities. Incentives must be offered by the countries and states to the MNC to compete with other nations or regions. The burden of tax is also an indicator of the existence of an MNC.</w:t>
      </w:r>
    </w:p>
    <w:p w14:paraId="048494B4" w14:textId="77777777" w:rsidR="009051E6" w:rsidRPr="00C96459" w:rsidRDefault="00000000" w:rsidP="00C96459">
      <w:pPr>
        <w:numPr>
          <w:ilvl w:val="0"/>
          <w:numId w:val="3"/>
        </w:num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b/>
          <w:sz w:val="24"/>
          <w:szCs w:val="24"/>
        </w:rPr>
        <w:t>Political issues:</w:t>
      </w:r>
      <w:r w:rsidRPr="00C96459">
        <w:rPr>
          <w:rFonts w:ascii="Times New Roman" w:eastAsia="Times New Roman" w:hAnsi="Times New Roman" w:cs="Times New Roman"/>
          <w:sz w:val="24"/>
          <w:szCs w:val="24"/>
        </w:rPr>
        <w:t xml:space="preserve"> MNCs often face issues regarding political instability. This can arise due to not having a reliable government. As a result, the cost of business increases alongside higher </w:t>
      </w:r>
      <w:r w:rsidRPr="00C96459">
        <w:rPr>
          <w:rFonts w:ascii="Times New Roman" w:eastAsia="Times New Roman" w:hAnsi="Times New Roman" w:cs="Times New Roman"/>
          <w:sz w:val="24"/>
          <w:szCs w:val="24"/>
        </w:rPr>
        <w:lastRenderedPageBreak/>
        <w:t>risks. Corruption and fragile legal framework also are barriers to foreign direct investments (</w:t>
      </w:r>
      <w:r w:rsidRPr="00C96459">
        <w:rPr>
          <w:rFonts w:ascii="Times New Roman" w:hAnsi="Times New Roman" w:cs="Times New Roman"/>
          <w:color w:val="000000" w:themeColor="text1"/>
          <w:sz w:val="24"/>
          <w:szCs w:val="24"/>
          <w:shd w:val="clear" w:color="auto" w:fill="FFFFFF"/>
        </w:rPr>
        <w:t>McLaney, 2005)</w:t>
      </w:r>
      <w:r w:rsidRPr="00C96459">
        <w:rPr>
          <w:rFonts w:ascii="Times New Roman" w:eastAsia="Times New Roman" w:hAnsi="Times New Roman" w:cs="Times New Roman"/>
          <w:sz w:val="24"/>
          <w:szCs w:val="24"/>
        </w:rPr>
        <w:t>.</w:t>
      </w:r>
    </w:p>
    <w:p w14:paraId="6D496B18" w14:textId="77777777" w:rsidR="009051E6" w:rsidRPr="00C96459" w:rsidRDefault="00000000" w:rsidP="00C96459">
      <w:pPr>
        <w:numPr>
          <w:ilvl w:val="0"/>
          <w:numId w:val="3"/>
        </w:num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b/>
          <w:sz w:val="24"/>
          <w:szCs w:val="24"/>
        </w:rPr>
        <w:t xml:space="preserve">Existence of imperfect markets: </w:t>
      </w:r>
      <w:r w:rsidRPr="00C96459">
        <w:rPr>
          <w:rFonts w:ascii="Times New Roman" w:eastAsia="Times New Roman" w:hAnsi="Times New Roman" w:cs="Times New Roman"/>
          <w:sz w:val="24"/>
          <w:szCs w:val="24"/>
        </w:rPr>
        <w:t>Every financial market may not be perfect in terms of local customs, demography, rules, laws, etc. This imperfect information about the markets decreases the ability of a manager to predict the business surroundings (</w:t>
      </w:r>
      <w:r w:rsidRPr="00C96459">
        <w:rPr>
          <w:rFonts w:ascii="Times New Roman" w:hAnsi="Times New Roman" w:cs="Times New Roman"/>
          <w:color w:val="000000" w:themeColor="text1"/>
          <w:sz w:val="24"/>
          <w:szCs w:val="24"/>
          <w:shd w:val="clear" w:color="auto" w:fill="FFFFFF"/>
        </w:rPr>
        <w:t>Neale and McElroy, 2004)</w:t>
      </w:r>
      <w:r w:rsidRPr="00C96459">
        <w:rPr>
          <w:rFonts w:ascii="Times New Roman" w:eastAsia="Times New Roman" w:hAnsi="Times New Roman" w:cs="Times New Roman"/>
          <w:sz w:val="24"/>
          <w:szCs w:val="24"/>
        </w:rPr>
        <w:t>.</w:t>
      </w:r>
    </w:p>
    <w:p w14:paraId="349E7048" w14:textId="77777777" w:rsidR="009051E6" w:rsidRPr="00C96459" w:rsidRDefault="00000000" w:rsidP="00C96459">
      <w:pPr>
        <w:spacing w:line="360" w:lineRule="auto"/>
        <w:jc w:val="both"/>
        <w:rPr>
          <w:rFonts w:ascii="Times New Roman" w:eastAsia="Times New Roman" w:hAnsi="Times New Roman" w:cs="Times New Roman"/>
          <w:sz w:val="24"/>
          <w:szCs w:val="24"/>
        </w:rPr>
      </w:pPr>
      <w:r w:rsidRPr="00C96459">
        <w:rPr>
          <w:rFonts w:ascii="Times New Roman" w:eastAsia="Times New Roman" w:hAnsi="Times New Roman" w:cs="Times New Roman"/>
          <w:bCs/>
          <w:sz w:val="24"/>
          <w:szCs w:val="24"/>
        </w:rPr>
        <w:t>Rio Tinto has said that the company is having a crisis in raw materials supply like iron, which is very important for mining machines (</w:t>
      </w:r>
      <w:r w:rsidR="005F4914" w:rsidRPr="00C96459">
        <w:rPr>
          <w:rFonts w:ascii="Times New Roman" w:hAnsi="Times New Roman" w:cs="Times New Roman"/>
          <w:color w:val="000000" w:themeColor="text1"/>
          <w:sz w:val="24"/>
          <w:szCs w:val="24"/>
        </w:rPr>
        <w:t>Ft, 2022</w:t>
      </w:r>
      <w:r w:rsidRPr="00C96459">
        <w:rPr>
          <w:rFonts w:ascii="Times New Roman" w:eastAsia="Times New Roman" w:hAnsi="Times New Roman" w:cs="Times New Roman"/>
          <w:bCs/>
          <w:sz w:val="24"/>
          <w:szCs w:val="24"/>
        </w:rPr>
        <w:t xml:space="preserve">). The rising cost of fuel has also become </w:t>
      </w:r>
      <w:r w:rsidR="00A47C5A" w:rsidRPr="00C96459">
        <w:rPr>
          <w:rFonts w:ascii="Times New Roman" w:eastAsia="Times New Roman" w:hAnsi="Times New Roman" w:cs="Times New Roman"/>
          <w:bCs/>
          <w:sz w:val="24"/>
          <w:szCs w:val="24"/>
        </w:rPr>
        <w:t>threatening</w:t>
      </w:r>
      <w:r w:rsidRPr="00C96459">
        <w:rPr>
          <w:rFonts w:ascii="Times New Roman" w:eastAsia="Times New Roman" w:hAnsi="Times New Roman" w:cs="Times New Roman"/>
          <w:bCs/>
          <w:sz w:val="24"/>
          <w:szCs w:val="24"/>
        </w:rPr>
        <w:t xml:space="preserve"> for the company </w:t>
      </w:r>
      <w:r w:rsidR="00A47C5A" w:rsidRPr="00C96459">
        <w:rPr>
          <w:rFonts w:ascii="Times New Roman" w:eastAsia="Times New Roman" w:hAnsi="Times New Roman" w:cs="Times New Roman"/>
          <w:sz w:val="24"/>
          <w:szCs w:val="24"/>
        </w:rPr>
        <w:t>as this will increase the mining cost. Brexit has not done any good to the company either. Tropical cyclones troubled the mining operations of the company at the start of the year (</w:t>
      </w:r>
      <w:r w:rsidR="005F4914" w:rsidRPr="00C96459">
        <w:rPr>
          <w:rFonts w:ascii="Times New Roman" w:hAnsi="Times New Roman" w:cs="Times New Roman"/>
          <w:color w:val="000000" w:themeColor="text1"/>
          <w:sz w:val="24"/>
          <w:szCs w:val="24"/>
        </w:rPr>
        <w:t>BBC News, 2022</w:t>
      </w:r>
      <w:r w:rsidR="00A47C5A" w:rsidRPr="00C96459">
        <w:rPr>
          <w:rFonts w:ascii="Times New Roman" w:eastAsia="Times New Roman" w:hAnsi="Times New Roman" w:cs="Times New Roman"/>
          <w:sz w:val="24"/>
          <w:szCs w:val="24"/>
        </w:rPr>
        <w:t>).</w:t>
      </w:r>
    </w:p>
    <w:p w14:paraId="3D4637AC" w14:textId="77777777" w:rsidR="00782D61" w:rsidRPr="00C96459" w:rsidRDefault="00000000" w:rsidP="00C96459">
      <w:pPr>
        <w:pStyle w:val="Heading1"/>
        <w:spacing w:line="360" w:lineRule="auto"/>
        <w:rPr>
          <w:rFonts w:cs="Times New Roman"/>
          <w:szCs w:val="24"/>
        </w:rPr>
      </w:pPr>
      <w:bookmarkStart w:id="6" w:name="_Toc110532643"/>
      <w:r w:rsidRPr="00C96459">
        <w:rPr>
          <w:rFonts w:cs="Times New Roman"/>
          <w:szCs w:val="24"/>
        </w:rPr>
        <w:t>Conclusion</w:t>
      </w:r>
      <w:bookmarkEnd w:id="6"/>
    </w:p>
    <w:p w14:paraId="49D2A032" w14:textId="77777777" w:rsidR="00A47C5A" w:rsidRPr="00C96459" w:rsidRDefault="00000000" w:rsidP="00C96459">
      <w:pPr>
        <w:spacing w:line="360" w:lineRule="auto"/>
        <w:jc w:val="center"/>
        <w:rPr>
          <w:rFonts w:ascii="Times New Roman" w:eastAsia="Times New Roman" w:hAnsi="Times New Roman" w:cs="Times New Roman"/>
          <w:bCs/>
          <w:sz w:val="24"/>
          <w:szCs w:val="24"/>
        </w:rPr>
      </w:pPr>
      <w:r w:rsidRPr="00C96459">
        <w:rPr>
          <w:rFonts w:ascii="Times New Roman" w:eastAsia="Times New Roman" w:hAnsi="Times New Roman" w:cs="Times New Roman"/>
          <w:bCs/>
          <w:sz w:val="24"/>
          <w:szCs w:val="24"/>
        </w:rPr>
        <w:t>Rio Tinto has done well despite these contractionary issues. The 2</w:t>
      </w:r>
      <w:r w:rsidRPr="00C96459">
        <w:rPr>
          <w:rFonts w:ascii="Times New Roman" w:eastAsia="Times New Roman" w:hAnsi="Times New Roman" w:cs="Times New Roman"/>
          <w:bCs/>
          <w:sz w:val="24"/>
          <w:szCs w:val="24"/>
          <w:vertAlign w:val="superscript"/>
        </w:rPr>
        <w:t>nd</w:t>
      </w:r>
      <w:r w:rsidRPr="00C96459">
        <w:rPr>
          <w:rFonts w:ascii="Times New Roman" w:eastAsia="Times New Roman" w:hAnsi="Times New Roman" w:cs="Times New Roman"/>
          <w:bCs/>
          <w:sz w:val="24"/>
          <w:szCs w:val="24"/>
        </w:rPr>
        <w:t xml:space="preserve"> largest mining corporation in the world has been based in 35 different countries of the world and these issues are seen in most of them</w:t>
      </w:r>
      <w:r w:rsidR="00020FED" w:rsidRPr="00C96459">
        <w:rPr>
          <w:rFonts w:ascii="Times New Roman" w:eastAsia="Times New Roman" w:hAnsi="Times New Roman" w:cs="Times New Roman"/>
          <w:bCs/>
          <w:sz w:val="24"/>
          <w:szCs w:val="24"/>
        </w:rPr>
        <w:t xml:space="preserve">. IFM has helped the company a lot in terms of managing risks that could have troubled the company a lot. Ultimately speaking, Rio Tinto's dividend policy and EMH have suited well to grow the business but the methods of project appraisal need some improvements. </w:t>
      </w:r>
    </w:p>
    <w:p w14:paraId="3058686B" w14:textId="77777777" w:rsidR="00C96459" w:rsidRPr="00C96459" w:rsidRDefault="00000000" w:rsidP="00C96459">
      <w:pPr>
        <w:spacing w:line="360" w:lineRule="auto"/>
        <w:rPr>
          <w:rFonts w:ascii="Times New Roman" w:eastAsia="Times New Roman" w:hAnsi="Times New Roman" w:cs="Times New Roman"/>
          <w:b/>
          <w:sz w:val="24"/>
          <w:szCs w:val="24"/>
        </w:rPr>
      </w:pPr>
      <w:r w:rsidRPr="00C96459">
        <w:rPr>
          <w:rFonts w:ascii="Times New Roman" w:eastAsia="Times New Roman" w:hAnsi="Times New Roman" w:cs="Times New Roman"/>
          <w:b/>
          <w:sz w:val="24"/>
          <w:szCs w:val="24"/>
        </w:rPr>
        <w:br w:type="page"/>
      </w:r>
    </w:p>
    <w:p w14:paraId="4AAAAAEF" w14:textId="77777777" w:rsidR="00782D61" w:rsidRPr="00C96459" w:rsidRDefault="00000000" w:rsidP="00C96459">
      <w:pPr>
        <w:pStyle w:val="Heading1"/>
        <w:spacing w:line="360" w:lineRule="auto"/>
        <w:rPr>
          <w:rFonts w:cs="Times New Roman"/>
          <w:szCs w:val="24"/>
        </w:rPr>
      </w:pPr>
      <w:bookmarkStart w:id="7" w:name="_Toc110532644"/>
      <w:r w:rsidRPr="00C96459">
        <w:rPr>
          <w:rFonts w:cs="Times New Roman"/>
          <w:szCs w:val="24"/>
        </w:rPr>
        <w:lastRenderedPageBreak/>
        <w:t>List of references</w:t>
      </w:r>
      <w:bookmarkEnd w:id="7"/>
    </w:p>
    <w:p w14:paraId="106C7967" w14:textId="77777777" w:rsidR="00C96459" w:rsidRPr="00C96459" w:rsidRDefault="00000000" w:rsidP="00C96459">
      <w:pPr>
        <w:spacing w:line="360" w:lineRule="auto"/>
        <w:jc w:val="both"/>
        <w:rPr>
          <w:rFonts w:ascii="Times New Roman" w:hAnsi="Times New Roman" w:cs="Times New Roman"/>
          <w:color w:val="000000" w:themeColor="text1"/>
          <w:sz w:val="24"/>
          <w:szCs w:val="24"/>
          <w:shd w:val="clear" w:color="auto" w:fill="FFFFFF"/>
        </w:rPr>
      </w:pPr>
      <w:r w:rsidRPr="00C96459">
        <w:rPr>
          <w:rFonts w:ascii="Times New Roman" w:hAnsi="Times New Roman" w:cs="Times New Roman"/>
          <w:color w:val="000000" w:themeColor="text1"/>
          <w:sz w:val="24"/>
          <w:szCs w:val="24"/>
          <w:shd w:val="clear" w:color="auto" w:fill="FFFFFF"/>
        </w:rPr>
        <w:t>Arnold, G., 2013. Corporate financial management (pp. 849-902). Harlow: Pearson.</w:t>
      </w:r>
    </w:p>
    <w:p w14:paraId="2C7A3172" w14:textId="77777777" w:rsidR="00C96459" w:rsidRPr="00C96459" w:rsidRDefault="00000000" w:rsidP="00C96459">
      <w:pPr>
        <w:spacing w:after="180" w:line="360" w:lineRule="auto"/>
        <w:jc w:val="both"/>
        <w:rPr>
          <w:rFonts w:ascii="Times New Roman" w:hAnsi="Times New Roman" w:cs="Times New Roman"/>
          <w:color w:val="000000" w:themeColor="text1"/>
          <w:sz w:val="24"/>
          <w:szCs w:val="24"/>
          <w:shd w:val="clear" w:color="auto" w:fill="FFFFFF"/>
        </w:rPr>
      </w:pPr>
      <w:r w:rsidRPr="00C96459">
        <w:rPr>
          <w:rFonts w:ascii="Times New Roman" w:hAnsi="Times New Roman" w:cs="Times New Roman"/>
          <w:color w:val="000000" w:themeColor="text1"/>
          <w:sz w:val="24"/>
          <w:szCs w:val="24"/>
          <w:shd w:val="clear" w:color="auto" w:fill="FFFFFF"/>
        </w:rPr>
        <w:t>Atrill, P., 2017. Financial management for decision makers. Pearson Education Limited.</w:t>
      </w:r>
    </w:p>
    <w:p w14:paraId="66C7B1C3" w14:textId="77777777" w:rsidR="00C96459" w:rsidRPr="00C96459" w:rsidRDefault="00000000" w:rsidP="00C96459">
      <w:pPr>
        <w:pStyle w:val="NormalWeb"/>
        <w:spacing w:before="0" w:beforeAutospacing="0" w:after="180" w:afterAutospacing="0" w:line="360" w:lineRule="auto"/>
        <w:jc w:val="both"/>
        <w:rPr>
          <w:color w:val="000000" w:themeColor="text1"/>
        </w:rPr>
      </w:pPr>
      <w:r w:rsidRPr="00C96459">
        <w:rPr>
          <w:color w:val="000000" w:themeColor="text1"/>
        </w:rPr>
        <w:t>BBC News. 2022. Rio Tinto - BBC News. [online] Available at: &lt;https://www.bbc.co.uk/news/topics/crr7mlg0gr3t/rio-tinto&gt; [Accessed 4 August 2022].</w:t>
      </w:r>
    </w:p>
    <w:p w14:paraId="15FB6D65" w14:textId="77777777" w:rsidR="00C96459" w:rsidRPr="00C96459" w:rsidRDefault="00000000" w:rsidP="00C96459">
      <w:pPr>
        <w:spacing w:line="360" w:lineRule="auto"/>
        <w:jc w:val="both"/>
        <w:rPr>
          <w:rFonts w:ascii="Times New Roman" w:eastAsia="Times New Roman" w:hAnsi="Times New Roman" w:cs="Times New Roman"/>
          <w:color w:val="000000" w:themeColor="text1"/>
          <w:sz w:val="24"/>
          <w:szCs w:val="24"/>
          <w:highlight w:val="white"/>
        </w:rPr>
      </w:pPr>
      <w:r w:rsidRPr="00C96459">
        <w:rPr>
          <w:rFonts w:ascii="Times New Roman" w:eastAsia="Times New Roman" w:hAnsi="Times New Roman" w:cs="Times New Roman"/>
          <w:color w:val="000000" w:themeColor="text1"/>
          <w:sz w:val="24"/>
          <w:szCs w:val="24"/>
          <w:highlight w:val="white"/>
        </w:rPr>
        <w:t>Bekaert, G. and Hodrick, R., 2017. International financial management. Cambridge University Press.</w:t>
      </w:r>
    </w:p>
    <w:p w14:paraId="69A07037" w14:textId="77777777" w:rsidR="00C96459" w:rsidRPr="00C96459" w:rsidRDefault="00000000" w:rsidP="00C96459">
      <w:pPr>
        <w:pStyle w:val="NormalWeb"/>
        <w:spacing w:before="0" w:beforeAutospacing="0" w:after="180" w:afterAutospacing="0" w:line="360" w:lineRule="auto"/>
        <w:jc w:val="both"/>
        <w:rPr>
          <w:color w:val="000000" w:themeColor="text1"/>
        </w:rPr>
      </w:pPr>
      <w:r w:rsidRPr="00C96459">
        <w:rPr>
          <w:color w:val="000000" w:themeColor="text1"/>
        </w:rPr>
        <w:t>Finance.yahoo.com. 2022. Yahoo is part of the Yahoo family of brands. [online] Available at: &lt;https://finance.yahoo.com/quote/RIO/&gt; [Accessed 4 August 2022].</w:t>
      </w:r>
    </w:p>
    <w:p w14:paraId="4AFDD47B" w14:textId="77777777" w:rsidR="00C96459" w:rsidRPr="00C96459" w:rsidRDefault="00000000" w:rsidP="00C96459">
      <w:pPr>
        <w:pStyle w:val="NormalWeb"/>
        <w:spacing w:before="0" w:beforeAutospacing="0" w:after="180" w:afterAutospacing="0" w:line="360" w:lineRule="auto"/>
        <w:jc w:val="both"/>
        <w:rPr>
          <w:color w:val="000000" w:themeColor="text1"/>
        </w:rPr>
      </w:pPr>
      <w:r w:rsidRPr="00C96459">
        <w:rPr>
          <w:color w:val="000000" w:themeColor="text1"/>
        </w:rPr>
        <w:t>Ft.com. 2022. Rio Tinto in struggles to hit iron ore guidance after a tough quarter. [online] Available at: &lt;https://www.ft.com/content/51f0e5b4-b45c-4a0b-a49a-8ff363d693ba&gt; [Accessed 4 August 2022].</w:t>
      </w:r>
    </w:p>
    <w:p w14:paraId="06CD5F1C" w14:textId="77777777" w:rsidR="00C96459" w:rsidRPr="00C96459" w:rsidRDefault="00000000" w:rsidP="00C96459">
      <w:pPr>
        <w:spacing w:line="360" w:lineRule="auto"/>
        <w:jc w:val="both"/>
        <w:rPr>
          <w:rFonts w:ascii="Times New Roman" w:hAnsi="Times New Roman" w:cs="Times New Roman"/>
          <w:color w:val="000000" w:themeColor="text1"/>
          <w:sz w:val="24"/>
          <w:szCs w:val="24"/>
          <w:shd w:val="clear" w:color="auto" w:fill="FFFFFF"/>
        </w:rPr>
      </w:pPr>
      <w:r w:rsidRPr="00C96459">
        <w:rPr>
          <w:rFonts w:ascii="Times New Roman" w:hAnsi="Times New Roman" w:cs="Times New Roman"/>
          <w:color w:val="000000" w:themeColor="text1"/>
          <w:sz w:val="24"/>
          <w:szCs w:val="24"/>
          <w:shd w:val="clear" w:color="auto" w:fill="FFFFFF"/>
        </w:rPr>
        <w:t>McLaney, E., 2005. Business finance: theory and practice. Pearson education.</w:t>
      </w:r>
    </w:p>
    <w:p w14:paraId="0FC66248" w14:textId="77777777" w:rsidR="00C96459" w:rsidRPr="00C96459" w:rsidRDefault="00000000" w:rsidP="00C96459">
      <w:pPr>
        <w:spacing w:line="360" w:lineRule="auto"/>
        <w:jc w:val="both"/>
        <w:rPr>
          <w:rFonts w:ascii="Times New Roman" w:hAnsi="Times New Roman" w:cs="Times New Roman"/>
          <w:color w:val="000000" w:themeColor="text1"/>
          <w:sz w:val="24"/>
          <w:szCs w:val="24"/>
          <w:shd w:val="clear" w:color="auto" w:fill="FFFFFF"/>
        </w:rPr>
      </w:pPr>
      <w:r w:rsidRPr="00C96459">
        <w:rPr>
          <w:rFonts w:ascii="Times New Roman" w:hAnsi="Times New Roman" w:cs="Times New Roman"/>
          <w:color w:val="000000" w:themeColor="text1"/>
          <w:sz w:val="24"/>
          <w:szCs w:val="24"/>
          <w:shd w:val="clear" w:color="auto" w:fill="FFFFFF"/>
        </w:rPr>
        <w:t>Neale, B. and McElroy, T., 2004. Business finance: a value-based approach. Pearson Education.</w:t>
      </w:r>
    </w:p>
    <w:p w14:paraId="48B524F8" w14:textId="77777777" w:rsidR="00C96459" w:rsidRPr="00C96459" w:rsidRDefault="00000000" w:rsidP="00C96459">
      <w:pPr>
        <w:spacing w:after="180" w:line="360" w:lineRule="auto"/>
        <w:jc w:val="both"/>
        <w:rPr>
          <w:rFonts w:ascii="Times New Roman" w:hAnsi="Times New Roman" w:cs="Times New Roman"/>
          <w:color w:val="000000" w:themeColor="text1"/>
          <w:sz w:val="24"/>
          <w:szCs w:val="24"/>
          <w:shd w:val="clear" w:color="auto" w:fill="FFFFFF"/>
        </w:rPr>
      </w:pPr>
      <w:r w:rsidRPr="00C96459">
        <w:rPr>
          <w:rFonts w:ascii="Times New Roman" w:hAnsi="Times New Roman" w:cs="Times New Roman"/>
          <w:color w:val="000000" w:themeColor="text1"/>
          <w:sz w:val="24"/>
          <w:szCs w:val="24"/>
          <w:shd w:val="clear" w:color="auto" w:fill="FFFFFF"/>
        </w:rPr>
        <w:t>Pike, R. and Neale, B., 2006. Corporate finance and investment: decisions &amp; strategies. Pearson Education.</w:t>
      </w:r>
    </w:p>
    <w:p w14:paraId="68581C80" w14:textId="77777777" w:rsidR="00C96459" w:rsidRPr="00C96459" w:rsidRDefault="00000000" w:rsidP="00C96459">
      <w:pPr>
        <w:spacing w:after="180" w:line="360" w:lineRule="auto"/>
        <w:jc w:val="both"/>
        <w:rPr>
          <w:rFonts w:ascii="Times New Roman" w:eastAsia="Times New Roman" w:hAnsi="Times New Roman" w:cs="Times New Roman"/>
          <w:color w:val="000000" w:themeColor="text1"/>
          <w:sz w:val="24"/>
          <w:szCs w:val="24"/>
          <w:highlight w:val="white"/>
        </w:rPr>
      </w:pPr>
      <w:r w:rsidRPr="00C96459">
        <w:rPr>
          <w:rFonts w:ascii="Times New Roman" w:eastAsia="Times New Roman" w:hAnsi="Times New Roman" w:cs="Times New Roman"/>
          <w:color w:val="000000" w:themeColor="text1"/>
          <w:sz w:val="24"/>
          <w:szCs w:val="24"/>
          <w:highlight w:val="white"/>
        </w:rPr>
        <w:t>QS Study. 2022. Three Forms of Efficient Market Hypothesis. [online] Available at: &lt;https://qsstudy.com/three-form-of-efficient-market-hypothesis/&gt; [Accessed 4 August 2022].</w:t>
      </w:r>
    </w:p>
    <w:p w14:paraId="174A559C" w14:textId="77777777" w:rsidR="00C96459" w:rsidRPr="00C96459" w:rsidRDefault="00000000" w:rsidP="00C96459">
      <w:pPr>
        <w:pStyle w:val="NormalWeb"/>
        <w:spacing w:before="0" w:beforeAutospacing="0" w:after="180" w:afterAutospacing="0" w:line="360" w:lineRule="auto"/>
        <w:jc w:val="both"/>
        <w:rPr>
          <w:color w:val="000000" w:themeColor="text1"/>
        </w:rPr>
      </w:pPr>
      <w:r w:rsidRPr="00C96459">
        <w:rPr>
          <w:color w:val="000000" w:themeColor="text1"/>
        </w:rPr>
        <w:t>Riotinto.com. 2022. Dividends. [online] Available at: &lt;https://www.riotinto.com/en/invest/shareholder-information/dividends&gt; [Accessed 4 August 2022].</w:t>
      </w:r>
    </w:p>
    <w:p w14:paraId="19C305DC" w14:textId="77777777" w:rsidR="00C96459" w:rsidRPr="00C96459" w:rsidRDefault="00000000" w:rsidP="00C96459">
      <w:pPr>
        <w:pStyle w:val="NormalWeb"/>
        <w:spacing w:before="0" w:beforeAutospacing="0" w:after="180" w:afterAutospacing="0" w:line="360" w:lineRule="auto"/>
        <w:jc w:val="both"/>
        <w:rPr>
          <w:color w:val="000000" w:themeColor="text1"/>
        </w:rPr>
      </w:pPr>
      <w:r w:rsidRPr="00C96459">
        <w:rPr>
          <w:color w:val="000000" w:themeColor="text1"/>
        </w:rPr>
        <w:t>Riotinto.com. 2022. Home. [online] Available at: &lt;https://www.riotinto.com/en&gt; [Accessed 4 August 2022].</w:t>
      </w:r>
    </w:p>
    <w:p w14:paraId="69C487A2" w14:textId="77777777" w:rsidR="00C96459" w:rsidRPr="00C96459" w:rsidRDefault="00000000" w:rsidP="00C96459">
      <w:pPr>
        <w:pStyle w:val="NormalWeb"/>
        <w:spacing w:before="0" w:beforeAutospacing="0" w:after="180" w:afterAutospacing="0" w:line="360" w:lineRule="auto"/>
        <w:jc w:val="both"/>
        <w:rPr>
          <w:color w:val="000000" w:themeColor="text1"/>
        </w:rPr>
      </w:pPr>
      <w:r w:rsidRPr="00C96459">
        <w:rPr>
          <w:color w:val="000000" w:themeColor="text1"/>
        </w:rPr>
        <w:t>Wsj.com. 2022. [online] Available at: &lt;https://www.wsj.com/market-data/quotes/RIO/financials/annual/cash-flow&gt; [Accessed 4 August 2022].</w:t>
      </w:r>
    </w:p>
    <w:p w14:paraId="33945354" w14:textId="77777777" w:rsidR="005F4914" w:rsidRPr="00C96459" w:rsidRDefault="005F4914" w:rsidP="00C96459">
      <w:pPr>
        <w:spacing w:after="180" w:line="360" w:lineRule="auto"/>
        <w:jc w:val="both"/>
        <w:rPr>
          <w:rFonts w:ascii="Times New Roman" w:eastAsia="Times New Roman" w:hAnsi="Times New Roman" w:cs="Times New Roman"/>
          <w:color w:val="000000" w:themeColor="text1"/>
          <w:sz w:val="24"/>
          <w:szCs w:val="24"/>
          <w:highlight w:val="white"/>
        </w:rPr>
      </w:pPr>
    </w:p>
    <w:p w14:paraId="5C4D928F" w14:textId="77777777" w:rsidR="00782D61" w:rsidRPr="00C96459" w:rsidRDefault="00782D61" w:rsidP="00C96459">
      <w:pPr>
        <w:spacing w:line="360" w:lineRule="auto"/>
        <w:jc w:val="both"/>
        <w:rPr>
          <w:rFonts w:ascii="Times New Roman" w:eastAsia="Times New Roman" w:hAnsi="Times New Roman" w:cs="Times New Roman"/>
          <w:color w:val="000000" w:themeColor="text1"/>
          <w:sz w:val="24"/>
          <w:szCs w:val="24"/>
          <w:highlight w:val="white"/>
        </w:rPr>
      </w:pPr>
    </w:p>
    <w:p w14:paraId="26FC5802" w14:textId="77777777" w:rsidR="00782D61" w:rsidRPr="00C96459" w:rsidRDefault="00782D61" w:rsidP="00C96459">
      <w:pPr>
        <w:spacing w:line="360" w:lineRule="auto"/>
        <w:jc w:val="both"/>
        <w:rPr>
          <w:rFonts w:ascii="Times New Roman" w:eastAsia="Times New Roman" w:hAnsi="Times New Roman" w:cs="Times New Roman"/>
          <w:b/>
          <w:sz w:val="24"/>
          <w:szCs w:val="24"/>
        </w:rPr>
      </w:pPr>
    </w:p>
    <w:p w14:paraId="39C91952" w14:textId="77777777" w:rsidR="00782D61" w:rsidRPr="00C96459" w:rsidRDefault="00782D61" w:rsidP="00C96459">
      <w:pPr>
        <w:spacing w:line="360" w:lineRule="auto"/>
        <w:jc w:val="both"/>
        <w:rPr>
          <w:rFonts w:ascii="Times New Roman" w:eastAsia="Times New Roman" w:hAnsi="Times New Roman" w:cs="Times New Roman"/>
          <w:b/>
          <w:sz w:val="24"/>
          <w:szCs w:val="24"/>
        </w:rPr>
      </w:pPr>
    </w:p>
    <w:sectPr w:rsidR="00782D61" w:rsidRPr="00C96459" w:rsidSect="00C96459">
      <w:footerReference w:type="default" r:id="rId9"/>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52F0B" w14:textId="77777777" w:rsidR="00184DEA" w:rsidRDefault="00184DEA">
      <w:pPr>
        <w:spacing w:line="240" w:lineRule="auto"/>
      </w:pPr>
      <w:r>
        <w:separator/>
      </w:r>
    </w:p>
  </w:endnote>
  <w:endnote w:type="continuationSeparator" w:id="0">
    <w:p w14:paraId="5DE93F51" w14:textId="77777777" w:rsidR="00184DEA" w:rsidRDefault="00184D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781732"/>
      <w:docPartObj>
        <w:docPartGallery w:val="Page Numbers (Bottom of Page)"/>
        <w:docPartUnique/>
      </w:docPartObj>
    </w:sdtPr>
    <w:sdtEndPr>
      <w:rPr>
        <w:noProof/>
      </w:rPr>
    </w:sdtEndPr>
    <w:sdtContent>
      <w:p w14:paraId="2DF21756" w14:textId="77777777" w:rsidR="00C9645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75F816" w14:textId="77777777" w:rsidR="00C96459" w:rsidRDefault="00C96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3B077" w14:textId="77777777" w:rsidR="00184DEA" w:rsidRDefault="00184DEA">
      <w:pPr>
        <w:spacing w:line="240" w:lineRule="auto"/>
      </w:pPr>
      <w:r>
        <w:separator/>
      </w:r>
    </w:p>
  </w:footnote>
  <w:footnote w:type="continuationSeparator" w:id="0">
    <w:p w14:paraId="5E242C41" w14:textId="77777777" w:rsidR="00184DEA" w:rsidRDefault="00184D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17AB3"/>
    <w:multiLevelType w:val="multilevel"/>
    <w:tmpl w:val="05C229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35D6765"/>
    <w:multiLevelType w:val="multilevel"/>
    <w:tmpl w:val="AB0463D6"/>
    <w:lvl w:ilvl="0">
      <w:start w:val="1"/>
      <w:numFmt w:val="decimal"/>
      <w:lvlText w:val="%1."/>
      <w:lvlJc w:val="left"/>
      <w:pPr>
        <w:ind w:left="360" w:hanging="360"/>
      </w:pPr>
      <w:rPr>
        <w:rFonts w:ascii="Arial" w:eastAsia="Arial" w:hAnsi="Arial" w:cs="Arial"/>
        <w:b/>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2" w15:restartNumberingAfterBreak="0">
    <w:nsid w:val="4A055874"/>
    <w:multiLevelType w:val="multilevel"/>
    <w:tmpl w:val="2EE46AC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647125189">
    <w:abstractNumId w:val="2"/>
  </w:num>
  <w:num w:numId="2" w16cid:durableId="522328006">
    <w:abstractNumId w:val="0"/>
  </w:num>
  <w:num w:numId="3" w16cid:durableId="6443111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D61"/>
    <w:rsid w:val="00020FED"/>
    <w:rsid w:val="00184DEA"/>
    <w:rsid w:val="002702AC"/>
    <w:rsid w:val="003731F0"/>
    <w:rsid w:val="003A41E4"/>
    <w:rsid w:val="005532BC"/>
    <w:rsid w:val="005F4914"/>
    <w:rsid w:val="00782D61"/>
    <w:rsid w:val="009051E6"/>
    <w:rsid w:val="009138BD"/>
    <w:rsid w:val="00941FD0"/>
    <w:rsid w:val="00A47C5A"/>
    <w:rsid w:val="00AB5D1A"/>
    <w:rsid w:val="00B12811"/>
    <w:rsid w:val="00C96459"/>
    <w:rsid w:val="00D66D6A"/>
    <w:rsid w:val="00FC3E1D"/>
    <w:rsid w:val="00FC6C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6473048"/>
  <w15:docId w15:val="{0EC40847-E880-4880-B08A-6B2874AF2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C96459"/>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character" w:customStyle="1" w:styleId="text">
    <w:name w:val="text"/>
    <w:basedOn w:val="DefaultParagraphFont"/>
    <w:rsid w:val="003731F0"/>
  </w:style>
  <w:style w:type="paragraph" w:styleId="ListParagraph">
    <w:name w:val="List Paragraph"/>
    <w:basedOn w:val="Normal"/>
    <w:uiPriority w:val="34"/>
    <w:qFormat/>
    <w:rsid w:val="00B12811"/>
    <w:pPr>
      <w:ind w:left="720"/>
      <w:contextualSpacing/>
    </w:pPr>
  </w:style>
  <w:style w:type="character" w:styleId="Hyperlink">
    <w:name w:val="Hyperlink"/>
    <w:basedOn w:val="DefaultParagraphFont"/>
    <w:uiPriority w:val="99"/>
    <w:unhideWhenUsed/>
    <w:rsid w:val="00D66D6A"/>
    <w:rPr>
      <w:color w:val="0000FF" w:themeColor="hyperlink"/>
      <w:u w:val="single"/>
    </w:rPr>
  </w:style>
  <w:style w:type="character" w:customStyle="1" w:styleId="UnresolvedMention1">
    <w:name w:val="Unresolved Mention1"/>
    <w:basedOn w:val="DefaultParagraphFont"/>
    <w:uiPriority w:val="99"/>
    <w:semiHidden/>
    <w:unhideWhenUsed/>
    <w:rsid w:val="00D66D6A"/>
    <w:rPr>
      <w:color w:val="605E5C"/>
      <w:shd w:val="clear" w:color="auto" w:fill="E1DFDD"/>
    </w:rPr>
  </w:style>
  <w:style w:type="paragraph" w:styleId="NormalWeb">
    <w:name w:val="Normal (Web)"/>
    <w:basedOn w:val="Normal"/>
    <w:uiPriority w:val="99"/>
    <w:semiHidden/>
    <w:unhideWhenUsed/>
    <w:rsid w:val="005F4914"/>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C96459"/>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96459"/>
    <w:pPr>
      <w:spacing w:after="100"/>
    </w:pPr>
  </w:style>
  <w:style w:type="paragraph" w:styleId="Header">
    <w:name w:val="header"/>
    <w:basedOn w:val="Normal"/>
    <w:link w:val="HeaderChar"/>
    <w:uiPriority w:val="99"/>
    <w:unhideWhenUsed/>
    <w:rsid w:val="00C96459"/>
    <w:pPr>
      <w:tabs>
        <w:tab w:val="center" w:pos="4513"/>
        <w:tab w:val="right" w:pos="9026"/>
      </w:tabs>
      <w:spacing w:line="240" w:lineRule="auto"/>
    </w:pPr>
  </w:style>
  <w:style w:type="character" w:customStyle="1" w:styleId="HeaderChar">
    <w:name w:val="Header Char"/>
    <w:basedOn w:val="DefaultParagraphFont"/>
    <w:link w:val="Header"/>
    <w:uiPriority w:val="99"/>
    <w:rsid w:val="00C96459"/>
  </w:style>
  <w:style w:type="paragraph" w:styleId="Footer">
    <w:name w:val="footer"/>
    <w:basedOn w:val="Normal"/>
    <w:link w:val="FooterChar"/>
    <w:uiPriority w:val="99"/>
    <w:unhideWhenUsed/>
    <w:rsid w:val="00C96459"/>
    <w:pPr>
      <w:tabs>
        <w:tab w:val="center" w:pos="4513"/>
        <w:tab w:val="right" w:pos="9026"/>
      </w:tabs>
      <w:spacing w:line="240" w:lineRule="auto"/>
    </w:pPr>
  </w:style>
  <w:style w:type="character" w:customStyle="1" w:styleId="FooterChar">
    <w:name w:val="Footer Char"/>
    <w:basedOn w:val="DefaultParagraphFont"/>
    <w:link w:val="Footer"/>
    <w:uiPriority w:val="99"/>
    <w:rsid w:val="00C96459"/>
  </w:style>
  <w:style w:type="paragraph" w:customStyle="1" w:styleId="Normal1">
    <w:name w:val="Normal1"/>
    <w:rsid w:val="002702AC"/>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4E21BE-6524-49BC-A54C-2E92518FA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1914</Words>
  <Characters>10911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 ilinca</cp:lastModifiedBy>
  <cp:revision>2</cp:revision>
  <dcterms:created xsi:type="dcterms:W3CDTF">2022-08-05T08:26:00Z</dcterms:created>
  <dcterms:modified xsi:type="dcterms:W3CDTF">2022-08-05T08:26:00Z</dcterms:modified>
</cp:coreProperties>
</file>