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71FBA7">
      <w:pPr>
        <w:ind w:firstLine="0"/>
        <w:rPr>
          <w:rFonts w:eastAsia="Times New Roman"/>
        </w:rPr>
      </w:pPr>
    </w:p>
    <w:p w14:paraId="22CFFE93">
      <w:pPr>
        <w:ind w:firstLine="0"/>
        <w:rPr>
          <w:rFonts w:eastAsia="Times New Roman"/>
        </w:rPr>
      </w:pPr>
      <w:r>
        <w:rPr>
          <w:rFonts w:eastAsia="Times New Roman"/>
        </w:rPr>
        <w:drawing>
          <wp:anchor distT="0" distB="0" distL="114300" distR="114300" simplePos="0" relativeHeight="251659264" behindDoc="1" locked="0" layoutInCell="1" allowOverlap="1">
            <wp:simplePos x="0" y="0"/>
            <wp:positionH relativeFrom="column">
              <wp:posOffset>1074420</wp:posOffset>
            </wp:positionH>
            <wp:positionV relativeFrom="paragraph">
              <wp:posOffset>265430</wp:posOffset>
            </wp:positionV>
            <wp:extent cx="4213860" cy="1684020"/>
            <wp:effectExtent l="0" t="0" r="7620" b="7620"/>
            <wp:wrapNone/>
            <wp:docPr id="2" name="Picture 2" descr="WhatsApp Image 2026-05-07 at 1.13.2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atsApp Image 2026-05-07 at 1.13.23 PM"/>
                    <pic:cNvPicPr>
                      <a:picLocks noChangeAspect="1"/>
                    </pic:cNvPicPr>
                  </pic:nvPicPr>
                  <pic:blipFill>
                    <a:blip r:embed="rId8"/>
                    <a:stretch>
                      <a:fillRect/>
                    </a:stretch>
                  </pic:blipFill>
                  <pic:spPr>
                    <a:xfrm>
                      <a:off x="0" y="0"/>
                      <a:ext cx="4213860" cy="1684020"/>
                    </a:xfrm>
                    <a:prstGeom prst="rect">
                      <a:avLst/>
                    </a:prstGeom>
                  </pic:spPr>
                </pic:pic>
              </a:graphicData>
            </a:graphic>
          </wp:anchor>
        </w:drawing>
      </w:r>
    </w:p>
    <w:p w14:paraId="20661D21">
      <w:pPr>
        <w:ind w:firstLine="0"/>
        <w:rPr>
          <w:rFonts w:eastAsia="Times New Roman"/>
        </w:rPr>
      </w:pPr>
    </w:p>
    <w:p w14:paraId="087838A8">
      <w:pPr>
        <w:ind w:firstLine="0"/>
        <w:rPr>
          <w:rFonts w:eastAsia="Times New Roman"/>
        </w:rPr>
      </w:pPr>
    </w:p>
    <w:p w14:paraId="07224B51">
      <w:pPr>
        <w:ind w:firstLine="0"/>
        <w:rPr>
          <w:rFonts w:eastAsia="Times New Roman"/>
        </w:rPr>
      </w:pPr>
    </w:p>
    <w:p w14:paraId="49B02470">
      <w:pPr>
        <w:ind w:firstLine="0"/>
        <w:rPr>
          <w:rFonts w:eastAsia="Times New Roman"/>
          <w:lang w:val="en-IN"/>
        </w:rPr>
      </w:pPr>
      <w:r>
        <w:rPr>
          <w:rFonts w:eastAsia="Times New Roman"/>
          <w:lang w:val="en-IN"/>
        </w:rPr>
        <w:t xml:space="preserve">       </w:t>
      </w:r>
    </w:p>
    <w:p w14:paraId="0572B781">
      <w:pPr>
        <w:ind w:firstLine="0"/>
        <w:rPr>
          <w:rFonts w:eastAsia="Times New Roman"/>
        </w:rPr>
      </w:pPr>
    </w:p>
    <w:p w14:paraId="1CF68909">
      <w:pPr>
        <w:ind w:firstLine="0"/>
        <w:rPr>
          <w:rFonts w:eastAsia="Times New Roman"/>
        </w:rPr>
      </w:pPr>
    </w:p>
    <w:p w14:paraId="38F3E873">
      <w:pPr>
        <w:ind w:firstLine="0"/>
        <w:jc w:val="center"/>
        <w:rPr>
          <w:rFonts w:eastAsia="Times New Roman"/>
          <w:b/>
          <w:bCs/>
          <w:i/>
          <w:iCs/>
          <w:sz w:val="32"/>
          <w:szCs w:val="28"/>
        </w:rPr>
      </w:pPr>
      <w:r>
        <w:rPr>
          <w:rFonts w:eastAsia="Times New Roman"/>
          <w:b/>
          <w:bCs/>
          <w:i/>
          <w:iCs/>
          <w:sz w:val="32"/>
          <w:szCs w:val="28"/>
        </w:rPr>
        <w:t>‘Brocksweir Engineering Ltd — Inventory and Lead Time Analysis’</w:t>
      </w:r>
    </w:p>
    <w:p w14:paraId="002956E1">
      <w:pPr>
        <w:ind w:firstLine="0"/>
        <w:jc w:val="center"/>
        <w:rPr>
          <w:rFonts w:eastAsia="Times New Roman"/>
          <w:sz w:val="28"/>
          <w:szCs w:val="24"/>
          <w:lang w:val="en-IN"/>
        </w:rPr>
      </w:pPr>
      <w:r>
        <w:rPr>
          <w:rFonts w:eastAsia="Times New Roman"/>
          <w:sz w:val="28"/>
          <w:szCs w:val="24"/>
          <w:lang w:val="en-IN"/>
        </w:rPr>
        <w:t>Name- Durgesh Sunil Badhe</w:t>
      </w:r>
    </w:p>
    <w:p w14:paraId="4CF693B6">
      <w:pPr>
        <w:ind w:firstLine="0"/>
        <w:jc w:val="center"/>
        <w:rPr>
          <w:rFonts w:eastAsia="Times New Roman"/>
          <w:sz w:val="28"/>
          <w:szCs w:val="24"/>
          <w:lang w:val="en-US"/>
        </w:rPr>
      </w:pPr>
      <w:r>
        <w:rPr>
          <w:rFonts w:eastAsia="Times New Roman"/>
          <w:sz w:val="28"/>
          <w:szCs w:val="24"/>
          <w:lang w:val="en-US"/>
        </w:rPr>
        <w:t>Student No 2506741</w:t>
      </w:r>
    </w:p>
    <w:p w14:paraId="2A8D79C6">
      <w:pPr>
        <w:ind w:firstLine="0"/>
        <w:jc w:val="center"/>
        <w:rPr>
          <w:rFonts w:eastAsia="Times New Roman"/>
          <w:sz w:val="28"/>
          <w:szCs w:val="24"/>
        </w:rPr>
      </w:pPr>
      <w:r>
        <w:rPr>
          <w:rFonts w:eastAsia="Times New Roman"/>
          <w:sz w:val="28"/>
          <w:szCs w:val="24"/>
        </w:rPr>
        <w:t>Programme: MSc Engineering Project Management</w:t>
      </w:r>
    </w:p>
    <w:p w14:paraId="10855BD4">
      <w:pPr>
        <w:ind w:firstLine="0"/>
        <w:jc w:val="center"/>
        <w:rPr>
          <w:rFonts w:eastAsia="Times New Roman"/>
          <w:sz w:val="28"/>
          <w:szCs w:val="24"/>
        </w:rPr>
      </w:pPr>
      <w:r>
        <w:rPr>
          <w:rFonts w:eastAsia="Times New Roman"/>
          <w:sz w:val="28"/>
          <w:szCs w:val="24"/>
        </w:rPr>
        <w:t>Module: Sustainable Operations Management</w:t>
      </w:r>
    </w:p>
    <w:p w14:paraId="67207EA6">
      <w:pPr>
        <w:ind w:firstLine="0"/>
        <w:jc w:val="center"/>
        <w:rPr>
          <w:rFonts w:eastAsia="Times New Roman"/>
          <w:sz w:val="28"/>
          <w:szCs w:val="24"/>
        </w:rPr>
      </w:pPr>
      <w:r>
        <w:rPr>
          <w:rFonts w:eastAsia="Times New Roman"/>
          <w:sz w:val="28"/>
          <w:szCs w:val="24"/>
        </w:rPr>
        <w:t>ACHA7031</w:t>
      </w:r>
    </w:p>
    <w:p w14:paraId="64A78DB4">
      <w:pPr>
        <w:ind w:firstLine="0"/>
        <w:rPr>
          <w:rFonts w:eastAsia="Times New Roman"/>
        </w:rPr>
      </w:pPr>
    </w:p>
    <w:p w14:paraId="0AF425B5">
      <w:pPr>
        <w:ind w:firstLine="0"/>
        <w:rPr>
          <w:rFonts w:eastAsia="Times New Roman"/>
        </w:rPr>
      </w:pPr>
    </w:p>
    <w:p w14:paraId="53575922">
      <w:pPr>
        <w:ind w:firstLine="0"/>
        <w:rPr>
          <w:rFonts w:eastAsia="Times New Roman"/>
        </w:rPr>
      </w:pPr>
    </w:p>
    <w:p w14:paraId="59035906">
      <w:pPr>
        <w:ind w:firstLine="0"/>
        <w:rPr>
          <w:rFonts w:eastAsia="Times New Roman"/>
        </w:rPr>
      </w:pPr>
    </w:p>
    <w:p w14:paraId="707B15B1">
      <w:pPr>
        <w:ind w:firstLine="0"/>
        <w:rPr>
          <w:rFonts w:eastAsia="Times New Roman"/>
        </w:rPr>
      </w:pPr>
    </w:p>
    <w:p w14:paraId="3CFC1153">
      <w:pPr>
        <w:ind w:firstLine="0"/>
        <w:rPr>
          <w:rFonts w:eastAsia="Times New Roman"/>
        </w:rPr>
      </w:pPr>
    </w:p>
    <w:sdt>
      <w:sdtPr>
        <w:rPr>
          <w:rFonts w:eastAsiaTheme="minorEastAsia" w:cstheme="minorBidi"/>
          <w:b w:val="0"/>
          <w:bCs w:val="0"/>
          <w:color w:val="4472C4" w:themeColor="accent1"/>
          <w:sz w:val="28"/>
          <w:szCs w:val="24"/>
          <w14:textFill>
            <w14:solidFill>
              <w14:schemeClr w14:val="accent1"/>
            </w14:solidFill>
          </w14:textFill>
        </w:rPr>
        <w:id w:val="-2108112332"/>
        <w:docPartObj>
          <w:docPartGallery w:val="Table of Contents"/>
          <w:docPartUnique/>
        </w:docPartObj>
      </w:sdtPr>
      <w:sdtEndPr>
        <w:rPr>
          <w:rFonts w:eastAsiaTheme="minorEastAsia" w:cstheme="minorBidi"/>
          <w:b w:val="0"/>
          <w:bCs w:val="0"/>
          <w:color w:val="auto"/>
          <w:sz w:val="28"/>
          <w:szCs w:val="22"/>
        </w:rPr>
      </w:sdtEndPr>
      <w:sdtContent>
        <w:p w14:paraId="2D3177E4">
          <w:pPr>
            <w:pStyle w:val="57"/>
            <w:numPr>
              <w:ilvl w:val="0"/>
              <w:numId w:val="0"/>
            </w:numPr>
            <w:ind w:left="432" w:hanging="432"/>
            <w:jc w:val="both"/>
            <w:rPr>
              <w:color w:val="4472C4" w:themeColor="accent1"/>
              <w:sz w:val="28"/>
              <w:szCs w:val="40"/>
              <w14:textFill>
                <w14:solidFill>
                  <w14:schemeClr w14:val="accent1"/>
                </w14:solidFill>
              </w14:textFill>
            </w:rPr>
          </w:pPr>
          <w:r>
            <w:rPr>
              <w:color w:val="4472C4" w:themeColor="accent1"/>
              <w:sz w:val="28"/>
              <w:szCs w:val="40"/>
              <w14:textFill>
                <w14:solidFill>
                  <w14:schemeClr w14:val="accent1"/>
                </w14:solidFill>
              </w14:textFill>
            </w:rPr>
            <w:t>Table of Contents</w:t>
          </w:r>
        </w:p>
        <w:p w14:paraId="04E6D75D">
          <w:pPr>
            <w:pStyle w:val="28"/>
            <w:tabs>
              <w:tab w:val="right" w:leader="dot" w:pos="9360"/>
            </w:tabs>
          </w:pPr>
          <w:r>
            <w:fldChar w:fldCharType="begin"/>
          </w:r>
          <w:r>
            <w:instrText xml:space="preserve"> TOC \o "1-3" \h \z \u </w:instrText>
          </w:r>
          <w:r>
            <w:fldChar w:fldCharType="separate"/>
          </w:r>
          <w:r>
            <w:fldChar w:fldCharType="begin"/>
          </w:r>
          <w:r>
            <w:instrText xml:space="preserve"> HYPERLINK \l _Toc21763 </w:instrText>
          </w:r>
          <w:r>
            <w:fldChar w:fldCharType="separate"/>
          </w:r>
          <w:r>
            <w:rPr>
              <w:rFonts w:eastAsia="Times New Roman"/>
              <w:szCs w:val="40"/>
            </w:rPr>
            <w:t>1 Introduction</w:t>
          </w:r>
          <w:r>
            <w:tab/>
          </w:r>
          <w:r>
            <w:fldChar w:fldCharType="begin"/>
          </w:r>
          <w:r>
            <w:instrText xml:space="preserve"> PAGEREF _Toc21763 \h </w:instrText>
          </w:r>
          <w:r>
            <w:fldChar w:fldCharType="separate"/>
          </w:r>
          <w:r>
            <w:t>3</w:t>
          </w:r>
          <w:r>
            <w:fldChar w:fldCharType="end"/>
          </w:r>
          <w:r>
            <w:fldChar w:fldCharType="end"/>
          </w:r>
        </w:p>
        <w:p w14:paraId="17E27807">
          <w:pPr>
            <w:pStyle w:val="28"/>
            <w:tabs>
              <w:tab w:val="right" w:leader="dot" w:pos="9360"/>
            </w:tabs>
          </w:pPr>
          <w:r>
            <w:rPr>
              <w:bCs/>
            </w:rPr>
            <w:fldChar w:fldCharType="begin"/>
          </w:r>
          <w:r>
            <w:rPr>
              <w:bCs/>
            </w:rPr>
            <w:instrText xml:space="preserve"> HYPERLINK \l _Toc2909 </w:instrText>
          </w:r>
          <w:r>
            <w:rPr>
              <w:bCs/>
            </w:rPr>
            <w:fldChar w:fldCharType="separate"/>
          </w:r>
          <w:r>
            <w:rPr>
              <w:rFonts w:eastAsia="Times New Roman"/>
              <w:szCs w:val="44"/>
            </w:rPr>
            <w:t>2 Question 1: Critically Evaluating Better Sand and Resin Inventory Management</w:t>
          </w:r>
          <w:r>
            <w:tab/>
          </w:r>
          <w:r>
            <w:fldChar w:fldCharType="begin"/>
          </w:r>
          <w:r>
            <w:instrText xml:space="preserve"> PAGEREF _Toc2909 \h </w:instrText>
          </w:r>
          <w:r>
            <w:fldChar w:fldCharType="separate"/>
          </w:r>
          <w:r>
            <w:t>4</w:t>
          </w:r>
          <w:r>
            <w:fldChar w:fldCharType="end"/>
          </w:r>
          <w:r>
            <w:rPr>
              <w:bCs/>
            </w:rPr>
            <w:fldChar w:fldCharType="end"/>
          </w:r>
        </w:p>
        <w:p w14:paraId="08A87F4B">
          <w:pPr>
            <w:pStyle w:val="29"/>
            <w:tabs>
              <w:tab w:val="right" w:leader="dot" w:pos="9360"/>
            </w:tabs>
          </w:pPr>
          <w:r>
            <w:rPr>
              <w:bCs/>
            </w:rPr>
            <w:fldChar w:fldCharType="begin"/>
          </w:r>
          <w:r>
            <w:rPr>
              <w:bCs/>
            </w:rPr>
            <w:instrText xml:space="preserve"> HYPERLINK \l _Toc11969 </w:instrText>
          </w:r>
          <w:r>
            <w:rPr>
              <w:bCs/>
            </w:rPr>
            <w:fldChar w:fldCharType="separate"/>
          </w:r>
          <w:r>
            <w:rPr>
              <w:rFonts w:eastAsia="Times New Roman"/>
              <w:szCs w:val="32"/>
            </w:rPr>
            <w:t>2.1 Current Situation</w:t>
          </w:r>
          <w:r>
            <w:tab/>
          </w:r>
          <w:r>
            <w:fldChar w:fldCharType="begin"/>
          </w:r>
          <w:r>
            <w:instrText xml:space="preserve"> PAGEREF _Toc11969 \h </w:instrText>
          </w:r>
          <w:r>
            <w:fldChar w:fldCharType="separate"/>
          </w:r>
          <w:r>
            <w:t>4</w:t>
          </w:r>
          <w:r>
            <w:fldChar w:fldCharType="end"/>
          </w:r>
          <w:r>
            <w:rPr>
              <w:bCs/>
            </w:rPr>
            <w:fldChar w:fldCharType="end"/>
          </w:r>
        </w:p>
        <w:p w14:paraId="76F5569A">
          <w:pPr>
            <w:pStyle w:val="29"/>
            <w:tabs>
              <w:tab w:val="right" w:leader="dot" w:pos="9360"/>
            </w:tabs>
          </w:pPr>
          <w:r>
            <w:rPr>
              <w:bCs/>
            </w:rPr>
            <w:fldChar w:fldCharType="begin"/>
          </w:r>
          <w:r>
            <w:rPr>
              <w:bCs/>
            </w:rPr>
            <w:instrText xml:space="preserve"> HYPERLINK \l _Toc5994 </w:instrText>
          </w:r>
          <w:r>
            <w:rPr>
              <w:bCs/>
            </w:rPr>
            <w:fldChar w:fldCharType="separate"/>
          </w:r>
          <w:r>
            <w:rPr>
              <w:rFonts w:eastAsia="Times New Roman"/>
              <w:szCs w:val="32"/>
            </w:rPr>
            <w:t>2.2 Economic Order Quantity (EOQ)</w:t>
          </w:r>
          <w:r>
            <w:tab/>
          </w:r>
          <w:r>
            <w:fldChar w:fldCharType="begin"/>
          </w:r>
          <w:r>
            <w:instrText xml:space="preserve"> PAGEREF _Toc5994 \h </w:instrText>
          </w:r>
          <w:r>
            <w:fldChar w:fldCharType="separate"/>
          </w:r>
          <w:r>
            <w:t>4</w:t>
          </w:r>
          <w:r>
            <w:fldChar w:fldCharType="end"/>
          </w:r>
          <w:r>
            <w:rPr>
              <w:bCs/>
            </w:rPr>
            <w:fldChar w:fldCharType="end"/>
          </w:r>
        </w:p>
        <w:p w14:paraId="53D03602">
          <w:pPr>
            <w:pStyle w:val="29"/>
            <w:tabs>
              <w:tab w:val="right" w:leader="dot" w:pos="9360"/>
            </w:tabs>
          </w:pPr>
          <w:r>
            <w:rPr>
              <w:bCs/>
            </w:rPr>
            <w:fldChar w:fldCharType="begin"/>
          </w:r>
          <w:r>
            <w:rPr>
              <w:bCs/>
            </w:rPr>
            <w:instrText xml:space="preserve"> HYPERLINK \l _Toc12899 </w:instrText>
          </w:r>
          <w:r>
            <w:rPr>
              <w:bCs/>
            </w:rPr>
            <w:fldChar w:fldCharType="separate"/>
          </w:r>
          <w:r>
            <w:rPr>
              <w:rFonts w:eastAsia="Times New Roman"/>
              <w:szCs w:val="32"/>
            </w:rPr>
            <w:t>2.3 Vendor Managed Inventory (VMI)</w:t>
          </w:r>
          <w:r>
            <w:tab/>
          </w:r>
          <w:r>
            <w:fldChar w:fldCharType="begin"/>
          </w:r>
          <w:r>
            <w:instrText xml:space="preserve"> PAGEREF _Toc12899 \h </w:instrText>
          </w:r>
          <w:r>
            <w:fldChar w:fldCharType="separate"/>
          </w:r>
          <w:r>
            <w:t>5</w:t>
          </w:r>
          <w:r>
            <w:fldChar w:fldCharType="end"/>
          </w:r>
          <w:r>
            <w:rPr>
              <w:bCs/>
            </w:rPr>
            <w:fldChar w:fldCharType="end"/>
          </w:r>
        </w:p>
        <w:p w14:paraId="744C74D1">
          <w:pPr>
            <w:pStyle w:val="29"/>
            <w:tabs>
              <w:tab w:val="right" w:leader="dot" w:pos="9360"/>
            </w:tabs>
          </w:pPr>
          <w:r>
            <w:rPr>
              <w:bCs/>
            </w:rPr>
            <w:fldChar w:fldCharType="begin"/>
          </w:r>
          <w:r>
            <w:rPr>
              <w:bCs/>
            </w:rPr>
            <w:instrText xml:space="preserve"> HYPERLINK \l _Toc14929 </w:instrText>
          </w:r>
          <w:r>
            <w:rPr>
              <w:bCs/>
            </w:rPr>
            <w:fldChar w:fldCharType="separate"/>
          </w:r>
          <w:r>
            <w:rPr>
              <w:rFonts w:eastAsia="Times New Roman"/>
              <w:szCs w:val="32"/>
            </w:rPr>
            <w:t>2.4 Minimum and Maximum Inventory Levels with FEFO Rotation</w:t>
          </w:r>
          <w:r>
            <w:tab/>
          </w:r>
          <w:r>
            <w:fldChar w:fldCharType="begin"/>
          </w:r>
          <w:r>
            <w:instrText xml:space="preserve"> PAGEREF _Toc14929 \h </w:instrText>
          </w:r>
          <w:r>
            <w:fldChar w:fldCharType="separate"/>
          </w:r>
          <w:r>
            <w:t>5</w:t>
          </w:r>
          <w:r>
            <w:fldChar w:fldCharType="end"/>
          </w:r>
          <w:r>
            <w:rPr>
              <w:bCs/>
            </w:rPr>
            <w:fldChar w:fldCharType="end"/>
          </w:r>
        </w:p>
        <w:p w14:paraId="4C098B5A">
          <w:pPr>
            <w:pStyle w:val="28"/>
            <w:tabs>
              <w:tab w:val="right" w:leader="dot" w:pos="9360"/>
            </w:tabs>
          </w:pPr>
          <w:r>
            <w:rPr>
              <w:bCs/>
            </w:rPr>
            <w:fldChar w:fldCharType="begin"/>
          </w:r>
          <w:r>
            <w:rPr>
              <w:bCs/>
            </w:rPr>
            <w:instrText xml:space="preserve"> HYPERLINK \l _Toc20714 </w:instrText>
          </w:r>
          <w:r>
            <w:rPr>
              <w:bCs/>
            </w:rPr>
            <w:fldChar w:fldCharType="separate"/>
          </w:r>
          <w:r>
            <w:rPr>
              <w:rFonts w:eastAsia="Times New Roman"/>
              <w:szCs w:val="44"/>
            </w:rPr>
            <w:t>3 Question 2: Critically Analysing Options for Dealing with Obsolete Stock</w:t>
          </w:r>
          <w:r>
            <w:tab/>
          </w:r>
          <w:r>
            <w:fldChar w:fldCharType="begin"/>
          </w:r>
          <w:r>
            <w:instrText xml:space="preserve"> PAGEREF _Toc20714 \h </w:instrText>
          </w:r>
          <w:r>
            <w:fldChar w:fldCharType="separate"/>
          </w:r>
          <w:r>
            <w:t>7</w:t>
          </w:r>
          <w:r>
            <w:fldChar w:fldCharType="end"/>
          </w:r>
          <w:r>
            <w:rPr>
              <w:bCs/>
            </w:rPr>
            <w:fldChar w:fldCharType="end"/>
          </w:r>
        </w:p>
        <w:p w14:paraId="493E332D">
          <w:pPr>
            <w:pStyle w:val="29"/>
            <w:tabs>
              <w:tab w:val="right" w:leader="dot" w:pos="9360"/>
            </w:tabs>
          </w:pPr>
          <w:r>
            <w:rPr>
              <w:bCs/>
            </w:rPr>
            <w:fldChar w:fldCharType="begin"/>
          </w:r>
          <w:r>
            <w:rPr>
              <w:bCs/>
            </w:rPr>
            <w:instrText xml:space="preserve"> HYPERLINK \l _Toc5925 </w:instrText>
          </w:r>
          <w:r>
            <w:rPr>
              <w:bCs/>
            </w:rPr>
            <w:fldChar w:fldCharType="separate"/>
          </w:r>
          <w:r>
            <w:rPr>
              <w:rFonts w:eastAsia="Times New Roman"/>
              <w:szCs w:val="32"/>
            </w:rPr>
            <w:t>3.1 Current Situation</w:t>
          </w:r>
          <w:r>
            <w:tab/>
          </w:r>
          <w:r>
            <w:fldChar w:fldCharType="begin"/>
          </w:r>
          <w:r>
            <w:instrText xml:space="preserve"> PAGEREF _Toc5925 \h </w:instrText>
          </w:r>
          <w:r>
            <w:fldChar w:fldCharType="separate"/>
          </w:r>
          <w:r>
            <w:t>7</w:t>
          </w:r>
          <w:r>
            <w:fldChar w:fldCharType="end"/>
          </w:r>
          <w:r>
            <w:rPr>
              <w:bCs/>
            </w:rPr>
            <w:fldChar w:fldCharType="end"/>
          </w:r>
        </w:p>
        <w:p w14:paraId="77885CF3">
          <w:pPr>
            <w:pStyle w:val="29"/>
            <w:tabs>
              <w:tab w:val="right" w:leader="dot" w:pos="9360"/>
            </w:tabs>
          </w:pPr>
          <w:r>
            <w:rPr>
              <w:bCs/>
            </w:rPr>
            <w:fldChar w:fldCharType="begin"/>
          </w:r>
          <w:r>
            <w:rPr>
              <w:bCs/>
            </w:rPr>
            <w:instrText xml:space="preserve"> HYPERLINK \l _Toc9939 </w:instrText>
          </w:r>
          <w:r>
            <w:rPr>
              <w:bCs/>
            </w:rPr>
            <w:fldChar w:fldCharType="separate"/>
          </w:r>
          <w:r>
            <w:rPr>
              <w:rFonts w:eastAsia="Times New Roman"/>
              <w:szCs w:val="32"/>
            </w:rPr>
            <w:t>3.2 Alternative 1: Approved Hazardous Waste Disposal</w:t>
          </w:r>
          <w:r>
            <w:tab/>
          </w:r>
          <w:r>
            <w:fldChar w:fldCharType="begin"/>
          </w:r>
          <w:r>
            <w:instrText xml:space="preserve"> PAGEREF _Toc9939 \h </w:instrText>
          </w:r>
          <w:r>
            <w:fldChar w:fldCharType="separate"/>
          </w:r>
          <w:r>
            <w:t>7</w:t>
          </w:r>
          <w:r>
            <w:fldChar w:fldCharType="end"/>
          </w:r>
          <w:r>
            <w:rPr>
              <w:bCs/>
            </w:rPr>
            <w:fldChar w:fldCharType="end"/>
          </w:r>
        </w:p>
        <w:p w14:paraId="5351C433">
          <w:pPr>
            <w:pStyle w:val="29"/>
            <w:tabs>
              <w:tab w:val="right" w:leader="dot" w:pos="9360"/>
            </w:tabs>
          </w:pPr>
          <w:r>
            <w:rPr>
              <w:bCs/>
            </w:rPr>
            <w:fldChar w:fldCharType="begin"/>
          </w:r>
          <w:r>
            <w:rPr>
              <w:bCs/>
            </w:rPr>
            <w:instrText xml:space="preserve"> HYPERLINK \l _Toc3930 </w:instrText>
          </w:r>
          <w:r>
            <w:rPr>
              <w:bCs/>
            </w:rPr>
            <w:fldChar w:fldCharType="separate"/>
          </w:r>
          <w:r>
            <w:rPr>
              <w:rFonts w:eastAsia="Times New Roman"/>
              <w:szCs w:val="32"/>
            </w:rPr>
            <w:t>3.3 Alternative 2: Supplier Take-Back and Supplier Return Schemes</w:t>
          </w:r>
          <w:r>
            <w:tab/>
          </w:r>
          <w:r>
            <w:fldChar w:fldCharType="begin"/>
          </w:r>
          <w:r>
            <w:instrText xml:space="preserve"> PAGEREF _Toc3930 \h </w:instrText>
          </w:r>
          <w:r>
            <w:fldChar w:fldCharType="separate"/>
          </w:r>
          <w:r>
            <w:t>7</w:t>
          </w:r>
          <w:r>
            <w:fldChar w:fldCharType="end"/>
          </w:r>
          <w:r>
            <w:rPr>
              <w:bCs/>
            </w:rPr>
            <w:fldChar w:fldCharType="end"/>
          </w:r>
        </w:p>
        <w:p w14:paraId="697A51E4">
          <w:pPr>
            <w:pStyle w:val="29"/>
            <w:tabs>
              <w:tab w:val="right" w:leader="dot" w:pos="9360"/>
            </w:tabs>
          </w:pPr>
          <w:r>
            <w:rPr>
              <w:bCs/>
            </w:rPr>
            <w:fldChar w:fldCharType="begin"/>
          </w:r>
          <w:r>
            <w:rPr>
              <w:bCs/>
            </w:rPr>
            <w:instrText xml:space="preserve"> HYPERLINK \l _Toc4868 </w:instrText>
          </w:r>
          <w:r>
            <w:rPr>
              <w:bCs/>
            </w:rPr>
            <w:fldChar w:fldCharType="separate"/>
          </w:r>
          <w:r>
            <w:rPr>
              <w:rFonts w:eastAsia="Times New Roman"/>
              <w:szCs w:val="32"/>
            </w:rPr>
            <w:t>3.4 Alternative 3: Reuse by Blending</w:t>
          </w:r>
          <w:r>
            <w:tab/>
          </w:r>
          <w:r>
            <w:fldChar w:fldCharType="begin"/>
          </w:r>
          <w:r>
            <w:instrText xml:space="preserve"> PAGEREF _Toc4868 \h </w:instrText>
          </w:r>
          <w:r>
            <w:fldChar w:fldCharType="separate"/>
          </w:r>
          <w:r>
            <w:t>8</w:t>
          </w:r>
          <w:r>
            <w:fldChar w:fldCharType="end"/>
          </w:r>
          <w:r>
            <w:rPr>
              <w:bCs/>
            </w:rPr>
            <w:fldChar w:fldCharType="end"/>
          </w:r>
        </w:p>
        <w:p w14:paraId="009607D7">
          <w:pPr>
            <w:pStyle w:val="29"/>
            <w:tabs>
              <w:tab w:val="right" w:leader="dot" w:pos="9360"/>
            </w:tabs>
          </w:pPr>
          <w:r>
            <w:rPr>
              <w:bCs/>
            </w:rPr>
            <w:fldChar w:fldCharType="begin"/>
          </w:r>
          <w:r>
            <w:rPr>
              <w:bCs/>
            </w:rPr>
            <w:instrText xml:space="preserve"> HYPERLINK \l _Toc1142 </w:instrText>
          </w:r>
          <w:r>
            <w:rPr>
              <w:bCs/>
            </w:rPr>
            <w:fldChar w:fldCharType="separate"/>
          </w:r>
          <w:r>
            <w:rPr>
              <w:rFonts w:eastAsia="Times New Roman"/>
              <w:szCs w:val="32"/>
            </w:rPr>
            <w:t>3.5 Alternative 4: Financial write-off and Redesign Processes</w:t>
          </w:r>
          <w:r>
            <w:tab/>
          </w:r>
          <w:r>
            <w:fldChar w:fldCharType="begin"/>
          </w:r>
          <w:r>
            <w:instrText xml:space="preserve"> PAGEREF _Toc1142 \h </w:instrText>
          </w:r>
          <w:r>
            <w:fldChar w:fldCharType="separate"/>
          </w:r>
          <w:r>
            <w:t>8</w:t>
          </w:r>
          <w:r>
            <w:fldChar w:fldCharType="end"/>
          </w:r>
          <w:r>
            <w:rPr>
              <w:bCs/>
            </w:rPr>
            <w:fldChar w:fldCharType="end"/>
          </w:r>
        </w:p>
        <w:p w14:paraId="75B9E27D">
          <w:pPr>
            <w:pStyle w:val="28"/>
            <w:tabs>
              <w:tab w:val="right" w:leader="dot" w:pos="9360"/>
            </w:tabs>
          </w:pPr>
          <w:r>
            <w:rPr>
              <w:bCs/>
            </w:rPr>
            <w:fldChar w:fldCharType="begin"/>
          </w:r>
          <w:r>
            <w:rPr>
              <w:bCs/>
            </w:rPr>
            <w:instrText xml:space="preserve"> HYPERLINK \l _Toc24123 </w:instrText>
          </w:r>
          <w:r>
            <w:rPr>
              <w:bCs/>
            </w:rPr>
            <w:fldChar w:fldCharType="separate"/>
          </w:r>
          <w:r>
            <w:rPr>
              <w:rFonts w:eastAsia="Times New Roman"/>
              <w:szCs w:val="32"/>
            </w:rPr>
            <w:t>4 Question 3: Interventions to Enhance Lead Time Knowledge throughout the Business and Extended Enterprise</w:t>
          </w:r>
          <w:r>
            <w:tab/>
          </w:r>
          <w:r>
            <w:fldChar w:fldCharType="begin"/>
          </w:r>
          <w:r>
            <w:instrText xml:space="preserve"> PAGEREF _Toc24123 \h </w:instrText>
          </w:r>
          <w:r>
            <w:fldChar w:fldCharType="separate"/>
          </w:r>
          <w:r>
            <w:t>10</w:t>
          </w:r>
          <w:r>
            <w:fldChar w:fldCharType="end"/>
          </w:r>
          <w:r>
            <w:rPr>
              <w:bCs/>
            </w:rPr>
            <w:fldChar w:fldCharType="end"/>
          </w:r>
        </w:p>
        <w:p w14:paraId="7B250064">
          <w:pPr>
            <w:pStyle w:val="29"/>
            <w:tabs>
              <w:tab w:val="right" w:leader="dot" w:pos="9360"/>
            </w:tabs>
          </w:pPr>
          <w:r>
            <w:rPr>
              <w:bCs/>
            </w:rPr>
            <w:fldChar w:fldCharType="begin"/>
          </w:r>
          <w:r>
            <w:rPr>
              <w:bCs/>
            </w:rPr>
            <w:instrText xml:space="preserve"> HYPERLINK \l _Toc7247 </w:instrText>
          </w:r>
          <w:r>
            <w:rPr>
              <w:bCs/>
            </w:rPr>
            <w:fldChar w:fldCharType="separate"/>
          </w:r>
          <w:r>
            <w:rPr>
              <w:rFonts w:eastAsia="Times New Roman"/>
            </w:rPr>
            <w:t>4.1 Total Lead Time</w:t>
          </w:r>
          <w:r>
            <w:tab/>
          </w:r>
          <w:r>
            <w:fldChar w:fldCharType="begin"/>
          </w:r>
          <w:r>
            <w:instrText xml:space="preserve"> PAGEREF _Toc7247 \h </w:instrText>
          </w:r>
          <w:r>
            <w:fldChar w:fldCharType="separate"/>
          </w:r>
          <w:r>
            <w:t>10</w:t>
          </w:r>
          <w:r>
            <w:fldChar w:fldCharType="end"/>
          </w:r>
          <w:r>
            <w:rPr>
              <w:bCs/>
            </w:rPr>
            <w:fldChar w:fldCharType="end"/>
          </w:r>
        </w:p>
        <w:p w14:paraId="0439765E">
          <w:pPr>
            <w:pStyle w:val="29"/>
            <w:tabs>
              <w:tab w:val="right" w:leader="dot" w:pos="9360"/>
            </w:tabs>
          </w:pPr>
          <w:r>
            <w:rPr>
              <w:bCs/>
            </w:rPr>
            <w:fldChar w:fldCharType="begin"/>
          </w:r>
          <w:r>
            <w:rPr>
              <w:bCs/>
            </w:rPr>
            <w:instrText xml:space="preserve"> HYPERLINK \l _Toc16091 </w:instrText>
          </w:r>
          <w:r>
            <w:rPr>
              <w:bCs/>
            </w:rPr>
            <w:fldChar w:fldCharType="separate"/>
          </w:r>
          <w:r>
            <w:rPr>
              <w:rFonts w:eastAsia="Times New Roman"/>
              <w:szCs w:val="32"/>
            </w:rPr>
            <w:t>4.2 Supply Chain Mapping</w:t>
          </w:r>
          <w:r>
            <w:tab/>
          </w:r>
          <w:r>
            <w:fldChar w:fldCharType="begin"/>
          </w:r>
          <w:r>
            <w:instrText xml:space="preserve"> PAGEREF _Toc16091 \h </w:instrText>
          </w:r>
          <w:r>
            <w:fldChar w:fldCharType="separate"/>
          </w:r>
          <w:r>
            <w:t>10</w:t>
          </w:r>
          <w:r>
            <w:fldChar w:fldCharType="end"/>
          </w:r>
          <w:r>
            <w:rPr>
              <w:bCs/>
            </w:rPr>
            <w:fldChar w:fldCharType="end"/>
          </w:r>
        </w:p>
        <w:p w14:paraId="290416CD">
          <w:pPr>
            <w:pStyle w:val="29"/>
            <w:tabs>
              <w:tab w:val="right" w:leader="dot" w:pos="9360"/>
            </w:tabs>
          </w:pPr>
          <w:r>
            <w:rPr>
              <w:bCs/>
            </w:rPr>
            <w:fldChar w:fldCharType="begin"/>
          </w:r>
          <w:r>
            <w:rPr>
              <w:bCs/>
            </w:rPr>
            <w:instrText xml:space="preserve"> HYPERLINK \l _Toc17425 </w:instrText>
          </w:r>
          <w:r>
            <w:rPr>
              <w:bCs/>
            </w:rPr>
            <w:fldChar w:fldCharType="separate"/>
          </w:r>
          <w:r>
            <w:rPr>
              <w:rFonts w:eastAsia="Times New Roman"/>
              <w:szCs w:val="32"/>
            </w:rPr>
            <w:t>4.3 Value stream mapping (VSM)</w:t>
          </w:r>
          <w:r>
            <w:tab/>
          </w:r>
          <w:r>
            <w:fldChar w:fldCharType="begin"/>
          </w:r>
          <w:r>
            <w:instrText xml:space="preserve"> PAGEREF _Toc17425 \h </w:instrText>
          </w:r>
          <w:r>
            <w:fldChar w:fldCharType="separate"/>
          </w:r>
          <w:r>
            <w:t>10</w:t>
          </w:r>
          <w:r>
            <w:fldChar w:fldCharType="end"/>
          </w:r>
          <w:r>
            <w:rPr>
              <w:bCs/>
            </w:rPr>
            <w:fldChar w:fldCharType="end"/>
          </w:r>
        </w:p>
        <w:p w14:paraId="0AF7314B">
          <w:pPr>
            <w:pStyle w:val="29"/>
            <w:tabs>
              <w:tab w:val="right" w:leader="dot" w:pos="9360"/>
            </w:tabs>
          </w:pPr>
          <w:r>
            <w:rPr>
              <w:bCs/>
            </w:rPr>
            <w:fldChar w:fldCharType="begin"/>
          </w:r>
          <w:r>
            <w:rPr>
              <w:bCs/>
            </w:rPr>
            <w:instrText xml:space="preserve"> HYPERLINK \l _Toc9295 </w:instrText>
          </w:r>
          <w:r>
            <w:rPr>
              <w:bCs/>
            </w:rPr>
            <w:fldChar w:fldCharType="separate"/>
          </w:r>
          <w:r>
            <w:rPr>
              <w:rFonts w:eastAsia="Times New Roman"/>
              <w:szCs w:val="32"/>
            </w:rPr>
            <w:t>4.4 Supplier Lead Time Contracts and Tracking</w:t>
          </w:r>
          <w:r>
            <w:tab/>
          </w:r>
          <w:r>
            <w:fldChar w:fldCharType="begin"/>
          </w:r>
          <w:r>
            <w:instrText xml:space="preserve"> PAGEREF _Toc9295 \h </w:instrText>
          </w:r>
          <w:r>
            <w:fldChar w:fldCharType="separate"/>
          </w:r>
          <w:r>
            <w:t>11</w:t>
          </w:r>
          <w:r>
            <w:fldChar w:fldCharType="end"/>
          </w:r>
          <w:r>
            <w:rPr>
              <w:bCs/>
            </w:rPr>
            <w:fldChar w:fldCharType="end"/>
          </w:r>
        </w:p>
        <w:p w14:paraId="631EB50B">
          <w:pPr>
            <w:pStyle w:val="29"/>
            <w:tabs>
              <w:tab w:val="right" w:leader="dot" w:pos="9360"/>
            </w:tabs>
          </w:pPr>
          <w:r>
            <w:rPr>
              <w:bCs/>
            </w:rPr>
            <w:fldChar w:fldCharType="begin"/>
          </w:r>
          <w:r>
            <w:rPr>
              <w:bCs/>
            </w:rPr>
            <w:instrText xml:space="preserve"> HYPERLINK \l _Toc20646 </w:instrText>
          </w:r>
          <w:r>
            <w:rPr>
              <w:bCs/>
            </w:rPr>
            <w:fldChar w:fldCharType="separate"/>
          </w:r>
          <w:r>
            <w:rPr>
              <w:rFonts w:eastAsia="Times New Roman"/>
              <w:szCs w:val="32"/>
            </w:rPr>
            <w:t>4.5 Computation of Reorder point using Lead Time Data</w:t>
          </w:r>
          <w:r>
            <w:tab/>
          </w:r>
          <w:r>
            <w:fldChar w:fldCharType="begin"/>
          </w:r>
          <w:r>
            <w:instrText xml:space="preserve"> PAGEREF _Toc20646 \h </w:instrText>
          </w:r>
          <w:r>
            <w:fldChar w:fldCharType="separate"/>
          </w:r>
          <w:r>
            <w:t>11</w:t>
          </w:r>
          <w:r>
            <w:fldChar w:fldCharType="end"/>
          </w:r>
          <w:r>
            <w:rPr>
              <w:bCs/>
            </w:rPr>
            <w:fldChar w:fldCharType="end"/>
          </w:r>
        </w:p>
        <w:p w14:paraId="6A72B94D">
          <w:pPr>
            <w:pStyle w:val="29"/>
            <w:tabs>
              <w:tab w:val="right" w:leader="dot" w:pos="9360"/>
            </w:tabs>
          </w:pPr>
          <w:r>
            <w:rPr>
              <w:bCs/>
            </w:rPr>
            <w:fldChar w:fldCharType="begin"/>
          </w:r>
          <w:r>
            <w:rPr>
              <w:bCs/>
            </w:rPr>
            <w:instrText xml:space="preserve"> HYPERLINK \l _Toc20060 </w:instrText>
          </w:r>
          <w:r>
            <w:rPr>
              <w:bCs/>
            </w:rPr>
            <w:fldChar w:fldCharType="separate"/>
          </w:r>
          <w:r>
            <w:rPr>
              <w:rFonts w:eastAsia="Times New Roman"/>
              <w:szCs w:val="32"/>
            </w:rPr>
            <w:t>4.6 ERP System Implementation</w:t>
          </w:r>
          <w:r>
            <w:tab/>
          </w:r>
          <w:r>
            <w:fldChar w:fldCharType="begin"/>
          </w:r>
          <w:r>
            <w:instrText xml:space="preserve"> PAGEREF _Toc20060 \h </w:instrText>
          </w:r>
          <w:r>
            <w:fldChar w:fldCharType="separate"/>
          </w:r>
          <w:r>
            <w:t>11</w:t>
          </w:r>
          <w:r>
            <w:fldChar w:fldCharType="end"/>
          </w:r>
          <w:r>
            <w:rPr>
              <w:bCs/>
            </w:rPr>
            <w:fldChar w:fldCharType="end"/>
          </w:r>
        </w:p>
        <w:p w14:paraId="713AB9A0">
          <w:pPr>
            <w:pStyle w:val="28"/>
            <w:tabs>
              <w:tab w:val="right" w:leader="dot" w:pos="9360"/>
            </w:tabs>
          </w:pPr>
          <w:r>
            <w:rPr>
              <w:bCs/>
            </w:rPr>
            <w:fldChar w:fldCharType="begin"/>
          </w:r>
          <w:r>
            <w:rPr>
              <w:bCs/>
            </w:rPr>
            <w:instrText xml:space="preserve"> HYPERLINK \l _Toc20282 </w:instrText>
          </w:r>
          <w:r>
            <w:rPr>
              <w:bCs/>
            </w:rPr>
            <w:fldChar w:fldCharType="separate"/>
          </w:r>
          <w:r>
            <w:rPr>
              <w:rFonts w:eastAsia="Times New Roman"/>
              <w:szCs w:val="44"/>
            </w:rPr>
            <w:t>5 Conclusion and Recommendations</w:t>
          </w:r>
          <w:r>
            <w:tab/>
          </w:r>
          <w:r>
            <w:fldChar w:fldCharType="begin"/>
          </w:r>
          <w:r>
            <w:instrText xml:space="preserve"> PAGEREF _Toc20282 \h </w:instrText>
          </w:r>
          <w:r>
            <w:fldChar w:fldCharType="separate"/>
          </w:r>
          <w:r>
            <w:t>13</w:t>
          </w:r>
          <w:r>
            <w:fldChar w:fldCharType="end"/>
          </w:r>
          <w:r>
            <w:rPr>
              <w:bCs/>
            </w:rPr>
            <w:fldChar w:fldCharType="end"/>
          </w:r>
        </w:p>
        <w:p w14:paraId="437A8B5B">
          <w:pPr>
            <w:pStyle w:val="28"/>
            <w:tabs>
              <w:tab w:val="right" w:leader="dot" w:pos="9360"/>
            </w:tabs>
          </w:pPr>
          <w:r>
            <w:rPr>
              <w:bCs/>
            </w:rPr>
            <w:fldChar w:fldCharType="begin"/>
          </w:r>
          <w:r>
            <w:rPr>
              <w:bCs/>
            </w:rPr>
            <w:instrText xml:space="preserve"> HYPERLINK \l _Toc6161 </w:instrText>
          </w:r>
          <w:r>
            <w:rPr>
              <w:bCs/>
            </w:rPr>
            <w:fldChar w:fldCharType="separate"/>
          </w:r>
          <w:r>
            <w:rPr>
              <w:rFonts w:eastAsia="Times New Roman"/>
              <w:szCs w:val="40"/>
            </w:rPr>
            <w:t>6 References</w:t>
          </w:r>
          <w:r>
            <w:tab/>
          </w:r>
          <w:r>
            <w:fldChar w:fldCharType="begin"/>
          </w:r>
          <w:r>
            <w:instrText xml:space="preserve"> PAGEREF _Toc6161 \h </w:instrText>
          </w:r>
          <w:r>
            <w:fldChar w:fldCharType="separate"/>
          </w:r>
          <w:r>
            <w:t>14</w:t>
          </w:r>
          <w:r>
            <w:fldChar w:fldCharType="end"/>
          </w:r>
          <w:r>
            <w:rPr>
              <w:bCs/>
            </w:rPr>
            <w:fldChar w:fldCharType="end"/>
          </w:r>
        </w:p>
        <w:p w14:paraId="69F321E8">
          <w:r>
            <w:rPr>
              <w:bCs/>
            </w:rPr>
            <w:fldChar w:fldCharType="end"/>
          </w:r>
        </w:p>
      </w:sdtContent>
    </w:sdt>
    <w:p w14:paraId="2F68BD4A">
      <w:pPr>
        <w:ind w:firstLine="0"/>
        <w:rPr>
          <w:rFonts w:eastAsia="Times New Roman"/>
          <w:i/>
          <w:iCs/>
        </w:rPr>
      </w:pPr>
    </w:p>
    <w:p w14:paraId="60328AF6">
      <w:pPr>
        <w:pStyle w:val="2"/>
        <w:jc w:val="both"/>
        <w:rPr>
          <w:rFonts w:eastAsia="Times New Roman"/>
          <w:color w:val="4472C4" w:themeColor="accent1"/>
          <w:sz w:val="28"/>
          <w:szCs w:val="40"/>
          <w14:textFill>
            <w14:solidFill>
              <w14:schemeClr w14:val="accent1"/>
            </w14:solidFill>
          </w14:textFill>
        </w:rPr>
      </w:pPr>
      <w:bookmarkStart w:id="0" w:name="_Toc21763"/>
      <w:r>
        <w:rPr>
          <w:rFonts w:eastAsia="Times New Roman"/>
          <w:color w:val="4472C4" w:themeColor="accent1"/>
          <w:sz w:val="28"/>
          <w:szCs w:val="40"/>
          <w14:textFill>
            <w14:solidFill>
              <w14:schemeClr w14:val="accent1"/>
            </w14:solidFill>
          </w14:textFill>
        </w:rPr>
        <w:t>Introduction</w:t>
      </w:r>
      <w:bookmarkEnd w:id="0"/>
    </w:p>
    <w:p w14:paraId="0E09D95C">
      <w:pPr>
        <w:ind w:firstLine="0"/>
        <w:rPr>
          <w:rFonts w:eastAsia="Times New Roman"/>
        </w:rPr>
      </w:pPr>
      <w:r>
        <w:rPr>
          <w:rFonts w:eastAsia="Times New Roman"/>
        </w:rPr>
        <w:t>Brocksweir Engineering Ltd is a well-established manufacturing firm with a history of foundry dating back to more than 250 years and operating at the moment with a span of 50 years. The company has a critical operational challenge that involves employing 250 people in the three business units namely castings, fabrications and machined parts. The sand foundry that employs phenolic and furan-based resins to hold sand moulds prior to the casting process has accrued stock value of about £20,000 expired resin. This has been because of bulk buying and there is no formal inventory control system. At the same time, foundry sand is now considered special waste, making it over three times more expensive to dispose of. This report critically assesses the way in which inventory can be managed more effectively, evaluates what can be done with a stock which is out of date, and how the understanding of lead time can be enhanced in the business and in the extended business.</w:t>
      </w:r>
    </w:p>
    <w:p w14:paraId="2AE457AB">
      <w:pPr>
        <w:rPr>
          <w:rFonts w:eastAsia="Times New Roman"/>
        </w:rPr>
      </w:pPr>
      <w:r>
        <w:rPr>
          <w:rFonts w:eastAsia="Times New Roman"/>
        </w:rPr>
        <w:br w:type="page"/>
      </w:r>
    </w:p>
    <w:p w14:paraId="15040C45">
      <w:pPr>
        <w:pStyle w:val="2"/>
        <w:jc w:val="both"/>
        <w:rPr>
          <w:rFonts w:eastAsia="Times New Roman"/>
          <w:color w:val="4472C4" w:themeColor="accent1"/>
          <w:sz w:val="32"/>
          <w:szCs w:val="44"/>
          <w14:textFill>
            <w14:solidFill>
              <w14:schemeClr w14:val="accent1"/>
            </w14:solidFill>
          </w14:textFill>
        </w:rPr>
      </w:pPr>
      <w:bookmarkStart w:id="1" w:name="_Toc2909"/>
      <w:r>
        <w:rPr>
          <w:rFonts w:eastAsia="Times New Roman"/>
          <w:color w:val="4472C4" w:themeColor="accent1"/>
          <w:sz w:val="32"/>
          <w:szCs w:val="44"/>
          <w14:textFill>
            <w14:solidFill>
              <w14:schemeClr w14:val="accent1"/>
            </w14:solidFill>
          </w14:textFill>
        </w:rPr>
        <w:t>Question 1: Critically Evaluating Better Sand and Resin Inventory Management</w:t>
      </w:r>
      <w:bookmarkEnd w:id="1"/>
    </w:p>
    <w:p w14:paraId="5757820A">
      <w:pPr>
        <w:pStyle w:val="3"/>
        <w:rPr>
          <w:rFonts w:eastAsia="Times New Roman"/>
          <w:color w:val="4472C4" w:themeColor="accent1"/>
          <w:sz w:val="28"/>
          <w:szCs w:val="32"/>
          <w14:textFill>
            <w14:solidFill>
              <w14:schemeClr w14:val="accent1"/>
            </w14:solidFill>
          </w14:textFill>
        </w:rPr>
      </w:pPr>
      <w:bookmarkStart w:id="2" w:name="_Toc11969"/>
      <w:r>
        <w:rPr>
          <w:rFonts w:eastAsia="Times New Roman"/>
          <w:color w:val="4472C4" w:themeColor="accent1"/>
          <w:sz w:val="28"/>
          <w:szCs w:val="32"/>
          <w14:textFill>
            <w14:solidFill>
              <w14:schemeClr w14:val="accent1"/>
            </w14:solidFill>
          </w14:textFill>
        </w:rPr>
        <w:t>Current Situation</w:t>
      </w:r>
      <w:bookmarkEnd w:id="2"/>
    </w:p>
    <w:p w14:paraId="5324A4B4">
      <w:pPr>
        <w:ind w:firstLine="0"/>
        <w:rPr>
          <w:rFonts w:eastAsia="Times New Roman"/>
        </w:rPr>
      </w:pPr>
      <w:r>
        <w:rPr>
          <w:rFonts w:eastAsia="Times New Roman"/>
        </w:rPr>
        <w:t xml:space="preserve">The firm does not have an official inventory control program at the moment. The sand binding resins were ordered in high volumes without considering their shelf life leaving behind </w:t>
      </w:r>
      <w:r>
        <w:rPr>
          <w:rFonts w:hint="default" w:ascii="Times New Roman" w:hAnsi="Times New Roman" w:eastAsia="Times New Roman" w:cs="Times New Roman"/>
        </w:rPr>
        <w:t>£</w:t>
      </w:r>
      <w:r>
        <w:rPr>
          <w:rFonts w:eastAsia="Times New Roman"/>
        </w:rPr>
        <w:t>20,000 of the expired resin. All resins employed are special waste, especially phenolic and furan based, such that they become costly waste when expired, and the expense of their disposal is legally obligated. Also, the savings on the purchases of bulk sand have been counterbalanced by the additional expenses on drying out sand that had been stored longer than anticipated. It has hired three additional die-casters to address higher demand of sand casting but without proper inventory management, the increase will go on generating waste and ineffectiveness.</w:t>
      </w:r>
    </w:p>
    <w:p w14:paraId="3FCF7CE2">
      <w:pPr>
        <w:pStyle w:val="3"/>
        <w:rPr>
          <w:rFonts w:eastAsia="Times New Roman"/>
          <w:color w:val="4472C4" w:themeColor="accent1"/>
          <w:sz w:val="28"/>
          <w:szCs w:val="32"/>
          <w14:textFill>
            <w14:solidFill>
              <w14:schemeClr w14:val="accent1"/>
            </w14:solidFill>
          </w14:textFill>
        </w:rPr>
      </w:pPr>
      <w:bookmarkStart w:id="3" w:name="_Toc5994"/>
      <w:r>
        <w:rPr>
          <w:rFonts w:eastAsia="Times New Roman"/>
          <w:color w:val="4472C4" w:themeColor="accent1"/>
          <w:sz w:val="28"/>
          <w:szCs w:val="32"/>
          <w14:textFill>
            <w14:solidFill>
              <w14:schemeClr w14:val="accent1"/>
            </w14:solidFill>
          </w14:textFill>
        </w:rPr>
        <w:t>Economic Order Quantity (EOQ)</w:t>
      </w:r>
      <w:bookmarkEnd w:id="3"/>
    </w:p>
    <w:p w14:paraId="15F6CEBC">
      <w:pPr>
        <w:ind w:firstLine="0"/>
        <w:rPr>
          <w:rFonts w:eastAsia="Times New Roman"/>
        </w:rPr>
      </w:pPr>
      <w:r>
        <w:rPr>
          <w:rFonts w:eastAsia="Times New Roman"/>
        </w:rPr>
        <w:t>Economic order quantity (EOQ) is a mathematical model that can estimate the optimal order quantity and result in minimal costs of ordering and inventory holding. In the case of Brocksweir, using EOQ on the sand and resins would solve over-ordering issue directly. The EOQ formula is Q* = √(2DS/H), where D is annual demand, S is ordering cost per order, and H is annual holding cost per unit</w:t>
      </w:r>
      <w:r>
        <w:t xml:space="preserve"> (</w:t>
      </w:r>
      <w:r>
        <w:rPr>
          <w:rFonts w:eastAsia="Times New Roman"/>
        </w:rPr>
        <w:t>Alnahhal et al., 2024). In cases of phenolic and furan resin where the shelf life is short, holding costs should reflect the risk of an expiry and disposal. So, to take some typical examples; when the annual resin demand is, say, £X then the holding cost should include not only storage but also the higher special waste disposal rate; which has increased more than threefold; in addition to ordering cost. The computations of EOQ will result in the company receiving smaller and more frequent amounts of materials that are supposed to be in line with actual consumption rates instead of purchasing large amounts that cause obsolete material.</w:t>
      </w:r>
    </w:p>
    <w:p w14:paraId="3865B39A">
      <w:pPr>
        <w:ind w:firstLine="0"/>
        <w:rPr>
          <w:rFonts w:eastAsia="Times New Roman"/>
        </w:rPr>
      </w:pPr>
      <w:r>
        <w:rPr>
          <w:rFonts w:eastAsia="Times New Roman"/>
        </w:rPr>
        <w:t>It is a traditional operations management method which is directly related to the theory-practice gap as witnessed at Brocksweir. Practically, EOQ makes sure value of resins ordered is in line with its shelf life and rate of consumption. This will eliminate the scenario whereby there is a large percentage of stock that goes to waste before it is consumed as discovered during the stores audit.</w:t>
      </w:r>
    </w:p>
    <w:p w14:paraId="30A7E25A">
      <w:pPr>
        <w:pStyle w:val="3"/>
        <w:rPr>
          <w:rFonts w:eastAsia="Times New Roman"/>
          <w:color w:val="4472C4" w:themeColor="accent1"/>
          <w:sz w:val="28"/>
          <w:szCs w:val="32"/>
          <w14:textFill>
            <w14:solidFill>
              <w14:schemeClr w14:val="accent1"/>
            </w14:solidFill>
          </w14:textFill>
        </w:rPr>
      </w:pPr>
      <w:bookmarkStart w:id="4" w:name="_Toc12899"/>
      <w:r>
        <w:rPr>
          <w:rFonts w:eastAsia="Times New Roman"/>
          <w:color w:val="4472C4" w:themeColor="accent1"/>
          <w:sz w:val="28"/>
          <w:szCs w:val="32"/>
          <w14:textFill>
            <w14:solidFill>
              <w14:schemeClr w14:val="accent1"/>
            </w14:solidFill>
          </w14:textFill>
        </w:rPr>
        <w:t>Vendor Managed Inventory (VMI)</w:t>
      </w:r>
      <w:bookmarkEnd w:id="4"/>
    </w:p>
    <w:p w14:paraId="33A37482">
      <w:pPr>
        <w:ind w:firstLine="0"/>
        <w:rPr>
          <w:rFonts w:eastAsia="Times New Roman"/>
        </w:rPr>
      </w:pPr>
      <w:r>
        <w:rPr>
          <w:rFonts w:eastAsia="Times New Roman"/>
        </w:rPr>
        <w:t>Vendor Managed Inventory (VMI) is a mutual agreement in which the supplier monitors the inventory level and makes responsibility decisions to replenish (Van, 2022). It is particularly applicable in the case of the resin procured by Brocksweir. In a VMI system, the resin supplier would have viewed the consumption data of Brocksweir and would replenish the stock just in time, making sure that it is fresh and chances of expiry are diminished. Phenolic, furan resins are also dangerous and costly to recycle and therefore, the supplier has a direct interest in only supplying the required quantity in the right time.</w:t>
      </w:r>
    </w:p>
    <w:p w14:paraId="20B96297">
      <w:pPr>
        <w:ind w:firstLine="0"/>
        <w:rPr>
          <w:rFonts w:eastAsia="Times New Roman"/>
        </w:rPr>
      </w:pPr>
      <w:r>
        <w:rPr>
          <w:rFonts w:eastAsia="Times New Roman"/>
        </w:rPr>
        <w:t>VMI also coincides with the idea of extended enterprise responsibility, where the sharing of risk and information across the supply chain takes place and is not limited to the buyer. This would help to lessen the load on internal store managers in the case of Brocksweir since according to the audit; the internal store managers could not see any shelf-life data. The supplier is in a better position to deal with these risks as he is closer to the technical characteristics of the product.</w:t>
      </w:r>
    </w:p>
    <w:p w14:paraId="0307F9A6">
      <w:pPr>
        <w:pStyle w:val="3"/>
        <w:spacing w:line="480" w:lineRule="auto"/>
        <w:rPr>
          <w:rFonts w:eastAsia="Times New Roman"/>
          <w:color w:val="4472C4" w:themeColor="accent1"/>
          <w:sz w:val="28"/>
          <w:szCs w:val="32"/>
          <w14:textFill>
            <w14:solidFill>
              <w14:schemeClr w14:val="accent1"/>
            </w14:solidFill>
          </w14:textFill>
        </w:rPr>
      </w:pPr>
      <w:bookmarkStart w:id="5" w:name="_Toc14929"/>
      <w:r>
        <w:rPr>
          <w:rFonts w:eastAsia="Times New Roman"/>
          <w:color w:val="4472C4" w:themeColor="accent1"/>
          <w:sz w:val="28"/>
          <w:szCs w:val="32"/>
          <w14:textFill>
            <w14:solidFill>
              <w14:schemeClr w14:val="accent1"/>
            </w14:solidFill>
          </w14:textFill>
        </w:rPr>
        <w:t>Minimum and Maximum Inventory Levels with FEFO Rotation</w:t>
      </w:r>
      <w:bookmarkEnd w:id="5"/>
    </w:p>
    <w:p w14:paraId="64011105">
      <w:pPr>
        <w:ind w:firstLine="0"/>
        <w:rPr>
          <w:rFonts w:eastAsia="Times New Roman"/>
        </w:rPr>
      </w:pPr>
      <w:r>
        <w:rPr>
          <w:rFonts w:eastAsia="Times New Roman"/>
        </w:rPr>
        <w:t>Minimal and maximal level of stock system provides clear limits of replenishment. The minimum level is the stock that will be considered as safety stock and the reorder should be triggered once such stock is reached and the maximum level limits the amount that can be held at any point. In the case of short shelf-life resins, the maximum level should be calculated to make sure that stock is used up before it goes bad. This has a direct connection to the First Expired, First Out (FEFO) principle</w:t>
      </w:r>
      <w:r>
        <w:t xml:space="preserve"> (</w:t>
      </w:r>
      <w:r>
        <w:rPr>
          <w:rFonts w:eastAsia="Times New Roman"/>
        </w:rPr>
        <w:t>Safitri &amp; Hutabarat, 2025), by which the stock that is nearest to expiry must be consumed first, followed by more recent stock. At Brocksweir, with FEFO in place, the £20,000 of expired resins would probably have been discovered and consumed prior to the disposal limit.</w:t>
      </w:r>
    </w:p>
    <w:p w14:paraId="17F6E41B">
      <w:pPr>
        <w:ind w:firstLine="0"/>
        <w:rPr>
          <w:rFonts w:eastAsia="Times New Roman"/>
          <w:b/>
          <w:bCs/>
          <w:i/>
          <w:iCs/>
          <w:color w:val="4472C4" w:themeColor="accent1"/>
          <w:sz w:val="28"/>
          <w:szCs w:val="24"/>
          <w14:textFill>
            <w14:solidFill>
              <w14:schemeClr w14:val="accent1"/>
            </w14:solidFill>
          </w14:textFill>
        </w:rPr>
      </w:pPr>
    </w:p>
    <w:p w14:paraId="7599B0E1">
      <w:pPr>
        <w:ind w:firstLine="0"/>
        <w:rPr>
          <w:rFonts w:eastAsia="Times New Roman"/>
          <w:b/>
          <w:bCs/>
          <w:i/>
          <w:iCs/>
          <w:color w:val="4472C4" w:themeColor="accent1"/>
          <w:sz w:val="28"/>
          <w:szCs w:val="24"/>
          <w14:textFill>
            <w14:solidFill>
              <w14:schemeClr w14:val="accent1"/>
            </w14:solidFill>
          </w14:textFill>
        </w:rPr>
      </w:pPr>
    </w:p>
    <w:p w14:paraId="2423961C">
      <w:pPr>
        <w:ind w:firstLine="0"/>
        <w:rPr>
          <w:rFonts w:eastAsia="Times New Roman"/>
          <w:b/>
          <w:bCs/>
          <w:i/>
          <w:iCs/>
          <w:color w:val="4472C4" w:themeColor="accent1"/>
          <w:sz w:val="28"/>
          <w:szCs w:val="24"/>
          <w14:textFill>
            <w14:solidFill>
              <w14:schemeClr w14:val="accent1"/>
            </w14:solidFill>
          </w14:textFill>
        </w:rPr>
      </w:pPr>
    </w:p>
    <w:p w14:paraId="124D2A2A">
      <w:pPr>
        <w:ind w:firstLine="0"/>
        <w:rPr>
          <w:rFonts w:eastAsia="Times New Roman"/>
          <w:b/>
          <w:bCs/>
          <w:i/>
          <w:iCs/>
          <w:color w:val="4472C4" w:themeColor="accent1"/>
          <w:sz w:val="28"/>
          <w:szCs w:val="24"/>
          <w14:textFill>
            <w14:solidFill>
              <w14:schemeClr w14:val="accent1"/>
            </w14:solidFill>
          </w14:textFill>
        </w:rPr>
      </w:pPr>
    </w:p>
    <w:p w14:paraId="04427915">
      <w:pPr>
        <w:ind w:firstLine="0"/>
        <w:rPr>
          <w:rFonts w:eastAsia="Times New Roman"/>
          <w:b/>
          <w:bCs/>
          <w:i/>
          <w:iCs/>
          <w:color w:val="4472C4" w:themeColor="accent1"/>
          <w:sz w:val="28"/>
          <w:szCs w:val="24"/>
          <w14:textFill>
            <w14:solidFill>
              <w14:schemeClr w14:val="accent1"/>
            </w14:solidFill>
          </w14:textFill>
        </w:rPr>
      </w:pPr>
      <w:r>
        <w:rPr>
          <w:rFonts w:eastAsia="Times New Roman"/>
          <w:b/>
          <w:bCs/>
          <w:i/>
          <w:iCs/>
          <w:color w:val="4472C4" w:themeColor="accent1"/>
          <w:sz w:val="28"/>
          <w:szCs w:val="24"/>
          <w14:textFill>
            <w14:solidFill>
              <w14:schemeClr w14:val="accent1"/>
            </w14:solidFill>
          </w14:textFill>
        </w:rPr>
        <w:t>Table 1: Inventory Management Recommendations for Brocksweir</w:t>
      </w:r>
    </w:p>
    <w:tbl>
      <w:tblPr>
        <w:tblStyle w:val="85"/>
        <w:tblW w:w="9579"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3051"/>
        <w:gridCol w:w="3320"/>
        <w:gridCol w:w="3208"/>
      </w:tblGrid>
      <w:tr w14:paraId="10100EE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379" w:hRule="atLeast"/>
        </w:trPr>
        <w:tc>
          <w:tcPr>
            <w:tcW w:w="0" w:type="auto"/>
            <w:vAlign w:val="center"/>
          </w:tcPr>
          <w:p w14:paraId="052BC3FE">
            <w:pPr>
              <w:spacing w:after="0" w:line="240" w:lineRule="auto"/>
              <w:ind w:firstLine="0"/>
              <w:jc w:val="center"/>
              <w:rPr>
                <w:rFonts w:eastAsia="Times New Roman" w:cs="Times New Roman"/>
                <w:b w:val="0"/>
                <w:bCs w:val="0"/>
                <w:szCs w:val="24"/>
                <w:lang w:eastAsia="en-AU"/>
              </w:rPr>
            </w:pPr>
            <w:r>
              <w:rPr>
                <w:rFonts w:eastAsia="Times New Roman" w:cs="Times New Roman"/>
                <w:b/>
                <w:bCs/>
                <w:szCs w:val="24"/>
                <w:lang w:eastAsia="en-AU"/>
              </w:rPr>
              <w:t>Issue Identified</w:t>
            </w:r>
          </w:p>
        </w:tc>
        <w:tc>
          <w:tcPr>
            <w:tcW w:w="0" w:type="auto"/>
            <w:vAlign w:val="center"/>
          </w:tcPr>
          <w:p w14:paraId="7B0AA4F0">
            <w:pPr>
              <w:spacing w:after="0" w:line="240" w:lineRule="auto"/>
              <w:ind w:firstLine="0"/>
              <w:jc w:val="center"/>
              <w:rPr>
                <w:rFonts w:eastAsia="Times New Roman" w:cs="Times New Roman"/>
                <w:b w:val="0"/>
                <w:bCs w:val="0"/>
                <w:szCs w:val="24"/>
                <w:lang w:eastAsia="en-AU"/>
              </w:rPr>
            </w:pPr>
            <w:r>
              <w:rPr>
                <w:rFonts w:eastAsia="Times New Roman" w:cs="Times New Roman"/>
                <w:b/>
                <w:bCs/>
                <w:szCs w:val="24"/>
                <w:lang w:eastAsia="en-AU"/>
              </w:rPr>
              <w:t>Recommended Technique</w:t>
            </w:r>
          </w:p>
        </w:tc>
        <w:tc>
          <w:tcPr>
            <w:tcW w:w="0" w:type="auto"/>
            <w:vAlign w:val="center"/>
          </w:tcPr>
          <w:p w14:paraId="626677D5">
            <w:pPr>
              <w:spacing w:after="0" w:line="240" w:lineRule="auto"/>
              <w:ind w:firstLine="0"/>
              <w:jc w:val="center"/>
              <w:rPr>
                <w:rFonts w:eastAsia="Times New Roman" w:cs="Times New Roman"/>
                <w:b w:val="0"/>
                <w:bCs w:val="0"/>
                <w:szCs w:val="24"/>
                <w:lang w:eastAsia="en-AU"/>
              </w:rPr>
            </w:pPr>
            <w:r>
              <w:rPr>
                <w:rFonts w:eastAsia="Times New Roman" w:cs="Times New Roman"/>
                <w:b/>
                <w:bCs/>
                <w:szCs w:val="24"/>
                <w:lang w:eastAsia="en-AU"/>
              </w:rPr>
              <w:t>Expected Benefit</w:t>
            </w:r>
          </w:p>
        </w:tc>
      </w:tr>
      <w:tr w14:paraId="239FE8B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379" w:hRule="atLeast"/>
        </w:trPr>
        <w:tc>
          <w:tcPr>
            <w:tcW w:w="0" w:type="auto"/>
            <w:shd w:val="clear" w:color="auto" w:fill="F1F1F1" w:themeFill="background1" w:themeFillShade="F2"/>
            <w:vAlign w:val="center"/>
          </w:tcPr>
          <w:p w14:paraId="53189CAB">
            <w:pPr>
              <w:spacing w:after="0" w:line="240" w:lineRule="auto"/>
              <w:ind w:firstLine="0"/>
              <w:jc w:val="center"/>
              <w:rPr>
                <w:rFonts w:eastAsia="Times New Roman" w:cs="Times New Roman"/>
                <w:b/>
                <w:bCs/>
                <w:szCs w:val="24"/>
                <w:lang w:eastAsia="en-AU"/>
              </w:rPr>
            </w:pPr>
            <w:r>
              <w:rPr>
                <w:rFonts w:eastAsia="Times New Roman" w:cs="Times New Roman"/>
                <w:b/>
                <w:bCs/>
                <w:szCs w:val="24"/>
                <w:lang w:eastAsia="en-AU"/>
              </w:rPr>
              <w:t>Foundry Sand</w:t>
            </w:r>
          </w:p>
        </w:tc>
        <w:tc>
          <w:tcPr>
            <w:tcW w:w="0" w:type="auto"/>
            <w:shd w:val="clear" w:color="auto" w:fill="F1F1F1" w:themeFill="background1" w:themeFillShade="F2"/>
            <w:vAlign w:val="center"/>
          </w:tcPr>
          <w:p w14:paraId="723F2369">
            <w:pPr>
              <w:spacing w:after="0" w:line="240" w:lineRule="auto"/>
              <w:ind w:firstLine="0"/>
              <w:jc w:val="center"/>
              <w:rPr>
                <w:rFonts w:eastAsia="Times New Roman" w:cs="Times New Roman"/>
                <w:szCs w:val="24"/>
                <w:lang w:eastAsia="en-AU"/>
              </w:rPr>
            </w:pPr>
            <w:r>
              <w:rPr>
                <w:rFonts w:eastAsia="Times New Roman" w:cs="Times New Roman"/>
                <w:szCs w:val="24"/>
                <w:lang w:eastAsia="en-AU"/>
              </w:rPr>
              <w:t>EOQ + Min/Max Stock Levels</w:t>
            </w:r>
          </w:p>
        </w:tc>
        <w:tc>
          <w:tcPr>
            <w:tcW w:w="0" w:type="auto"/>
            <w:shd w:val="clear" w:color="auto" w:fill="F1F1F1" w:themeFill="background1" w:themeFillShade="F2"/>
            <w:vAlign w:val="center"/>
          </w:tcPr>
          <w:p w14:paraId="7B3E646F">
            <w:pPr>
              <w:spacing w:after="0" w:line="240" w:lineRule="auto"/>
              <w:ind w:firstLine="0"/>
              <w:jc w:val="center"/>
              <w:rPr>
                <w:rFonts w:eastAsia="Times New Roman" w:cs="Times New Roman"/>
                <w:szCs w:val="24"/>
                <w:lang w:eastAsia="en-AU"/>
              </w:rPr>
            </w:pPr>
            <w:r>
              <w:rPr>
                <w:rFonts w:eastAsia="Times New Roman" w:cs="Times New Roman"/>
                <w:szCs w:val="24"/>
                <w:lang w:eastAsia="en-AU"/>
              </w:rPr>
              <w:t>Less holding and drying cost</w:t>
            </w:r>
          </w:p>
        </w:tc>
      </w:tr>
      <w:tr w14:paraId="0E2E683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746" w:hRule="atLeast"/>
        </w:trPr>
        <w:tc>
          <w:tcPr>
            <w:tcW w:w="0" w:type="auto"/>
            <w:vAlign w:val="center"/>
          </w:tcPr>
          <w:p w14:paraId="48B08296">
            <w:pPr>
              <w:spacing w:after="0" w:line="240" w:lineRule="auto"/>
              <w:ind w:firstLine="0"/>
              <w:jc w:val="center"/>
              <w:rPr>
                <w:rFonts w:eastAsia="Times New Roman" w:cs="Times New Roman"/>
                <w:b/>
                <w:bCs/>
                <w:szCs w:val="24"/>
                <w:lang w:eastAsia="en-AU"/>
              </w:rPr>
            </w:pPr>
            <w:r>
              <w:rPr>
                <w:rFonts w:eastAsia="Times New Roman" w:cs="Times New Roman"/>
                <w:b/>
                <w:bCs/>
                <w:szCs w:val="24"/>
                <w:lang w:eastAsia="en-AU"/>
              </w:rPr>
              <w:t>Phenolic/Furan Resins</w:t>
            </w:r>
          </w:p>
        </w:tc>
        <w:tc>
          <w:tcPr>
            <w:tcW w:w="0" w:type="auto"/>
            <w:vAlign w:val="center"/>
          </w:tcPr>
          <w:p w14:paraId="368E8BDC">
            <w:pPr>
              <w:spacing w:after="0" w:line="240" w:lineRule="auto"/>
              <w:ind w:firstLine="0"/>
              <w:jc w:val="center"/>
              <w:rPr>
                <w:rFonts w:eastAsia="Times New Roman" w:cs="Times New Roman"/>
                <w:szCs w:val="24"/>
                <w:lang w:eastAsia="en-AU"/>
              </w:rPr>
            </w:pPr>
            <w:r>
              <w:rPr>
                <w:rFonts w:eastAsia="Times New Roman" w:cs="Times New Roman"/>
                <w:szCs w:val="24"/>
                <w:lang w:eastAsia="en-AU"/>
              </w:rPr>
              <w:t>VMI + Shelf-Life Tracking (FEFO)</w:t>
            </w:r>
          </w:p>
        </w:tc>
        <w:tc>
          <w:tcPr>
            <w:tcW w:w="0" w:type="auto"/>
            <w:vAlign w:val="center"/>
          </w:tcPr>
          <w:p w14:paraId="159848D2">
            <w:pPr>
              <w:spacing w:after="0" w:line="240" w:lineRule="auto"/>
              <w:ind w:firstLine="0"/>
              <w:jc w:val="center"/>
              <w:rPr>
                <w:rFonts w:eastAsia="Times New Roman" w:cs="Times New Roman"/>
                <w:szCs w:val="24"/>
                <w:lang w:eastAsia="en-AU"/>
              </w:rPr>
            </w:pPr>
            <w:r>
              <w:rPr>
                <w:rFonts w:eastAsia="Times New Roman" w:cs="Times New Roman"/>
                <w:szCs w:val="24"/>
                <w:lang w:eastAsia="en-AU"/>
              </w:rPr>
              <w:t>Elimination of waste disposal costs</w:t>
            </w:r>
          </w:p>
        </w:tc>
      </w:tr>
      <w:tr w14:paraId="23E0397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759" w:hRule="atLeast"/>
        </w:trPr>
        <w:tc>
          <w:tcPr>
            <w:tcW w:w="0" w:type="auto"/>
            <w:shd w:val="clear" w:color="auto" w:fill="F1F1F1" w:themeFill="background1" w:themeFillShade="F2"/>
            <w:vAlign w:val="center"/>
          </w:tcPr>
          <w:p w14:paraId="25611492">
            <w:pPr>
              <w:spacing w:after="0" w:line="240" w:lineRule="auto"/>
              <w:ind w:firstLine="0"/>
              <w:jc w:val="center"/>
              <w:rPr>
                <w:rFonts w:eastAsia="Times New Roman" w:cs="Times New Roman"/>
                <w:b/>
                <w:bCs/>
                <w:szCs w:val="24"/>
                <w:lang w:eastAsia="en-AU"/>
              </w:rPr>
            </w:pPr>
            <w:r>
              <w:rPr>
                <w:rFonts w:eastAsia="Times New Roman" w:cs="Times New Roman"/>
                <w:b/>
                <w:bCs/>
                <w:szCs w:val="24"/>
                <w:lang w:eastAsia="en-AU"/>
              </w:rPr>
              <w:t>Visibility Lead Time Visibility</w:t>
            </w:r>
          </w:p>
        </w:tc>
        <w:tc>
          <w:tcPr>
            <w:tcW w:w="0" w:type="auto"/>
            <w:shd w:val="clear" w:color="auto" w:fill="F1F1F1" w:themeFill="background1" w:themeFillShade="F2"/>
            <w:vAlign w:val="center"/>
          </w:tcPr>
          <w:p w14:paraId="185EF1EB">
            <w:pPr>
              <w:spacing w:after="0" w:line="240" w:lineRule="auto"/>
              <w:ind w:firstLine="0"/>
              <w:jc w:val="center"/>
              <w:rPr>
                <w:rFonts w:eastAsia="Times New Roman" w:cs="Times New Roman"/>
                <w:szCs w:val="24"/>
                <w:lang w:eastAsia="en-AU"/>
              </w:rPr>
            </w:pPr>
            <w:r>
              <w:rPr>
                <w:rFonts w:eastAsia="Times New Roman" w:cs="Times New Roman"/>
                <w:szCs w:val="24"/>
                <w:lang w:eastAsia="en-AU"/>
              </w:rPr>
              <w:t>Complete Lead Time Mapping</w:t>
            </w:r>
          </w:p>
        </w:tc>
        <w:tc>
          <w:tcPr>
            <w:tcW w:w="0" w:type="auto"/>
            <w:shd w:val="clear" w:color="auto" w:fill="F1F1F1" w:themeFill="background1" w:themeFillShade="F2"/>
            <w:vAlign w:val="center"/>
          </w:tcPr>
          <w:p w14:paraId="0D7385C9">
            <w:pPr>
              <w:spacing w:after="0" w:line="240" w:lineRule="auto"/>
              <w:ind w:firstLine="0"/>
              <w:jc w:val="center"/>
              <w:rPr>
                <w:rFonts w:eastAsia="Times New Roman" w:cs="Times New Roman"/>
                <w:szCs w:val="24"/>
                <w:lang w:eastAsia="en-AU"/>
              </w:rPr>
            </w:pPr>
            <w:r>
              <w:rPr>
                <w:rFonts w:eastAsia="Times New Roman" w:cs="Times New Roman"/>
                <w:szCs w:val="24"/>
                <w:lang w:eastAsia="en-AU"/>
              </w:rPr>
              <w:t>Less delay and improved planning</w:t>
            </w:r>
          </w:p>
        </w:tc>
      </w:tr>
    </w:tbl>
    <w:p w14:paraId="6C08CAEA">
      <w:pPr>
        <w:rPr>
          <w:rFonts w:eastAsia="Times New Roman"/>
        </w:rPr>
      </w:pPr>
    </w:p>
    <w:p w14:paraId="285D608E">
      <w:pPr>
        <w:ind w:firstLine="0"/>
        <w:rPr>
          <w:rFonts w:eastAsia="Times New Roman"/>
        </w:rPr>
      </w:pPr>
      <w:r>
        <w:rPr>
          <w:rFonts w:eastAsia="Times New Roman"/>
        </w:rPr>
        <w:t>To conclude, EOQ, VMI and min/max level control with FEFO rotation offers a complete and viable inventory management system to Brocksweir. When these techniques are combined, waste reduction, decreased disposal costs and purchasing in line with actual operational demand are achieved.</w:t>
      </w:r>
    </w:p>
    <w:p w14:paraId="214DF0A5">
      <w:pPr>
        <w:rPr>
          <w:rFonts w:eastAsia="Times New Roman"/>
        </w:rPr>
      </w:pPr>
      <w:r>
        <w:rPr>
          <w:rFonts w:eastAsia="Times New Roman"/>
        </w:rPr>
        <w:br w:type="page"/>
      </w:r>
    </w:p>
    <w:p w14:paraId="4615A13D">
      <w:pPr>
        <w:pStyle w:val="2"/>
        <w:jc w:val="both"/>
        <w:rPr>
          <w:rFonts w:eastAsia="Times New Roman"/>
          <w:color w:val="4472C4" w:themeColor="accent1"/>
          <w:sz w:val="32"/>
          <w:szCs w:val="44"/>
          <w14:textFill>
            <w14:solidFill>
              <w14:schemeClr w14:val="accent1"/>
            </w14:solidFill>
          </w14:textFill>
        </w:rPr>
      </w:pPr>
      <w:bookmarkStart w:id="6" w:name="_Toc20714"/>
      <w:r>
        <w:rPr>
          <w:rFonts w:eastAsia="Times New Roman"/>
          <w:color w:val="4472C4" w:themeColor="accent1"/>
          <w:sz w:val="32"/>
          <w:szCs w:val="44"/>
          <w14:textFill>
            <w14:solidFill>
              <w14:schemeClr w14:val="accent1"/>
            </w14:solidFill>
          </w14:textFill>
        </w:rPr>
        <w:t>Question 2: Critically Analysing Options for Dealing with Obsolete Stock</w:t>
      </w:r>
      <w:bookmarkEnd w:id="6"/>
    </w:p>
    <w:p w14:paraId="46D77CF2">
      <w:pPr>
        <w:pStyle w:val="3"/>
        <w:rPr>
          <w:rFonts w:eastAsia="Times New Roman"/>
          <w:color w:val="0000FF"/>
          <w:sz w:val="28"/>
          <w:szCs w:val="32"/>
        </w:rPr>
      </w:pPr>
      <w:bookmarkStart w:id="7" w:name="_Toc5925"/>
      <w:r>
        <w:rPr>
          <w:rFonts w:eastAsia="Times New Roman"/>
          <w:color w:val="0000FF"/>
          <w:sz w:val="28"/>
          <w:szCs w:val="32"/>
        </w:rPr>
        <w:t>Current Situation</w:t>
      </w:r>
      <w:bookmarkEnd w:id="7"/>
    </w:p>
    <w:p w14:paraId="53E13D4F">
      <w:pPr>
        <w:ind w:firstLine="0"/>
        <w:rPr>
          <w:rFonts w:eastAsia="Times New Roman"/>
        </w:rPr>
      </w:pPr>
      <w:r>
        <w:rPr>
          <w:rFonts w:eastAsia="Times New Roman"/>
        </w:rPr>
        <w:t>The stores audit has identified approximately £20,000 of resins with expired shelf lives. These are phenolic and furan chemicals, which are now considered as special waste. The price of disposal of such materials has increased over three times because of the changes in rules concerning foundry sand also being reclassified. This implies that Brocksweir will now have a large and inevitable disposal cost in addition to the initial purchase cost. The alternatives to managing this outdated inventory should have a financial and a sustainability analysis.</w:t>
      </w:r>
    </w:p>
    <w:p w14:paraId="02F9E109">
      <w:pPr>
        <w:pStyle w:val="3"/>
        <w:rPr>
          <w:rFonts w:eastAsia="Times New Roman"/>
          <w:color w:val="0000FF"/>
          <w:sz w:val="28"/>
          <w:szCs w:val="32"/>
        </w:rPr>
      </w:pPr>
      <w:bookmarkStart w:id="8" w:name="_Toc9939"/>
      <w:r>
        <w:rPr>
          <w:rFonts w:eastAsia="Times New Roman"/>
          <w:color w:val="0000FF"/>
          <w:sz w:val="28"/>
          <w:szCs w:val="32"/>
        </w:rPr>
        <w:t>Alternative 1: Approved Hazardous Waste Disposal</w:t>
      </w:r>
      <w:bookmarkEnd w:id="8"/>
    </w:p>
    <w:p w14:paraId="473AC7DF">
      <w:pPr>
        <w:ind w:firstLine="0"/>
        <w:rPr>
          <w:rFonts w:eastAsia="Times New Roman"/>
        </w:rPr>
      </w:pPr>
      <w:r>
        <w:rPr>
          <w:rFonts w:eastAsia="Times New Roman"/>
        </w:rPr>
        <w:t>The simplest alternative is to hire a licensed contractor to remove the out-of-date resins following the special waste. This is legally acceptable but the most expensive alternative due to the tripled disposal rates. This is a write-off approach where the problem is not created in terms of value using the materials. In terms of sustainability, burning or landfill of hazardous chemicals have high environmental footprint which does not harmonize with the goal of the company to operate responsibly in the 21</w:t>
      </w:r>
      <w:r>
        <w:rPr>
          <w:rFonts w:eastAsia="Times New Roman"/>
          <w:vertAlign w:val="superscript"/>
        </w:rPr>
        <w:t>st</w:t>
      </w:r>
      <w:r>
        <w:rPr>
          <w:rFonts w:eastAsia="Times New Roman"/>
        </w:rPr>
        <w:t xml:space="preserve"> century</w:t>
      </w:r>
      <w:r>
        <w:t xml:space="preserve"> (Vaverková, 2019).</w:t>
      </w:r>
      <w:r>
        <w:rPr>
          <w:rFonts w:eastAsia="Times New Roman"/>
        </w:rPr>
        <w:t xml:space="preserve"> </w:t>
      </w:r>
    </w:p>
    <w:p w14:paraId="3512994C">
      <w:pPr>
        <w:pStyle w:val="3"/>
        <w:rPr>
          <w:rFonts w:eastAsia="Times New Roman"/>
          <w:color w:val="0000FF"/>
          <w:sz w:val="28"/>
          <w:szCs w:val="32"/>
        </w:rPr>
      </w:pPr>
      <w:bookmarkStart w:id="9" w:name="_Toc3930"/>
      <w:r>
        <w:rPr>
          <w:rFonts w:eastAsia="Times New Roman"/>
          <w:color w:val="0000FF"/>
          <w:sz w:val="28"/>
          <w:szCs w:val="32"/>
        </w:rPr>
        <w:t>Alternative 2: Supplier Take-Back and Supplier Return Schemes</w:t>
      </w:r>
      <w:bookmarkEnd w:id="9"/>
      <w:bookmarkStart w:id="21" w:name="_GoBack"/>
      <w:bookmarkEnd w:id="21"/>
    </w:p>
    <w:p w14:paraId="258FB694">
      <w:pPr>
        <w:ind w:firstLine="0"/>
        <w:rPr>
          <w:rFonts w:eastAsia="Times New Roman"/>
        </w:rPr>
      </w:pPr>
      <w:r>
        <w:rPr>
          <w:rFonts w:eastAsia="Times New Roman"/>
        </w:rPr>
        <w:t>A more viable and cost-effective alternative is to discuss with the suppliers of the resin a take-back arrangement. Following the principles of the circular economy, suppliers have an opportunity to receive returned materials either to be re-processed, re-blended or disposed in some controlled ways using their own licensed facilities</w:t>
      </w:r>
      <w:r>
        <w:t xml:space="preserve"> (</w:t>
      </w:r>
      <w:r>
        <w:rPr>
          <w:rFonts w:eastAsia="Times New Roman"/>
        </w:rPr>
        <w:t>Maguire &amp; Robson, 2023). This minimizes the direct disposal cost incurred by Brocksweir and is in line with the Extended Producer Responsibility principle wherein manufacturers and suppliers of the product share the end-of-life material management. This variant must be considered as soon as possible with the help of the newly hired Purchasing and Supply Chain Manager, whose responsibilities directly include supplier relationship management.</w:t>
      </w:r>
    </w:p>
    <w:p w14:paraId="155C0790">
      <w:pPr>
        <w:pStyle w:val="3"/>
        <w:rPr>
          <w:rFonts w:eastAsia="Times New Roman"/>
          <w:color w:val="0000FF"/>
          <w:sz w:val="28"/>
          <w:szCs w:val="32"/>
        </w:rPr>
      </w:pPr>
      <w:bookmarkStart w:id="10" w:name="_Toc4868"/>
      <w:r>
        <w:rPr>
          <w:rFonts w:eastAsia="Times New Roman"/>
          <w:color w:val="0000FF"/>
          <w:sz w:val="28"/>
          <w:szCs w:val="32"/>
        </w:rPr>
        <w:t>Alternative 3: Reuse by Blending</w:t>
      </w:r>
      <w:bookmarkEnd w:id="10"/>
    </w:p>
    <w:p w14:paraId="069AD0D8">
      <w:pPr>
        <w:ind w:firstLine="0"/>
        <w:rPr>
          <w:rFonts w:eastAsia="Times New Roman"/>
        </w:rPr>
      </w:pPr>
      <w:r>
        <w:rPr>
          <w:rFonts w:eastAsia="Times New Roman"/>
        </w:rPr>
        <w:t>Two of the seven wastes according to Lean Waste Reduction Theory include overproduction and excess inventory</w:t>
      </w:r>
      <w:r>
        <w:t xml:space="preserve"> (</w:t>
      </w:r>
      <w:r>
        <w:rPr>
          <w:rFonts w:eastAsia="Times New Roman"/>
        </w:rPr>
        <w:t>Hartanti et al., 2022). In line with this, should some of the expired resins have slightly passed their shelf life, technical inspection conducted by competent foundry chemists can be used to ensure that controlled blending into active batches with reduced concentrations can be carried out. This would lessen the volume to be disposed. This practice, however, should be approached with utmost care due to the health, safety and quality repercussions of using an off-specification binders. Only resins, which are stable under prescribed technical constraints, are feasible.</w:t>
      </w:r>
    </w:p>
    <w:p w14:paraId="7C4AA46A">
      <w:pPr>
        <w:pStyle w:val="3"/>
        <w:rPr>
          <w:rFonts w:eastAsia="Times New Roman"/>
          <w:color w:val="0000FF"/>
          <w:sz w:val="28"/>
          <w:szCs w:val="32"/>
        </w:rPr>
      </w:pPr>
      <w:bookmarkStart w:id="11" w:name="_Toc1142"/>
      <w:r>
        <w:rPr>
          <w:rFonts w:eastAsia="Times New Roman"/>
          <w:color w:val="0000FF"/>
          <w:sz w:val="28"/>
          <w:szCs w:val="32"/>
        </w:rPr>
        <w:t>Alternative 4: Financial write-off and Redesign Processes</w:t>
      </w:r>
      <w:bookmarkEnd w:id="11"/>
    </w:p>
    <w:p w14:paraId="56926E51">
      <w:pPr>
        <w:ind w:firstLine="0"/>
        <w:rPr>
          <w:rFonts w:eastAsia="Times New Roman"/>
        </w:rPr>
      </w:pPr>
      <w:r>
        <w:rPr>
          <w:rFonts w:eastAsia="Times New Roman"/>
        </w:rPr>
        <w:t>The £20,000 represents a sunk cost. The most valuable of them may be simply to write it off and make it a driving force of a systemic change. The kaizen or continuous improvement principle of lean indicates that any issue can be a learning opportunity. The inventory failure that caused this situation should be officially recorded, analysed of root cause and employed to support investment in the new inventory management system. Presenting this cost to senior management as a case for change creates the business case for implementing EOQ, VMI, and FEFO policies going forward.</w:t>
      </w:r>
    </w:p>
    <w:p w14:paraId="4A9F0459">
      <w:pPr>
        <w:ind w:firstLine="0"/>
        <w:rPr>
          <w:rFonts w:eastAsia="Times New Roman"/>
          <w:b/>
          <w:bCs/>
          <w:i/>
          <w:iCs/>
          <w:color w:val="0000FF"/>
          <w:sz w:val="28"/>
          <w:szCs w:val="28"/>
        </w:rPr>
      </w:pPr>
      <w:r>
        <w:rPr>
          <w:rFonts w:eastAsia="Times New Roman"/>
          <w:b/>
          <w:bCs/>
          <w:i/>
          <w:iCs/>
          <w:color w:val="0000FF"/>
          <w:sz w:val="28"/>
          <w:szCs w:val="28"/>
        </w:rPr>
        <w:t>Table 2: Obsolete Stock Disposal Options: Comparative Analysis</w:t>
      </w:r>
    </w:p>
    <w:tbl>
      <w:tblPr>
        <w:tblStyle w:val="85"/>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031"/>
        <w:gridCol w:w="3336"/>
        <w:gridCol w:w="1888"/>
        <w:gridCol w:w="2321"/>
      </w:tblGrid>
      <w:tr w14:paraId="4474B1A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176ABE3">
            <w:pPr>
              <w:spacing w:after="0" w:line="240" w:lineRule="auto"/>
              <w:ind w:firstLine="0"/>
              <w:rPr>
                <w:rFonts w:eastAsia="Times New Roman" w:cs="Times New Roman"/>
                <w:b w:val="0"/>
                <w:bCs w:val="0"/>
                <w:szCs w:val="24"/>
                <w:lang w:eastAsia="en-AU"/>
              </w:rPr>
            </w:pPr>
            <w:r>
              <w:rPr>
                <w:rFonts w:eastAsia="Times New Roman" w:cs="Times New Roman"/>
                <w:b/>
                <w:bCs/>
                <w:szCs w:val="24"/>
                <w:lang w:eastAsia="en-AU"/>
              </w:rPr>
              <w:t>Disposal Alternative</w:t>
            </w:r>
          </w:p>
        </w:tc>
        <w:tc>
          <w:tcPr>
            <w:tcW w:w="0" w:type="auto"/>
          </w:tcPr>
          <w:p w14:paraId="50AD1056">
            <w:pPr>
              <w:spacing w:after="0" w:line="240" w:lineRule="auto"/>
              <w:ind w:firstLine="0"/>
              <w:rPr>
                <w:rFonts w:eastAsia="Times New Roman" w:cs="Times New Roman"/>
                <w:b w:val="0"/>
                <w:bCs w:val="0"/>
                <w:szCs w:val="24"/>
                <w:lang w:eastAsia="en-AU"/>
              </w:rPr>
            </w:pPr>
            <w:r>
              <w:rPr>
                <w:rFonts w:eastAsia="Times New Roman" w:cs="Times New Roman"/>
                <w:b/>
                <w:bCs/>
                <w:szCs w:val="24"/>
                <w:lang w:eastAsia="en-AU"/>
              </w:rPr>
              <w:t>Explanation</w:t>
            </w:r>
          </w:p>
        </w:tc>
        <w:tc>
          <w:tcPr>
            <w:tcW w:w="0" w:type="auto"/>
          </w:tcPr>
          <w:p w14:paraId="1A588A29">
            <w:pPr>
              <w:spacing w:after="0" w:line="240" w:lineRule="auto"/>
              <w:ind w:firstLine="0"/>
              <w:rPr>
                <w:rFonts w:eastAsia="Times New Roman" w:cs="Times New Roman"/>
                <w:b w:val="0"/>
                <w:bCs w:val="0"/>
                <w:szCs w:val="24"/>
                <w:lang w:eastAsia="en-AU"/>
              </w:rPr>
            </w:pPr>
            <w:r>
              <w:rPr>
                <w:rFonts w:eastAsia="Times New Roman" w:cs="Times New Roman"/>
                <w:b/>
                <w:bCs/>
                <w:szCs w:val="24"/>
                <w:lang w:eastAsia="en-AU"/>
              </w:rPr>
              <w:t>Cost Effectiveness</w:t>
            </w:r>
          </w:p>
        </w:tc>
        <w:tc>
          <w:tcPr>
            <w:tcW w:w="0" w:type="auto"/>
          </w:tcPr>
          <w:p w14:paraId="51B91558">
            <w:pPr>
              <w:spacing w:after="0" w:line="240" w:lineRule="auto"/>
              <w:ind w:firstLine="0"/>
              <w:rPr>
                <w:rFonts w:eastAsia="Times New Roman" w:cs="Times New Roman"/>
                <w:b w:val="0"/>
                <w:bCs w:val="0"/>
                <w:szCs w:val="24"/>
                <w:lang w:eastAsia="en-AU"/>
              </w:rPr>
            </w:pPr>
            <w:r>
              <w:rPr>
                <w:rFonts w:eastAsia="Times New Roman" w:cs="Times New Roman"/>
                <w:b/>
                <w:bCs/>
                <w:szCs w:val="24"/>
                <w:lang w:eastAsia="en-AU"/>
              </w:rPr>
              <w:t>Sustainability Score</w:t>
            </w:r>
          </w:p>
        </w:tc>
      </w:tr>
      <w:tr w14:paraId="4ED9E34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1F1F1" w:themeFill="background1" w:themeFillShade="F2"/>
          </w:tcPr>
          <w:p w14:paraId="4BCF2D1A">
            <w:pPr>
              <w:spacing w:after="0" w:line="240" w:lineRule="auto"/>
              <w:ind w:firstLine="0"/>
              <w:rPr>
                <w:rFonts w:eastAsia="Times New Roman" w:cs="Times New Roman"/>
                <w:b/>
                <w:bCs/>
                <w:szCs w:val="24"/>
                <w:lang w:eastAsia="en-AU"/>
              </w:rPr>
            </w:pPr>
            <w:r>
              <w:rPr>
                <w:rFonts w:eastAsia="Times New Roman" w:cs="Times New Roman"/>
                <w:b/>
                <w:bCs/>
                <w:szCs w:val="24"/>
                <w:lang w:eastAsia="en-AU"/>
              </w:rPr>
              <w:t>Certified Hazardous Waste Disposal</w:t>
            </w:r>
          </w:p>
        </w:tc>
        <w:tc>
          <w:tcPr>
            <w:tcW w:w="0" w:type="auto"/>
            <w:shd w:val="clear" w:color="auto" w:fill="F1F1F1" w:themeFill="background1" w:themeFillShade="F2"/>
          </w:tcPr>
          <w:p w14:paraId="66022073">
            <w:pPr>
              <w:spacing w:after="0" w:line="240" w:lineRule="auto"/>
              <w:ind w:firstLine="0"/>
              <w:rPr>
                <w:rFonts w:eastAsia="Times New Roman" w:cs="Times New Roman"/>
                <w:szCs w:val="24"/>
                <w:lang w:eastAsia="en-AU"/>
              </w:rPr>
            </w:pPr>
            <w:r>
              <w:rPr>
                <w:rFonts w:eastAsia="Times New Roman" w:cs="Times New Roman"/>
                <w:szCs w:val="24"/>
                <w:lang w:eastAsia="en-AU"/>
              </w:rPr>
              <w:t>Contract specialist contractor to off-site regulations on special waste in the United Kingdom</w:t>
            </w:r>
          </w:p>
        </w:tc>
        <w:tc>
          <w:tcPr>
            <w:tcW w:w="0" w:type="auto"/>
            <w:shd w:val="clear" w:color="auto" w:fill="F1F1F1" w:themeFill="background1" w:themeFillShade="F2"/>
          </w:tcPr>
          <w:p w14:paraId="7AA3CC17">
            <w:pPr>
              <w:spacing w:after="0" w:line="240" w:lineRule="auto"/>
              <w:ind w:firstLine="0"/>
              <w:rPr>
                <w:rFonts w:eastAsia="Times New Roman" w:cs="Times New Roman"/>
                <w:szCs w:val="24"/>
                <w:lang w:eastAsia="en-AU"/>
              </w:rPr>
            </w:pPr>
            <w:r>
              <w:rPr>
                <w:rFonts w:eastAsia="Times New Roman" w:cs="Times New Roman"/>
                <w:szCs w:val="24"/>
                <w:lang w:eastAsia="en-AU"/>
              </w:rPr>
              <w:t>High (tripled disposal costs)</w:t>
            </w:r>
          </w:p>
        </w:tc>
        <w:tc>
          <w:tcPr>
            <w:tcW w:w="0" w:type="auto"/>
            <w:shd w:val="clear" w:color="auto" w:fill="F1F1F1" w:themeFill="background1" w:themeFillShade="F2"/>
          </w:tcPr>
          <w:p w14:paraId="78D99945">
            <w:pPr>
              <w:spacing w:after="0" w:line="240" w:lineRule="auto"/>
              <w:ind w:firstLine="0"/>
              <w:rPr>
                <w:rFonts w:eastAsia="Times New Roman" w:cs="Times New Roman"/>
                <w:szCs w:val="24"/>
                <w:lang w:eastAsia="en-AU"/>
              </w:rPr>
            </w:pPr>
            <w:r>
              <w:rPr>
                <w:rFonts w:eastAsia="Times New Roman" w:cs="Times New Roman"/>
                <w:szCs w:val="24"/>
                <w:lang w:eastAsia="en-AU"/>
              </w:rPr>
              <w:t>Low - landfill/incineration</w:t>
            </w:r>
          </w:p>
        </w:tc>
      </w:tr>
      <w:tr w14:paraId="1935D77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7F0F456">
            <w:pPr>
              <w:spacing w:after="0" w:line="240" w:lineRule="auto"/>
              <w:ind w:firstLine="0"/>
              <w:rPr>
                <w:rFonts w:eastAsia="Times New Roman" w:cs="Times New Roman"/>
                <w:b/>
                <w:bCs/>
                <w:szCs w:val="24"/>
                <w:lang w:eastAsia="en-AU"/>
              </w:rPr>
            </w:pPr>
            <w:r>
              <w:rPr>
                <w:rFonts w:eastAsia="Times New Roman" w:cs="Times New Roman"/>
                <w:b/>
                <w:bCs/>
                <w:szCs w:val="24"/>
                <w:lang w:eastAsia="en-AU"/>
              </w:rPr>
              <w:t>Supplier Return / Take-Back Scheme</w:t>
            </w:r>
          </w:p>
        </w:tc>
        <w:tc>
          <w:tcPr>
            <w:tcW w:w="0" w:type="auto"/>
          </w:tcPr>
          <w:p w14:paraId="11DA3D0B">
            <w:pPr>
              <w:spacing w:after="0" w:line="240" w:lineRule="auto"/>
              <w:ind w:firstLine="0"/>
              <w:rPr>
                <w:rFonts w:eastAsia="Times New Roman" w:cs="Times New Roman"/>
                <w:szCs w:val="24"/>
                <w:lang w:eastAsia="en-AU"/>
              </w:rPr>
            </w:pPr>
            <w:r>
              <w:rPr>
                <w:rFonts w:eastAsia="Times New Roman" w:cs="Times New Roman"/>
                <w:szCs w:val="24"/>
                <w:lang w:eastAsia="en-AU"/>
              </w:rPr>
              <w:t>Discuss with resin suppliers to reimburse unused, expired inventory</w:t>
            </w:r>
          </w:p>
        </w:tc>
        <w:tc>
          <w:tcPr>
            <w:tcW w:w="0" w:type="auto"/>
          </w:tcPr>
          <w:p w14:paraId="7C649281">
            <w:pPr>
              <w:spacing w:after="0" w:line="240" w:lineRule="auto"/>
              <w:ind w:firstLine="0"/>
              <w:rPr>
                <w:rFonts w:eastAsia="Times New Roman" w:cs="Times New Roman"/>
                <w:szCs w:val="24"/>
                <w:lang w:eastAsia="en-AU"/>
              </w:rPr>
            </w:pPr>
            <w:r>
              <w:rPr>
                <w:rFonts w:eastAsia="Times New Roman" w:cs="Times New Roman"/>
                <w:szCs w:val="24"/>
                <w:lang w:eastAsia="en-AU"/>
              </w:rPr>
              <w:t>Low to Medium</w:t>
            </w:r>
          </w:p>
        </w:tc>
        <w:tc>
          <w:tcPr>
            <w:tcW w:w="0" w:type="auto"/>
          </w:tcPr>
          <w:p w14:paraId="395551F4">
            <w:pPr>
              <w:spacing w:after="0" w:line="240" w:lineRule="auto"/>
              <w:ind w:firstLine="0"/>
              <w:rPr>
                <w:rFonts w:eastAsia="Times New Roman" w:cs="Times New Roman"/>
                <w:szCs w:val="24"/>
                <w:lang w:eastAsia="en-AU"/>
              </w:rPr>
            </w:pPr>
            <w:r>
              <w:rPr>
                <w:rFonts w:eastAsia="Times New Roman" w:cs="Times New Roman"/>
                <w:szCs w:val="24"/>
                <w:lang w:eastAsia="en-AU"/>
              </w:rPr>
              <w:t>Medium - circular approach</w:t>
            </w:r>
          </w:p>
        </w:tc>
      </w:tr>
      <w:tr w14:paraId="6F0CC5E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1F1F1" w:themeFill="background1" w:themeFillShade="F2"/>
          </w:tcPr>
          <w:p w14:paraId="41985B5B">
            <w:pPr>
              <w:spacing w:after="0" w:line="240" w:lineRule="auto"/>
              <w:ind w:firstLine="0"/>
              <w:rPr>
                <w:rFonts w:eastAsia="Times New Roman" w:cs="Times New Roman"/>
                <w:b/>
                <w:bCs/>
                <w:szCs w:val="24"/>
                <w:lang w:eastAsia="en-AU"/>
              </w:rPr>
            </w:pPr>
            <w:r>
              <w:rPr>
                <w:rFonts w:eastAsia="Times New Roman" w:cs="Times New Roman"/>
                <w:b/>
                <w:bCs/>
                <w:szCs w:val="24"/>
                <w:lang w:eastAsia="en-AU"/>
              </w:rPr>
              <w:t>Partial Reuse / Blending</w:t>
            </w:r>
          </w:p>
        </w:tc>
        <w:tc>
          <w:tcPr>
            <w:tcW w:w="0" w:type="auto"/>
            <w:shd w:val="clear" w:color="auto" w:fill="F1F1F1" w:themeFill="background1" w:themeFillShade="F2"/>
          </w:tcPr>
          <w:p w14:paraId="0CF58B74">
            <w:pPr>
              <w:spacing w:after="0" w:line="240" w:lineRule="auto"/>
              <w:ind w:firstLine="0"/>
              <w:rPr>
                <w:rFonts w:eastAsia="Times New Roman" w:cs="Times New Roman"/>
                <w:szCs w:val="24"/>
                <w:lang w:eastAsia="en-AU"/>
              </w:rPr>
            </w:pPr>
            <w:r>
              <w:rPr>
                <w:rFonts w:eastAsia="Times New Roman" w:cs="Times New Roman"/>
                <w:szCs w:val="24"/>
                <w:lang w:eastAsia="en-AU"/>
              </w:rPr>
              <w:t>Melt near-expired resins into existing batches with a controlled ratio</w:t>
            </w:r>
          </w:p>
        </w:tc>
        <w:tc>
          <w:tcPr>
            <w:tcW w:w="0" w:type="auto"/>
            <w:shd w:val="clear" w:color="auto" w:fill="F1F1F1" w:themeFill="background1" w:themeFillShade="F2"/>
          </w:tcPr>
          <w:p w14:paraId="42F38901">
            <w:pPr>
              <w:spacing w:after="0" w:line="240" w:lineRule="auto"/>
              <w:ind w:firstLine="0"/>
              <w:rPr>
                <w:rFonts w:eastAsia="Times New Roman" w:cs="Times New Roman"/>
                <w:szCs w:val="24"/>
                <w:lang w:eastAsia="en-AU"/>
              </w:rPr>
            </w:pPr>
            <w:r>
              <w:rPr>
                <w:rFonts w:eastAsia="Times New Roman" w:cs="Times New Roman"/>
                <w:szCs w:val="24"/>
                <w:lang w:eastAsia="en-AU"/>
              </w:rPr>
              <w:t>Low - Medium</w:t>
            </w:r>
          </w:p>
        </w:tc>
        <w:tc>
          <w:tcPr>
            <w:tcW w:w="0" w:type="auto"/>
            <w:shd w:val="clear" w:color="auto" w:fill="F1F1F1" w:themeFill="background1" w:themeFillShade="F2"/>
          </w:tcPr>
          <w:p w14:paraId="13DBB71E">
            <w:pPr>
              <w:spacing w:after="0" w:line="240" w:lineRule="auto"/>
              <w:ind w:firstLine="0"/>
              <w:rPr>
                <w:rFonts w:eastAsia="Times New Roman" w:cs="Times New Roman"/>
                <w:szCs w:val="24"/>
                <w:lang w:eastAsia="en-AU"/>
              </w:rPr>
            </w:pPr>
            <w:r>
              <w:rPr>
                <w:rFonts w:eastAsia="Times New Roman" w:cs="Times New Roman"/>
                <w:szCs w:val="24"/>
                <w:lang w:eastAsia="en-AU"/>
              </w:rPr>
              <w:t>Medium - decreases volume</w:t>
            </w:r>
          </w:p>
        </w:tc>
      </w:tr>
      <w:tr w14:paraId="3096BD7D">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8100342">
            <w:pPr>
              <w:spacing w:after="0" w:line="240" w:lineRule="auto"/>
              <w:ind w:firstLine="0"/>
              <w:rPr>
                <w:rFonts w:eastAsia="Times New Roman" w:cs="Times New Roman"/>
                <w:b/>
                <w:bCs/>
                <w:szCs w:val="24"/>
                <w:lang w:eastAsia="en-AU"/>
              </w:rPr>
            </w:pPr>
            <w:r>
              <w:rPr>
                <w:rFonts w:eastAsia="Times New Roman" w:cs="Times New Roman"/>
                <w:b/>
                <w:bCs/>
                <w:szCs w:val="24"/>
                <w:lang w:eastAsia="en-AU"/>
              </w:rPr>
              <w:t>Write-Off and Process Redesign</w:t>
            </w:r>
          </w:p>
        </w:tc>
        <w:tc>
          <w:tcPr>
            <w:tcW w:w="0" w:type="auto"/>
          </w:tcPr>
          <w:p w14:paraId="7959CF91">
            <w:pPr>
              <w:spacing w:after="0" w:line="240" w:lineRule="auto"/>
              <w:ind w:firstLine="0"/>
              <w:rPr>
                <w:rFonts w:eastAsia="Times New Roman" w:cs="Times New Roman"/>
                <w:szCs w:val="24"/>
                <w:lang w:eastAsia="en-AU"/>
              </w:rPr>
            </w:pPr>
            <w:r>
              <w:rPr>
                <w:rFonts w:eastAsia="Times New Roman" w:cs="Times New Roman"/>
                <w:szCs w:val="24"/>
                <w:lang w:eastAsia="en-AU"/>
              </w:rPr>
              <w:t>Accept the loss of £20,000, and redesign procurement to avoid future loss</w:t>
            </w:r>
          </w:p>
        </w:tc>
        <w:tc>
          <w:tcPr>
            <w:tcW w:w="0" w:type="auto"/>
          </w:tcPr>
          <w:p w14:paraId="057CF0A8">
            <w:pPr>
              <w:spacing w:after="0" w:line="240" w:lineRule="auto"/>
              <w:ind w:firstLine="0"/>
              <w:rPr>
                <w:rFonts w:eastAsia="Times New Roman" w:cs="Times New Roman"/>
                <w:szCs w:val="24"/>
                <w:lang w:eastAsia="en-AU"/>
              </w:rPr>
            </w:pPr>
            <w:r>
              <w:rPr>
                <w:rFonts w:eastAsia="Times New Roman" w:cs="Times New Roman"/>
                <w:szCs w:val="24"/>
                <w:lang w:eastAsia="en-AU"/>
              </w:rPr>
              <w:t>One-time loss</w:t>
            </w:r>
          </w:p>
        </w:tc>
        <w:tc>
          <w:tcPr>
            <w:tcW w:w="0" w:type="auto"/>
          </w:tcPr>
          <w:p w14:paraId="2528FDA1">
            <w:pPr>
              <w:spacing w:after="0" w:line="240" w:lineRule="auto"/>
              <w:ind w:firstLine="0"/>
              <w:rPr>
                <w:rFonts w:eastAsia="Times New Roman" w:cs="Times New Roman"/>
                <w:szCs w:val="24"/>
                <w:lang w:eastAsia="en-AU"/>
              </w:rPr>
            </w:pPr>
            <w:r>
              <w:rPr>
                <w:rFonts w:eastAsia="Times New Roman" w:cs="Times New Roman"/>
                <w:szCs w:val="24"/>
                <w:lang w:eastAsia="en-AU"/>
              </w:rPr>
              <w:t>High - systemic fix</w:t>
            </w:r>
          </w:p>
        </w:tc>
      </w:tr>
    </w:tbl>
    <w:p w14:paraId="21F04080">
      <w:pPr>
        <w:rPr>
          <w:rFonts w:eastAsia="Times New Roman"/>
        </w:rPr>
      </w:pPr>
    </w:p>
    <w:p w14:paraId="18E72B0B">
      <w:pPr>
        <w:ind w:firstLine="0"/>
        <w:rPr>
          <w:rFonts w:eastAsia="Times New Roman"/>
        </w:rPr>
      </w:pPr>
      <w:r>
        <w:rPr>
          <w:rFonts w:eastAsia="Times New Roman"/>
        </w:rPr>
        <w:t>The recommended solution would be the combination of supplier negotiation take-back, controlled reuse where it is technically safe and licensed disposal of the remaining. The write-off of the £20,000 as a write-off should be recorded and used as a catalyst to the operational improvement as mentioned in Question 1.</w:t>
      </w:r>
    </w:p>
    <w:p w14:paraId="79564869">
      <w:pPr>
        <w:rPr>
          <w:rFonts w:eastAsia="Times New Roman"/>
          <w:color w:val="0000FF"/>
          <w:sz w:val="32"/>
          <w:szCs w:val="32"/>
        </w:rPr>
      </w:pPr>
      <w:r>
        <w:rPr>
          <w:rFonts w:eastAsia="Times New Roman"/>
          <w:color w:val="0000FF"/>
          <w:sz w:val="32"/>
          <w:szCs w:val="32"/>
        </w:rPr>
        <w:br w:type="page"/>
      </w:r>
    </w:p>
    <w:p w14:paraId="776B15D7">
      <w:pPr>
        <w:pStyle w:val="2"/>
        <w:jc w:val="both"/>
        <w:rPr>
          <w:rFonts w:eastAsia="Times New Roman"/>
          <w:color w:val="0000FF"/>
          <w:sz w:val="32"/>
          <w:szCs w:val="32"/>
        </w:rPr>
      </w:pPr>
      <w:bookmarkStart w:id="12" w:name="_Toc24123"/>
      <w:r>
        <w:rPr>
          <w:rFonts w:eastAsia="Times New Roman"/>
          <w:color w:val="0000FF"/>
          <w:sz w:val="32"/>
          <w:szCs w:val="32"/>
        </w:rPr>
        <w:t>Question 3: Interventions to Enhance Lead Time Knowledge throughout the Business and Extended Enterprise</w:t>
      </w:r>
      <w:bookmarkEnd w:id="12"/>
    </w:p>
    <w:p w14:paraId="6231D8EE">
      <w:pPr>
        <w:pStyle w:val="3"/>
        <w:rPr>
          <w:rFonts w:eastAsia="Times New Roman"/>
          <w:color w:val="0000FF"/>
          <w:sz w:val="28"/>
        </w:rPr>
      </w:pPr>
      <w:bookmarkStart w:id="13" w:name="_Toc7247"/>
      <w:r>
        <w:rPr>
          <w:rFonts w:eastAsia="Times New Roman"/>
          <w:color w:val="0000FF"/>
          <w:sz w:val="28"/>
        </w:rPr>
        <w:t>Total Lead Time</w:t>
      </w:r>
      <w:bookmarkEnd w:id="13"/>
    </w:p>
    <w:p w14:paraId="2D5C1E2B">
      <w:pPr>
        <w:ind w:firstLine="0"/>
        <w:rPr>
          <w:rFonts w:eastAsia="Times New Roman"/>
        </w:rPr>
      </w:pPr>
      <w:r>
        <w:rPr>
          <w:rFonts w:eastAsia="Times New Roman"/>
        </w:rPr>
        <w:t>The direct sum of the time taken in receiving and making an order available to use, or the time taken in initiating a process to the time it becomes available to be used is known as total lead time. It involves supplier lead-time, transportation time, goods-in processing, inspection, and in-house handling. There is no inventory management system at the Brocksweir site, in that the lead times have never been explicitly tracked, a direct cause of the bulk-ordering problem - without the knowledge of the lead times, procurement has fallen back to huge safety stocks.</w:t>
      </w:r>
    </w:p>
    <w:p w14:paraId="41FE2D30">
      <w:pPr>
        <w:pStyle w:val="3"/>
        <w:rPr>
          <w:rFonts w:eastAsia="Times New Roman"/>
          <w:color w:val="0000FF"/>
          <w:sz w:val="28"/>
          <w:szCs w:val="32"/>
        </w:rPr>
      </w:pPr>
      <w:bookmarkStart w:id="14" w:name="_Toc16091"/>
      <w:r>
        <w:rPr>
          <w:rFonts w:eastAsia="Times New Roman"/>
          <w:color w:val="0000FF"/>
          <w:sz w:val="28"/>
          <w:szCs w:val="32"/>
        </w:rPr>
        <w:t>Supply Chain Mapping</w:t>
      </w:r>
      <w:bookmarkEnd w:id="14"/>
    </w:p>
    <w:p w14:paraId="4F1874E9">
      <w:pPr>
        <w:ind w:firstLine="0"/>
        <w:rPr>
          <w:rFonts w:eastAsia="Times New Roman"/>
        </w:rPr>
      </w:pPr>
      <w:r>
        <w:rPr>
          <w:rFonts w:eastAsia="Times New Roman"/>
        </w:rPr>
        <w:t>The initial step that Brocksweir needs is to map out all supply chains that it has. Supply Chain Mapping involves creating some form of a graphical representation of all the material and information movement of the suppliers of the raw materials until the final consumer (</w:t>
      </w:r>
      <w:r>
        <w:t>MacCarthy et al., 2022)</w:t>
      </w:r>
      <w:r>
        <w:rPr>
          <w:rFonts w:eastAsia="Times New Roman"/>
        </w:rPr>
        <w:t>. This will involve a mapping of the movement of the sand, phenolic resins, furan resins and metals among other consumables, that will flow off each supplier to the point of use on the foundry floor. When the time of each stage is measured, recorded and analysed, it is done after the stage has been mapped. This immediately denotes the presence of bottlenecks and in these areas there is maximum uncertainty in the lead time.</w:t>
      </w:r>
    </w:p>
    <w:p w14:paraId="7849ECC0">
      <w:pPr>
        <w:pStyle w:val="3"/>
        <w:rPr>
          <w:rFonts w:eastAsia="Times New Roman"/>
          <w:color w:val="0000FF"/>
          <w:sz w:val="28"/>
          <w:szCs w:val="32"/>
        </w:rPr>
      </w:pPr>
      <w:bookmarkStart w:id="15" w:name="_Toc17425"/>
      <w:r>
        <w:rPr>
          <w:rFonts w:eastAsia="Times New Roman"/>
          <w:color w:val="0000FF"/>
          <w:sz w:val="28"/>
          <w:szCs w:val="32"/>
        </w:rPr>
        <w:t>Value stream mapping (VSM)</w:t>
      </w:r>
      <w:bookmarkEnd w:id="15"/>
    </w:p>
    <w:p w14:paraId="470C8759">
      <w:pPr>
        <w:ind w:firstLine="0"/>
        <w:rPr>
          <w:rFonts w:eastAsia="Times New Roman"/>
        </w:rPr>
      </w:pPr>
      <w:r>
        <w:rPr>
          <w:rFonts w:eastAsia="Times New Roman"/>
        </w:rPr>
        <w:t>Value Stream Mapping (VSM) is a lean management technique which illustrates the process of transformation of materials and information necessary to deliver a product to a customer to determine the value-adding and non-value-adding processes (</w:t>
      </w:r>
      <w:r>
        <w:t>Muniyappa et al., 2014)</w:t>
      </w:r>
      <w:r>
        <w:rPr>
          <w:rFonts w:eastAsia="Times New Roman"/>
        </w:rPr>
        <w:t>. Applicability of the VSM to sand casting process at Brocksweir would demonstrate where the time is actually become a waste, in waiting to have resin (this was already determined as a cost driver), sand drying (already a cost driver) preparation of the mould or the actual casting process. VSM would also highlight the information flow failures that resulted to over-ordering of resins since it records communication failures between the purchasing, stores and production.</w:t>
      </w:r>
    </w:p>
    <w:p w14:paraId="46B13613">
      <w:pPr>
        <w:ind w:firstLine="0"/>
        <w:rPr>
          <w:rFonts w:eastAsia="Times New Roman"/>
        </w:rPr>
      </w:pPr>
      <w:r>
        <w:rPr>
          <w:rFonts w:eastAsia="Times New Roman"/>
        </w:rPr>
        <w:t>In practice as an activity at Brocksweir, VSM would require a walk around the production floor using a stopwatch to record all the steps of the process and any delays, queue time and rework loops. The resultant current-state map provides the starting point of where improvements are to be measured. A representation of the target process is then created based on a future-state map, which is created based on the reductions in the lead times.</w:t>
      </w:r>
    </w:p>
    <w:p w14:paraId="17746174">
      <w:pPr>
        <w:pStyle w:val="3"/>
        <w:rPr>
          <w:rFonts w:eastAsia="Times New Roman"/>
          <w:color w:val="0000FF"/>
          <w:sz w:val="28"/>
          <w:szCs w:val="32"/>
        </w:rPr>
      </w:pPr>
      <w:bookmarkStart w:id="16" w:name="_Toc9295"/>
      <w:r>
        <w:rPr>
          <w:rFonts w:eastAsia="Times New Roman"/>
          <w:color w:val="0000FF"/>
          <w:sz w:val="28"/>
          <w:szCs w:val="32"/>
        </w:rPr>
        <w:t>Supplier Lead Time Contracts and Tracking</w:t>
      </w:r>
      <w:bookmarkEnd w:id="16"/>
    </w:p>
    <w:p w14:paraId="66CB5DDB">
      <w:pPr>
        <w:ind w:firstLine="0"/>
        <w:rPr>
          <w:rFonts w:eastAsia="Times New Roman"/>
        </w:rPr>
      </w:pPr>
      <w:r>
        <w:rPr>
          <w:rFonts w:eastAsia="Times New Roman"/>
        </w:rPr>
        <w:t>In the case of the long-distance business, Brocksweir has to enter into an agreement with the lead time with all the major suppliers. The new Purchasing and Supply Chain Manager should negotiate the agreements on the Service Level Agreements (SLAs) on the longest delivery lead times of the essential materials like sand, phenolic resins and furan resins. These SLAs should be able to deal with variability in lead time because it is not average lead time that is forcing the firms to hold excessively large safety stocks, but variability. A basic Key Performance Indicator (KPI) dashboard of tracking performance, based on whether the suppliers deliver their goods on time, will create accountability and provide data to be applied where calculating reorder points are concerned.</w:t>
      </w:r>
    </w:p>
    <w:p w14:paraId="22DC75AC">
      <w:pPr>
        <w:pStyle w:val="3"/>
        <w:rPr>
          <w:rFonts w:eastAsia="Times New Roman"/>
          <w:color w:val="0000FF"/>
          <w:sz w:val="28"/>
          <w:szCs w:val="32"/>
        </w:rPr>
      </w:pPr>
      <w:bookmarkStart w:id="17" w:name="_Toc20646"/>
      <w:r>
        <w:rPr>
          <w:rFonts w:eastAsia="Times New Roman"/>
          <w:color w:val="0000FF"/>
          <w:sz w:val="28"/>
          <w:szCs w:val="32"/>
        </w:rPr>
        <w:t>Computation of Reorder point using Lead Time Data</w:t>
      </w:r>
      <w:bookmarkEnd w:id="17"/>
    </w:p>
    <w:p w14:paraId="7E9B1C86">
      <w:pPr>
        <w:ind w:firstLine="0"/>
        <w:rPr>
          <w:rFonts w:eastAsia="Times New Roman"/>
        </w:rPr>
      </w:pPr>
      <w:r>
        <w:rPr>
          <w:rFonts w:eastAsia="Times New Roman"/>
        </w:rPr>
        <w:t>After tracking lead times, the company is able to determine the correct reorder points. ROP equation looks as follows: ROP= (ADU times Lead time in Days)/Average Daily Usage A) + Safety Stock. This formula will also be restricted in resin products that do not have a long shelf life whereby the maximum inventory in stock must be utilized before the shelf life expires. Combining ROP with the EOQ of Question 1 allows the company to have a full-fledged data-driven replenishment system that will do away with the guesswork that saw the company lose the £20,000 worth of inventory.</w:t>
      </w:r>
    </w:p>
    <w:p w14:paraId="1FA2471A">
      <w:pPr>
        <w:pStyle w:val="3"/>
        <w:rPr>
          <w:rFonts w:eastAsia="Times New Roman"/>
          <w:color w:val="0000FF"/>
          <w:sz w:val="28"/>
          <w:szCs w:val="32"/>
        </w:rPr>
      </w:pPr>
      <w:bookmarkStart w:id="18" w:name="_Toc20060"/>
      <w:r>
        <w:rPr>
          <w:rFonts w:eastAsia="Times New Roman"/>
          <w:color w:val="0000FF"/>
          <w:sz w:val="28"/>
          <w:szCs w:val="32"/>
        </w:rPr>
        <w:t>ERP System Implementation</w:t>
      </w:r>
      <w:bookmarkEnd w:id="18"/>
    </w:p>
    <w:p w14:paraId="2F8E8531">
      <w:pPr>
        <w:ind w:firstLine="0"/>
        <w:rPr>
          <w:rFonts w:eastAsia="Times New Roman"/>
        </w:rPr>
      </w:pPr>
      <w:r>
        <w:rPr>
          <w:rFonts w:eastAsia="Times New Roman"/>
        </w:rPr>
        <w:t>Enterprise Resource Planning (ERP) system should be considered by Brocksweir to cope with longer lead times. ERP systems amalgamate purchasing, stores, production planning and finance within a single set of data. This means that once resin is delivered to a store the system also changes the inventory levels, calculations of the remaining shelf life is made and a notification sent to the purchasing department about a re-order. Implementation of ERP is a huge investment but aligns with the mission of the managing director to move the business into the 21</w:t>
      </w:r>
      <w:r>
        <w:rPr>
          <w:rFonts w:eastAsia="Times New Roman"/>
          <w:vertAlign w:val="superscript"/>
        </w:rPr>
        <w:t>st</w:t>
      </w:r>
      <w:r>
        <w:rPr>
          <w:rFonts w:eastAsia="Times New Roman"/>
        </w:rPr>
        <w:t xml:space="preserve"> Century</w:t>
      </w:r>
      <w:r>
        <w:t xml:space="preserve"> (</w:t>
      </w:r>
      <w:r>
        <w:rPr>
          <w:rFonts w:eastAsia="Times New Roman"/>
        </w:rPr>
        <w:t>Hasan, 2018), and is the norm in the modern manufacturing operations of the size that Brocksweir is.</w:t>
      </w:r>
    </w:p>
    <w:p w14:paraId="09986CFD">
      <w:pPr>
        <w:rPr>
          <w:rFonts w:eastAsia="Times New Roman"/>
        </w:rPr>
      </w:pPr>
      <w:r>
        <w:rPr>
          <w:rFonts w:eastAsia="Times New Roman"/>
        </w:rPr>
        <w:br w:type="page"/>
      </w:r>
    </w:p>
    <w:p w14:paraId="3799E4A0">
      <w:pPr>
        <w:pStyle w:val="2"/>
        <w:jc w:val="both"/>
        <w:rPr>
          <w:rFonts w:eastAsia="Times New Roman"/>
          <w:color w:val="0000FF"/>
          <w:sz w:val="32"/>
          <w:szCs w:val="44"/>
        </w:rPr>
      </w:pPr>
      <w:bookmarkStart w:id="19" w:name="_Toc20282"/>
      <w:r>
        <w:rPr>
          <w:rFonts w:eastAsia="Times New Roman"/>
          <w:color w:val="0000FF"/>
          <w:sz w:val="32"/>
          <w:szCs w:val="44"/>
        </w:rPr>
        <w:t>Conclusion and Recommendations</w:t>
      </w:r>
      <w:bookmarkEnd w:id="19"/>
    </w:p>
    <w:p w14:paraId="25E4A93D">
      <w:pPr>
        <w:ind w:firstLine="0"/>
        <w:rPr>
          <w:rFonts w:eastAsia="Times New Roman"/>
        </w:rPr>
      </w:pPr>
      <w:r>
        <w:rPr>
          <w:rFonts w:eastAsia="Times New Roman"/>
        </w:rPr>
        <w:t>Brocksweir Engineering Ltd is an engineering firm that is capable of delivering products and services; however, a lack of basic inventory management discipline is crippling the firm. That the 20000 stock of expired resin has already expired, the increasing cost of disposing of sand, and that lead time cannot be viewed at all are all fallouts of the same system failure. With EOQ, VMI, and min/max controls and FEFO rotation, the company will be able to do away with wasteful purchasing in bulk. The obsolete inventory will have to be disposed in a single huge bundle of supplier recall, reuse under control and licensed disposal since the financial loss will be included as the foundation to support systemic reform. The lead time management process should start with the mapping of the supply chain and VSM, then to formalised supplier SLAs and finally be facilitated by an ERP system. The addition of a Purchasing and Supply Chain Manager is a highly profitable step, and must be accompanied with tools, data and power to implement these modifications.</w:t>
      </w:r>
    </w:p>
    <w:p w14:paraId="503D5E34">
      <w:pPr>
        <w:rPr>
          <w:rFonts w:eastAsia="Times New Roman"/>
        </w:rPr>
      </w:pPr>
    </w:p>
    <w:p w14:paraId="5D53D0F2">
      <w:pPr>
        <w:rPr>
          <w:rFonts w:eastAsia="Times New Roman"/>
        </w:rPr>
      </w:pPr>
    </w:p>
    <w:p w14:paraId="7383CEDE">
      <w:pPr>
        <w:rPr>
          <w:rFonts w:eastAsia="Times New Roman"/>
        </w:rPr>
      </w:pPr>
    </w:p>
    <w:p w14:paraId="22A41DA0">
      <w:pPr>
        <w:rPr>
          <w:rFonts w:eastAsia="Times New Roman"/>
        </w:rPr>
      </w:pPr>
    </w:p>
    <w:p w14:paraId="0D114A16">
      <w:pPr>
        <w:rPr>
          <w:rFonts w:eastAsia="Times New Roman"/>
        </w:rPr>
      </w:pPr>
    </w:p>
    <w:p w14:paraId="6B53E1FD">
      <w:pPr>
        <w:rPr>
          <w:rFonts w:eastAsia="Times New Roman"/>
        </w:rPr>
      </w:pPr>
    </w:p>
    <w:p w14:paraId="0C11A95D">
      <w:pPr>
        <w:rPr>
          <w:rFonts w:eastAsia="Times New Roman"/>
        </w:rPr>
      </w:pPr>
    </w:p>
    <w:p w14:paraId="1C9B1168">
      <w:pPr>
        <w:rPr>
          <w:rFonts w:eastAsia="Times New Roman"/>
        </w:rPr>
      </w:pPr>
    </w:p>
    <w:p w14:paraId="03F7743D">
      <w:pPr>
        <w:rPr>
          <w:rFonts w:eastAsia="Times New Roman"/>
        </w:rPr>
      </w:pPr>
    </w:p>
    <w:p w14:paraId="4732F724">
      <w:pPr>
        <w:rPr>
          <w:rFonts w:eastAsia="Times New Roman"/>
        </w:rPr>
      </w:pPr>
    </w:p>
    <w:p w14:paraId="093FF5A6">
      <w:pPr>
        <w:rPr>
          <w:rFonts w:eastAsia="Times New Roman"/>
        </w:rPr>
      </w:pPr>
    </w:p>
    <w:p w14:paraId="75BFA569">
      <w:pPr>
        <w:rPr>
          <w:rFonts w:eastAsia="Times New Roman"/>
        </w:rPr>
      </w:pPr>
    </w:p>
    <w:p w14:paraId="5439B19E">
      <w:pPr>
        <w:rPr>
          <w:rFonts w:eastAsia="Times New Roman"/>
        </w:rPr>
      </w:pPr>
    </w:p>
    <w:p w14:paraId="445FD9A2">
      <w:pPr>
        <w:rPr>
          <w:rFonts w:eastAsia="Times New Roman"/>
        </w:rPr>
      </w:pPr>
    </w:p>
    <w:p w14:paraId="2C2CF086">
      <w:pPr>
        <w:rPr>
          <w:rFonts w:eastAsia="Times New Roman"/>
        </w:rPr>
      </w:pPr>
    </w:p>
    <w:p w14:paraId="531401E5">
      <w:pPr>
        <w:rPr>
          <w:rFonts w:eastAsia="Times New Roman"/>
        </w:rPr>
      </w:pPr>
    </w:p>
    <w:p w14:paraId="41999764">
      <w:pPr>
        <w:rPr>
          <w:rFonts w:eastAsia="Times New Roman"/>
        </w:rPr>
      </w:pPr>
    </w:p>
    <w:p w14:paraId="3C51B211">
      <w:pPr>
        <w:ind w:firstLine="0"/>
        <w:rPr>
          <w:rFonts w:eastAsia="Times New Roman"/>
        </w:rPr>
      </w:pPr>
    </w:p>
    <w:p w14:paraId="25290EBE">
      <w:pPr>
        <w:pStyle w:val="2"/>
        <w:jc w:val="both"/>
        <w:rPr>
          <w:rFonts w:eastAsia="Times New Roman"/>
          <w:color w:val="0000FF"/>
          <w:sz w:val="28"/>
          <w:szCs w:val="40"/>
        </w:rPr>
      </w:pPr>
      <w:bookmarkStart w:id="20" w:name="_Toc6161"/>
      <w:r>
        <w:rPr>
          <w:rFonts w:eastAsia="Times New Roman"/>
          <w:color w:val="0000FF"/>
          <w:sz w:val="28"/>
          <w:szCs w:val="40"/>
        </w:rPr>
        <w:t>References</w:t>
      </w:r>
      <w:bookmarkEnd w:id="20"/>
    </w:p>
    <w:p w14:paraId="33275D53">
      <w:pPr>
        <w:ind w:left="810" w:hanging="810"/>
      </w:pPr>
      <w:r>
        <w:t>Alnahhal, M., Aylak, B. L., Al Hazza, M., &amp; Sakhrieh, A. (2024). Economic order quantity: A state-of-the-art in the era of uncertain supply chains. </w:t>
      </w:r>
      <w:r>
        <w:rPr>
          <w:i/>
          <w:iCs/>
        </w:rPr>
        <w:t>Sustainability</w:t>
      </w:r>
      <w:r>
        <w:t>, </w:t>
      </w:r>
      <w:r>
        <w:rPr>
          <w:i/>
          <w:iCs/>
        </w:rPr>
        <w:t>16</w:t>
      </w:r>
      <w:r>
        <w:t>(14), 5965.</w:t>
      </w:r>
    </w:p>
    <w:p w14:paraId="08340BE0">
      <w:pPr>
        <w:ind w:left="810" w:hanging="810"/>
      </w:pPr>
      <w:r>
        <w:t>Hartanti, L. P. S., Gunawan, I., Mulyana, I. J., &amp; Herwinarso, H. (2022). Identification of waste based on lean principles as the way towards sustainability of a higher education institution: A case study from Indonesia. </w:t>
      </w:r>
      <w:r>
        <w:rPr>
          <w:i/>
          <w:iCs/>
        </w:rPr>
        <w:t>Sustainability</w:t>
      </w:r>
      <w:r>
        <w:t>, </w:t>
      </w:r>
      <w:r>
        <w:rPr>
          <w:i/>
          <w:iCs/>
        </w:rPr>
        <w:t>14</w:t>
      </w:r>
      <w:r>
        <w:t>(7), 4348.</w:t>
      </w:r>
    </w:p>
    <w:p w14:paraId="4FB8583B">
      <w:pPr>
        <w:ind w:left="810" w:hanging="810"/>
      </w:pPr>
      <w:r>
        <w:t>Hasan, M. T. (2018). Impact of ERP system in business management. </w:t>
      </w:r>
      <w:r>
        <w:rPr>
          <w:i/>
          <w:iCs/>
        </w:rPr>
        <w:t>International Journal of Management Studies</w:t>
      </w:r>
      <w:r>
        <w:t>, </w:t>
      </w:r>
      <w:r>
        <w:rPr>
          <w:i/>
          <w:iCs/>
        </w:rPr>
        <w:t>5</w:t>
      </w:r>
      <w:r>
        <w:t>(4), 4.</w:t>
      </w:r>
    </w:p>
    <w:p w14:paraId="6E1DB0B0">
      <w:pPr>
        <w:ind w:left="810" w:hanging="810"/>
      </w:pPr>
      <w:r>
        <w:t>MacCarthy, B. L., Ahmed, W. A., &amp; Demirel, G. (2022). Mapping the supply chain: Why, what and how?. </w:t>
      </w:r>
      <w:r>
        <w:rPr>
          <w:i/>
          <w:iCs/>
        </w:rPr>
        <w:t>International Journal of Production Economics</w:t>
      </w:r>
      <w:r>
        <w:t>, </w:t>
      </w:r>
      <w:r>
        <w:rPr>
          <w:i/>
          <w:iCs/>
        </w:rPr>
        <w:t>250</w:t>
      </w:r>
      <w:r>
        <w:t>, 108688.</w:t>
      </w:r>
    </w:p>
    <w:p w14:paraId="0410474D">
      <w:pPr>
        <w:ind w:left="810" w:hanging="810"/>
      </w:pPr>
      <w:r>
        <w:t>Maguire, S., &amp; Robson, I. (2023). Supply chain management and the circular economy. In </w:t>
      </w:r>
      <w:r>
        <w:rPr>
          <w:i/>
          <w:iCs/>
        </w:rPr>
        <w:t>Sustainable Development Through Global Circular Economy Practices</w:t>
      </w:r>
      <w:r>
        <w:t> (pp. 79-111). Emerald Publishing Limited.</w:t>
      </w:r>
    </w:p>
    <w:p w14:paraId="7F8C1615">
      <w:pPr>
        <w:ind w:left="810" w:hanging="810"/>
      </w:pPr>
      <w:r>
        <w:t>Muniyappa, M., Prasad, S., Kumar, K., &amp; Puthran, D. (2014). Value stream mapping: A lean tool. </w:t>
      </w:r>
      <w:r>
        <w:rPr>
          <w:i/>
          <w:iCs/>
        </w:rPr>
        <w:t>The International Journal Of Business &amp; Managemen</w:t>
      </w:r>
      <w:r>
        <w:t>.</w:t>
      </w:r>
    </w:p>
    <w:p w14:paraId="3C381DEA">
      <w:pPr>
        <w:ind w:left="810" w:hanging="810"/>
      </w:pPr>
      <w:r>
        <w:t>Safitri, K. N., &amp; Hutabarat, R. (2025). Understanding FEFO in the Perishable Food Supply Chain: A Multi-Stakeholder Perspective from Indonesia. </w:t>
      </w:r>
      <w:r>
        <w:rPr>
          <w:i/>
          <w:iCs/>
        </w:rPr>
        <w:t>Liga Ilmu Serantau</w:t>
      </w:r>
      <w:r>
        <w:t>, </w:t>
      </w:r>
      <w:r>
        <w:rPr>
          <w:i/>
          <w:iCs/>
        </w:rPr>
        <w:t>11</w:t>
      </w:r>
      <w:r>
        <w:t>(1), 324-335.</w:t>
      </w:r>
    </w:p>
    <w:p w14:paraId="4FE05E44">
      <w:pPr>
        <w:ind w:left="810" w:hanging="810"/>
      </w:pPr>
      <w:r>
        <w:t>Van den Bogaert, J., &amp; Van Jaarsveld, W. (2022). Vendor-managed inventory in practice: understanding and mitigating the impact of supplier heterogeneity. </w:t>
      </w:r>
      <w:r>
        <w:rPr>
          <w:i/>
          <w:iCs/>
        </w:rPr>
        <w:t>International journal of production research</w:t>
      </w:r>
      <w:r>
        <w:t>, </w:t>
      </w:r>
      <w:r>
        <w:rPr>
          <w:i/>
          <w:iCs/>
        </w:rPr>
        <w:t>60</w:t>
      </w:r>
      <w:r>
        <w:t>(20), 6087-6103.</w:t>
      </w:r>
    </w:p>
    <w:p w14:paraId="6D8D42BF">
      <w:pPr>
        <w:ind w:left="810" w:hanging="810"/>
      </w:pPr>
      <w:r>
        <w:t>Vaverková, M. D. (2019). Landfill impacts on the environment. </w:t>
      </w:r>
      <w:r>
        <w:rPr>
          <w:i/>
          <w:iCs/>
        </w:rPr>
        <w:t>Geosciences</w:t>
      </w:r>
      <w:r>
        <w:t>, </w:t>
      </w:r>
      <w:r>
        <w:rPr>
          <w:i/>
          <w:iCs/>
        </w:rPr>
        <w:t>9</w:t>
      </w:r>
      <w:r>
        <w:t>(10), 431.</w:t>
      </w:r>
    </w:p>
    <w:p w14:paraId="5F4696BD"/>
    <w:sectPr>
      <w:headerReference r:id="rId5" w:type="default"/>
      <w:footerReference r:id="rId6" w:type="default"/>
      <w:pgSz w:w="12240" w:h="15840"/>
      <w:pgMar w:top="1440" w:right="1440" w:bottom="1440" w:left="1440" w:header="720" w:footer="720" w:gutter="0"/>
      <w:lnNumType w:countBy="0" w:restart="continuous"/>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64031667"/>
    </w:sdtPr>
    <w:sdtContent>
      <w:p w14:paraId="71EC758C">
        <w:pPr>
          <w:pStyle w:val="17"/>
          <w:jc w:val="right"/>
        </w:pPr>
        <w:r>
          <w:fldChar w:fldCharType="begin"/>
        </w:r>
        <w:r>
          <w:instrText xml:space="preserve"> PAGE   \* MERGEFORMAT </w:instrText>
        </w:r>
        <w:r>
          <w:fldChar w:fldCharType="separate"/>
        </w:r>
        <w:r>
          <w:t>2</w:t>
        </w:r>
        <w:r>
          <w:fldChar w:fldCharType="end"/>
        </w:r>
      </w:p>
    </w:sdtContent>
  </w:sdt>
  <w:p w14:paraId="17667E03">
    <w:pPr>
      <w:pStyle w:val="1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5DF43AC">
    <w:pPr>
      <w:pStyle w:val="20"/>
      <w:ind w:firstLine="0"/>
    </w:pPr>
  </w:p>
  <w:p w14:paraId="7133FBF8">
    <w:pPr>
      <w:pStyle w:val="20"/>
      <w:ind w:firstLine="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82775B"/>
    <w:multiLevelType w:val="multilevel"/>
    <w:tmpl w:val="1482775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rPr>
        <w:rFonts w:hint="default" w:ascii="Times New Roman" w:hAnsi="Times New Roman" w:cs="Times New Roman"/>
        <w:sz w:val="24"/>
        <w:szCs w:val="24"/>
      </w:r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5C"/>
    <w:rsid w:val="0000612B"/>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B70"/>
    <w:rsid w:val="00081224"/>
    <w:rsid w:val="00084A1A"/>
    <w:rsid w:val="00090B76"/>
    <w:rsid w:val="00090DE5"/>
    <w:rsid w:val="00091858"/>
    <w:rsid w:val="0009401C"/>
    <w:rsid w:val="00096B19"/>
    <w:rsid w:val="000A06CD"/>
    <w:rsid w:val="000A0F17"/>
    <w:rsid w:val="000A0FC2"/>
    <w:rsid w:val="000A1650"/>
    <w:rsid w:val="000A174C"/>
    <w:rsid w:val="000A3799"/>
    <w:rsid w:val="000B08B2"/>
    <w:rsid w:val="000B1141"/>
    <w:rsid w:val="000B18F8"/>
    <w:rsid w:val="000B33B7"/>
    <w:rsid w:val="000B426C"/>
    <w:rsid w:val="000B5548"/>
    <w:rsid w:val="000B5E1E"/>
    <w:rsid w:val="000C2F17"/>
    <w:rsid w:val="000C3A93"/>
    <w:rsid w:val="000C5277"/>
    <w:rsid w:val="000C5B35"/>
    <w:rsid w:val="000C6F10"/>
    <w:rsid w:val="000C7153"/>
    <w:rsid w:val="000D2DF7"/>
    <w:rsid w:val="000D4E1F"/>
    <w:rsid w:val="000D607E"/>
    <w:rsid w:val="000D7253"/>
    <w:rsid w:val="000E0599"/>
    <w:rsid w:val="000E11E2"/>
    <w:rsid w:val="000E1AA2"/>
    <w:rsid w:val="000E482E"/>
    <w:rsid w:val="000E497A"/>
    <w:rsid w:val="000E4F8E"/>
    <w:rsid w:val="000E6320"/>
    <w:rsid w:val="000F2361"/>
    <w:rsid w:val="000F3C6C"/>
    <w:rsid w:val="000F552E"/>
    <w:rsid w:val="000F5B95"/>
    <w:rsid w:val="000F6419"/>
    <w:rsid w:val="000F6DD2"/>
    <w:rsid w:val="000F7177"/>
    <w:rsid w:val="000F7BC2"/>
    <w:rsid w:val="00101458"/>
    <w:rsid w:val="00105213"/>
    <w:rsid w:val="0010565F"/>
    <w:rsid w:val="00105E17"/>
    <w:rsid w:val="00105EAE"/>
    <w:rsid w:val="00111E91"/>
    <w:rsid w:val="00112E1F"/>
    <w:rsid w:val="00113714"/>
    <w:rsid w:val="00115198"/>
    <w:rsid w:val="00115272"/>
    <w:rsid w:val="001158E4"/>
    <w:rsid w:val="001216E6"/>
    <w:rsid w:val="001252BE"/>
    <w:rsid w:val="00134EF6"/>
    <w:rsid w:val="0013570F"/>
    <w:rsid w:val="0013618C"/>
    <w:rsid w:val="00146665"/>
    <w:rsid w:val="001468EF"/>
    <w:rsid w:val="00146F19"/>
    <w:rsid w:val="00150440"/>
    <w:rsid w:val="00150B1C"/>
    <w:rsid w:val="0015395D"/>
    <w:rsid w:val="00153988"/>
    <w:rsid w:val="00157039"/>
    <w:rsid w:val="00161825"/>
    <w:rsid w:val="00161FAB"/>
    <w:rsid w:val="001629AD"/>
    <w:rsid w:val="00166A6A"/>
    <w:rsid w:val="00166E4C"/>
    <w:rsid w:val="0016718D"/>
    <w:rsid w:val="001674D2"/>
    <w:rsid w:val="00171A84"/>
    <w:rsid w:val="00171C5D"/>
    <w:rsid w:val="001729FF"/>
    <w:rsid w:val="00173683"/>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97DD0"/>
    <w:rsid w:val="001A3525"/>
    <w:rsid w:val="001B0136"/>
    <w:rsid w:val="001B1F90"/>
    <w:rsid w:val="001B3B1C"/>
    <w:rsid w:val="001B6607"/>
    <w:rsid w:val="001B7491"/>
    <w:rsid w:val="001C3722"/>
    <w:rsid w:val="001C43A1"/>
    <w:rsid w:val="001C5AF2"/>
    <w:rsid w:val="001C7774"/>
    <w:rsid w:val="001D02A7"/>
    <w:rsid w:val="001D0633"/>
    <w:rsid w:val="001D0A8A"/>
    <w:rsid w:val="001D2E26"/>
    <w:rsid w:val="001D5B10"/>
    <w:rsid w:val="001D5E30"/>
    <w:rsid w:val="001D6534"/>
    <w:rsid w:val="001D6648"/>
    <w:rsid w:val="001E2525"/>
    <w:rsid w:val="001E2FAE"/>
    <w:rsid w:val="001E4D7E"/>
    <w:rsid w:val="001E787B"/>
    <w:rsid w:val="001E7E8C"/>
    <w:rsid w:val="001F15CB"/>
    <w:rsid w:val="001F3DC2"/>
    <w:rsid w:val="001F77C6"/>
    <w:rsid w:val="002038D0"/>
    <w:rsid w:val="002069B6"/>
    <w:rsid w:val="00206AB7"/>
    <w:rsid w:val="0020744B"/>
    <w:rsid w:val="00211531"/>
    <w:rsid w:val="00212B3D"/>
    <w:rsid w:val="00212D5D"/>
    <w:rsid w:val="00214A49"/>
    <w:rsid w:val="00216AB3"/>
    <w:rsid w:val="002209E6"/>
    <w:rsid w:val="00221128"/>
    <w:rsid w:val="00221882"/>
    <w:rsid w:val="00222F2B"/>
    <w:rsid w:val="002255C0"/>
    <w:rsid w:val="00231B3E"/>
    <w:rsid w:val="002320FD"/>
    <w:rsid w:val="002342BF"/>
    <w:rsid w:val="002347D5"/>
    <w:rsid w:val="00235231"/>
    <w:rsid w:val="00235FF1"/>
    <w:rsid w:val="00236BD6"/>
    <w:rsid w:val="00236C46"/>
    <w:rsid w:val="002376F0"/>
    <w:rsid w:val="00240F3A"/>
    <w:rsid w:val="0024217A"/>
    <w:rsid w:val="00243083"/>
    <w:rsid w:val="00245533"/>
    <w:rsid w:val="00245C16"/>
    <w:rsid w:val="00247627"/>
    <w:rsid w:val="00250080"/>
    <w:rsid w:val="002542C8"/>
    <w:rsid w:val="00255250"/>
    <w:rsid w:val="002554A2"/>
    <w:rsid w:val="00256372"/>
    <w:rsid w:val="00260220"/>
    <w:rsid w:val="0026240F"/>
    <w:rsid w:val="00264F46"/>
    <w:rsid w:val="00267F0D"/>
    <w:rsid w:val="00270310"/>
    <w:rsid w:val="0027163C"/>
    <w:rsid w:val="002745A8"/>
    <w:rsid w:val="00276374"/>
    <w:rsid w:val="00276EFF"/>
    <w:rsid w:val="0027729B"/>
    <w:rsid w:val="002779F0"/>
    <w:rsid w:val="00281A26"/>
    <w:rsid w:val="0028476C"/>
    <w:rsid w:val="002904C8"/>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7A57"/>
    <w:rsid w:val="002B176A"/>
    <w:rsid w:val="002B1FAF"/>
    <w:rsid w:val="002B23A2"/>
    <w:rsid w:val="002B2719"/>
    <w:rsid w:val="002B41C2"/>
    <w:rsid w:val="002B5715"/>
    <w:rsid w:val="002B5C52"/>
    <w:rsid w:val="002B634C"/>
    <w:rsid w:val="002B645B"/>
    <w:rsid w:val="002B76E6"/>
    <w:rsid w:val="002C4C49"/>
    <w:rsid w:val="002C68CE"/>
    <w:rsid w:val="002C7069"/>
    <w:rsid w:val="002C7A44"/>
    <w:rsid w:val="002D1619"/>
    <w:rsid w:val="002D304B"/>
    <w:rsid w:val="002D3554"/>
    <w:rsid w:val="002D3971"/>
    <w:rsid w:val="002D6FA3"/>
    <w:rsid w:val="002D7F1C"/>
    <w:rsid w:val="002E214C"/>
    <w:rsid w:val="002E27A0"/>
    <w:rsid w:val="002E2F3D"/>
    <w:rsid w:val="002F13A7"/>
    <w:rsid w:val="002F2A0B"/>
    <w:rsid w:val="002F4AE0"/>
    <w:rsid w:val="002F6D27"/>
    <w:rsid w:val="002F76AE"/>
    <w:rsid w:val="00301E99"/>
    <w:rsid w:val="0030303B"/>
    <w:rsid w:val="0030441F"/>
    <w:rsid w:val="003048E7"/>
    <w:rsid w:val="00310699"/>
    <w:rsid w:val="0031417C"/>
    <w:rsid w:val="003142F4"/>
    <w:rsid w:val="00314C83"/>
    <w:rsid w:val="0031502A"/>
    <w:rsid w:val="003153BD"/>
    <w:rsid w:val="003161FA"/>
    <w:rsid w:val="003166A6"/>
    <w:rsid w:val="003232E7"/>
    <w:rsid w:val="00326DCB"/>
    <w:rsid w:val="00327FEE"/>
    <w:rsid w:val="0033007F"/>
    <w:rsid w:val="00330FA5"/>
    <w:rsid w:val="003320BC"/>
    <w:rsid w:val="00332C4A"/>
    <w:rsid w:val="00335DC6"/>
    <w:rsid w:val="00335F31"/>
    <w:rsid w:val="00341265"/>
    <w:rsid w:val="003432CF"/>
    <w:rsid w:val="003439B7"/>
    <w:rsid w:val="00345666"/>
    <w:rsid w:val="00347AFC"/>
    <w:rsid w:val="00350594"/>
    <w:rsid w:val="00350D01"/>
    <w:rsid w:val="0035109D"/>
    <w:rsid w:val="00353D96"/>
    <w:rsid w:val="00356413"/>
    <w:rsid w:val="00357036"/>
    <w:rsid w:val="00360B8B"/>
    <w:rsid w:val="00360EC0"/>
    <w:rsid w:val="00361948"/>
    <w:rsid w:val="003627CC"/>
    <w:rsid w:val="00362DD8"/>
    <w:rsid w:val="0036322E"/>
    <w:rsid w:val="00363B83"/>
    <w:rsid w:val="00364CAC"/>
    <w:rsid w:val="003651AB"/>
    <w:rsid w:val="00365EF5"/>
    <w:rsid w:val="003665E3"/>
    <w:rsid w:val="00371FB0"/>
    <w:rsid w:val="00373078"/>
    <w:rsid w:val="0037436A"/>
    <w:rsid w:val="003778AB"/>
    <w:rsid w:val="003802B8"/>
    <w:rsid w:val="003807BE"/>
    <w:rsid w:val="00383DE7"/>
    <w:rsid w:val="00385332"/>
    <w:rsid w:val="00390BF6"/>
    <w:rsid w:val="003940C6"/>
    <w:rsid w:val="0039442F"/>
    <w:rsid w:val="003945FC"/>
    <w:rsid w:val="003946C3"/>
    <w:rsid w:val="003973FF"/>
    <w:rsid w:val="003A133C"/>
    <w:rsid w:val="003A24F6"/>
    <w:rsid w:val="003A3F48"/>
    <w:rsid w:val="003A6652"/>
    <w:rsid w:val="003A6DE6"/>
    <w:rsid w:val="003A7A41"/>
    <w:rsid w:val="003A7E55"/>
    <w:rsid w:val="003B1755"/>
    <w:rsid w:val="003B384A"/>
    <w:rsid w:val="003B5906"/>
    <w:rsid w:val="003B65E3"/>
    <w:rsid w:val="003B6EDA"/>
    <w:rsid w:val="003C20FE"/>
    <w:rsid w:val="003C2D09"/>
    <w:rsid w:val="003C34A0"/>
    <w:rsid w:val="003D1575"/>
    <w:rsid w:val="003D19BE"/>
    <w:rsid w:val="003D7790"/>
    <w:rsid w:val="003E12F2"/>
    <w:rsid w:val="003E2180"/>
    <w:rsid w:val="003E2C4E"/>
    <w:rsid w:val="003E6C6C"/>
    <w:rsid w:val="003E6D11"/>
    <w:rsid w:val="003F03B2"/>
    <w:rsid w:val="003F35FF"/>
    <w:rsid w:val="003F3CDB"/>
    <w:rsid w:val="003F5195"/>
    <w:rsid w:val="003F5AF2"/>
    <w:rsid w:val="003F5D0C"/>
    <w:rsid w:val="003F7C15"/>
    <w:rsid w:val="00402274"/>
    <w:rsid w:val="00402501"/>
    <w:rsid w:val="00402A55"/>
    <w:rsid w:val="00403937"/>
    <w:rsid w:val="00403954"/>
    <w:rsid w:val="004046A2"/>
    <w:rsid w:val="00404B88"/>
    <w:rsid w:val="00404C62"/>
    <w:rsid w:val="00406081"/>
    <w:rsid w:val="00406394"/>
    <w:rsid w:val="0040694A"/>
    <w:rsid w:val="004076CE"/>
    <w:rsid w:val="00410424"/>
    <w:rsid w:val="00410D54"/>
    <w:rsid w:val="00411F44"/>
    <w:rsid w:val="00413039"/>
    <w:rsid w:val="00413F80"/>
    <w:rsid w:val="00414067"/>
    <w:rsid w:val="00416F74"/>
    <w:rsid w:val="0042036E"/>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C7D"/>
    <w:rsid w:val="00444BAC"/>
    <w:rsid w:val="00445A96"/>
    <w:rsid w:val="004463F0"/>
    <w:rsid w:val="004471E4"/>
    <w:rsid w:val="004475E3"/>
    <w:rsid w:val="00451048"/>
    <w:rsid w:val="00452730"/>
    <w:rsid w:val="00452A59"/>
    <w:rsid w:val="00452C09"/>
    <w:rsid w:val="00453765"/>
    <w:rsid w:val="00454102"/>
    <w:rsid w:val="004548A0"/>
    <w:rsid w:val="004552FE"/>
    <w:rsid w:val="004555BE"/>
    <w:rsid w:val="004555FF"/>
    <w:rsid w:val="00456CE6"/>
    <w:rsid w:val="00461404"/>
    <w:rsid w:val="004627CB"/>
    <w:rsid w:val="00463D0C"/>
    <w:rsid w:val="00463D29"/>
    <w:rsid w:val="0046437D"/>
    <w:rsid w:val="00464B07"/>
    <w:rsid w:val="00465541"/>
    <w:rsid w:val="0046565E"/>
    <w:rsid w:val="00466C79"/>
    <w:rsid w:val="0047106A"/>
    <w:rsid w:val="00471B91"/>
    <w:rsid w:val="00473ECC"/>
    <w:rsid w:val="00474204"/>
    <w:rsid w:val="0047470A"/>
    <w:rsid w:val="00474874"/>
    <w:rsid w:val="0047497A"/>
    <w:rsid w:val="00476D8F"/>
    <w:rsid w:val="00477025"/>
    <w:rsid w:val="0047776F"/>
    <w:rsid w:val="004804B0"/>
    <w:rsid w:val="004810C4"/>
    <w:rsid w:val="004813FF"/>
    <w:rsid w:val="00481DFE"/>
    <w:rsid w:val="004825CD"/>
    <w:rsid w:val="0048299E"/>
    <w:rsid w:val="00483980"/>
    <w:rsid w:val="00484CB2"/>
    <w:rsid w:val="00484D7C"/>
    <w:rsid w:val="004853D8"/>
    <w:rsid w:val="004866B0"/>
    <w:rsid w:val="00490389"/>
    <w:rsid w:val="004923CD"/>
    <w:rsid w:val="00492BFB"/>
    <w:rsid w:val="00493A43"/>
    <w:rsid w:val="00494A52"/>
    <w:rsid w:val="004A1D39"/>
    <w:rsid w:val="004A4D9A"/>
    <w:rsid w:val="004A5586"/>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D41"/>
    <w:rsid w:val="00520207"/>
    <w:rsid w:val="00520E8A"/>
    <w:rsid w:val="005221D5"/>
    <w:rsid w:val="00526374"/>
    <w:rsid w:val="00527DA7"/>
    <w:rsid w:val="00531D71"/>
    <w:rsid w:val="00531D8D"/>
    <w:rsid w:val="00532B7E"/>
    <w:rsid w:val="00532F66"/>
    <w:rsid w:val="0053317D"/>
    <w:rsid w:val="00533588"/>
    <w:rsid w:val="00533723"/>
    <w:rsid w:val="00533C6F"/>
    <w:rsid w:val="00536234"/>
    <w:rsid w:val="005368F1"/>
    <w:rsid w:val="00537CB6"/>
    <w:rsid w:val="00537E07"/>
    <w:rsid w:val="00541192"/>
    <w:rsid w:val="0054228E"/>
    <w:rsid w:val="00542684"/>
    <w:rsid w:val="0054495D"/>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4C81"/>
    <w:rsid w:val="0056502C"/>
    <w:rsid w:val="00565477"/>
    <w:rsid w:val="00566627"/>
    <w:rsid w:val="00567443"/>
    <w:rsid w:val="00570B3B"/>
    <w:rsid w:val="00571D2F"/>
    <w:rsid w:val="00572768"/>
    <w:rsid w:val="00573911"/>
    <w:rsid w:val="00573EF5"/>
    <w:rsid w:val="00575B7F"/>
    <w:rsid w:val="00575C32"/>
    <w:rsid w:val="00580703"/>
    <w:rsid w:val="00581600"/>
    <w:rsid w:val="005816B5"/>
    <w:rsid w:val="00581D42"/>
    <w:rsid w:val="00581EBE"/>
    <w:rsid w:val="00582B78"/>
    <w:rsid w:val="0058374C"/>
    <w:rsid w:val="00584932"/>
    <w:rsid w:val="0058682E"/>
    <w:rsid w:val="00587BA6"/>
    <w:rsid w:val="005916B1"/>
    <w:rsid w:val="00592B5D"/>
    <w:rsid w:val="0059715C"/>
    <w:rsid w:val="005976B1"/>
    <w:rsid w:val="0059795E"/>
    <w:rsid w:val="00597CC0"/>
    <w:rsid w:val="00597EBB"/>
    <w:rsid w:val="005A1904"/>
    <w:rsid w:val="005A2116"/>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B76"/>
    <w:rsid w:val="005D629A"/>
    <w:rsid w:val="005D6C3D"/>
    <w:rsid w:val="005D75AA"/>
    <w:rsid w:val="005E082C"/>
    <w:rsid w:val="005E19F0"/>
    <w:rsid w:val="005E20A8"/>
    <w:rsid w:val="005E2BA5"/>
    <w:rsid w:val="005E2C58"/>
    <w:rsid w:val="005E3CC5"/>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3CD"/>
    <w:rsid w:val="006104B5"/>
    <w:rsid w:val="006115D3"/>
    <w:rsid w:val="006116B1"/>
    <w:rsid w:val="00612351"/>
    <w:rsid w:val="00612584"/>
    <w:rsid w:val="00614EFF"/>
    <w:rsid w:val="00615E97"/>
    <w:rsid w:val="00616F7D"/>
    <w:rsid w:val="006175B8"/>
    <w:rsid w:val="006204E5"/>
    <w:rsid w:val="0062069D"/>
    <w:rsid w:val="00621321"/>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5340"/>
    <w:rsid w:val="00665B26"/>
    <w:rsid w:val="00670106"/>
    <w:rsid w:val="00670E4E"/>
    <w:rsid w:val="0067434C"/>
    <w:rsid w:val="00677DB1"/>
    <w:rsid w:val="006814C0"/>
    <w:rsid w:val="006819DA"/>
    <w:rsid w:val="00682560"/>
    <w:rsid w:val="00684673"/>
    <w:rsid w:val="00684EEC"/>
    <w:rsid w:val="00685C9E"/>
    <w:rsid w:val="00687D8B"/>
    <w:rsid w:val="00690BC7"/>
    <w:rsid w:val="00692717"/>
    <w:rsid w:val="00692F61"/>
    <w:rsid w:val="00694211"/>
    <w:rsid w:val="00694462"/>
    <w:rsid w:val="006957BE"/>
    <w:rsid w:val="0069757B"/>
    <w:rsid w:val="006A06D1"/>
    <w:rsid w:val="006A2279"/>
    <w:rsid w:val="006A2995"/>
    <w:rsid w:val="006A3C15"/>
    <w:rsid w:val="006B3481"/>
    <w:rsid w:val="006B3963"/>
    <w:rsid w:val="006B3DA9"/>
    <w:rsid w:val="006B495E"/>
    <w:rsid w:val="006B4BB6"/>
    <w:rsid w:val="006B4D36"/>
    <w:rsid w:val="006C0F28"/>
    <w:rsid w:val="006C199D"/>
    <w:rsid w:val="006C2DFA"/>
    <w:rsid w:val="006C44E1"/>
    <w:rsid w:val="006C4985"/>
    <w:rsid w:val="006C4E22"/>
    <w:rsid w:val="006C7D44"/>
    <w:rsid w:val="006D1E1B"/>
    <w:rsid w:val="006D3F9E"/>
    <w:rsid w:val="006D506E"/>
    <w:rsid w:val="006D6298"/>
    <w:rsid w:val="006D7C4F"/>
    <w:rsid w:val="006E0813"/>
    <w:rsid w:val="006E0F4D"/>
    <w:rsid w:val="006E1192"/>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1200"/>
    <w:rsid w:val="007126B7"/>
    <w:rsid w:val="007153DC"/>
    <w:rsid w:val="007153F5"/>
    <w:rsid w:val="0072479D"/>
    <w:rsid w:val="007260D0"/>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62608"/>
    <w:rsid w:val="007627E4"/>
    <w:rsid w:val="00764EA8"/>
    <w:rsid w:val="007664FD"/>
    <w:rsid w:val="00767B04"/>
    <w:rsid w:val="00775FBF"/>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670A"/>
    <w:rsid w:val="007B7868"/>
    <w:rsid w:val="007B7952"/>
    <w:rsid w:val="007B7B15"/>
    <w:rsid w:val="007C00E5"/>
    <w:rsid w:val="007C07E5"/>
    <w:rsid w:val="007C1879"/>
    <w:rsid w:val="007C6114"/>
    <w:rsid w:val="007C6754"/>
    <w:rsid w:val="007D060D"/>
    <w:rsid w:val="007D23E0"/>
    <w:rsid w:val="007D2C92"/>
    <w:rsid w:val="007D34F5"/>
    <w:rsid w:val="007D48E9"/>
    <w:rsid w:val="007D52B2"/>
    <w:rsid w:val="007D77CD"/>
    <w:rsid w:val="007E2463"/>
    <w:rsid w:val="007E3F96"/>
    <w:rsid w:val="007E4B57"/>
    <w:rsid w:val="007E646A"/>
    <w:rsid w:val="007F1091"/>
    <w:rsid w:val="007F3650"/>
    <w:rsid w:val="007F646B"/>
    <w:rsid w:val="007F6E94"/>
    <w:rsid w:val="007F7995"/>
    <w:rsid w:val="008011FC"/>
    <w:rsid w:val="008018BA"/>
    <w:rsid w:val="008033BB"/>
    <w:rsid w:val="00803D33"/>
    <w:rsid w:val="00804423"/>
    <w:rsid w:val="00805843"/>
    <w:rsid w:val="008114D6"/>
    <w:rsid w:val="00812A0B"/>
    <w:rsid w:val="00814AB9"/>
    <w:rsid w:val="00815C02"/>
    <w:rsid w:val="00816A6B"/>
    <w:rsid w:val="008212FC"/>
    <w:rsid w:val="0082252E"/>
    <w:rsid w:val="0082270A"/>
    <w:rsid w:val="00823F96"/>
    <w:rsid w:val="008276B2"/>
    <w:rsid w:val="00827798"/>
    <w:rsid w:val="00830E25"/>
    <w:rsid w:val="00832671"/>
    <w:rsid w:val="008341F5"/>
    <w:rsid w:val="00836E31"/>
    <w:rsid w:val="00840E5D"/>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614"/>
    <w:rsid w:val="008626E3"/>
    <w:rsid w:val="00863070"/>
    <w:rsid w:val="00865D05"/>
    <w:rsid w:val="008702A4"/>
    <w:rsid w:val="00872E46"/>
    <w:rsid w:val="00880E26"/>
    <w:rsid w:val="00881079"/>
    <w:rsid w:val="00882062"/>
    <w:rsid w:val="0088298D"/>
    <w:rsid w:val="008919C1"/>
    <w:rsid w:val="00891F08"/>
    <w:rsid w:val="0089219C"/>
    <w:rsid w:val="00893075"/>
    <w:rsid w:val="0089475D"/>
    <w:rsid w:val="00894E1B"/>
    <w:rsid w:val="008955AE"/>
    <w:rsid w:val="008967D3"/>
    <w:rsid w:val="00896F73"/>
    <w:rsid w:val="008A0845"/>
    <w:rsid w:val="008A2F06"/>
    <w:rsid w:val="008A37B4"/>
    <w:rsid w:val="008A511D"/>
    <w:rsid w:val="008A5B24"/>
    <w:rsid w:val="008A6CBF"/>
    <w:rsid w:val="008B20A8"/>
    <w:rsid w:val="008C355B"/>
    <w:rsid w:val="008C3F4A"/>
    <w:rsid w:val="008C65B1"/>
    <w:rsid w:val="008C780E"/>
    <w:rsid w:val="008C78A7"/>
    <w:rsid w:val="008D1D5D"/>
    <w:rsid w:val="008D2C9D"/>
    <w:rsid w:val="008D49CE"/>
    <w:rsid w:val="008D4FEF"/>
    <w:rsid w:val="008D559C"/>
    <w:rsid w:val="008D6B93"/>
    <w:rsid w:val="008E0032"/>
    <w:rsid w:val="008E03D6"/>
    <w:rsid w:val="008E3639"/>
    <w:rsid w:val="008E60DA"/>
    <w:rsid w:val="008E6126"/>
    <w:rsid w:val="008E7BDA"/>
    <w:rsid w:val="008E7F16"/>
    <w:rsid w:val="008F0891"/>
    <w:rsid w:val="008F120F"/>
    <w:rsid w:val="008F4966"/>
    <w:rsid w:val="008F6EDD"/>
    <w:rsid w:val="008F7609"/>
    <w:rsid w:val="00901936"/>
    <w:rsid w:val="00906025"/>
    <w:rsid w:val="00907173"/>
    <w:rsid w:val="0090791B"/>
    <w:rsid w:val="009133EA"/>
    <w:rsid w:val="009154DE"/>
    <w:rsid w:val="00915C85"/>
    <w:rsid w:val="009160EA"/>
    <w:rsid w:val="00917CEA"/>
    <w:rsid w:val="00917EB1"/>
    <w:rsid w:val="0092061B"/>
    <w:rsid w:val="00920D11"/>
    <w:rsid w:val="00921B6E"/>
    <w:rsid w:val="009220A0"/>
    <w:rsid w:val="0092376D"/>
    <w:rsid w:val="009249B2"/>
    <w:rsid w:val="00924AEA"/>
    <w:rsid w:val="0092580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A7C"/>
    <w:rsid w:val="00971A4D"/>
    <w:rsid w:val="00972476"/>
    <w:rsid w:val="009735A0"/>
    <w:rsid w:val="009738AE"/>
    <w:rsid w:val="00973F7C"/>
    <w:rsid w:val="00974316"/>
    <w:rsid w:val="00975204"/>
    <w:rsid w:val="009756EC"/>
    <w:rsid w:val="00976D03"/>
    <w:rsid w:val="009774EA"/>
    <w:rsid w:val="0097794F"/>
    <w:rsid w:val="00980947"/>
    <w:rsid w:val="00982A5C"/>
    <w:rsid w:val="00983055"/>
    <w:rsid w:val="0098330A"/>
    <w:rsid w:val="00985924"/>
    <w:rsid w:val="00990883"/>
    <w:rsid w:val="009914BA"/>
    <w:rsid w:val="00992482"/>
    <w:rsid w:val="00992BED"/>
    <w:rsid w:val="0099370F"/>
    <w:rsid w:val="0099549F"/>
    <w:rsid w:val="00996442"/>
    <w:rsid w:val="00996493"/>
    <w:rsid w:val="00996A55"/>
    <w:rsid w:val="0099738A"/>
    <w:rsid w:val="009977E9"/>
    <w:rsid w:val="00997FE1"/>
    <w:rsid w:val="009A0E6B"/>
    <w:rsid w:val="009A139F"/>
    <w:rsid w:val="009A26D6"/>
    <w:rsid w:val="009A422F"/>
    <w:rsid w:val="009A47D5"/>
    <w:rsid w:val="009A76F4"/>
    <w:rsid w:val="009B0129"/>
    <w:rsid w:val="009B1F23"/>
    <w:rsid w:val="009B38BD"/>
    <w:rsid w:val="009B3F46"/>
    <w:rsid w:val="009B4125"/>
    <w:rsid w:val="009B5554"/>
    <w:rsid w:val="009B6BC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78A0"/>
    <w:rsid w:val="009F022D"/>
    <w:rsid w:val="009F2CEC"/>
    <w:rsid w:val="009F3FD3"/>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56"/>
    <w:rsid w:val="00A213BE"/>
    <w:rsid w:val="00A25152"/>
    <w:rsid w:val="00A26ED3"/>
    <w:rsid w:val="00A317F8"/>
    <w:rsid w:val="00A31F1B"/>
    <w:rsid w:val="00A32A89"/>
    <w:rsid w:val="00A34B6B"/>
    <w:rsid w:val="00A34C38"/>
    <w:rsid w:val="00A359B0"/>
    <w:rsid w:val="00A36FED"/>
    <w:rsid w:val="00A40806"/>
    <w:rsid w:val="00A41672"/>
    <w:rsid w:val="00A4185E"/>
    <w:rsid w:val="00A4198C"/>
    <w:rsid w:val="00A43E02"/>
    <w:rsid w:val="00A44313"/>
    <w:rsid w:val="00A479B3"/>
    <w:rsid w:val="00A545C0"/>
    <w:rsid w:val="00A54CC6"/>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67"/>
    <w:rsid w:val="00A81312"/>
    <w:rsid w:val="00A81342"/>
    <w:rsid w:val="00A82686"/>
    <w:rsid w:val="00A83F3F"/>
    <w:rsid w:val="00A85196"/>
    <w:rsid w:val="00A85705"/>
    <w:rsid w:val="00A85FBD"/>
    <w:rsid w:val="00A864CC"/>
    <w:rsid w:val="00A876EC"/>
    <w:rsid w:val="00A90E95"/>
    <w:rsid w:val="00A91E6E"/>
    <w:rsid w:val="00A93803"/>
    <w:rsid w:val="00A96BDE"/>
    <w:rsid w:val="00A971B3"/>
    <w:rsid w:val="00AA3344"/>
    <w:rsid w:val="00AA42F1"/>
    <w:rsid w:val="00AA444C"/>
    <w:rsid w:val="00AA4CC2"/>
    <w:rsid w:val="00AA6389"/>
    <w:rsid w:val="00AA6897"/>
    <w:rsid w:val="00AA6BE9"/>
    <w:rsid w:val="00AB07B2"/>
    <w:rsid w:val="00AB34A8"/>
    <w:rsid w:val="00AB3623"/>
    <w:rsid w:val="00AB417C"/>
    <w:rsid w:val="00AB4304"/>
    <w:rsid w:val="00AB4D8E"/>
    <w:rsid w:val="00AC0473"/>
    <w:rsid w:val="00AD04E0"/>
    <w:rsid w:val="00AD41C9"/>
    <w:rsid w:val="00AD5CBC"/>
    <w:rsid w:val="00AE3886"/>
    <w:rsid w:val="00AE398B"/>
    <w:rsid w:val="00AE4586"/>
    <w:rsid w:val="00AE4655"/>
    <w:rsid w:val="00AE46D7"/>
    <w:rsid w:val="00AE5E4E"/>
    <w:rsid w:val="00AE6071"/>
    <w:rsid w:val="00AE66B6"/>
    <w:rsid w:val="00AE6757"/>
    <w:rsid w:val="00AE6F18"/>
    <w:rsid w:val="00AE76A2"/>
    <w:rsid w:val="00AE7F35"/>
    <w:rsid w:val="00AF04CD"/>
    <w:rsid w:val="00AF2FF1"/>
    <w:rsid w:val="00AF32EA"/>
    <w:rsid w:val="00AF5950"/>
    <w:rsid w:val="00AF72A6"/>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307C5"/>
    <w:rsid w:val="00B31BD2"/>
    <w:rsid w:val="00B325E2"/>
    <w:rsid w:val="00B3447A"/>
    <w:rsid w:val="00B3507C"/>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718FF"/>
    <w:rsid w:val="00B73098"/>
    <w:rsid w:val="00B74527"/>
    <w:rsid w:val="00B75FFA"/>
    <w:rsid w:val="00B765FA"/>
    <w:rsid w:val="00B76F17"/>
    <w:rsid w:val="00B7724E"/>
    <w:rsid w:val="00B81B77"/>
    <w:rsid w:val="00B83ED2"/>
    <w:rsid w:val="00B84824"/>
    <w:rsid w:val="00B86CCA"/>
    <w:rsid w:val="00B901A7"/>
    <w:rsid w:val="00B90367"/>
    <w:rsid w:val="00B90628"/>
    <w:rsid w:val="00B907B4"/>
    <w:rsid w:val="00B93745"/>
    <w:rsid w:val="00B941EE"/>
    <w:rsid w:val="00B95573"/>
    <w:rsid w:val="00B95F8A"/>
    <w:rsid w:val="00B97CD2"/>
    <w:rsid w:val="00BA1018"/>
    <w:rsid w:val="00BA1764"/>
    <w:rsid w:val="00BA3DCE"/>
    <w:rsid w:val="00BA6C1E"/>
    <w:rsid w:val="00BA7F2A"/>
    <w:rsid w:val="00BB0BF2"/>
    <w:rsid w:val="00BB0DDD"/>
    <w:rsid w:val="00BB1F5E"/>
    <w:rsid w:val="00BB23A1"/>
    <w:rsid w:val="00BB509A"/>
    <w:rsid w:val="00BB6C1F"/>
    <w:rsid w:val="00BB7642"/>
    <w:rsid w:val="00BC0E97"/>
    <w:rsid w:val="00BC2AFA"/>
    <w:rsid w:val="00BC3053"/>
    <w:rsid w:val="00BC496E"/>
    <w:rsid w:val="00BC4CB2"/>
    <w:rsid w:val="00BC5644"/>
    <w:rsid w:val="00BC5F06"/>
    <w:rsid w:val="00BD0345"/>
    <w:rsid w:val="00BD0765"/>
    <w:rsid w:val="00BD07C2"/>
    <w:rsid w:val="00BD0DD7"/>
    <w:rsid w:val="00BD5906"/>
    <w:rsid w:val="00BD5C2B"/>
    <w:rsid w:val="00BE0287"/>
    <w:rsid w:val="00BE59BE"/>
    <w:rsid w:val="00BE62FA"/>
    <w:rsid w:val="00BE7CE2"/>
    <w:rsid w:val="00BE7D7F"/>
    <w:rsid w:val="00BF5ECD"/>
    <w:rsid w:val="00BF6571"/>
    <w:rsid w:val="00BF69A5"/>
    <w:rsid w:val="00BF72EA"/>
    <w:rsid w:val="00C00FF7"/>
    <w:rsid w:val="00C01C91"/>
    <w:rsid w:val="00C039D1"/>
    <w:rsid w:val="00C0481F"/>
    <w:rsid w:val="00C04A35"/>
    <w:rsid w:val="00C0689C"/>
    <w:rsid w:val="00C07396"/>
    <w:rsid w:val="00C106D9"/>
    <w:rsid w:val="00C1077B"/>
    <w:rsid w:val="00C10ED8"/>
    <w:rsid w:val="00C11699"/>
    <w:rsid w:val="00C120DC"/>
    <w:rsid w:val="00C128E6"/>
    <w:rsid w:val="00C12F32"/>
    <w:rsid w:val="00C13508"/>
    <w:rsid w:val="00C13834"/>
    <w:rsid w:val="00C139ED"/>
    <w:rsid w:val="00C2009B"/>
    <w:rsid w:val="00C23045"/>
    <w:rsid w:val="00C239C5"/>
    <w:rsid w:val="00C306E2"/>
    <w:rsid w:val="00C34444"/>
    <w:rsid w:val="00C3755E"/>
    <w:rsid w:val="00C37A85"/>
    <w:rsid w:val="00C40EB7"/>
    <w:rsid w:val="00C412F2"/>
    <w:rsid w:val="00C41E9B"/>
    <w:rsid w:val="00C4279A"/>
    <w:rsid w:val="00C46959"/>
    <w:rsid w:val="00C47B95"/>
    <w:rsid w:val="00C5303B"/>
    <w:rsid w:val="00C5303E"/>
    <w:rsid w:val="00C5357C"/>
    <w:rsid w:val="00C5377A"/>
    <w:rsid w:val="00C548E2"/>
    <w:rsid w:val="00C556A6"/>
    <w:rsid w:val="00C565D1"/>
    <w:rsid w:val="00C60825"/>
    <w:rsid w:val="00C60C3B"/>
    <w:rsid w:val="00C61870"/>
    <w:rsid w:val="00C62CDB"/>
    <w:rsid w:val="00C63FCC"/>
    <w:rsid w:val="00C64460"/>
    <w:rsid w:val="00C64CA8"/>
    <w:rsid w:val="00C66FDA"/>
    <w:rsid w:val="00C67157"/>
    <w:rsid w:val="00C70F0D"/>
    <w:rsid w:val="00C7105F"/>
    <w:rsid w:val="00C71416"/>
    <w:rsid w:val="00C731E4"/>
    <w:rsid w:val="00C742FB"/>
    <w:rsid w:val="00C74DC5"/>
    <w:rsid w:val="00C77A14"/>
    <w:rsid w:val="00C77CCF"/>
    <w:rsid w:val="00C8007D"/>
    <w:rsid w:val="00C8084B"/>
    <w:rsid w:val="00C80B5C"/>
    <w:rsid w:val="00C8118A"/>
    <w:rsid w:val="00C81AE2"/>
    <w:rsid w:val="00C83765"/>
    <w:rsid w:val="00C86440"/>
    <w:rsid w:val="00C864F6"/>
    <w:rsid w:val="00C86E37"/>
    <w:rsid w:val="00C924E9"/>
    <w:rsid w:val="00C928C5"/>
    <w:rsid w:val="00C93A43"/>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8E4"/>
    <w:rsid w:val="00CD2F03"/>
    <w:rsid w:val="00CD3DDF"/>
    <w:rsid w:val="00CD426B"/>
    <w:rsid w:val="00CD44BC"/>
    <w:rsid w:val="00CD52C2"/>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609C"/>
    <w:rsid w:val="00D06622"/>
    <w:rsid w:val="00D07871"/>
    <w:rsid w:val="00D12405"/>
    <w:rsid w:val="00D17ED9"/>
    <w:rsid w:val="00D214AC"/>
    <w:rsid w:val="00D21B28"/>
    <w:rsid w:val="00D25269"/>
    <w:rsid w:val="00D26BDB"/>
    <w:rsid w:val="00D31AAF"/>
    <w:rsid w:val="00D33226"/>
    <w:rsid w:val="00D3670D"/>
    <w:rsid w:val="00D40D19"/>
    <w:rsid w:val="00D4118D"/>
    <w:rsid w:val="00D41D0E"/>
    <w:rsid w:val="00D436BE"/>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256E"/>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3019"/>
    <w:rsid w:val="00D858C3"/>
    <w:rsid w:val="00D85EDA"/>
    <w:rsid w:val="00D90984"/>
    <w:rsid w:val="00D94700"/>
    <w:rsid w:val="00D95E2C"/>
    <w:rsid w:val="00D974D9"/>
    <w:rsid w:val="00DA09DE"/>
    <w:rsid w:val="00DA212B"/>
    <w:rsid w:val="00DA35AC"/>
    <w:rsid w:val="00DA4738"/>
    <w:rsid w:val="00DA4C8A"/>
    <w:rsid w:val="00DA63AC"/>
    <w:rsid w:val="00DA7133"/>
    <w:rsid w:val="00DA73BB"/>
    <w:rsid w:val="00DB0662"/>
    <w:rsid w:val="00DB1F70"/>
    <w:rsid w:val="00DB1FA0"/>
    <w:rsid w:val="00DB2060"/>
    <w:rsid w:val="00DB2B81"/>
    <w:rsid w:val="00DB3B37"/>
    <w:rsid w:val="00DB5DD8"/>
    <w:rsid w:val="00DC43BD"/>
    <w:rsid w:val="00DC595E"/>
    <w:rsid w:val="00DC716B"/>
    <w:rsid w:val="00DD0549"/>
    <w:rsid w:val="00DD1B0F"/>
    <w:rsid w:val="00DD2F24"/>
    <w:rsid w:val="00DD4C97"/>
    <w:rsid w:val="00DD5044"/>
    <w:rsid w:val="00DD5CE9"/>
    <w:rsid w:val="00DD69D0"/>
    <w:rsid w:val="00DD6B89"/>
    <w:rsid w:val="00DE1CC8"/>
    <w:rsid w:val="00DE3458"/>
    <w:rsid w:val="00DE5B00"/>
    <w:rsid w:val="00DE7752"/>
    <w:rsid w:val="00DF1FA6"/>
    <w:rsid w:val="00DF542D"/>
    <w:rsid w:val="00DF54DC"/>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5FE"/>
    <w:rsid w:val="00E5086C"/>
    <w:rsid w:val="00E50A1F"/>
    <w:rsid w:val="00E52544"/>
    <w:rsid w:val="00E536B7"/>
    <w:rsid w:val="00E5455B"/>
    <w:rsid w:val="00E57BB9"/>
    <w:rsid w:val="00E60C81"/>
    <w:rsid w:val="00E63AC1"/>
    <w:rsid w:val="00E642AD"/>
    <w:rsid w:val="00E646E2"/>
    <w:rsid w:val="00E653FD"/>
    <w:rsid w:val="00E65588"/>
    <w:rsid w:val="00E65AA4"/>
    <w:rsid w:val="00E663F9"/>
    <w:rsid w:val="00E665FF"/>
    <w:rsid w:val="00E71B15"/>
    <w:rsid w:val="00E72F41"/>
    <w:rsid w:val="00E73EB1"/>
    <w:rsid w:val="00E771DA"/>
    <w:rsid w:val="00E7782F"/>
    <w:rsid w:val="00E77B2D"/>
    <w:rsid w:val="00E80A7C"/>
    <w:rsid w:val="00E8162E"/>
    <w:rsid w:val="00E81A2A"/>
    <w:rsid w:val="00E84FCD"/>
    <w:rsid w:val="00E85C75"/>
    <w:rsid w:val="00E86224"/>
    <w:rsid w:val="00E865E9"/>
    <w:rsid w:val="00E872ED"/>
    <w:rsid w:val="00E878A5"/>
    <w:rsid w:val="00E87C2F"/>
    <w:rsid w:val="00E9003D"/>
    <w:rsid w:val="00E92958"/>
    <w:rsid w:val="00E9355D"/>
    <w:rsid w:val="00E958F8"/>
    <w:rsid w:val="00E9591A"/>
    <w:rsid w:val="00E97D3A"/>
    <w:rsid w:val="00EA0488"/>
    <w:rsid w:val="00EA0496"/>
    <w:rsid w:val="00EA6174"/>
    <w:rsid w:val="00EA6B81"/>
    <w:rsid w:val="00EA7B0D"/>
    <w:rsid w:val="00EB0276"/>
    <w:rsid w:val="00EB027D"/>
    <w:rsid w:val="00EB2A62"/>
    <w:rsid w:val="00EB2EF2"/>
    <w:rsid w:val="00EB3E37"/>
    <w:rsid w:val="00EB4886"/>
    <w:rsid w:val="00EB53EC"/>
    <w:rsid w:val="00EB582F"/>
    <w:rsid w:val="00EB7208"/>
    <w:rsid w:val="00EC07AA"/>
    <w:rsid w:val="00EC1E9C"/>
    <w:rsid w:val="00EC2339"/>
    <w:rsid w:val="00EC2541"/>
    <w:rsid w:val="00EC390A"/>
    <w:rsid w:val="00EC3EB4"/>
    <w:rsid w:val="00EC71D2"/>
    <w:rsid w:val="00EC773B"/>
    <w:rsid w:val="00ED3961"/>
    <w:rsid w:val="00ED5C9A"/>
    <w:rsid w:val="00ED67AE"/>
    <w:rsid w:val="00ED6955"/>
    <w:rsid w:val="00EE2581"/>
    <w:rsid w:val="00EE78E8"/>
    <w:rsid w:val="00EF05B3"/>
    <w:rsid w:val="00EF12C2"/>
    <w:rsid w:val="00EF2AFA"/>
    <w:rsid w:val="00EF428F"/>
    <w:rsid w:val="00EF475B"/>
    <w:rsid w:val="00EF6AD0"/>
    <w:rsid w:val="00EF6FAA"/>
    <w:rsid w:val="00EF7F2D"/>
    <w:rsid w:val="00F00078"/>
    <w:rsid w:val="00F03249"/>
    <w:rsid w:val="00F04A0C"/>
    <w:rsid w:val="00F054D7"/>
    <w:rsid w:val="00F06598"/>
    <w:rsid w:val="00F070FD"/>
    <w:rsid w:val="00F12CFF"/>
    <w:rsid w:val="00F13373"/>
    <w:rsid w:val="00F14160"/>
    <w:rsid w:val="00F15D5F"/>
    <w:rsid w:val="00F16FA1"/>
    <w:rsid w:val="00F17587"/>
    <w:rsid w:val="00F2057A"/>
    <w:rsid w:val="00F246FA"/>
    <w:rsid w:val="00F32D2E"/>
    <w:rsid w:val="00F357B0"/>
    <w:rsid w:val="00F40A23"/>
    <w:rsid w:val="00F4119E"/>
    <w:rsid w:val="00F4336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7D8"/>
    <w:rsid w:val="00F97DCE"/>
    <w:rsid w:val="00FA39E7"/>
    <w:rsid w:val="00FA57A4"/>
    <w:rsid w:val="00FA68A1"/>
    <w:rsid w:val="00FA73B0"/>
    <w:rsid w:val="00FA7E35"/>
    <w:rsid w:val="00FB4715"/>
    <w:rsid w:val="00FB56E9"/>
    <w:rsid w:val="00FB5C8A"/>
    <w:rsid w:val="00FB75D2"/>
    <w:rsid w:val="00FB7A37"/>
    <w:rsid w:val="00FC37C7"/>
    <w:rsid w:val="00FC387E"/>
    <w:rsid w:val="00FC3CFC"/>
    <w:rsid w:val="00FC5770"/>
    <w:rsid w:val="00FC78DA"/>
    <w:rsid w:val="00FD0981"/>
    <w:rsid w:val="00FD158E"/>
    <w:rsid w:val="00FD329A"/>
    <w:rsid w:val="00FD5169"/>
    <w:rsid w:val="00FD521A"/>
    <w:rsid w:val="00FD5436"/>
    <w:rsid w:val="00FD61B2"/>
    <w:rsid w:val="00FD666B"/>
    <w:rsid w:val="00FD7190"/>
    <w:rsid w:val="00FE02D5"/>
    <w:rsid w:val="00FE1233"/>
    <w:rsid w:val="00FE20F1"/>
    <w:rsid w:val="00FE31EE"/>
    <w:rsid w:val="00FE57C5"/>
    <w:rsid w:val="00FE5ADF"/>
    <w:rsid w:val="00FE7C6B"/>
    <w:rsid w:val="00FE7E17"/>
    <w:rsid w:val="00FF0BBB"/>
    <w:rsid w:val="00FF20B4"/>
    <w:rsid w:val="3CAA26D1"/>
    <w:rsid w:val="3F1C647F"/>
    <w:rsid w:val="49EF57E7"/>
    <w:rsid w:val="587813D4"/>
    <w:rsid w:val="77F450E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ind w:firstLine="720"/>
      <w:jc w:val="both"/>
    </w:pPr>
    <w:rPr>
      <w:rFonts w:ascii="Times New Roman" w:hAnsi="Times New Roman" w:eastAsiaTheme="minorEastAsia" w:cstheme="minorBidi"/>
      <w:sz w:val="24"/>
      <w:szCs w:val="22"/>
      <w:lang w:val="en-AU" w:eastAsia="en-US" w:bidi="ar-SA"/>
    </w:rPr>
  </w:style>
  <w:style w:type="paragraph" w:styleId="2">
    <w:name w:val="heading 1"/>
    <w:basedOn w:val="1"/>
    <w:next w:val="1"/>
    <w:link w:val="32"/>
    <w:qFormat/>
    <w:uiPriority w:val="9"/>
    <w:pPr>
      <w:keepNext/>
      <w:keepLines/>
      <w:numPr>
        <w:ilvl w:val="0"/>
        <w:numId w:val="1"/>
      </w:numPr>
      <w:spacing w:before="360"/>
      <w:jc w:val="center"/>
      <w:outlineLvl w:val="0"/>
    </w:pPr>
    <w:rPr>
      <w:rFonts w:eastAsiaTheme="majorEastAsia" w:cstheme="majorBidi"/>
      <w:b/>
      <w:bCs/>
      <w:color w:val="000000" w:themeColor="text1"/>
      <w:szCs w:val="36"/>
      <w14:textFill>
        <w14:solidFill>
          <w14:schemeClr w14:val="tx1"/>
        </w14:solidFill>
      </w14:textFill>
    </w:rPr>
  </w:style>
  <w:style w:type="paragraph" w:styleId="3">
    <w:name w:val="heading 2"/>
    <w:basedOn w:val="1"/>
    <w:next w:val="1"/>
    <w:link w:val="36"/>
    <w:unhideWhenUsed/>
    <w:qFormat/>
    <w:uiPriority w:val="9"/>
    <w:pPr>
      <w:keepNext/>
      <w:keepLines/>
      <w:numPr>
        <w:ilvl w:val="1"/>
        <w:numId w:val="1"/>
      </w:numPr>
      <w:spacing w:before="360" w:after="0"/>
      <w:outlineLvl w:val="1"/>
    </w:pPr>
    <w:rPr>
      <w:rFonts w:eastAsiaTheme="majorEastAsia" w:cstheme="majorBidi"/>
      <w:b/>
      <w:bCs/>
      <w:color w:val="000000" w:themeColor="text1"/>
      <w:szCs w:val="28"/>
      <w14:textFill>
        <w14:solidFill>
          <w14:schemeClr w14:val="tx1"/>
        </w14:solidFill>
      </w14:textFill>
    </w:rPr>
  </w:style>
  <w:style w:type="paragraph" w:styleId="4">
    <w:name w:val="heading 3"/>
    <w:basedOn w:val="1"/>
    <w:next w:val="1"/>
    <w:link w:val="37"/>
    <w:unhideWhenUsed/>
    <w:qFormat/>
    <w:uiPriority w:val="9"/>
    <w:pPr>
      <w:keepNext/>
      <w:keepLines/>
      <w:numPr>
        <w:ilvl w:val="2"/>
        <w:numId w:val="1"/>
      </w:numPr>
      <w:spacing w:before="200" w:after="0"/>
      <w:outlineLvl w:val="2"/>
    </w:pPr>
    <w:rPr>
      <w:rFonts w:eastAsiaTheme="majorEastAsia" w:cstheme="majorBidi"/>
      <w:b/>
      <w:bCs/>
      <w:i/>
      <w:color w:val="000000" w:themeColor="text1"/>
      <w14:textFill>
        <w14:solidFill>
          <w14:schemeClr w14:val="tx1"/>
        </w14:solidFill>
      </w14:textFill>
    </w:rPr>
  </w:style>
  <w:style w:type="paragraph" w:styleId="5">
    <w:name w:val="heading 4"/>
    <w:basedOn w:val="1"/>
    <w:next w:val="1"/>
    <w:link w:val="39"/>
    <w:unhideWhenUsed/>
    <w:qFormat/>
    <w:uiPriority w:val="9"/>
    <w:pPr>
      <w:keepNext/>
      <w:keepLines/>
      <w:numPr>
        <w:ilvl w:val="3"/>
        <w:numId w:val="1"/>
      </w:numPr>
      <w:spacing w:before="200" w:after="0"/>
      <w:outlineLvl w:val="3"/>
    </w:pPr>
    <w:rPr>
      <w:rFonts w:eastAsiaTheme="majorEastAsia" w:cstheme="majorBidi"/>
      <w:b/>
      <w:bCs/>
      <w:i/>
      <w:iCs/>
      <w:color w:val="000000" w:themeColor="text1"/>
      <w14:textFill>
        <w14:solidFill>
          <w14:schemeClr w14:val="tx1"/>
        </w14:solidFill>
      </w14:textFill>
    </w:rPr>
  </w:style>
  <w:style w:type="paragraph" w:styleId="6">
    <w:name w:val="heading 5"/>
    <w:basedOn w:val="1"/>
    <w:next w:val="1"/>
    <w:link w:val="40"/>
    <w:semiHidden/>
    <w:unhideWhenUsed/>
    <w:qFormat/>
    <w:uiPriority w:val="9"/>
    <w:pPr>
      <w:keepNext/>
      <w:keepLines/>
      <w:numPr>
        <w:ilvl w:val="4"/>
        <w:numId w:val="1"/>
      </w:numPr>
      <w:spacing w:before="200" w:after="0"/>
      <w:outlineLvl w:val="4"/>
    </w:pPr>
    <w:rPr>
      <w:rFonts w:eastAsiaTheme="majorEastAsia" w:cstheme="majorBidi"/>
      <w:color w:val="333F50" w:themeColor="text2" w:themeShade="BF"/>
    </w:rPr>
  </w:style>
  <w:style w:type="paragraph" w:styleId="7">
    <w:name w:val="heading 6"/>
    <w:basedOn w:val="1"/>
    <w:next w:val="1"/>
    <w:link w:val="41"/>
    <w:semiHidden/>
    <w:unhideWhenUsed/>
    <w:qFormat/>
    <w:uiPriority w:val="9"/>
    <w:pPr>
      <w:keepNext/>
      <w:keepLines/>
      <w:numPr>
        <w:ilvl w:val="5"/>
        <w:numId w:val="1"/>
      </w:numPr>
      <w:spacing w:before="200" w:after="0"/>
      <w:outlineLvl w:val="5"/>
    </w:pPr>
    <w:rPr>
      <w:rFonts w:eastAsiaTheme="majorEastAsia" w:cstheme="majorBidi"/>
      <w:i/>
      <w:iCs/>
      <w:color w:val="333F50" w:themeColor="text2" w:themeShade="BF"/>
    </w:rPr>
  </w:style>
  <w:style w:type="paragraph" w:styleId="8">
    <w:name w:val="heading 7"/>
    <w:basedOn w:val="1"/>
    <w:next w:val="1"/>
    <w:link w:val="42"/>
    <w:semiHidden/>
    <w:unhideWhenUsed/>
    <w:qFormat/>
    <w:uiPriority w:val="9"/>
    <w:pPr>
      <w:keepNext/>
      <w:keepLines/>
      <w:numPr>
        <w:ilvl w:val="6"/>
        <w:numId w:val="1"/>
      </w:numPr>
      <w:spacing w:before="200" w:after="0"/>
      <w:outlineLvl w:val="6"/>
    </w:pPr>
    <w:rPr>
      <w:rFonts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3"/>
    <w:semiHidden/>
    <w:unhideWhenUsed/>
    <w:qFormat/>
    <w:uiPriority w:val="9"/>
    <w:pPr>
      <w:keepNext/>
      <w:keepLines/>
      <w:numPr>
        <w:ilvl w:val="7"/>
        <w:numId w:val="1"/>
      </w:numPr>
      <w:spacing w:before="200" w:after="0"/>
      <w:outlineLvl w:val="7"/>
    </w:pPr>
    <w:rPr>
      <w:rFonts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4"/>
    <w:semiHidden/>
    <w:unhideWhenUsed/>
    <w:qFormat/>
    <w:uiPriority w:val="9"/>
    <w:pPr>
      <w:keepNext/>
      <w:keepLines/>
      <w:numPr>
        <w:ilvl w:val="8"/>
        <w:numId w:val="1"/>
      </w:numPr>
      <w:spacing w:before="200" w:after="0"/>
      <w:outlineLvl w:val="8"/>
    </w:pPr>
    <w:rPr>
      <w:rFonts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38"/>
    <w:semiHidden/>
    <w:unhideWhenUsed/>
    <w:qFormat/>
    <w:uiPriority w:val="99"/>
    <w:pPr>
      <w:spacing w:after="0" w:line="240" w:lineRule="auto"/>
    </w:pPr>
    <w:rPr>
      <w:rFonts w:ascii="Segoe UI" w:hAnsi="Segoe UI" w:cs="Segoe UI"/>
      <w:sz w:val="18"/>
      <w:szCs w:val="18"/>
    </w:rPr>
  </w:style>
  <w:style w:type="paragraph" w:styleId="14">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Emphasis"/>
    <w:basedOn w:val="11"/>
    <w:qFormat/>
    <w:uiPriority w:val="20"/>
    <w:rPr>
      <w:i/>
      <w:iCs/>
      <w:color w:val="auto"/>
    </w:rPr>
  </w:style>
  <w:style w:type="character" w:styleId="16">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7">
    <w:name w:val="footer"/>
    <w:basedOn w:val="1"/>
    <w:link w:val="62"/>
    <w:unhideWhenUsed/>
    <w:qFormat/>
    <w:uiPriority w:val="99"/>
    <w:pPr>
      <w:tabs>
        <w:tab w:val="center" w:pos="4513"/>
        <w:tab w:val="right" w:pos="9026"/>
      </w:tabs>
      <w:spacing w:after="0" w:line="240" w:lineRule="auto"/>
    </w:pPr>
  </w:style>
  <w:style w:type="character" w:styleId="18">
    <w:name w:val="footnote reference"/>
    <w:basedOn w:val="11"/>
    <w:semiHidden/>
    <w:unhideWhenUsed/>
    <w:qFormat/>
    <w:uiPriority w:val="99"/>
    <w:rPr>
      <w:vertAlign w:val="superscript"/>
    </w:rPr>
  </w:style>
  <w:style w:type="paragraph" w:styleId="19">
    <w:name w:val="footnote text"/>
    <w:basedOn w:val="1"/>
    <w:link w:val="60"/>
    <w:unhideWhenUsed/>
    <w:qFormat/>
    <w:uiPriority w:val="99"/>
    <w:pPr>
      <w:spacing w:after="0" w:line="240" w:lineRule="auto"/>
    </w:pPr>
    <w:rPr>
      <w:sz w:val="20"/>
      <w:szCs w:val="20"/>
    </w:rPr>
  </w:style>
  <w:style w:type="paragraph" w:styleId="20">
    <w:name w:val="header"/>
    <w:basedOn w:val="1"/>
    <w:link w:val="61"/>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000FF"/>
      <w:u w:val="single"/>
    </w:rPr>
  </w:style>
  <w:style w:type="paragraph" w:styleId="22">
    <w:name w:val="Normal (Web)"/>
    <w:basedOn w:val="1"/>
    <w:unhideWhenUsed/>
    <w:qFormat/>
    <w:uiPriority w:val="99"/>
    <w:pPr>
      <w:spacing w:before="100" w:beforeAutospacing="1" w:after="100" w:afterAutospacing="1" w:line="240" w:lineRule="auto"/>
    </w:pPr>
    <w:rPr>
      <w:rFonts w:eastAsia="Times New Roman" w:cs="Times New Roman"/>
      <w:szCs w:val="24"/>
      <w:lang w:eastAsia="en-AU"/>
    </w:rPr>
  </w:style>
  <w:style w:type="character" w:styleId="23">
    <w:name w:val="Strong"/>
    <w:basedOn w:val="11"/>
    <w:qFormat/>
    <w:uiPriority w:val="22"/>
    <w:rPr>
      <w:b/>
      <w:bCs/>
      <w:color w:val="000000" w:themeColor="text1"/>
      <w14:textFill>
        <w14:solidFill>
          <w14:schemeClr w14:val="tx1"/>
        </w14:solidFill>
      </w14:textFill>
    </w:rPr>
  </w:style>
  <w:style w:type="paragraph" w:styleId="24">
    <w:name w:val="Subtitle"/>
    <w:basedOn w:val="1"/>
    <w:next w:val="1"/>
    <w:link w:val="46"/>
    <w:qFormat/>
    <w:uiPriority w:val="11"/>
    <w:rPr>
      <w:color w:val="595959" w:themeColor="text1" w:themeTint="A6"/>
      <w:spacing w:val="10"/>
      <w14:textFill>
        <w14:solidFill>
          <w14:schemeClr w14:val="tx1">
            <w14:lumMod w14:val="65000"/>
            <w14:lumOff w14:val="35000"/>
          </w14:schemeClr>
        </w14:solidFill>
      </w14:textFill>
    </w:rPr>
  </w:style>
  <w:style w:type="table" w:styleId="25">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qFormat/>
    <w:uiPriority w:val="99"/>
    <w:pPr>
      <w:spacing w:after="0"/>
    </w:pPr>
  </w:style>
  <w:style w:type="paragraph" w:styleId="27">
    <w:name w:val="Title"/>
    <w:basedOn w:val="1"/>
    <w:next w:val="1"/>
    <w:link w:val="45"/>
    <w:qFormat/>
    <w:uiPriority w:val="10"/>
    <w:pPr>
      <w:spacing w:after="0"/>
      <w:contextualSpacing/>
    </w:pPr>
    <w:rPr>
      <w:rFonts w:eastAsiaTheme="majorEastAsia" w:cstheme="majorBidi"/>
      <w:color w:val="000000" w:themeColor="text1"/>
      <w:sz w:val="56"/>
      <w:szCs w:val="56"/>
      <w14:textFill>
        <w14:solidFill>
          <w14:schemeClr w14:val="tx1"/>
        </w14:solidFill>
      </w14:textFill>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qFormat/>
    <w:uiPriority w:val="39"/>
    <w:pPr>
      <w:spacing w:after="100"/>
      <w:ind w:left="480"/>
    </w:pPr>
  </w:style>
  <w:style w:type="paragraph" w:styleId="31">
    <w:name w:val="List Paragraph"/>
    <w:basedOn w:val="1"/>
    <w:qFormat/>
    <w:uiPriority w:val="34"/>
    <w:pPr>
      <w:ind w:left="720"/>
      <w:contextualSpacing/>
    </w:pPr>
  </w:style>
  <w:style w:type="character" w:customStyle="1" w:styleId="32">
    <w:name w:val="Heading 1 Char"/>
    <w:basedOn w:val="11"/>
    <w:link w:val="2"/>
    <w:qFormat/>
    <w:uiPriority w:val="9"/>
    <w:rPr>
      <w:rFonts w:ascii="Times New Roman" w:hAnsi="Times New Roman" w:eastAsiaTheme="majorEastAsia" w:cstheme="majorBidi"/>
      <w:b/>
      <w:bCs/>
      <w:color w:val="000000" w:themeColor="text1"/>
      <w:sz w:val="24"/>
      <w:szCs w:val="36"/>
      <w14:textFill>
        <w14:solidFill>
          <w14:schemeClr w14:val="tx1"/>
        </w14:solidFill>
      </w14:textFill>
    </w:rPr>
  </w:style>
  <w:style w:type="paragraph" w:customStyle="1" w:styleId="33">
    <w:name w:val="cursor-hover"/>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34">
    <w:name w:val="z-Top of Form1"/>
    <w:basedOn w:val="1"/>
    <w:next w:val="1"/>
    <w:link w:val="35"/>
    <w:semiHidden/>
    <w:unhideWhenUsed/>
    <w:qFormat/>
    <w:uiPriority w:val="99"/>
    <w:pPr>
      <w:pBdr>
        <w:bottom w:val="single" w:color="auto" w:sz="6" w:space="1"/>
      </w:pBdr>
      <w:spacing w:after="0" w:line="240" w:lineRule="auto"/>
      <w:jc w:val="center"/>
    </w:pPr>
    <w:rPr>
      <w:rFonts w:ascii="Arial" w:hAnsi="Arial" w:eastAsia="Times New Roman" w:cs="Arial"/>
      <w:vanish/>
      <w:sz w:val="16"/>
      <w:szCs w:val="16"/>
      <w:lang w:eastAsia="en-AU"/>
    </w:rPr>
  </w:style>
  <w:style w:type="character" w:customStyle="1" w:styleId="35">
    <w:name w:val="z-Top of Form Char"/>
    <w:basedOn w:val="11"/>
    <w:link w:val="34"/>
    <w:semiHidden/>
    <w:qFormat/>
    <w:uiPriority w:val="99"/>
    <w:rPr>
      <w:rFonts w:ascii="Arial" w:hAnsi="Arial" w:eastAsia="Times New Roman" w:cs="Arial"/>
      <w:vanish/>
      <w:sz w:val="16"/>
      <w:szCs w:val="16"/>
      <w:lang w:eastAsia="en-AU"/>
    </w:rPr>
  </w:style>
  <w:style w:type="character" w:customStyle="1" w:styleId="36">
    <w:name w:val="Heading 2 Char"/>
    <w:basedOn w:val="11"/>
    <w:link w:val="3"/>
    <w:qFormat/>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37">
    <w:name w:val="Heading 3 Char"/>
    <w:basedOn w:val="11"/>
    <w:link w:val="4"/>
    <w:qFormat/>
    <w:uiPriority w:val="9"/>
    <w:rPr>
      <w:rFonts w:ascii="Times New Roman" w:hAnsi="Times New Roman" w:eastAsiaTheme="majorEastAsia" w:cstheme="majorBidi"/>
      <w:b/>
      <w:bCs/>
      <w:i/>
      <w:color w:val="000000" w:themeColor="text1"/>
      <w:sz w:val="24"/>
      <w14:textFill>
        <w14:solidFill>
          <w14:schemeClr w14:val="tx1"/>
        </w14:solidFill>
      </w14:textFill>
    </w:rPr>
  </w:style>
  <w:style w:type="character" w:customStyle="1" w:styleId="38">
    <w:name w:val="Balloon Text Char"/>
    <w:basedOn w:val="11"/>
    <w:link w:val="13"/>
    <w:semiHidden/>
    <w:qFormat/>
    <w:uiPriority w:val="99"/>
    <w:rPr>
      <w:rFonts w:ascii="Segoe UI" w:hAnsi="Segoe UI" w:cs="Segoe UI"/>
      <w:sz w:val="18"/>
      <w:szCs w:val="18"/>
      <w:lang w:val="en-US"/>
    </w:rPr>
  </w:style>
  <w:style w:type="character" w:customStyle="1" w:styleId="39">
    <w:name w:val="Heading 4 Char"/>
    <w:basedOn w:val="11"/>
    <w:link w:val="5"/>
    <w:qFormat/>
    <w:uiPriority w:val="9"/>
    <w:rPr>
      <w:rFonts w:ascii="Times New Roman" w:hAnsi="Times New Roman" w:eastAsiaTheme="majorEastAsia" w:cstheme="majorBidi"/>
      <w:b/>
      <w:bCs/>
      <w:i/>
      <w:iCs/>
      <w:color w:val="000000" w:themeColor="text1"/>
      <w:sz w:val="24"/>
      <w14:textFill>
        <w14:solidFill>
          <w14:schemeClr w14:val="tx1"/>
        </w14:solidFill>
      </w14:textFill>
    </w:rPr>
  </w:style>
  <w:style w:type="character" w:customStyle="1" w:styleId="40">
    <w:name w:val="Heading 5 Char"/>
    <w:basedOn w:val="11"/>
    <w:link w:val="6"/>
    <w:semiHidden/>
    <w:qFormat/>
    <w:uiPriority w:val="9"/>
    <w:rPr>
      <w:rFonts w:ascii="Times New Roman" w:hAnsi="Times New Roman" w:eastAsiaTheme="majorEastAsia" w:cstheme="majorBidi"/>
      <w:color w:val="333F50" w:themeColor="text2" w:themeShade="BF"/>
      <w:sz w:val="24"/>
    </w:rPr>
  </w:style>
  <w:style w:type="character" w:customStyle="1" w:styleId="41">
    <w:name w:val="Heading 6 Char"/>
    <w:basedOn w:val="11"/>
    <w:link w:val="7"/>
    <w:semiHidden/>
    <w:qFormat/>
    <w:uiPriority w:val="9"/>
    <w:rPr>
      <w:rFonts w:ascii="Times New Roman" w:hAnsi="Times New Roman" w:eastAsiaTheme="majorEastAsia" w:cstheme="majorBidi"/>
      <w:i/>
      <w:iCs/>
      <w:color w:val="333F50" w:themeColor="text2" w:themeShade="BF"/>
      <w:sz w:val="24"/>
    </w:rPr>
  </w:style>
  <w:style w:type="character" w:customStyle="1" w:styleId="42">
    <w:name w:val="Heading 7 Char"/>
    <w:basedOn w:val="11"/>
    <w:link w:val="8"/>
    <w:semiHidden/>
    <w:qFormat/>
    <w:uiPriority w:val="9"/>
    <w:rPr>
      <w:rFonts w:ascii="Times New Roman" w:hAnsi="Times New Roman"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43">
    <w:name w:val="Heading 8 Char"/>
    <w:basedOn w:val="11"/>
    <w:link w:val="9"/>
    <w:semiHidden/>
    <w:qFormat/>
    <w:uiPriority w:val="9"/>
    <w:rPr>
      <w:rFonts w:ascii="Times New Roman" w:hAnsi="Times New Roman"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44">
    <w:name w:val="Heading 9 Char"/>
    <w:basedOn w:val="11"/>
    <w:link w:val="10"/>
    <w:semiHidden/>
    <w:qFormat/>
    <w:uiPriority w:val="9"/>
    <w:rPr>
      <w:rFonts w:ascii="Times New Roman" w:hAnsi="Times New Roman"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45">
    <w:name w:val="Title Char"/>
    <w:basedOn w:val="11"/>
    <w:link w:val="27"/>
    <w:qFormat/>
    <w:uiPriority w:val="10"/>
    <w:rPr>
      <w:rFonts w:asciiTheme="majorHAnsi" w:hAnsiTheme="majorHAnsi" w:eastAsiaTheme="majorEastAsia" w:cstheme="majorBidi"/>
      <w:color w:val="000000" w:themeColor="text1"/>
      <w:sz w:val="56"/>
      <w:szCs w:val="56"/>
      <w14:textFill>
        <w14:solidFill>
          <w14:schemeClr w14:val="tx1"/>
        </w14:solidFill>
      </w14:textFill>
    </w:rPr>
  </w:style>
  <w:style w:type="character" w:customStyle="1" w:styleId="46">
    <w:name w:val="Subtitle Char"/>
    <w:basedOn w:val="11"/>
    <w:link w:val="24"/>
    <w:qFormat/>
    <w:uiPriority w:val="11"/>
    <w:rPr>
      <w:color w:val="595959" w:themeColor="text1" w:themeTint="A6"/>
      <w:spacing w:val="10"/>
      <w14:textFill>
        <w14:solidFill>
          <w14:schemeClr w14:val="tx1">
            <w14:lumMod w14:val="65000"/>
            <w14:lumOff w14:val="35000"/>
          </w14:schemeClr>
        </w14:solidFill>
      </w14:textFill>
    </w:rPr>
  </w:style>
  <w:style w:type="paragraph" w:styleId="47">
    <w:name w:val="No Spacing"/>
    <w:qFormat/>
    <w:uiPriority w:val="1"/>
    <w:pPr>
      <w:spacing w:line="480" w:lineRule="auto"/>
      <w:jc w:val="center"/>
    </w:pPr>
    <w:rPr>
      <w:rFonts w:asciiTheme="majorHAnsi" w:hAnsiTheme="majorHAnsi" w:eastAsiaTheme="minorEastAsia" w:cstheme="minorBidi"/>
      <w:sz w:val="24"/>
      <w:szCs w:val="22"/>
      <w:lang w:val="en-AU" w:eastAsia="en-US" w:bidi="ar-SA"/>
    </w:rPr>
  </w:style>
  <w:style w:type="paragraph" w:styleId="48">
    <w:name w:val="Quote"/>
    <w:basedOn w:val="1"/>
    <w:next w:val="1"/>
    <w:link w:val="49"/>
    <w:qFormat/>
    <w:uiPriority w:val="29"/>
    <w:pPr>
      <w:spacing w:before="160"/>
      <w:ind w:right="720"/>
    </w:pPr>
    <w:rPr>
      <w:i/>
      <w:iCs/>
      <w:color w:val="000000" w:themeColor="text1"/>
      <w:sz w:val="20"/>
      <w14:textFill>
        <w14:solidFill>
          <w14:schemeClr w14:val="tx1"/>
        </w14:solidFill>
      </w14:textFill>
    </w:rPr>
  </w:style>
  <w:style w:type="character" w:customStyle="1" w:styleId="49">
    <w:name w:val="Quote Char"/>
    <w:basedOn w:val="11"/>
    <w:link w:val="48"/>
    <w:qFormat/>
    <w:uiPriority w:val="29"/>
    <w:rPr>
      <w:rFonts w:ascii="Times New Roman" w:hAnsi="Times New Roman"/>
      <w:i/>
      <w:iCs/>
      <w:color w:val="000000" w:themeColor="text1"/>
      <w:sz w:val="20"/>
      <w14:textFill>
        <w14:solidFill>
          <w14:schemeClr w14:val="tx1"/>
        </w14:solidFill>
      </w14:textFill>
    </w:rPr>
  </w:style>
  <w:style w:type="paragraph" w:styleId="50">
    <w:name w:val="Intense Quote"/>
    <w:basedOn w:val="1"/>
    <w:next w:val="1"/>
    <w:link w:val="51"/>
    <w:qFormat/>
    <w:uiPriority w:val="30"/>
    <w:pPr>
      <w:pBdr>
        <w:top w:val="single" w:color="F1F1F1" w:themeColor="background1" w:themeShade="F2" w:sz="24" w:space="1"/>
        <w:bottom w:val="single" w:color="F1F1F1" w:themeColor="background1" w:themeShade="F2" w:sz="24" w:space="1"/>
      </w:pBdr>
      <w:shd w:val="clear" w:color="auto" w:fill="F1F1F1" w:themeFill="background1" w:themeFillShade="F2"/>
      <w:spacing w:before="240" w:after="240"/>
      <w:ind w:left="936" w:right="936"/>
      <w:jc w:val="center"/>
    </w:pPr>
    <w:rPr>
      <w:color w:val="000000" w:themeColor="text1"/>
      <w14:textFill>
        <w14:solidFill>
          <w14:schemeClr w14:val="tx1"/>
        </w14:solidFill>
      </w14:textFill>
    </w:rPr>
  </w:style>
  <w:style w:type="character" w:customStyle="1" w:styleId="51">
    <w:name w:val="Intense Quote Char"/>
    <w:basedOn w:val="11"/>
    <w:link w:val="50"/>
    <w:qFormat/>
    <w:uiPriority w:val="30"/>
    <w:rPr>
      <w:color w:val="000000" w:themeColor="text1"/>
      <w:shd w:val="clear" w:color="auto" w:fill="F1F1F1" w:themeFill="background1" w:themeFillShade="F2"/>
      <w14:textFill>
        <w14:solidFill>
          <w14:schemeClr w14:val="tx1"/>
        </w14:solidFill>
      </w14:textFill>
    </w:rPr>
  </w:style>
  <w:style w:type="character" w:customStyle="1" w:styleId="52">
    <w:name w:val="Subtle Emphasis1"/>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53">
    <w:name w:val="Intense Emphasis1"/>
    <w:basedOn w:val="11"/>
    <w:qFormat/>
    <w:uiPriority w:val="21"/>
    <w:rPr>
      <w:b/>
      <w:bCs/>
      <w:i/>
      <w:iCs/>
      <w:caps/>
    </w:rPr>
  </w:style>
  <w:style w:type="character" w:customStyle="1" w:styleId="54">
    <w:name w:val="Subtle Reference1"/>
    <w:basedOn w:val="11"/>
    <w:qFormat/>
    <w:uiPriority w:val="31"/>
    <w:rPr>
      <w:smallCaps/>
      <w:color w:val="404040" w:themeColor="text1" w:themeTint="BF"/>
      <w:u w:val="single" w:color="7F7F7F"/>
      <w14:textFill>
        <w14:solidFill>
          <w14:schemeClr w14:val="tx1">
            <w14:lumMod w14:val="75000"/>
            <w14:lumOff w14:val="25000"/>
          </w14:schemeClr>
        </w14:solidFill>
      </w14:textFill>
    </w:rPr>
  </w:style>
  <w:style w:type="character" w:customStyle="1" w:styleId="55">
    <w:name w:val="Intense Reference1"/>
    <w:basedOn w:val="11"/>
    <w:qFormat/>
    <w:uiPriority w:val="32"/>
    <w:rPr>
      <w:b/>
      <w:bCs/>
      <w:smallCaps/>
      <w:u w:val="single"/>
    </w:rPr>
  </w:style>
  <w:style w:type="character" w:customStyle="1" w:styleId="56">
    <w:name w:val="Book Title1"/>
    <w:basedOn w:val="11"/>
    <w:qFormat/>
    <w:uiPriority w:val="33"/>
    <w:rPr>
      <w:smallCaps/>
      <w:spacing w:val="5"/>
    </w:rPr>
  </w:style>
  <w:style w:type="paragraph" w:customStyle="1" w:styleId="57">
    <w:name w:val="TOC Heading1"/>
    <w:basedOn w:val="2"/>
    <w:next w:val="1"/>
    <w:unhideWhenUsed/>
    <w:qFormat/>
    <w:uiPriority w:val="39"/>
    <w:pPr>
      <w:outlineLvl w:val="9"/>
    </w:pPr>
  </w:style>
  <w:style w:type="paragraph" w:customStyle="1" w:styleId="58">
    <w:name w:val="p"/>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59">
    <w:name w:val="Title 2"/>
    <w:basedOn w:val="1"/>
    <w:qFormat/>
    <w:uiPriority w:val="1"/>
    <w:pPr>
      <w:spacing w:after="0"/>
      <w:jc w:val="center"/>
    </w:pPr>
    <w:rPr>
      <w:kern w:val="24"/>
      <w:szCs w:val="24"/>
      <w:lang w:val="en-US" w:eastAsia="ja-JP"/>
    </w:rPr>
  </w:style>
  <w:style w:type="character" w:customStyle="1" w:styleId="60">
    <w:name w:val="Footnote Text Char"/>
    <w:basedOn w:val="11"/>
    <w:link w:val="19"/>
    <w:qFormat/>
    <w:uiPriority w:val="99"/>
    <w:rPr>
      <w:rFonts w:ascii="Times New Roman" w:hAnsi="Times New Roman"/>
      <w:sz w:val="20"/>
      <w:szCs w:val="20"/>
    </w:rPr>
  </w:style>
  <w:style w:type="character" w:customStyle="1" w:styleId="61">
    <w:name w:val="Header Char"/>
    <w:basedOn w:val="11"/>
    <w:link w:val="20"/>
    <w:qFormat/>
    <w:uiPriority w:val="99"/>
    <w:rPr>
      <w:rFonts w:ascii="Times New Roman" w:hAnsi="Times New Roman"/>
      <w:sz w:val="24"/>
    </w:rPr>
  </w:style>
  <w:style w:type="character" w:customStyle="1" w:styleId="62">
    <w:name w:val="Footer Char"/>
    <w:basedOn w:val="11"/>
    <w:link w:val="17"/>
    <w:qFormat/>
    <w:uiPriority w:val="99"/>
    <w:rPr>
      <w:rFonts w:ascii="Times New Roman" w:hAnsi="Times New Roman"/>
      <w:sz w:val="24"/>
    </w:rPr>
  </w:style>
  <w:style w:type="table" w:customStyle="1" w:styleId="63">
    <w:name w:val="Grid Table 2 - Accent 31"/>
    <w:basedOn w:val="12"/>
    <w:qFormat/>
    <w:uiPriority w:val="47"/>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64">
    <w:name w:val="Grid Table 21"/>
    <w:basedOn w:val="12"/>
    <w:qFormat/>
    <w:uiPriority w:val="47"/>
    <w:tblPr>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cPr>
        <w:tcBorders>
          <w:top w:val="nil"/>
          <w:bottom w:val="single" w:color="666666" w:themeColor="text1" w:themeTint="99" w:sz="12" w:space="0"/>
          <w:insideH w:val="nil"/>
          <w:insideV w:val="nil"/>
        </w:tcBorders>
        <w:shd w:val="clear" w:color="auto" w:fill="FFFFFF" w:themeFill="background1"/>
      </w:tcPr>
    </w:tblStylePr>
    <w:tblStylePr w:type="lastRow">
      <w:rPr>
        <w:b/>
        <w:bCs/>
      </w:r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5">
    <w:name w:val="Plain Table 11"/>
    <w:basedOn w:val="12"/>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66">
    <w:name w:val="Table Grid Light1"/>
    <w:basedOn w:val="12"/>
    <w:qFormat/>
    <w:uiPriority w:val="40"/>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67">
    <w:name w:val="Grid Table 6 Colorful1"/>
    <w:basedOn w:val="12"/>
    <w:qFormat/>
    <w:uiPriority w:val="51"/>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8">
    <w:name w:val="Grid Table 31"/>
    <w:basedOn w:val="12"/>
    <w:qFormat/>
    <w:uiPriority w:val="48"/>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69">
    <w:name w:val="Grid Table 7 Colorful1"/>
    <w:basedOn w:val="12"/>
    <w:qFormat/>
    <w:uiPriority w:val="52"/>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character" w:customStyle="1" w:styleId="70">
    <w:name w:val="Unresolved Mention1"/>
    <w:basedOn w:val="11"/>
    <w:semiHidden/>
    <w:unhideWhenUsed/>
    <w:qFormat/>
    <w:uiPriority w:val="99"/>
    <w:rPr>
      <w:color w:val="605E5C"/>
      <w:shd w:val="clear" w:color="auto" w:fill="E1DFDD"/>
    </w:rPr>
  </w:style>
  <w:style w:type="paragraph" w:customStyle="1" w:styleId="71">
    <w:name w:val="mb15"/>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paragraph" w:customStyle="1" w:styleId="72">
    <w:name w:val="muitypography-root"/>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table" w:customStyle="1" w:styleId="73">
    <w:name w:val="Light Shading1"/>
    <w:basedOn w:val="12"/>
    <w:qFormat/>
    <w:uiPriority w:val="60"/>
    <w:rPr>
      <w:rFonts w:eastAsiaTheme="minorHAnsi"/>
      <w:color w:val="000000"/>
      <w:lang w:val="en-US"/>
    </w:rPr>
    <w:tblPr>
      <w:tblBorders>
        <w:top w:val="single" w:color="000000" w:sz="8" w:space="0"/>
        <w:bottom w:val="single" w:color="000000" w:sz="8" w:space="0"/>
      </w:tblBorders>
    </w:tblPr>
    <w:tblStylePr w:type="fir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la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firstCol">
      <w:rPr>
        <w:b/>
        <w:bCs/>
      </w:rPr>
    </w:tblStylePr>
    <w:tblStylePr w:type="lastCol">
      <w:rPr>
        <w:b/>
        <w:bCs/>
      </w:rPr>
    </w:tblStylePr>
    <w:tblStylePr w:type="band1Vert">
      <w:tcPr>
        <w:tcBorders>
          <w:left w:val="nil"/>
          <w:right w:val="nil"/>
          <w:insideH w:val="nil"/>
          <w:insideV w:val="nil"/>
        </w:tcBorders>
        <w:shd w:val="clear" w:color="auto" w:fill="C0C0C0"/>
      </w:tcPr>
    </w:tblStylePr>
    <w:tblStylePr w:type="band1Horz">
      <w:tcPr>
        <w:tcBorders>
          <w:left w:val="nil"/>
          <w:right w:val="nil"/>
          <w:insideH w:val="nil"/>
          <w:insideV w:val="nil"/>
        </w:tcBorders>
        <w:shd w:val="clear" w:color="auto" w:fill="C0C0C0"/>
      </w:tcPr>
    </w:tblStylePr>
  </w:style>
  <w:style w:type="character" w:customStyle="1" w:styleId="74">
    <w:name w:val="text-block-with-attachment"/>
    <w:basedOn w:val="11"/>
    <w:qFormat/>
    <w:uiPriority w:val="0"/>
  </w:style>
  <w:style w:type="character" w:customStyle="1" w:styleId="75">
    <w:name w:val="label"/>
    <w:basedOn w:val="11"/>
    <w:qFormat/>
    <w:uiPriority w:val="0"/>
  </w:style>
  <w:style w:type="character" w:customStyle="1" w:styleId="76">
    <w:name w:val="citation-1"/>
    <w:basedOn w:val="11"/>
    <w:qFormat/>
    <w:uiPriority w:val="0"/>
  </w:style>
  <w:style w:type="character" w:customStyle="1" w:styleId="77">
    <w:name w:val="citation-31"/>
    <w:basedOn w:val="11"/>
    <w:qFormat/>
    <w:uiPriority w:val="0"/>
  </w:style>
  <w:style w:type="character" w:customStyle="1" w:styleId="78">
    <w:name w:val="citation-30"/>
    <w:basedOn w:val="11"/>
    <w:qFormat/>
    <w:uiPriority w:val="0"/>
  </w:style>
  <w:style w:type="character" w:customStyle="1" w:styleId="79">
    <w:name w:val="citation-29"/>
    <w:basedOn w:val="11"/>
    <w:qFormat/>
    <w:uiPriority w:val="0"/>
  </w:style>
  <w:style w:type="character" w:customStyle="1" w:styleId="80">
    <w:name w:val="citation-28"/>
    <w:basedOn w:val="11"/>
    <w:qFormat/>
    <w:uiPriority w:val="0"/>
  </w:style>
  <w:style w:type="character" w:customStyle="1" w:styleId="81">
    <w:name w:val="citation-27"/>
    <w:basedOn w:val="11"/>
    <w:qFormat/>
    <w:uiPriority w:val="0"/>
  </w:style>
  <w:style w:type="character" w:customStyle="1" w:styleId="82">
    <w:name w:val="citation-26"/>
    <w:basedOn w:val="11"/>
    <w:qFormat/>
    <w:uiPriority w:val="0"/>
  </w:style>
  <w:style w:type="character" w:customStyle="1" w:styleId="83">
    <w:name w:val="citation-25"/>
    <w:basedOn w:val="11"/>
    <w:qFormat/>
    <w:uiPriority w:val="0"/>
  </w:style>
  <w:style w:type="character" w:customStyle="1" w:styleId="84">
    <w:name w:val="citation-24"/>
    <w:basedOn w:val="11"/>
    <w:qFormat/>
    <w:uiPriority w:val="0"/>
  </w:style>
  <w:style w:type="table" w:customStyle="1" w:styleId="85">
    <w:name w:val="Plain Table 1"/>
    <w:basedOn w:val="12"/>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CD0EC-CF64-40BF-AB00-8EF681B7B2DD}">
  <ds:schemaRefs/>
</ds:datastoreItem>
</file>

<file path=docProps/app.xml><?xml version="1.0" encoding="utf-8"?>
<Properties xmlns="http://schemas.openxmlformats.org/officeDocument/2006/extended-properties" xmlns:vt="http://schemas.openxmlformats.org/officeDocument/2006/docPropsVTypes">
  <Template>Normal</Template>
  <Pages>15</Pages>
  <Words>2981</Words>
  <Characters>16036</Characters>
  <Lines>144</Lines>
  <Paragraphs>40</Paragraphs>
  <TotalTime>18</TotalTime>
  <ScaleCrop>false</ScaleCrop>
  <LinksUpToDate>false</LinksUpToDate>
  <CharactersWithSpaces>18953</CharactersWithSpaces>
  <Application>WPS Office_12.1.0.25862_F1E327BC-269C-435d-A152-05C5408002CA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2026-04-19T18:36:00Z</dcterms:created>
  <dc:creator>Administrator</dc:creator>
  <cp:lastModifiedBy>Durgesh Badhe</cp:lastModifiedBy>
  <dcterms:modified xsi:type="dcterms:W3CDTF">2026-05-07T13:27:05Z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eyJoZGlkIjoiN2RlODY0ZTk5ZDJjYTQ4MTZjMjVlOTYzYzRkYTVjMWQiLCJ1c2VySWQiOiI1Njc1Mjk3OTQ0NTIifQ==</vt:lpwstr>
  </property>
  <property fmtid="{D5CDD505-2E9C-101B-9397-08002B2CF9AE}" pid="3" name="KSOProductBuildVer">
    <vt:lpwstr>1033-12.1.0.25862</vt:lpwstr>
  </property>
  <property fmtid="{D5CDD505-2E9C-101B-9397-08002B2CF9AE}" pid="4" name="ICV">
    <vt:lpwstr>EBB274DDD1804D5A89252C005B01B993_12</vt:lpwstr>
  </property>
</Properties>
</file>