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73B2E5" w14:textId="77777777" w:rsidR="00F87FC2" w:rsidRPr="00F87FC2" w:rsidRDefault="00F87FC2" w:rsidP="00B6642D">
      <w:pPr>
        <w:spacing w:line="360" w:lineRule="auto"/>
        <w:rPr>
          <w:rFonts w:ascii="Arial" w:hAnsi="Arial" w:cs="Arial"/>
          <w:sz w:val="22"/>
          <w:szCs w:val="22"/>
          <w:u w:val="single"/>
          <w:lang w:val="en-GB"/>
        </w:rPr>
      </w:pPr>
      <w:r w:rsidRPr="00F87FC2">
        <w:rPr>
          <w:rFonts w:ascii="Arial" w:hAnsi="Arial" w:cs="Arial"/>
          <w:sz w:val="22"/>
          <w:szCs w:val="22"/>
          <w:u w:val="single"/>
          <w:lang w:val="en-GB"/>
        </w:rPr>
        <w:t>Introduction</w:t>
      </w:r>
    </w:p>
    <w:p w14:paraId="20A2E5D1" w14:textId="77777777" w:rsidR="00F87FC2" w:rsidRDefault="00F87FC2" w:rsidP="00B6642D">
      <w:pPr>
        <w:spacing w:line="360" w:lineRule="auto"/>
        <w:rPr>
          <w:rFonts w:ascii="Arial" w:hAnsi="Arial" w:cs="Arial"/>
          <w:sz w:val="22"/>
          <w:szCs w:val="22"/>
          <w:lang w:val="en-GB"/>
        </w:rPr>
      </w:pPr>
    </w:p>
    <w:p w14:paraId="245748B0" w14:textId="181D3C83" w:rsidR="00F87FC2" w:rsidRDefault="00A055CD" w:rsidP="00B6642D">
      <w:pPr>
        <w:spacing w:line="360" w:lineRule="auto"/>
        <w:ind w:firstLine="720"/>
        <w:rPr>
          <w:rFonts w:ascii="Arial" w:hAnsi="Arial" w:cs="Arial"/>
          <w:sz w:val="22"/>
          <w:szCs w:val="22"/>
          <w:lang w:val="en-GB"/>
        </w:rPr>
      </w:pPr>
      <w:r>
        <w:rPr>
          <w:rFonts w:ascii="Arial" w:hAnsi="Arial" w:cs="Arial"/>
          <w:sz w:val="22"/>
          <w:szCs w:val="22"/>
          <w:lang w:val="en-GB"/>
        </w:rPr>
        <w:t xml:space="preserve">Education in Wales is currently facing complete upheaval </w:t>
      </w:r>
      <w:r w:rsidR="001A18F9">
        <w:rPr>
          <w:rFonts w:ascii="Arial" w:hAnsi="Arial" w:cs="Arial"/>
          <w:sz w:val="22"/>
          <w:szCs w:val="22"/>
          <w:lang w:val="en-GB"/>
        </w:rPr>
        <w:t xml:space="preserve">following Professor Graham Donaldson’s review, </w:t>
      </w:r>
      <w:r w:rsidR="001A18F9">
        <w:rPr>
          <w:rFonts w:ascii="Arial" w:hAnsi="Arial" w:cs="Arial"/>
          <w:i/>
          <w:sz w:val="22"/>
          <w:szCs w:val="22"/>
          <w:lang w:val="en-GB"/>
        </w:rPr>
        <w:t>Successful Futures</w:t>
      </w:r>
      <w:r w:rsidR="001A18F9">
        <w:rPr>
          <w:rFonts w:ascii="Arial" w:hAnsi="Arial" w:cs="Arial"/>
          <w:sz w:val="22"/>
          <w:szCs w:val="22"/>
          <w:lang w:val="en-GB"/>
        </w:rPr>
        <w:t xml:space="preserve"> (2015). The review sets out recommendations for the Welsh Government and proposes the four core purposes of the curriculum (See </w:t>
      </w:r>
      <w:r w:rsidR="001A18F9">
        <w:rPr>
          <w:rFonts w:ascii="Arial" w:hAnsi="Arial" w:cs="Arial"/>
          <w:b/>
          <w:sz w:val="22"/>
          <w:szCs w:val="22"/>
          <w:lang w:val="en-GB"/>
        </w:rPr>
        <w:t>Figure 1</w:t>
      </w:r>
      <w:r w:rsidR="001A18F9">
        <w:rPr>
          <w:rFonts w:ascii="Arial" w:hAnsi="Arial" w:cs="Arial"/>
          <w:sz w:val="22"/>
          <w:szCs w:val="22"/>
          <w:lang w:val="en-GB"/>
        </w:rPr>
        <w:t>) that teachers in Wales are beginning to implement in schools already. This essay aims to evaluate how teaching professionals can support pupils with Additional Learning Needs (ALN) whilst still attempting to successfully i</w:t>
      </w:r>
      <w:r w:rsidR="00B6642D">
        <w:rPr>
          <w:rFonts w:ascii="Arial" w:hAnsi="Arial" w:cs="Arial"/>
          <w:sz w:val="22"/>
          <w:szCs w:val="22"/>
          <w:lang w:val="en-GB"/>
        </w:rPr>
        <w:t>mplement these four purposes, along with</w:t>
      </w:r>
      <w:r w:rsidR="001A18F9">
        <w:rPr>
          <w:rFonts w:ascii="Arial" w:hAnsi="Arial" w:cs="Arial"/>
          <w:sz w:val="22"/>
          <w:szCs w:val="22"/>
          <w:lang w:val="en-GB"/>
        </w:rPr>
        <w:t xml:space="preserve"> the new curriculum. It will also evaluate current literature that best supports next steps following on from the critical inci</w:t>
      </w:r>
      <w:r w:rsidR="00B6642D">
        <w:rPr>
          <w:rFonts w:ascii="Arial" w:hAnsi="Arial" w:cs="Arial"/>
          <w:sz w:val="22"/>
          <w:szCs w:val="22"/>
          <w:lang w:val="en-GB"/>
        </w:rPr>
        <w:t>dent observed; this aims to</w:t>
      </w:r>
      <w:r w:rsidR="001A18F9">
        <w:rPr>
          <w:rFonts w:ascii="Arial" w:hAnsi="Arial" w:cs="Arial"/>
          <w:sz w:val="22"/>
          <w:szCs w:val="22"/>
          <w:lang w:val="en-GB"/>
        </w:rPr>
        <w:t xml:space="preserve"> </w:t>
      </w:r>
      <w:r w:rsidR="00B6642D">
        <w:rPr>
          <w:rFonts w:ascii="Arial" w:hAnsi="Arial" w:cs="Arial"/>
          <w:sz w:val="22"/>
          <w:szCs w:val="22"/>
          <w:lang w:val="en-GB"/>
        </w:rPr>
        <w:t>be informative of</w:t>
      </w:r>
      <w:r w:rsidR="001A18F9">
        <w:rPr>
          <w:rFonts w:ascii="Arial" w:hAnsi="Arial" w:cs="Arial"/>
          <w:sz w:val="22"/>
          <w:szCs w:val="22"/>
          <w:lang w:val="en-GB"/>
        </w:rPr>
        <w:t xml:space="preserve"> </w:t>
      </w:r>
      <w:r w:rsidR="00B6642D">
        <w:rPr>
          <w:rFonts w:ascii="Arial" w:hAnsi="Arial" w:cs="Arial"/>
          <w:sz w:val="22"/>
          <w:szCs w:val="22"/>
          <w:lang w:val="en-GB"/>
        </w:rPr>
        <w:t xml:space="preserve">how to best improve personal practice and improve as a reflective practitioner. </w:t>
      </w:r>
    </w:p>
    <w:p w14:paraId="438C3F89" w14:textId="77777777" w:rsidR="00F87FC2" w:rsidRDefault="00F87FC2">
      <w:pPr>
        <w:rPr>
          <w:rFonts w:ascii="Arial" w:hAnsi="Arial" w:cs="Arial"/>
          <w:sz w:val="22"/>
          <w:szCs w:val="22"/>
          <w:lang w:val="en-GB"/>
        </w:rPr>
      </w:pPr>
    </w:p>
    <w:p w14:paraId="766E3C10" w14:textId="77777777" w:rsidR="00F87FC2" w:rsidRPr="00417468" w:rsidRDefault="00F87FC2" w:rsidP="00F87FC2">
      <w:pPr>
        <w:spacing w:line="360" w:lineRule="auto"/>
        <w:rPr>
          <w:rFonts w:ascii="Arial" w:hAnsi="Arial" w:cs="Arial"/>
          <w:sz w:val="22"/>
          <w:szCs w:val="22"/>
          <w:u w:val="single"/>
          <w:lang w:val="en-GB"/>
        </w:rPr>
      </w:pPr>
      <w:r w:rsidRPr="00417468">
        <w:rPr>
          <w:rFonts w:ascii="Arial" w:hAnsi="Arial" w:cs="Arial"/>
          <w:sz w:val="22"/>
          <w:szCs w:val="22"/>
          <w:u w:val="single"/>
          <w:lang w:val="en-GB"/>
        </w:rPr>
        <w:t>Observation</w:t>
      </w:r>
    </w:p>
    <w:p w14:paraId="7E033515" w14:textId="77777777" w:rsidR="00F87FC2" w:rsidRPr="00417468" w:rsidRDefault="00F87FC2" w:rsidP="00F87FC2">
      <w:pPr>
        <w:spacing w:line="360" w:lineRule="auto"/>
        <w:rPr>
          <w:rFonts w:ascii="Arial" w:hAnsi="Arial" w:cs="Arial"/>
          <w:sz w:val="22"/>
          <w:szCs w:val="22"/>
          <w:u w:val="single"/>
          <w:lang w:val="en-GB"/>
        </w:rPr>
      </w:pPr>
    </w:p>
    <w:p w14:paraId="5C186FD2" w14:textId="77777777" w:rsidR="00F87FC2" w:rsidRPr="00417468" w:rsidRDefault="00F87FC2" w:rsidP="00F87FC2">
      <w:pPr>
        <w:spacing w:line="360" w:lineRule="auto"/>
        <w:ind w:firstLine="720"/>
        <w:rPr>
          <w:rFonts w:ascii="Arial" w:hAnsi="Arial" w:cs="Arial"/>
          <w:sz w:val="22"/>
          <w:szCs w:val="22"/>
          <w:lang w:val="en-GB"/>
        </w:rPr>
      </w:pPr>
      <w:r w:rsidRPr="00417468">
        <w:rPr>
          <w:rFonts w:ascii="Arial" w:hAnsi="Arial" w:cs="Arial"/>
          <w:sz w:val="22"/>
          <w:szCs w:val="22"/>
          <w:lang w:val="en-GB"/>
        </w:rPr>
        <w:t>School X refers to an English medium comprehensive school in the South Wales area. According to School X’s April 2015 Estyn inspection report, ‘Around 26% of pupils are eligible for free school meals. This is higher than the national average of 17.5% in Wales.’ (p. 1). The report also outlines that just over 1000 pupils attend the school, and that 38% of pupils live in deprived areas of Wales (p.1). The particular observation which will be discussed in this essay was undertaken in a class consisting of twenty Year 7 pupils (aged 11 to 12). After discus</w:t>
      </w:r>
      <w:r>
        <w:rPr>
          <w:rFonts w:ascii="Arial" w:hAnsi="Arial" w:cs="Arial"/>
          <w:sz w:val="22"/>
          <w:szCs w:val="22"/>
          <w:lang w:val="en-GB"/>
        </w:rPr>
        <w:t>sing abilities across the school</w:t>
      </w:r>
      <w:r w:rsidRPr="00417468">
        <w:rPr>
          <w:rFonts w:ascii="Arial" w:hAnsi="Arial" w:cs="Arial"/>
          <w:sz w:val="22"/>
          <w:szCs w:val="22"/>
          <w:lang w:val="en-GB"/>
        </w:rPr>
        <w:t xml:space="preserve"> with members of staff, it was noted that School X </w:t>
      </w:r>
      <w:r>
        <w:rPr>
          <w:rFonts w:ascii="Arial" w:hAnsi="Arial" w:cs="Arial"/>
          <w:sz w:val="22"/>
          <w:szCs w:val="22"/>
          <w:lang w:val="en-GB"/>
        </w:rPr>
        <w:t>exercises a banding system</w:t>
      </w:r>
      <w:r w:rsidRPr="00417468">
        <w:rPr>
          <w:rFonts w:ascii="Arial" w:hAnsi="Arial" w:cs="Arial"/>
          <w:sz w:val="22"/>
          <w:szCs w:val="22"/>
          <w:lang w:val="en-GB"/>
        </w:rPr>
        <w:t xml:space="preserve"> from Year 7</w:t>
      </w:r>
      <w:r>
        <w:rPr>
          <w:rFonts w:ascii="Arial" w:hAnsi="Arial" w:cs="Arial"/>
          <w:sz w:val="22"/>
          <w:szCs w:val="22"/>
          <w:lang w:val="en-GB"/>
        </w:rPr>
        <w:t xml:space="preserve"> as a result of its vast range of abilities. The class which was</w:t>
      </w:r>
      <w:r w:rsidRPr="00417468">
        <w:rPr>
          <w:rFonts w:ascii="Arial" w:hAnsi="Arial" w:cs="Arial"/>
          <w:sz w:val="22"/>
          <w:szCs w:val="22"/>
          <w:lang w:val="en-GB"/>
        </w:rPr>
        <w:t xml:space="preserve"> ob</w:t>
      </w:r>
      <w:r>
        <w:rPr>
          <w:rFonts w:ascii="Arial" w:hAnsi="Arial" w:cs="Arial"/>
          <w:sz w:val="22"/>
          <w:szCs w:val="22"/>
          <w:lang w:val="en-GB"/>
        </w:rPr>
        <w:t>served in this instance was 7R</w:t>
      </w:r>
      <w:r w:rsidRPr="00417468">
        <w:rPr>
          <w:rFonts w:ascii="Arial" w:hAnsi="Arial" w:cs="Arial"/>
          <w:sz w:val="22"/>
          <w:szCs w:val="22"/>
          <w:lang w:val="en-GB"/>
        </w:rPr>
        <w:t>, which the class teacher explained co</w:t>
      </w:r>
      <w:r>
        <w:rPr>
          <w:rFonts w:ascii="Arial" w:hAnsi="Arial" w:cs="Arial"/>
          <w:sz w:val="22"/>
          <w:szCs w:val="22"/>
          <w:lang w:val="en-GB"/>
        </w:rPr>
        <w:t>nsisted</w:t>
      </w:r>
      <w:r w:rsidRPr="00417468">
        <w:rPr>
          <w:rFonts w:ascii="Arial" w:hAnsi="Arial" w:cs="Arial"/>
          <w:sz w:val="22"/>
          <w:szCs w:val="22"/>
          <w:lang w:val="en-GB"/>
        </w:rPr>
        <w:t xml:space="preserve"> of pupils with low abilities. </w:t>
      </w:r>
    </w:p>
    <w:p w14:paraId="3086BB9C" w14:textId="77777777" w:rsidR="00F87FC2" w:rsidRDefault="00F87FC2" w:rsidP="00F87FC2">
      <w:pPr>
        <w:spacing w:line="360" w:lineRule="auto"/>
        <w:ind w:firstLine="720"/>
        <w:rPr>
          <w:rFonts w:ascii="Arial" w:eastAsia="Times New Roman" w:hAnsi="Arial" w:cs="Arial"/>
          <w:sz w:val="22"/>
          <w:szCs w:val="22"/>
        </w:rPr>
      </w:pPr>
      <w:r w:rsidRPr="00417468">
        <w:rPr>
          <w:rFonts w:ascii="Arial" w:hAnsi="Arial" w:cs="Arial"/>
          <w:sz w:val="22"/>
          <w:szCs w:val="22"/>
          <w:lang w:val="en-GB"/>
        </w:rPr>
        <w:t>The Estyn report goes on to explain that</w:t>
      </w:r>
      <w:r>
        <w:rPr>
          <w:rFonts w:ascii="Arial" w:hAnsi="Arial" w:cs="Arial"/>
          <w:sz w:val="22"/>
          <w:szCs w:val="22"/>
          <w:lang w:val="en-GB"/>
        </w:rPr>
        <w:t xml:space="preserve"> in School X,</w:t>
      </w:r>
      <w:r w:rsidRPr="00417468">
        <w:rPr>
          <w:rFonts w:ascii="Arial" w:hAnsi="Arial" w:cs="Arial"/>
          <w:sz w:val="22"/>
          <w:szCs w:val="22"/>
          <w:lang w:val="en-GB"/>
        </w:rPr>
        <w:t xml:space="preserve"> ‘</w:t>
      </w:r>
      <w:r w:rsidRPr="00417468">
        <w:rPr>
          <w:rFonts w:ascii="Arial" w:eastAsia="Times New Roman" w:hAnsi="Arial" w:cs="Arial"/>
          <w:sz w:val="22"/>
          <w:szCs w:val="22"/>
        </w:rPr>
        <w:t>Around 23% of pupils have a special educational need, including 4% with a statement of special educational needs. This is higher than the national averages of 20.1% and 2.4% respectively.’ (p.1).</w:t>
      </w:r>
      <w:r>
        <w:rPr>
          <w:rFonts w:ascii="Arial" w:eastAsia="Times New Roman" w:hAnsi="Arial" w:cs="Arial"/>
          <w:sz w:val="22"/>
          <w:szCs w:val="22"/>
        </w:rPr>
        <w:t xml:space="preserve"> As confirmed by the class teacher during the observation, Pupil X in 7R had an Additional Learning Need (ALN), which had been identified by the school. The class teacher was a Drama specialist who led the class for an hour whilst the observation was undertaken; a Teaching Assistant (TA) was also present to support Pupil X’s learning in the lesson. </w:t>
      </w:r>
    </w:p>
    <w:p w14:paraId="3BD80DDD" w14:textId="77777777" w:rsidR="00F87FC2" w:rsidRDefault="00F87FC2" w:rsidP="00F87FC2">
      <w:pPr>
        <w:spacing w:line="360" w:lineRule="auto"/>
        <w:ind w:firstLine="720"/>
        <w:rPr>
          <w:rFonts w:ascii="Arial" w:eastAsia="Times New Roman" w:hAnsi="Arial" w:cs="Arial"/>
          <w:sz w:val="22"/>
          <w:szCs w:val="22"/>
        </w:rPr>
      </w:pPr>
    </w:p>
    <w:p w14:paraId="6A98A7FB" w14:textId="77777777" w:rsidR="00F87FC2" w:rsidRPr="006156CF" w:rsidRDefault="00F87FC2" w:rsidP="00F87FC2">
      <w:pPr>
        <w:spacing w:line="360" w:lineRule="auto"/>
        <w:rPr>
          <w:rFonts w:ascii="Arial" w:hAnsi="Arial" w:cs="Arial"/>
          <w:sz w:val="22"/>
          <w:szCs w:val="22"/>
          <w:lang w:val="en-GB"/>
        </w:rPr>
      </w:pPr>
      <w:r w:rsidRPr="006156CF">
        <w:rPr>
          <w:rFonts w:ascii="Arial" w:hAnsi="Arial" w:cs="Arial"/>
          <w:sz w:val="22"/>
          <w:szCs w:val="22"/>
          <w:u w:val="single"/>
          <w:lang w:val="en-GB"/>
        </w:rPr>
        <w:t>Methodology</w:t>
      </w:r>
      <w:r w:rsidRPr="006156CF">
        <w:rPr>
          <w:rFonts w:ascii="Arial" w:hAnsi="Arial" w:cs="Arial"/>
          <w:sz w:val="22"/>
          <w:szCs w:val="22"/>
          <w:lang w:val="en-GB"/>
        </w:rPr>
        <w:t xml:space="preserve"> </w:t>
      </w:r>
    </w:p>
    <w:p w14:paraId="7D713A12" w14:textId="77777777" w:rsidR="00F87FC2" w:rsidRDefault="00F87FC2" w:rsidP="00F87FC2">
      <w:pPr>
        <w:spacing w:line="360" w:lineRule="auto"/>
        <w:rPr>
          <w:rFonts w:ascii="Arial" w:hAnsi="Arial" w:cs="Arial"/>
          <w:sz w:val="22"/>
          <w:szCs w:val="22"/>
          <w:lang w:val="en-GB"/>
        </w:rPr>
      </w:pPr>
    </w:p>
    <w:p w14:paraId="7BCDC856" w14:textId="77777777" w:rsidR="00F87FC2" w:rsidRPr="006156CF" w:rsidRDefault="00F87FC2" w:rsidP="00F87FC2">
      <w:pPr>
        <w:spacing w:line="360" w:lineRule="auto"/>
        <w:rPr>
          <w:rFonts w:ascii="Arial" w:hAnsi="Arial" w:cs="Arial"/>
          <w:sz w:val="22"/>
          <w:szCs w:val="22"/>
          <w:lang w:val="en-GB"/>
        </w:rPr>
      </w:pPr>
      <w:r>
        <w:rPr>
          <w:rFonts w:ascii="Arial" w:hAnsi="Arial" w:cs="Arial"/>
          <w:sz w:val="22"/>
          <w:szCs w:val="22"/>
          <w:lang w:val="en-GB"/>
        </w:rPr>
        <w:tab/>
        <w:t xml:space="preserve">The methods used to carry out research were decided based on the need to identify a critical incident. A critical incident does not exist independently but is created by its observer by means of interpretation, in order for its significance to be analysed (Tripp, 1993).  </w:t>
      </w:r>
    </w:p>
    <w:p w14:paraId="208B7891" w14:textId="77777777" w:rsidR="00F87FC2" w:rsidRDefault="00F87FC2" w:rsidP="00F87FC2">
      <w:pPr>
        <w:spacing w:line="360" w:lineRule="auto"/>
        <w:rPr>
          <w:rFonts w:ascii="Arial" w:hAnsi="Arial" w:cs="Arial"/>
          <w:sz w:val="22"/>
          <w:szCs w:val="22"/>
          <w:lang w:val="en-GB"/>
        </w:rPr>
      </w:pPr>
      <w:r w:rsidRPr="006156CF">
        <w:rPr>
          <w:rFonts w:ascii="Arial" w:hAnsi="Arial" w:cs="Arial"/>
          <w:sz w:val="22"/>
          <w:szCs w:val="22"/>
          <w:lang w:val="en-GB"/>
        </w:rPr>
        <w:lastRenderedPageBreak/>
        <w:tab/>
        <w:t xml:space="preserve">Various approaches can be used when gathering educational research. This research can then be used for inference, interpretation, explanation and prediction. (Cohen and Manion, 1994). When observing children, Palaiologou (2010) outlines two methods in particular which can be used to record data. Practitioners can adopt the role of a participant or non-participant observer (Palaiologou 2010). In order to identify and then analyse a critical incident within the classroom, in this instance, non-participant observation was adopted. Non-participant observation requires the observer to do just that – observe; they do not have any involvement in the learning or activity but merely observe objectively. (Palaiologou 2010). This proved to be advantageous when identifying an incident to critique; the observer is more likely to be able to watch the entire class, identifying factors that may lead to the incident. The observer is also required to plan and organise for this type of observation (Palaiologou 2010), which in turn helps the observer as they know what they intend to observe or identify in the lesson. </w:t>
      </w:r>
      <w:r>
        <w:rPr>
          <w:rFonts w:ascii="Arial" w:hAnsi="Arial" w:cs="Arial"/>
          <w:sz w:val="22"/>
          <w:szCs w:val="22"/>
          <w:lang w:val="en-GB"/>
        </w:rPr>
        <w:t>On the contrary, p</w:t>
      </w:r>
      <w:r w:rsidRPr="006156CF">
        <w:rPr>
          <w:rFonts w:ascii="Arial" w:hAnsi="Arial" w:cs="Arial"/>
          <w:sz w:val="22"/>
          <w:szCs w:val="22"/>
          <w:lang w:val="en-GB"/>
        </w:rPr>
        <w:t>articipant observation</w:t>
      </w:r>
      <w:r>
        <w:rPr>
          <w:rFonts w:ascii="Arial" w:hAnsi="Arial" w:cs="Arial"/>
          <w:sz w:val="22"/>
          <w:szCs w:val="22"/>
          <w:lang w:val="en-GB"/>
        </w:rPr>
        <w:t xml:space="preserve"> does also include</w:t>
      </w:r>
      <w:r w:rsidRPr="006156CF">
        <w:rPr>
          <w:rFonts w:ascii="Arial" w:hAnsi="Arial" w:cs="Arial"/>
          <w:sz w:val="22"/>
          <w:szCs w:val="22"/>
          <w:lang w:val="en-GB"/>
        </w:rPr>
        <w:t xml:space="preserve"> the advantage of being able to record unexpected behaviours and reactions to activities</w:t>
      </w:r>
      <w:r>
        <w:rPr>
          <w:rFonts w:ascii="Arial" w:hAnsi="Arial" w:cs="Arial"/>
          <w:sz w:val="22"/>
          <w:szCs w:val="22"/>
          <w:lang w:val="en-GB"/>
        </w:rPr>
        <w:t xml:space="preserve"> whilst being involved in the learning</w:t>
      </w:r>
      <w:r w:rsidRPr="006156CF">
        <w:rPr>
          <w:rFonts w:ascii="Arial" w:hAnsi="Arial" w:cs="Arial"/>
          <w:sz w:val="22"/>
          <w:szCs w:val="22"/>
          <w:lang w:val="en-GB"/>
        </w:rPr>
        <w:t xml:space="preserve"> (Palaiologou 2010). However, non-participant observation remained the most appropriate based on the classroom environment and content of the lesson being observed. </w:t>
      </w:r>
      <w:r>
        <w:rPr>
          <w:rFonts w:ascii="Arial" w:hAnsi="Arial" w:cs="Arial"/>
          <w:sz w:val="22"/>
          <w:szCs w:val="22"/>
          <w:lang w:val="en-GB"/>
        </w:rPr>
        <w:t xml:space="preserve">It was also deemed most appropriate because pupils would be using the space in the classroom to move around and work in pairs or groups. Non-participant observation meant that diverse reactions to grouped activities could be observed, if there was any. </w:t>
      </w:r>
    </w:p>
    <w:p w14:paraId="219D06C1" w14:textId="77777777" w:rsidR="00F87FC2" w:rsidRDefault="00F87FC2" w:rsidP="00F87FC2">
      <w:pPr>
        <w:spacing w:line="360" w:lineRule="auto"/>
        <w:rPr>
          <w:rFonts w:ascii="Arial" w:hAnsi="Arial" w:cs="Arial"/>
          <w:sz w:val="22"/>
          <w:szCs w:val="22"/>
          <w:lang w:val="en-GB"/>
        </w:rPr>
      </w:pPr>
      <w:r>
        <w:rPr>
          <w:rFonts w:ascii="Arial" w:hAnsi="Arial" w:cs="Arial"/>
          <w:sz w:val="22"/>
          <w:szCs w:val="22"/>
          <w:lang w:val="en-GB"/>
        </w:rPr>
        <w:tab/>
        <w:t xml:space="preserve">Qualitative research is based on data collected that can be described verbally; it usually presents itself as conversations or what people do naturally (Angrosino 2012). This contrasts quantitative research that presents itself as a ‘collection of numerical data’ (Angrosino, p.165). Having basic understanding of the classroom culture prior to observation, speech and discussion had been identified as definitely being present. As a result, qualitative research was deemed the most appropriate to collect as communication including verbal speech, was decided to be observed and analysed in the planning phase before observation. </w:t>
      </w:r>
    </w:p>
    <w:p w14:paraId="2018D6CF" w14:textId="77777777" w:rsidR="00F87FC2" w:rsidRDefault="00F87FC2" w:rsidP="00F87FC2">
      <w:pPr>
        <w:spacing w:line="360" w:lineRule="auto"/>
        <w:rPr>
          <w:rFonts w:ascii="Arial" w:hAnsi="Arial" w:cs="Arial"/>
          <w:sz w:val="22"/>
          <w:szCs w:val="22"/>
          <w:lang w:val="en-GB"/>
        </w:rPr>
      </w:pPr>
      <w:r>
        <w:rPr>
          <w:rFonts w:ascii="Arial" w:hAnsi="Arial" w:cs="Arial"/>
          <w:sz w:val="22"/>
          <w:szCs w:val="22"/>
          <w:lang w:val="en-GB"/>
        </w:rPr>
        <w:tab/>
        <w:t xml:space="preserve">Angrosino (2012) provides four phases in which observations should be carried out. The critical incident in this essay was identified through the following phases of observation: firstly, descriptive observation – the intentions of this are to provide physical descriptions of where the observation will be conducted (Angrosino 2012). For this example, the lesson was conducted by a drama teacher in School X’s drama theatre, 20 pupils were present, including 1 pupil (Pupil X) who had an ALN and was supported by the TA who was also present. The class teacher confirmed at the end of the lesson (after observation had taken place) that Pupil X had a form of Autism. </w:t>
      </w:r>
    </w:p>
    <w:p w14:paraId="73F57B9E" w14:textId="77777777" w:rsidR="00F87FC2" w:rsidRDefault="00F87FC2" w:rsidP="00F87FC2">
      <w:pPr>
        <w:spacing w:line="360" w:lineRule="auto"/>
        <w:ind w:firstLine="720"/>
        <w:rPr>
          <w:rFonts w:ascii="Arial" w:hAnsi="Arial" w:cs="Arial"/>
          <w:sz w:val="22"/>
          <w:szCs w:val="22"/>
          <w:lang w:val="en-GB"/>
        </w:rPr>
      </w:pPr>
      <w:r>
        <w:rPr>
          <w:rFonts w:ascii="Arial" w:hAnsi="Arial" w:cs="Arial"/>
          <w:sz w:val="22"/>
          <w:szCs w:val="22"/>
          <w:lang w:val="en-GB"/>
        </w:rPr>
        <w:t>Secondly, the focusing phase (Angrosino 2012). This forced the observer to ask questions such as ‘Why is the TA present?’, ‘Why does Pupil X not appear to be engaged with the task?’</w:t>
      </w:r>
    </w:p>
    <w:p w14:paraId="2B9453FC" w14:textId="77777777" w:rsidR="00F87FC2" w:rsidRDefault="00F87FC2" w:rsidP="00F87FC2">
      <w:pPr>
        <w:spacing w:line="360" w:lineRule="auto"/>
        <w:ind w:firstLine="720"/>
        <w:rPr>
          <w:rFonts w:ascii="Arial" w:hAnsi="Arial" w:cs="Arial"/>
          <w:sz w:val="22"/>
          <w:szCs w:val="22"/>
          <w:lang w:val="en-GB"/>
        </w:rPr>
      </w:pPr>
      <w:r>
        <w:rPr>
          <w:rFonts w:ascii="Arial" w:hAnsi="Arial" w:cs="Arial"/>
          <w:sz w:val="22"/>
          <w:szCs w:val="22"/>
          <w:lang w:val="en-GB"/>
        </w:rPr>
        <w:t xml:space="preserve">Following on from this was the selective phase (Angrosino 2012) which made the observer focus on Pupil X in order to identify reasons for their behaviour and why they reacted in certain ways to particular activities.  </w:t>
      </w:r>
    </w:p>
    <w:p w14:paraId="7466C07D" w14:textId="77777777" w:rsidR="00F87FC2" w:rsidRDefault="00F87FC2" w:rsidP="00F87FC2">
      <w:pPr>
        <w:spacing w:line="360" w:lineRule="auto"/>
        <w:rPr>
          <w:rFonts w:ascii="Arial" w:hAnsi="Arial" w:cs="Arial"/>
          <w:sz w:val="22"/>
          <w:szCs w:val="22"/>
          <w:lang w:val="en-GB"/>
        </w:rPr>
      </w:pPr>
      <w:r>
        <w:rPr>
          <w:rFonts w:ascii="Arial" w:hAnsi="Arial" w:cs="Arial"/>
          <w:sz w:val="22"/>
          <w:szCs w:val="22"/>
          <w:lang w:val="en-GB"/>
        </w:rPr>
        <w:t>Finally, ‘observations reach a saturation point’ (Angrosino, p.167). Pupil X continued to display the same behaviour for the duration of the lesson which meant that analysis of the data could then begin.</w:t>
      </w:r>
    </w:p>
    <w:p w14:paraId="24F3625D" w14:textId="77777777" w:rsidR="00F87FC2" w:rsidRDefault="00F87FC2" w:rsidP="00F87FC2">
      <w:pPr>
        <w:spacing w:line="360" w:lineRule="auto"/>
        <w:rPr>
          <w:rFonts w:ascii="Arial" w:hAnsi="Arial" w:cs="Arial"/>
          <w:sz w:val="22"/>
          <w:szCs w:val="22"/>
          <w:lang w:val="en-GB"/>
        </w:rPr>
      </w:pPr>
    </w:p>
    <w:p w14:paraId="28115371" w14:textId="77777777" w:rsidR="00F87FC2" w:rsidRDefault="00F87FC2" w:rsidP="00F87FC2">
      <w:pPr>
        <w:spacing w:line="360" w:lineRule="auto"/>
        <w:rPr>
          <w:rFonts w:ascii="Arial" w:hAnsi="Arial" w:cs="Arial"/>
          <w:sz w:val="22"/>
          <w:szCs w:val="22"/>
          <w:lang w:val="en-GB"/>
        </w:rPr>
      </w:pPr>
    </w:p>
    <w:p w14:paraId="3BBADEBB" w14:textId="77777777" w:rsidR="00F87FC2" w:rsidRPr="00790C8C" w:rsidRDefault="00F87FC2" w:rsidP="00F87FC2">
      <w:pPr>
        <w:spacing w:line="360" w:lineRule="auto"/>
        <w:rPr>
          <w:rFonts w:ascii="Arial" w:hAnsi="Arial" w:cs="Arial"/>
          <w:sz w:val="22"/>
          <w:szCs w:val="22"/>
          <w:u w:val="single"/>
          <w:lang w:val="en-GB"/>
        </w:rPr>
      </w:pPr>
      <w:r w:rsidRPr="00790C8C">
        <w:rPr>
          <w:rFonts w:ascii="Arial" w:hAnsi="Arial" w:cs="Arial"/>
          <w:sz w:val="22"/>
          <w:szCs w:val="22"/>
          <w:u w:val="single"/>
          <w:lang w:val="en-GB"/>
        </w:rPr>
        <w:t>Four Purposes</w:t>
      </w:r>
    </w:p>
    <w:p w14:paraId="0AFF8D1F" w14:textId="77777777" w:rsidR="00F87FC2" w:rsidRDefault="00F87FC2" w:rsidP="00F87FC2">
      <w:pPr>
        <w:spacing w:line="360" w:lineRule="auto"/>
        <w:rPr>
          <w:rFonts w:ascii="Arial" w:hAnsi="Arial" w:cs="Arial"/>
          <w:sz w:val="22"/>
          <w:szCs w:val="22"/>
          <w:lang w:val="en-GB"/>
        </w:rPr>
      </w:pPr>
    </w:p>
    <w:p w14:paraId="08D581EE" w14:textId="77777777" w:rsidR="00F87FC2" w:rsidRDefault="00F87FC2" w:rsidP="00F87FC2">
      <w:pPr>
        <w:spacing w:line="360" w:lineRule="auto"/>
        <w:rPr>
          <w:rFonts w:ascii="Arial" w:hAnsi="Arial" w:cs="Arial"/>
          <w:sz w:val="22"/>
          <w:szCs w:val="22"/>
          <w:lang w:val="en-GB"/>
        </w:rPr>
      </w:pPr>
      <w:r>
        <w:rPr>
          <w:rFonts w:ascii="Arial" w:hAnsi="Arial" w:cs="Arial"/>
          <w:sz w:val="22"/>
          <w:szCs w:val="22"/>
          <w:lang w:val="en-GB"/>
        </w:rPr>
        <w:tab/>
        <w:t>As previously mentioned, the observation was witnessed through non-participation, allowing for a critical incident to be identified.</w:t>
      </w:r>
    </w:p>
    <w:p w14:paraId="01E64CA0" w14:textId="77777777" w:rsidR="00F87FC2" w:rsidRDefault="00F87FC2" w:rsidP="00F87FC2">
      <w:pPr>
        <w:spacing w:line="360" w:lineRule="auto"/>
        <w:rPr>
          <w:rFonts w:ascii="Arial" w:hAnsi="Arial" w:cs="Arial"/>
          <w:sz w:val="22"/>
          <w:szCs w:val="22"/>
          <w:lang w:val="en-GB"/>
        </w:rPr>
      </w:pPr>
    </w:p>
    <w:p w14:paraId="7B163C56" w14:textId="77777777" w:rsidR="00F87FC2" w:rsidRPr="0074543C" w:rsidRDefault="00F87FC2" w:rsidP="00F87FC2">
      <w:pPr>
        <w:spacing w:line="360" w:lineRule="auto"/>
        <w:rPr>
          <w:rFonts w:ascii="Arial" w:hAnsi="Arial" w:cs="Arial"/>
          <w:b/>
          <w:sz w:val="22"/>
          <w:szCs w:val="22"/>
          <w:lang w:val="en-GB"/>
        </w:rPr>
      </w:pPr>
      <w:r>
        <w:rPr>
          <w:rFonts w:ascii="Arial" w:hAnsi="Arial" w:cs="Arial"/>
          <w:b/>
          <w:sz w:val="22"/>
          <w:szCs w:val="22"/>
          <w:lang w:val="en-GB"/>
        </w:rPr>
        <w:t>Critical Incident:</w:t>
      </w:r>
    </w:p>
    <w:p w14:paraId="1F15A183" w14:textId="77777777" w:rsidR="00F87FC2" w:rsidRDefault="00F87FC2" w:rsidP="00F87FC2">
      <w:pPr>
        <w:spacing w:line="360" w:lineRule="auto"/>
        <w:rPr>
          <w:rFonts w:ascii="Arial" w:hAnsi="Arial" w:cs="Arial"/>
          <w:sz w:val="22"/>
          <w:szCs w:val="22"/>
          <w:lang w:val="en-GB"/>
        </w:rPr>
      </w:pPr>
      <w:r>
        <w:rPr>
          <w:rFonts w:ascii="Arial" w:hAnsi="Arial" w:cs="Arial"/>
          <w:sz w:val="22"/>
          <w:szCs w:val="22"/>
          <w:lang w:val="en-GB"/>
        </w:rPr>
        <w:tab/>
        <w:t>The teacher began the drama lesson on characterisation and then instructed the class to get into pairs or groups of three to act out a 2-minute scene from the film mentioned, each pupil acting out a different character. Pupil X would not engage with the task, remaining seated on the floor or wandering to the corner of the classroom. Once the first task was complete, the teacher then gave the class another two or three characters to act out, giving less instruction this time. The teacher told the TA that Pupil X could work individually or with the TA if they wanted to, to produce a shorter scene or just a still. The TA conversed with Pupil X who wanted to act out a still rather than a scene. The TA asked two other pupils to involve Pupil X in their group. The TA also explained the task again to Pupil X. Pupil X then proceeded to engage with the task and peers in the group.</w:t>
      </w:r>
    </w:p>
    <w:p w14:paraId="1BE1E925" w14:textId="77777777" w:rsidR="00F87FC2" w:rsidRDefault="00F87FC2" w:rsidP="00F87FC2">
      <w:pPr>
        <w:spacing w:line="360" w:lineRule="auto"/>
        <w:rPr>
          <w:rFonts w:ascii="Arial" w:hAnsi="Arial" w:cs="Arial"/>
          <w:sz w:val="22"/>
          <w:szCs w:val="22"/>
          <w:lang w:val="en-GB"/>
        </w:rPr>
      </w:pPr>
    </w:p>
    <w:p w14:paraId="44BA0004" w14:textId="77777777" w:rsidR="00F87FC2" w:rsidRDefault="00F87FC2" w:rsidP="00F87FC2">
      <w:pPr>
        <w:spacing w:line="360" w:lineRule="auto"/>
        <w:rPr>
          <w:rFonts w:ascii="Arial" w:hAnsi="Arial" w:cs="Arial"/>
          <w:sz w:val="22"/>
          <w:szCs w:val="22"/>
          <w:lang w:val="en-GB"/>
        </w:rPr>
      </w:pPr>
      <w:r>
        <w:rPr>
          <w:rFonts w:ascii="Arial" w:hAnsi="Arial" w:cs="Arial"/>
          <w:sz w:val="22"/>
          <w:szCs w:val="22"/>
          <w:lang w:val="en-GB"/>
        </w:rPr>
        <w:t xml:space="preserve">In Professor Donaldson’s review (2015), he sets out four purposes (See </w:t>
      </w:r>
      <w:r w:rsidRPr="0074543C">
        <w:rPr>
          <w:rFonts w:ascii="Arial" w:hAnsi="Arial" w:cs="Arial"/>
          <w:b/>
          <w:sz w:val="22"/>
          <w:szCs w:val="22"/>
          <w:lang w:val="en-GB"/>
        </w:rPr>
        <w:t>Figure 1</w:t>
      </w:r>
      <w:r>
        <w:rPr>
          <w:rFonts w:ascii="Arial" w:hAnsi="Arial" w:cs="Arial"/>
          <w:sz w:val="22"/>
          <w:szCs w:val="22"/>
          <w:lang w:val="en-GB"/>
        </w:rPr>
        <w:t xml:space="preserve">) which he recommends should be developed through the curriculum (Donaldson, 2015). </w:t>
      </w:r>
    </w:p>
    <w:p w14:paraId="2E9F6F8C" w14:textId="77777777" w:rsidR="00F87FC2" w:rsidRDefault="00F87FC2" w:rsidP="00F87FC2">
      <w:pPr>
        <w:spacing w:line="360" w:lineRule="auto"/>
        <w:ind w:firstLine="720"/>
        <w:rPr>
          <w:rFonts w:ascii="Arial" w:hAnsi="Arial" w:cs="Arial"/>
          <w:sz w:val="22"/>
          <w:szCs w:val="22"/>
          <w:lang w:val="en-GB"/>
        </w:rPr>
      </w:pPr>
      <w:r>
        <w:rPr>
          <w:rFonts w:ascii="Arial" w:hAnsi="Arial" w:cs="Arial"/>
          <w:sz w:val="22"/>
          <w:szCs w:val="22"/>
          <w:lang w:val="en-GB"/>
        </w:rPr>
        <w:t xml:space="preserve">After the TA intervention in the critical incident, Pupil X appeared to be motivated and working productively. As a result of this, the activities in the lesson challenged nearly all the learners. Pupils worked well independently and in groups, and took control of their own learning; this supports the ambitious, capable learners who set themselves high standards and seek and enjoy challenge (Donaldson, 2015). </w:t>
      </w:r>
    </w:p>
    <w:p w14:paraId="35871C63" w14:textId="77777777" w:rsidR="00F87FC2" w:rsidRDefault="00F87FC2" w:rsidP="00F87FC2">
      <w:pPr>
        <w:spacing w:line="360" w:lineRule="auto"/>
        <w:rPr>
          <w:rFonts w:ascii="Arial" w:hAnsi="Arial" w:cs="Arial"/>
          <w:sz w:val="22"/>
          <w:szCs w:val="22"/>
          <w:lang w:val="en-GB"/>
        </w:rPr>
      </w:pPr>
      <w:r>
        <w:rPr>
          <w:rFonts w:ascii="Arial" w:hAnsi="Arial" w:cs="Arial"/>
          <w:sz w:val="22"/>
          <w:szCs w:val="22"/>
          <w:lang w:val="en-GB"/>
        </w:rPr>
        <w:t>The teacher used Assessment For Learning (AFL) when the introductory strategy did not ensure full engagement of Pupil X. Once the differentiation had been implemented, it was evident that Pupil X felt more comfortable and showed engagement for the remainder of the lesson. At this point, it was clear that the teacher had strategically planned for Pupil X’s needs. The teacher explained after the observation that flexibility is needed in teaching and learning strategies when teaching Pupil X to promote their productivity and enjoyment in lessons; this supports the healthy, confident individual who can build their mental and emotional well-being by developing confidence, resilience and empathy (Donaldson, 2015). Alongside this, a notably strong relationship between Pupil X and the TA was observed. The TA provided effective strategies to support and extend Pupil X’s understanding and learning in the lesson; this supports Donaldson’s idea of the learner who can form positive relationships based upon trust and mutual respect (2015).</w:t>
      </w:r>
    </w:p>
    <w:p w14:paraId="1B58C33B" w14:textId="77777777" w:rsidR="00F87FC2" w:rsidRDefault="00F87FC2" w:rsidP="00F87FC2">
      <w:pPr>
        <w:spacing w:line="360" w:lineRule="auto"/>
        <w:rPr>
          <w:rFonts w:ascii="Arial" w:hAnsi="Arial" w:cs="Arial"/>
          <w:sz w:val="22"/>
          <w:szCs w:val="22"/>
          <w:lang w:val="en-GB"/>
        </w:rPr>
      </w:pPr>
    </w:p>
    <w:p w14:paraId="374669ED" w14:textId="77777777" w:rsidR="00F87FC2" w:rsidRDefault="00F87FC2" w:rsidP="00F87FC2">
      <w:pPr>
        <w:spacing w:line="360" w:lineRule="auto"/>
        <w:rPr>
          <w:rFonts w:ascii="Arial" w:hAnsi="Arial" w:cs="Arial"/>
          <w:sz w:val="22"/>
          <w:szCs w:val="22"/>
          <w:lang w:val="en-GB"/>
        </w:rPr>
      </w:pPr>
    </w:p>
    <w:p w14:paraId="053B4BE0" w14:textId="77777777" w:rsidR="007B5DCB" w:rsidRPr="00AB4C53" w:rsidRDefault="007B5DCB" w:rsidP="007B5DCB">
      <w:pPr>
        <w:spacing w:line="360" w:lineRule="auto"/>
        <w:rPr>
          <w:rFonts w:ascii="Arial" w:eastAsia="Times New Roman" w:hAnsi="Arial" w:cs="Arial"/>
          <w:color w:val="000000"/>
          <w:sz w:val="22"/>
          <w:szCs w:val="18"/>
          <w:u w:val="single"/>
          <w:shd w:val="clear" w:color="auto" w:fill="FFFFFF"/>
        </w:rPr>
      </w:pPr>
      <w:r w:rsidRPr="00AB4C53">
        <w:rPr>
          <w:rFonts w:ascii="Arial" w:eastAsia="Times New Roman" w:hAnsi="Arial" w:cs="Arial"/>
          <w:color w:val="000000"/>
          <w:sz w:val="22"/>
          <w:szCs w:val="18"/>
          <w:u w:val="single"/>
          <w:shd w:val="clear" w:color="auto" w:fill="FFFFFF"/>
        </w:rPr>
        <w:t>Literature Review</w:t>
      </w:r>
    </w:p>
    <w:p w14:paraId="4EDA7623" w14:textId="77777777" w:rsidR="007B5DCB" w:rsidRDefault="007B5DCB" w:rsidP="007B5DCB">
      <w:pPr>
        <w:spacing w:line="360" w:lineRule="auto"/>
        <w:rPr>
          <w:rFonts w:ascii="Arial" w:eastAsia="Times New Roman" w:hAnsi="Arial" w:cs="Arial"/>
          <w:color w:val="000000"/>
          <w:sz w:val="22"/>
          <w:szCs w:val="18"/>
          <w:shd w:val="clear" w:color="auto" w:fill="FFFFFF"/>
        </w:rPr>
      </w:pPr>
    </w:p>
    <w:p w14:paraId="2DF30B89" w14:textId="77777777" w:rsidR="007B5DCB" w:rsidRDefault="007B5DCB" w:rsidP="007B5DCB">
      <w:pPr>
        <w:spacing w:line="360" w:lineRule="auto"/>
        <w:ind w:firstLine="720"/>
        <w:rPr>
          <w:rFonts w:ascii="Arial" w:eastAsia="Times New Roman" w:hAnsi="Arial" w:cs="Arial"/>
          <w:color w:val="000000"/>
          <w:sz w:val="22"/>
          <w:szCs w:val="18"/>
          <w:shd w:val="clear" w:color="auto" w:fill="FFFFFF"/>
        </w:rPr>
      </w:pPr>
      <w:r>
        <w:rPr>
          <w:rFonts w:ascii="Arial" w:eastAsia="Times New Roman" w:hAnsi="Arial" w:cs="Arial"/>
          <w:color w:val="000000"/>
          <w:sz w:val="22"/>
          <w:szCs w:val="18"/>
          <w:shd w:val="clear" w:color="auto" w:fill="FFFFFF"/>
        </w:rPr>
        <w:t xml:space="preserve">According to the </w:t>
      </w:r>
      <w:r>
        <w:rPr>
          <w:rFonts w:ascii="Arial" w:eastAsia="Times New Roman" w:hAnsi="Arial" w:cs="Arial"/>
          <w:i/>
          <w:color w:val="000000"/>
          <w:sz w:val="22"/>
          <w:szCs w:val="18"/>
          <w:shd w:val="clear" w:color="auto" w:fill="FFFFFF"/>
        </w:rPr>
        <w:t xml:space="preserve">Education Act 1996, </w:t>
      </w:r>
      <w:r>
        <w:rPr>
          <w:rFonts w:ascii="Arial" w:eastAsia="Times New Roman" w:hAnsi="Arial" w:cs="Arial"/>
          <w:color w:val="000000"/>
          <w:sz w:val="22"/>
          <w:szCs w:val="18"/>
          <w:shd w:val="clear" w:color="auto" w:fill="FFFFFF"/>
        </w:rPr>
        <w:t xml:space="preserve">a child has ‘Special Educational Needs’ (SEN) if they have ‘a learning difficulty which calls for special educational provision to be made for [them].’ (Section 312(1)). Recently, the current SEN Code of Practice has been deemed out of date, forcing the evolution of a broader concept of ‘Additional Learning Needs’ (ALN) (Dauncey 2016). </w:t>
      </w:r>
    </w:p>
    <w:p w14:paraId="600E530B" w14:textId="77777777" w:rsidR="007B5DCB" w:rsidRDefault="007B5DCB" w:rsidP="007B5DCB">
      <w:pPr>
        <w:spacing w:line="360" w:lineRule="auto"/>
        <w:ind w:firstLine="720"/>
        <w:rPr>
          <w:rFonts w:ascii="Arial" w:eastAsia="Times New Roman" w:hAnsi="Arial" w:cs="Arial"/>
          <w:color w:val="000000"/>
          <w:sz w:val="22"/>
          <w:szCs w:val="18"/>
          <w:shd w:val="clear" w:color="auto" w:fill="FFFFFF"/>
        </w:rPr>
      </w:pPr>
      <w:r>
        <w:rPr>
          <w:rFonts w:ascii="Arial" w:eastAsia="Times New Roman" w:hAnsi="Arial" w:cs="Arial"/>
          <w:color w:val="000000"/>
          <w:sz w:val="22"/>
          <w:szCs w:val="18"/>
          <w:shd w:val="clear" w:color="auto" w:fill="FFFFFF"/>
        </w:rPr>
        <w:t xml:space="preserve">The use of TAs in schools was initially increased to lighten the teacher workload. More recently, with a rising number of inclusion of ALN pupils in mainstream school, the number of TAs has increased further, being main facilitators of inclusion for these pupils (Sharples, Webster, Blatchford, 2015). The Guidance Report for </w:t>
      </w:r>
      <w:r>
        <w:rPr>
          <w:rFonts w:ascii="Arial" w:eastAsia="Times New Roman" w:hAnsi="Arial" w:cs="Arial"/>
          <w:i/>
          <w:color w:val="000000"/>
          <w:sz w:val="22"/>
          <w:szCs w:val="18"/>
          <w:shd w:val="clear" w:color="auto" w:fill="FFFFFF"/>
        </w:rPr>
        <w:t>Making Best use of Teaching Assistants</w:t>
      </w:r>
      <w:r>
        <w:rPr>
          <w:rFonts w:ascii="Arial" w:eastAsia="Times New Roman" w:hAnsi="Arial" w:cs="Arial"/>
          <w:color w:val="000000"/>
          <w:sz w:val="22"/>
          <w:szCs w:val="18"/>
          <w:shd w:val="clear" w:color="auto" w:fill="FFFFFF"/>
        </w:rPr>
        <w:t xml:space="preserve"> mentions that TAs assigned to pupils who have difficultly with learning, behaviour and concentration are more likely to ‘develop confidence and motivation, good working habits and the willingness to finish a task’ (p. 12, 2015). However, the report also draws upon evidence that discusses the negative impact of TAs, especially for those with the highest levels of ALN who usually receive the most support from TAs; it reported that these pupils had not made any significant progress (2015). That being said, Pupil X displayed little or no motivation to learn or carry out the initial task in the observed lesson. With the support of the TA who had liaised with the class teacher, the pupil was able to overcome their lack of engagement. It was clear to observers that Pupil X’s ALN was likely to be the barrier to learning in this instance. The TA acted as a catalyst for overcoming this barrier. </w:t>
      </w:r>
    </w:p>
    <w:p w14:paraId="2094C9C1" w14:textId="77777777" w:rsidR="007B5DCB" w:rsidRDefault="007B5DCB" w:rsidP="007B5DCB">
      <w:pPr>
        <w:spacing w:line="360" w:lineRule="auto"/>
        <w:ind w:firstLine="720"/>
        <w:rPr>
          <w:rFonts w:ascii="Arial" w:eastAsia="Times New Roman" w:hAnsi="Arial" w:cs="Arial"/>
          <w:color w:val="000000"/>
          <w:sz w:val="22"/>
          <w:szCs w:val="18"/>
          <w:shd w:val="clear" w:color="auto" w:fill="FFFFFF"/>
        </w:rPr>
      </w:pPr>
      <w:r>
        <w:rPr>
          <w:rFonts w:ascii="Arial" w:eastAsia="Times New Roman" w:hAnsi="Arial" w:cs="Arial"/>
          <w:color w:val="000000"/>
          <w:sz w:val="22"/>
          <w:szCs w:val="18"/>
          <w:shd w:val="clear" w:color="auto" w:fill="FFFFFF"/>
        </w:rPr>
        <w:t xml:space="preserve">It could also be argued that deprivation acts as a barrier to learning. The Welsh Government has aimed to tackle the effects that poverty has on educational attainment over the last several years (Estyn, 2016-17). Nonetheless, educational culture still appears to be facing negativity when it comes to children who live in deprivation and are eligible for Free School Meals (FSM) or other initiatives funded by the Welsh Government. Estyn highlights in the Annual Report for 2016-17 that schools are succeeding in improving academic results and wellbeing of pupils from deprived areas in Wales over the long term (Estyn, 2016-17). It is also noted that the progress of some pupils has strongly improved as some schools have tailored curriculums to benefit these pupils (Estyn, 2016-17). On the contrary, generally, pupils who live in deprived areas are not performing as well as the pupils who live in more affluent areas. This is evident as the performance gap remains wide for those who are eligible for FSM compared with those who are not (Estyn, 2016-17). Despite this, School X’s last inspection report outlines that ‘26% of pupils are eligible for FSM. This is higher than the national average of 17.5%[...] around 38% of pupils live in the 20% most deprived areas in Wales’ (Estyn, 2015). Even so, the inspection report celebrates how School X successfully reduces the effects that deprivation may have on attainment across the school. Nevertheless, some pupils could still be struggling to achieve progress despite a school’s effort to ‘close the gap’ (BBC, 2019). This is where intervention strategies come into practice.  </w:t>
      </w:r>
    </w:p>
    <w:p w14:paraId="070CB527" w14:textId="77777777" w:rsidR="007B5DCB" w:rsidRDefault="007B5DCB" w:rsidP="007B5DCB">
      <w:pPr>
        <w:spacing w:line="360" w:lineRule="auto"/>
        <w:ind w:firstLine="720"/>
        <w:rPr>
          <w:rFonts w:ascii="Arial" w:eastAsia="Times New Roman" w:hAnsi="Arial" w:cs="Arial"/>
          <w:color w:val="000000"/>
          <w:sz w:val="22"/>
          <w:szCs w:val="18"/>
          <w:shd w:val="clear" w:color="auto" w:fill="FFFFFF"/>
        </w:rPr>
      </w:pPr>
      <w:r>
        <w:rPr>
          <w:rFonts w:ascii="Arial" w:eastAsia="Times New Roman" w:hAnsi="Arial" w:cs="Arial"/>
          <w:color w:val="000000"/>
          <w:sz w:val="22"/>
          <w:szCs w:val="18"/>
          <w:shd w:val="clear" w:color="auto" w:fill="FFFFFF"/>
        </w:rPr>
        <w:t xml:space="preserve">Intervention can simply be defined as when good quality teaching still does not provide access to progress and success for some pupils. Learning intervention consists of 3 layers that aim to target intervention in either classroom settings, smaller groups of children, or with individuals alone (Berman and Graham, 2018). Decisions on when to use intervention and who will benefit from it, are made based on the level of support a pupil or group of pupils need in order to progress on their learning journey. Berman and Graham (2018) set forth the approach of intervention based on different sized groups and the dependence on teachers of knowing all pupils within their classes. This ensures that teachers are familiar with pupils’ constant evolution of needs (Berman and Graham, 2018). </w:t>
      </w:r>
    </w:p>
    <w:p w14:paraId="0D8E49F3" w14:textId="77777777" w:rsidR="007B5DCB" w:rsidRDefault="007B5DCB" w:rsidP="007B5DCB">
      <w:pPr>
        <w:spacing w:line="360" w:lineRule="auto"/>
        <w:ind w:firstLine="720"/>
        <w:rPr>
          <w:rFonts w:ascii="Arial" w:eastAsia="Times New Roman" w:hAnsi="Arial" w:cs="Arial"/>
          <w:color w:val="000000"/>
          <w:sz w:val="22"/>
          <w:szCs w:val="18"/>
          <w:shd w:val="clear" w:color="auto" w:fill="FFFFFF"/>
        </w:rPr>
      </w:pPr>
      <w:r>
        <w:rPr>
          <w:rFonts w:ascii="Arial" w:eastAsia="Times New Roman" w:hAnsi="Arial" w:cs="Arial"/>
          <w:color w:val="000000"/>
          <w:sz w:val="22"/>
          <w:szCs w:val="18"/>
          <w:shd w:val="clear" w:color="auto" w:fill="FFFFFF"/>
        </w:rPr>
        <w:t xml:space="preserve">In Layer 1 of the approach (2018), teachers will teach a larger group of pupils, adopting a responsive teaching style; the learning is differentiated based on abilities within the group. The ultimate aim is to ensure that every pupil is able to access learning and understanding in the classroom (Berman and Graham, 2018). The use of differentiation is imperative in the classroom, especially with a noticeable increase in the diagnosis of ALN, such as Autistic Spectrum Disorder (ASD); this is said to be down to an increasing amount of awareness and recognition of ASD, along with changes in the criteria for diagnosis (Reid and Lannen, 2012). ALN acts as a barrier to learning for pupils with the diagnosis, therefore differentiation aims to reduce these barriers (Berman and Graham, 2018). </w:t>
      </w:r>
    </w:p>
    <w:p w14:paraId="26B7AC45" w14:textId="77777777" w:rsidR="007B5DCB" w:rsidRDefault="007B5DCB" w:rsidP="007B5DCB">
      <w:pPr>
        <w:spacing w:line="360" w:lineRule="auto"/>
        <w:ind w:firstLine="720"/>
        <w:rPr>
          <w:rFonts w:ascii="Arial" w:eastAsia="Times New Roman" w:hAnsi="Arial" w:cs="Arial"/>
          <w:color w:val="000000"/>
          <w:sz w:val="22"/>
          <w:szCs w:val="18"/>
          <w:shd w:val="clear" w:color="auto" w:fill="FFFFFF"/>
        </w:rPr>
      </w:pPr>
      <w:r>
        <w:rPr>
          <w:rFonts w:ascii="Arial" w:eastAsia="Times New Roman" w:hAnsi="Arial" w:cs="Arial"/>
          <w:color w:val="000000"/>
          <w:sz w:val="22"/>
          <w:szCs w:val="18"/>
          <w:shd w:val="clear" w:color="auto" w:fill="FFFFFF"/>
        </w:rPr>
        <w:t xml:space="preserve">Class teachers also have the duty of setting out clear instruction to all pupils which is appropriate yet challenging (Berman and Graham, 2018). Referring back to the critical incident mentioned previously, Pupil X received instruction from the teacher which was differentiated from the instruction given to the majority of other pupils in the class. This instruction still appeared to challenge the pupil but was also appropriately tailored to their needs. </w:t>
      </w:r>
    </w:p>
    <w:p w14:paraId="6F58A75C" w14:textId="77777777" w:rsidR="007B5DCB" w:rsidRDefault="007B5DCB" w:rsidP="007B5DCB">
      <w:pPr>
        <w:spacing w:line="360" w:lineRule="auto"/>
        <w:ind w:firstLine="720"/>
        <w:rPr>
          <w:rFonts w:ascii="Arial" w:eastAsia="Times New Roman" w:hAnsi="Arial" w:cs="Arial"/>
          <w:color w:val="000000"/>
          <w:sz w:val="22"/>
          <w:szCs w:val="18"/>
          <w:shd w:val="clear" w:color="auto" w:fill="FFFFFF"/>
        </w:rPr>
      </w:pPr>
      <w:r>
        <w:rPr>
          <w:rFonts w:ascii="Arial" w:eastAsia="Times New Roman" w:hAnsi="Arial" w:cs="Arial"/>
          <w:color w:val="000000"/>
          <w:sz w:val="22"/>
          <w:szCs w:val="18"/>
          <w:shd w:val="clear" w:color="auto" w:fill="FFFFFF"/>
        </w:rPr>
        <w:t xml:space="preserve">Layer 2 of Berman and Graham’s approach involves the teaching of small groups of pupils or individuals for a short period of time (2018). This can sometimes to referred to by schools as ‘catch-up’ (as observed in School X), as it allows pupils to access a short-term, intensive form of intervention. Decisions on who to involve in these small groups could sometimes come from class teachers who have used AFL to identify that intervention is needed for certain individuals in the class. </w:t>
      </w:r>
    </w:p>
    <w:p w14:paraId="37195B86" w14:textId="77777777" w:rsidR="007B5DCB" w:rsidRDefault="007B5DCB" w:rsidP="007B5DCB">
      <w:pPr>
        <w:spacing w:line="360" w:lineRule="auto"/>
        <w:ind w:firstLine="720"/>
        <w:rPr>
          <w:rFonts w:ascii="Arial" w:eastAsia="Times New Roman" w:hAnsi="Arial" w:cs="Arial"/>
          <w:color w:val="000000"/>
          <w:sz w:val="22"/>
          <w:szCs w:val="18"/>
          <w:shd w:val="clear" w:color="auto" w:fill="FFFFFF"/>
        </w:rPr>
      </w:pPr>
      <w:r>
        <w:rPr>
          <w:rFonts w:ascii="Arial" w:eastAsia="Times New Roman" w:hAnsi="Arial" w:cs="Arial"/>
          <w:color w:val="000000"/>
          <w:sz w:val="22"/>
          <w:szCs w:val="18"/>
          <w:shd w:val="clear" w:color="auto" w:fill="FFFFFF"/>
        </w:rPr>
        <w:t xml:space="preserve">Finally, Layer 3 involves small groups or individual pupils who require intervention for longer time periods (Berman and Graham, 2018). Such students may include those who have a recognised sever learning or physical disability. Professionals such as occupational therapists or speech therapists could be included in the staff who would work with this group of pupils (Berman and Graham, 2018). Putting this into practice, it was also observed that School X have small groups of ‘elevated’ classes which uses a similar approach with pupils who require extra support. </w:t>
      </w:r>
    </w:p>
    <w:p w14:paraId="62D8FB1F" w14:textId="77777777" w:rsidR="007B5DCB" w:rsidRPr="008535E0" w:rsidRDefault="007B5DCB" w:rsidP="007B5DCB">
      <w:pPr>
        <w:spacing w:line="360" w:lineRule="auto"/>
        <w:ind w:firstLine="720"/>
        <w:rPr>
          <w:rFonts w:ascii="Arial" w:eastAsia="Times New Roman" w:hAnsi="Arial" w:cs="Arial"/>
          <w:color w:val="000000"/>
          <w:sz w:val="22"/>
          <w:szCs w:val="18"/>
          <w:shd w:val="clear" w:color="auto" w:fill="FFFFFF"/>
        </w:rPr>
      </w:pPr>
      <w:r>
        <w:rPr>
          <w:rFonts w:ascii="Arial" w:eastAsia="Times New Roman" w:hAnsi="Arial" w:cs="Arial"/>
          <w:color w:val="000000"/>
          <w:sz w:val="22"/>
          <w:szCs w:val="18"/>
          <w:shd w:val="clear" w:color="auto" w:fill="FFFFFF"/>
        </w:rPr>
        <w:t xml:space="preserve">Linking into the arguable significance of TAs mentioned above, they can also be important to pupils’ learning, notably in Layer 3 (Berman and Graham, 2018). The use of TAs at this layer of intervention can also be related to Constructivist theorist Vygotsky and his idea of scaffolding (1978); one of the components which aids individuals in moving through his concept of the ‘zone of proximal development’ (ZPD) (1978). When discussing the ZPD, Vygotsky is referring to ‘the difference between what a learner can do without help and what he or she can achieve with guidance and encouragement from a skilled partner’ (McLeod, 2019). Particularly in this final layer of intervention, TAs could act as the ‘skilled partner’ (2019) to guide learning. TAs would ensure appropriate support is given to pupils in small groups or individually, following on to release responsibility slowly to develop the pupil’s level of independence. It is noted however that TAs must be mindful to help, ‘not hinder the pupil’s development of self-regulation’ (p.58, 2018). </w:t>
      </w:r>
    </w:p>
    <w:p w14:paraId="235A8B7B" w14:textId="77777777" w:rsidR="00F87FC2" w:rsidRDefault="00F87FC2" w:rsidP="00F87FC2">
      <w:pPr>
        <w:spacing w:line="360" w:lineRule="auto"/>
        <w:rPr>
          <w:rFonts w:ascii="Arial" w:eastAsia="Times New Roman" w:hAnsi="Arial" w:cs="Arial"/>
          <w:sz w:val="22"/>
          <w:szCs w:val="22"/>
        </w:rPr>
      </w:pPr>
    </w:p>
    <w:p w14:paraId="3926AD21" w14:textId="77777777" w:rsidR="007B5DCB" w:rsidRDefault="007B5DCB" w:rsidP="00F87FC2">
      <w:pPr>
        <w:spacing w:line="360" w:lineRule="auto"/>
        <w:rPr>
          <w:rFonts w:ascii="Arial" w:eastAsia="Times New Roman" w:hAnsi="Arial" w:cs="Arial"/>
          <w:sz w:val="22"/>
          <w:szCs w:val="22"/>
        </w:rPr>
      </w:pPr>
    </w:p>
    <w:p w14:paraId="2FBC10E2" w14:textId="30D0D8D6" w:rsidR="00DD3645" w:rsidRPr="00DD3645" w:rsidRDefault="009513D5" w:rsidP="00DD3645">
      <w:pPr>
        <w:spacing w:line="360" w:lineRule="auto"/>
        <w:rPr>
          <w:rFonts w:ascii="Arial" w:hAnsi="Arial" w:cs="Arial"/>
          <w:sz w:val="22"/>
          <w:szCs w:val="22"/>
          <w:u w:val="single"/>
          <w:lang w:val="en-GB"/>
        </w:rPr>
      </w:pPr>
      <w:r w:rsidRPr="0076445F">
        <w:rPr>
          <w:rFonts w:ascii="Arial" w:hAnsi="Arial" w:cs="Arial"/>
          <w:sz w:val="22"/>
          <w:szCs w:val="22"/>
          <w:u w:val="single"/>
          <w:lang w:val="en-GB"/>
        </w:rPr>
        <w:t>Reflection</w:t>
      </w:r>
    </w:p>
    <w:p w14:paraId="5CE06F36" w14:textId="3A76CE6A" w:rsidR="00DD3645" w:rsidRDefault="00DD3645" w:rsidP="00DD3645">
      <w:pPr>
        <w:spacing w:line="360" w:lineRule="auto"/>
        <w:ind w:firstLine="720"/>
        <w:rPr>
          <w:rFonts w:ascii="Arial" w:hAnsi="Arial" w:cs="Arial"/>
          <w:sz w:val="22"/>
          <w:szCs w:val="22"/>
          <w:lang w:val="en-GB"/>
        </w:rPr>
      </w:pPr>
      <w:r>
        <w:rPr>
          <w:rFonts w:ascii="Arial" w:hAnsi="Arial" w:cs="Arial"/>
          <w:sz w:val="22"/>
          <w:szCs w:val="22"/>
          <w:lang w:val="en-GB"/>
        </w:rPr>
        <w:t>After the observation of the critical incident took place, I felt it was of importance to apply context</w:t>
      </w:r>
      <w:r w:rsidR="00BB6479">
        <w:rPr>
          <w:rFonts w:ascii="Arial" w:hAnsi="Arial" w:cs="Arial"/>
          <w:sz w:val="22"/>
          <w:szCs w:val="22"/>
          <w:lang w:val="en-GB"/>
        </w:rPr>
        <w:t xml:space="preserve"> to</w:t>
      </w:r>
      <w:r>
        <w:rPr>
          <w:rFonts w:ascii="Arial" w:hAnsi="Arial" w:cs="Arial"/>
          <w:sz w:val="22"/>
          <w:szCs w:val="22"/>
          <w:lang w:val="en-GB"/>
        </w:rPr>
        <w:t xml:space="preserve"> the incident. Therefore, I spoke with the class teacher and TA at the end of the lesson to ask some questions regarding Pupil X and their circumstances. Both members of staff confirmed that Pupil X had been diagnosed with ASD and were familiar with the pupil’s specific needs; the TA was especially informed about these needs as they were with Pupil X every day throughout the day as support. As seen in the reflection model in </w:t>
      </w:r>
      <w:r>
        <w:rPr>
          <w:rFonts w:ascii="Arial" w:hAnsi="Arial" w:cs="Arial"/>
          <w:b/>
          <w:sz w:val="22"/>
          <w:szCs w:val="22"/>
          <w:lang w:val="en-GB"/>
        </w:rPr>
        <w:t>Figure 3</w:t>
      </w:r>
      <w:r>
        <w:rPr>
          <w:rFonts w:ascii="Arial" w:hAnsi="Arial" w:cs="Arial"/>
          <w:sz w:val="22"/>
          <w:szCs w:val="22"/>
          <w:lang w:val="en-GB"/>
        </w:rPr>
        <w:t xml:space="preserve">, I have outlined that both members of staff explained that they had discussed planning prior to the lesson. This was done to ensure that the teacher could differentiate the activities in the lesson plan to adhere to Pupil X’s needs. </w:t>
      </w:r>
      <w:r>
        <w:rPr>
          <w:rFonts w:ascii="Arial" w:hAnsi="Arial" w:cs="Arial"/>
          <w:b/>
          <w:sz w:val="22"/>
          <w:szCs w:val="22"/>
          <w:lang w:val="en-GB"/>
        </w:rPr>
        <w:t>Figure 3</w:t>
      </w:r>
      <w:r>
        <w:rPr>
          <w:rFonts w:ascii="Arial" w:hAnsi="Arial" w:cs="Arial"/>
          <w:sz w:val="22"/>
          <w:szCs w:val="22"/>
          <w:lang w:val="en-GB"/>
        </w:rPr>
        <w:t xml:space="preserve"> also begins to outline next steps which could support Pupil X’s needs. Such steps could include: further investigation into how the pupil could improve productivity in the lesson; this might incorporate how the student could gain more enjoyment from the lesson by displaying this emotionally or physically. For example, Pupil X might feel more comfortable working with only 1 person rather than 2 or more when participating in group work. </w:t>
      </w:r>
    </w:p>
    <w:p w14:paraId="291764E7" w14:textId="528C8736" w:rsidR="00DD3645" w:rsidRDefault="00DD3645" w:rsidP="00DD3645">
      <w:pPr>
        <w:spacing w:line="360" w:lineRule="auto"/>
        <w:ind w:firstLine="720"/>
        <w:rPr>
          <w:rFonts w:ascii="Arial" w:hAnsi="Arial" w:cs="Arial"/>
          <w:sz w:val="22"/>
          <w:szCs w:val="22"/>
          <w:lang w:val="en-GB"/>
        </w:rPr>
      </w:pPr>
      <w:r>
        <w:rPr>
          <w:rFonts w:ascii="Arial" w:hAnsi="Arial" w:cs="Arial"/>
          <w:sz w:val="22"/>
          <w:szCs w:val="22"/>
          <w:lang w:val="en-GB"/>
        </w:rPr>
        <w:t>Another step which could be used to move forward might also include changing the initial instruct</w:t>
      </w:r>
      <w:r w:rsidR="00A70CA2">
        <w:rPr>
          <w:rFonts w:ascii="Arial" w:hAnsi="Arial" w:cs="Arial"/>
          <w:sz w:val="22"/>
          <w:szCs w:val="22"/>
          <w:lang w:val="en-GB"/>
        </w:rPr>
        <w:t>ion or task; Pupil X appeared dis</w:t>
      </w:r>
      <w:r>
        <w:rPr>
          <w:rFonts w:ascii="Arial" w:hAnsi="Arial" w:cs="Arial"/>
          <w:sz w:val="22"/>
          <w:szCs w:val="22"/>
          <w:lang w:val="en-GB"/>
        </w:rPr>
        <w:t xml:space="preserve">engaged with the initial task – the teacher explained after the lesson that they intended to challenge Pupil X in this instance and wanted to use this as an opportunity to assess a benchmark for the pupil’s capability. </w:t>
      </w:r>
    </w:p>
    <w:p w14:paraId="0186B62F" w14:textId="77777777" w:rsidR="00DD3645" w:rsidRDefault="00DD3645" w:rsidP="00DD3645">
      <w:pPr>
        <w:spacing w:line="360" w:lineRule="auto"/>
        <w:ind w:firstLine="720"/>
        <w:rPr>
          <w:rFonts w:ascii="Arial" w:hAnsi="Arial" w:cs="Arial"/>
          <w:sz w:val="22"/>
          <w:szCs w:val="22"/>
          <w:lang w:val="en-GB"/>
        </w:rPr>
      </w:pPr>
      <w:r>
        <w:rPr>
          <w:rFonts w:ascii="Arial" w:hAnsi="Arial" w:cs="Arial"/>
          <w:sz w:val="22"/>
          <w:szCs w:val="22"/>
          <w:lang w:val="en-GB"/>
        </w:rPr>
        <w:t xml:space="preserve">Next steps could potentially include changing aspects of the physical classroom environment to encourage full engagement from Pupil X throughout the lesson. </w:t>
      </w:r>
    </w:p>
    <w:p w14:paraId="2807C865" w14:textId="0B46EABA" w:rsidR="00DD3645" w:rsidRDefault="00DD3645" w:rsidP="00DD3645">
      <w:pPr>
        <w:spacing w:line="360" w:lineRule="auto"/>
        <w:ind w:firstLine="720"/>
        <w:rPr>
          <w:rFonts w:ascii="Arial" w:hAnsi="Arial" w:cs="Arial"/>
          <w:sz w:val="22"/>
          <w:szCs w:val="22"/>
          <w:lang w:val="en-GB"/>
        </w:rPr>
      </w:pPr>
      <w:r>
        <w:rPr>
          <w:rFonts w:ascii="Arial" w:hAnsi="Arial" w:cs="Arial"/>
          <w:sz w:val="22"/>
          <w:szCs w:val="22"/>
          <w:lang w:val="en-GB"/>
        </w:rPr>
        <w:t>I believe that these suggestions could be considered for pupils such as Pupil X because children with ASD might not know how to act in a group or know how to relate to others in a group; they might also struggle with being able to make sense of environmental stimulation (Reid and Lannen, 2012, p. 229-230). These considerations may act as a barrier to learning for Pupil X due to their diagnosis.</w:t>
      </w:r>
      <w:r w:rsidR="00CA29AE">
        <w:rPr>
          <w:rFonts w:ascii="Arial" w:hAnsi="Arial" w:cs="Arial"/>
          <w:sz w:val="22"/>
          <w:szCs w:val="22"/>
          <w:lang w:val="en-GB"/>
        </w:rPr>
        <w:t xml:space="preserve"> </w:t>
      </w:r>
    </w:p>
    <w:p w14:paraId="4D9FA1AF" w14:textId="77777777" w:rsidR="00DD3645" w:rsidRDefault="00DD3645" w:rsidP="00DD3645">
      <w:pPr>
        <w:spacing w:line="360" w:lineRule="auto"/>
        <w:ind w:firstLine="720"/>
        <w:rPr>
          <w:rFonts w:ascii="Arial" w:hAnsi="Arial" w:cs="Arial"/>
          <w:sz w:val="22"/>
          <w:szCs w:val="22"/>
          <w:lang w:val="en-GB"/>
        </w:rPr>
      </w:pPr>
      <w:r>
        <w:rPr>
          <w:rFonts w:ascii="Arial" w:hAnsi="Arial" w:cs="Arial"/>
          <w:sz w:val="22"/>
          <w:szCs w:val="22"/>
          <w:lang w:val="en-GB"/>
        </w:rPr>
        <w:t xml:space="preserve">Following on from this, I also believe that all steps taken in the lesson to facilitate and support Pupil X’s learning should be kept the same (as seen in </w:t>
      </w:r>
      <w:r>
        <w:rPr>
          <w:rFonts w:ascii="Arial" w:hAnsi="Arial" w:cs="Arial"/>
          <w:b/>
          <w:sz w:val="22"/>
          <w:szCs w:val="22"/>
          <w:lang w:val="en-GB"/>
        </w:rPr>
        <w:t>Figure 3</w:t>
      </w:r>
      <w:r>
        <w:rPr>
          <w:rFonts w:ascii="Arial" w:hAnsi="Arial" w:cs="Arial"/>
          <w:sz w:val="22"/>
          <w:szCs w:val="22"/>
          <w:lang w:val="en-GB"/>
        </w:rPr>
        <w:t xml:space="preserve">). Some of these include the use of the TA; this member of staff knew the learner well which proved advantageous to their learning in this lesson. I believe that the excellent relationship between Pupil X and the TA meant that the teacher could be proactive when strategically planning for the lesson. The strategic planning then ensured that Pupil X’s needs were best met. The TA also explained that they provided support for Pupil X throughout school days; I believe that this is also beneficial to Pupil X’s learning as some children with ASD prefer to build relationships with adults or older children (Reid and Lannen, 2012); this promotes Donaldson’s ‘healthy, confident individuals who form positive relationships based upon trust and mutual respect’ (2015). </w:t>
      </w:r>
    </w:p>
    <w:p w14:paraId="000A9780" w14:textId="77777777" w:rsidR="00DD3645" w:rsidRDefault="00DD3645" w:rsidP="00DD3645">
      <w:pPr>
        <w:spacing w:line="360" w:lineRule="auto"/>
        <w:ind w:firstLine="720"/>
        <w:rPr>
          <w:rFonts w:ascii="Arial" w:hAnsi="Arial" w:cs="Arial"/>
          <w:sz w:val="22"/>
          <w:szCs w:val="22"/>
          <w:lang w:val="en-GB"/>
        </w:rPr>
      </w:pPr>
      <w:r>
        <w:rPr>
          <w:rFonts w:ascii="Arial" w:hAnsi="Arial" w:cs="Arial"/>
          <w:sz w:val="22"/>
          <w:szCs w:val="22"/>
          <w:lang w:val="en-GB"/>
        </w:rPr>
        <w:t xml:space="preserve">Moving towards my own personal and professional development, the TA from the critical incident advised me to develop my understanding of a couple of interventions that have proven to be a success for their own practice. Firstly, ‘Attention Autism’ is an intervention model created by Gina Davies (available at: </w:t>
      </w:r>
      <w:r w:rsidRPr="00C12928">
        <w:rPr>
          <w:rFonts w:ascii="Arial" w:hAnsi="Arial" w:cs="Arial"/>
          <w:sz w:val="22"/>
          <w:szCs w:val="22"/>
          <w:lang w:val="en-GB"/>
        </w:rPr>
        <w:t>http://ginadavies.co.uk/)</w:t>
      </w:r>
      <w:r>
        <w:rPr>
          <w:rFonts w:ascii="Arial" w:hAnsi="Arial" w:cs="Arial"/>
          <w:sz w:val="22"/>
          <w:szCs w:val="22"/>
          <w:lang w:val="en-GB"/>
        </w:rPr>
        <w:t xml:space="preserve">. The aims of this intervention model are easily applied to learning in the classroom. Aims of the intervention include improving attention in adult-led classes and generally, improving attention on the whole. I feel that this type of intervention for pupils with ASD would be beneficial as it could help children who want to improve their learning. It could also benefit myself and other teachers and TAs in developing understanding of improving attention. </w:t>
      </w:r>
    </w:p>
    <w:p w14:paraId="3162A7EC" w14:textId="77777777" w:rsidR="00DD3645" w:rsidRDefault="00DD3645" w:rsidP="00DD3645">
      <w:pPr>
        <w:spacing w:line="360" w:lineRule="auto"/>
        <w:ind w:firstLine="720"/>
        <w:rPr>
          <w:rFonts w:ascii="Arial" w:hAnsi="Arial" w:cs="Arial"/>
          <w:sz w:val="22"/>
          <w:szCs w:val="22"/>
          <w:lang w:val="en-GB"/>
        </w:rPr>
      </w:pPr>
      <w:r>
        <w:rPr>
          <w:rFonts w:ascii="Arial" w:hAnsi="Arial" w:cs="Arial"/>
          <w:sz w:val="22"/>
          <w:szCs w:val="22"/>
          <w:lang w:val="en-GB"/>
        </w:rPr>
        <w:t>Secondly, ‘PECS’, (Phoenix Speech and Language Therapy Team, 2018</w:t>
      </w:r>
      <w:r w:rsidRPr="007C6C7D">
        <w:rPr>
          <w:rFonts w:ascii="Arial" w:hAnsi="Arial" w:cs="Arial"/>
          <w:sz w:val="22"/>
          <w:szCs w:val="22"/>
          <w:lang w:val="en-GB"/>
        </w:rPr>
        <w:t>)</w:t>
      </w:r>
      <w:r>
        <w:rPr>
          <w:rFonts w:ascii="Arial" w:hAnsi="Arial" w:cs="Arial"/>
          <w:sz w:val="22"/>
          <w:szCs w:val="22"/>
          <w:lang w:val="en-GB"/>
        </w:rPr>
        <w:t xml:space="preserve"> is also an intervention strategy for people with ASD, from Phoenix School, using pictures as a means of expression. For my own professional development, I aim to increase my awareness and understanding of these interventions and how they can be put into practice and potentially influence my own strategic planning and practice.  </w:t>
      </w:r>
    </w:p>
    <w:p w14:paraId="3AA7945F" w14:textId="35C854A4" w:rsidR="00CA29AE" w:rsidRDefault="00F40A85" w:rsidP="00DD3645">
      <w:pPr>
        <w:spacing w:line="360" w:lineRule="auto"/>
        <w:ind w:firstLine="720"/>
        <w:rPr>
          <w:rFonts w:ascii="Arial" w:hAnsi="Arial" w:cs="Arial"/>
          <w:sz w:val="22"/>
          <w:szCs w:val="22"/>
          <w:lang w:val="en-GB"/>
        </w:rPr>
      </w:pPr>
      <w:r>
        <w:rPr>
          <w:rFonts w:ascii="Arial" w:hAnsi="Arial" w:cs="Arial"/>
          <w:sz w:val="22"/>
          <w:szCs w:val="22"/>
          <w:lang w:val="en-GB"/>
        </w:rPr>
        <w:t xml:space="preserve">The teacher mentioned that Pupil X would be building on their confidence and performance skills by aiming to produce a short scene in the next lesson, following on to create longer scenes in larger groups in future lessons. The teacher and TA showed me the importance of building strong relationships with pupils in order to meet their needs in lessons. I realise that I will have to consider the needs of all pupils carefully and use this knowledge to help me differentiate effectively. I will remember that there is always a reason for pupil’s individual behaviour. I have learnt that it is vitally important to get the basics right; relationships, sharing the purpose of the lesson with pupils, challenge and differentiation. </w:t>
      </w:r>
    </w:p>
    <w:p w14:paraId="5D5F8D9B" w14:textId="77777777" w:rsidR="00F40A85" w:rsidRDefault="00F40A85" w:rsidP="00DD3645">
      <w:pPr>
        <w:spacing w:line="360" w:lineRule="auto"/>
        <w:ind w:firstLine="720"/>
        <w:rPr>
          <w:rFonts w:ascii="Arial" w:hAnsi="Arial" w:cs="Arial"/>
          <w:sz w:val="22"/>
          <w:szCs w:val="22"/>
          <w:lang w:val="en-GB"/>
        </w:rPr>
      </w:pPr>
    </w:p>
    <w:p w14:paraId="1BEA808E" w14:textId="2683B154" w:rsidR="007D7E78" w:rsidRDefault="007D7E78" w:rsidP="007D7E78">
      <w:pPr>
        <w:spacing w:line="360" w:lineRule="auto"/>
        <w:rPr>
          <w:rFonts w:ascii="Arial" w:hAnsi="Arial" w:cs="Arial"/>
          <w:sz w:val="22"/>
          <w:szCs w:val="22"/>
          <w:lang w:val="en-GB"/>
        </w:rPr>
      </w:pPr>
      <w:r w:rsidRPr="007D7E78">
        <w:rPr>
          <w:rFonts w:ascii="Arial" w:hAnsi="Arial" w:cs="Arial"/>
          <w:sz w:val="22"/>
          <w:szCs w:val="22"/>
          <w:u w:val="single"/>
          <w:lang w:val="en-GB"/>
        </w:rPr>
        <w:t>Conclusion</w:t>
      </w:r>
    </w:p>
    <w:p w14:paraId="62E674C6" w14:textId="4096382C" w:rsidR="007D7E78" w:rsidRDefault="00B709E7" w:rsidP="007D7E78">
      <w:pPr>
        <w:spacing w:line="360" w:lineRule="auto"/>
        <w:rPr>
          <w:rFonts w:ascii="Arial" w:hAnsi="Arial" w:cs="Arial"/>
          <w:sz w:val="22"/>
          <w:szCs w:val="22"/>
          <w:lang w:val="en-GB"/>
        </w:rPr>
      </w:pPr>
      <w:r>
        <w:rPr>
          <w:rFonts w:ascii="Arial" w:hAnsi="Arial" w:cs="Arial"/>
          <w:sz w:val="22"/>
          <w:szCs w:val="22"/>
          <w:lang w:val="en-GB"/>
        </w:rPr>
        <w:tab/>
      </w:r>
      <w:r w:rsidR="000643EF">
        <w:rPr>
          <w:rFonts w:ascii="Arial" w:hAnsi="Arial" w:cs="Arial"/>
          <w:sz w:val="22"/>
          <w:szCs w:val="22"/>
          <w:lang w:val="en-GB"/>
        </w:rPr>
        <w:t xml:space="preserve">On conclusion of the critical incident discussed and the literature reviewed, ALN </w:t>
      </w:r>
      <w:r w:rsidR="00533EA5">
        <w:rPr>
          <w:rFonts w:ascii="Arial" w:hAnsi="Arial" w:cs="Arial"/>
          <w:sz w:val="22"/>
          <w:szCs w:val="22"/>
          <w:lang w:val="en-GB"/>
        </w:rPr>
        <w:t xml:space="preserve">appears to be a growing </w:t>
      </w:r>
      <w:r w:rsidR="000643EF">
        <w:rPr>
          <w:rFonts w:ascii="Arial" w:hAnsi="Arial" w:cs="Arial"/>
          <w:sz w:val="22"/>
          <w:szCs w:val="22"/>
          <w:lang w:val="en-GB"/>
        </w:rPr>
        <w:t xml:space="preserve">consideration for teaching professionals. </w:t>
      </w:r>
      <w:r w:rsidR="00533EA5">
        <w:rPr>
          <w:rFonts w:ascii="Arial" w:hAnsi="Arial" w:cs="Arial"/>
          <w:sz w:val="22"/>
          <w:szCs w:val="22"/>
          <w:lang w:val="en-GB"/>
        </w:rPr>
        <w:t>The role of the TA as support remains up for debate, however, the case of Pupil X here would prove that TA support is</w:t>
      </w:r>
      <w:r w:rsidR="001C595D">
        <w:rPr>
          <w:rFonts w:ascii="Arial" w:hAnsi="Arial" w:cs="Arial"/>
          <w:sz w:val="22"/>
          <w:szCs w:val="22"/>
          <w:lang w:val="en-GB"/>
        </w:rPr>
        <w:t xml:space="preserve"> highly advantageous</w:t>
      </w:r>
      <w:r w:rsidR="00533EA5">
        <w:rPr>
          <w:rFonts w:ascii="Arial" w:hAnsi="Arial" w:cs="Arial"/>
          <w:sz w:val="22"/>
          <w:szCs w:val="22"/>
          <w:lang w:val="en-GB"/>
        </w:rPr>
        <w:t xml:space="preserve"> to </w:t>
      </w:r>
      <w:r w:rsidR="001C595D">
        <w:rPr>
          <w:rFonts w:ascii="Arial" w:hAnsi="Arial" w:cs="Arial"/>
          <w:sz w:val="22"/>
          <w:szCs w:val="22"/>
          <w:lang w:val="en-GB"/>
        </w:rPr>
        <w:t xml:space="preserve">the progress of </w:t>
      </w:r>
      <w:r w:rsidR="00533EA5">
        <w:rPr>
          <w:rFonts w:ascii="Arial" w:hAnsi="Arial" w:cs="Arial"/>
          <w:sz w:val="22"/>
          <w:szCs w:val="22"/>
          <w:lang w:val="en-GB"/>
        </w:rPr>
        <w:t xml:space="preserve">some pupils with ALN. </w:t>
      </w:r>
      <w:r>
        <w:rPr>
          <w:rFonts w:ascii="Arial" w:hAnsi="Arial" w:cs="Arial"/>
          <w:sz w:val="22"/>
          <w:szCs w:val="22"/>
          <w:lang w:val="en-GB"/>
        </w:rPr>
        <w:t xml:space="preserve">Looking explicitly at planning and teaching pupils with ALN, I think it </w:t>
      </w:r>
      <w:r w:rsidR="00054ED4">
        <w:rPr>
          <w:rFonts w:ascii="Arial" w:hAnsi="Arial" w:cs="Arial"/>
          <w:sz w:val="22"/>
          <w:szCs w:val="22"/>
          <w:lang w:val="en-GB"/>
        </w:rPr>
        <w:t>is appropriate to say</w:t>
      </w:r>
      <w:r>
        <w:rPr>
          <w:rFonts w:ascii="Arial" w:hAnsi="Arial" w:cs="Arial"/>
          <w:sz w:val="22"/>
          <w:szCs w:val="22"/>
          <w:lang w:val="en-GB"/>
        </w:rPr>
        <w:t xml:space="preserve"> that knowing individual learners well is key to their success and meeting professional standards in my own practice. </w:t>
      </w:r>
      <w:r w:rsidR="00400D60">
        <w:rPr>
          <w:rFonts w:ascii="Arial" w:hAnsi="Arial" w:cs="Arial"/>
          <w:sz w:val="22"/>
          <w:szCs w:val="22"/>
          <w:lang w:val="en-GB"/>
        </w:rPr>
        <w:t xml:space="preserve">In order to meet professional standards, as a student-teacher I will need to </w:t>
      </w:r>
      <w:r w:rsidR="00054ED4">
        <w:rPr>
          <w:rFonts w:ascii="Arial" w:hAnsi="Arial" w:cs="Arial"/>
          <w:sz w:val="22"/>
          <w:szCs w:val="22"/>
          <w:lang w:val="en-GB"/>
        </w:rPr>
        <w:t>accomplish and maintain</w:t>
      </w:r>
      <w:r w:rsidR="00400D60">
        <w:rPr>
          <w:rFonts w:ascii="Arial" w:hAnsi="Arial" w:cs="Arial"/>
          <w:sz w:val="22"/>
          <w:szCs w:val="22"/>
          <w:lang w:val="en-GB"/>
        </w:rPr>
        <w:t xml:space="preserve"> </w:t>
      </w:r>
      <w:r w:rsidR="00054ED4">
        <w:rPr>
          <w:rFonts w:ascii="Arial" w:hAnsi="Arial" w:cs="Arial"/>
          <w:sz w:val="22"/>
          <w:szCs w:val="22"/>
          <w:lang w:val="en-GB"/>
        </w:rPr>
        <w:t xml:space="preserve">the skills, knowledge and behaviour that comes together to achieve excellent practice (Welsh Government, 2018). </w:t>
      </w:r>
      <w:r w:rsidR="00D81146">
        <w:rPr>
          <w:rFonts w:ascii="Arial" w:hAnsi="Arial" w:cs="Arial"/>
          <w:sz w:val="22"/>
          <w:szCs w:val="22"/>
          <w:lang w:val="en-GB"/>
        </w:rPr>
        <w:t>In order to develop my understanding of pupils</w:t>
      </w:r>
      <w:r w:rsidR="004768BB">
        <w:rPr>
          <w:rFonts w:ascii="Arial" w:hAnsi="Arial" w:cs="Arial"/>
          <w:sz w:val="22"/>
          <w:szCs w:val="22"/>
          <w:lang w:val="en-GB"/>
        </w:rPr>
        <w:t>’ needs</w:t>
      </w:r>
      <w:r w:rsidR="00D81146">
        <w:rPr>
          <w:rFonts w:ascii="Arial" w:hAnsi="Arial" w:cs="Arial"/>
          <w:sz w:val="22"/>
          <w:szCs w:val="22"/>
          <w:lang w:val="en-GB"/>
        </w:rPr>
        <w:t xml:space="preserve"> with ALN and improve my practice on the whole, I will need to develop as a reflective practitioner. To achieve this, I will </w:t>
      </w:r>
      <w:r w:rsidR="000643EF">
        <w:rPr>
          <w:rFonts w:ascii="Arial" w:hAnsi="Arial" w:cs="Arial"/>
          <w:sz w:val="22"/>
          <w:szCs w:val="22"/>
          <w:lang w:val="en-GB"/>
        </w:rPr>
        <w:t>ensure that I reflect on my practice weekly, monthly and termly, as recommended by the Welsh Government (2015)</w:t>
      </w:r>
      <w:r w:rsidR="004768BB">
        <w:rPr>
          <w:rFonts w:ascii="Arial" w:hAnsi="Arial" w:cs="Arial"/>
          <w:sz w:val="22"/>
          <w:szCs w:val="22"/>
          <w:lang w:val="en-GB"/>
        </w:rPr>
        <w:t xml:space="preserve">. </w:t>
      </w:r>
      <w:r w:rsidR="00533EA5">
        <w:rPr>
          <w:rFonts w:ascii="Arial" w:hAnsi="Arial" w:cs="Arial"/>
          <w:sz w:val="22"/>
          <w:szCs w:val="22"/>
          <w:lang w:val="en-GB"/>
        </w:rPr>
        <w:t xml:space="preserve">With the use of my Professional Learning Passport (PLP), where I will record evidence of my practice, </w:t>
      </w:r>
      <w:r w:rsidR="00F31BD9">
        <w:rPr>
          <w:rFonts w:ascii="Arial" w:hAnsi="Arial" w:cs="Arial"/>
          <w:sz w:val="22"/>
          <w:szCs w:val="22"/>
          <w:lang w:val="en-GB"/>
        </w:rPr>
        <w:t xml:space="preserve">I will be able to reflect on my teaching here. For example, evidence of interventions for pupils who need extra support or pupils who have ALN could be recorded in the PLP. </w:t>
      </w:r>
      <w:r w:rsidR="00102EDA">
        <w:rPr>
          <w:rFonts w:ascii="Arial" w:hAnsi="Arial" w:cs="Arial"/>
          <w:sz w:val="22"/>
          <w:szCs w:val="22"/>
          <w:lang w:val="en-GB"/>
        </w:rPr>
        <w:t xml:space="preserve">In order to develop my practice and to meet professional standards, I will have to adopt the use of feedback from tutors, colleagues, peers and pupils; the use of pupil voice within schools could be a beneficial way of doing this. Having observed a teacher who planned lessons with the class (therefore gaining feedback from </w:t>
      </w:r>
      <w:r w:rsidR="00D12427">
        <w:rPr>
          <w:rFonts w:ascii="Arial" w:hAnsi="Arial" w:cs="Arial"/>
          <w:sz w:val="22"/>
          <w:szCs w:val="22"/>
          <w:lang w:val="en-GB"/>
        </w:rPr>
        <w:t>pupils</w:t>
      </w:r>
      <w:r w:rsidR="00102EDA">
        <w:rPr>
          <w:rFonts w:ascii="Arial" w:hAnsi="Arial" w:cs="Arial"/>
          <w:sz w:val="22"/>
          <w:szCs w:val="22"/>
          <w:lang w:val="en-GB"/>
        </w:rPr>
        <w:t xml:space="preserve">), I feel that this would improve my </w:t>
      </w:r>
      <w:r w:rsidR="00D12427">
        <w:rPr>
          <w:rFonts w:ascii="Arial" w:hAnsi="Arial" w:cs="Arial"/>
          <w:sz w:val="22"/>
          <w:szCs w:val="22"/>
          <w:lang w:val="en-GB"/>
        </w:rPr>
        <w:t xml:space="preserve">own </w:t>
      </w:r>
      <w:r w:rsidR="00102EDA">
        <w:rPr>
          <w:rFonts w:ascii="Arial" w:hAnsi="Arial" w:cs="Arial"/>
          <w:sz w:val="22"/>
          <w:szCs w:val="22"/>
          <w:lang w:val="en-GB"/>
        </w:rPr>
        <w:t>reflective practice</w:t>
      </w:r>
      <w:r w:rsidR="00D12427">
        <w:rPr>
          <w:rFonts w:ascii="Arial" w:hAnsi="Arial" w:cs="Arial"/>
          <w:sz w:val="22"/>
          <w:szCs w:val="22"/>
          <w:lang w:val="en-GB"/>
        </w:rPr>
        <w:t xml:space="preserve"> too</w:t>
      </w:r>
      <w:r w:rsidR="00102EDA">
        <w:rPr>
          <w:rFonts w:ascii="Arial" w:hAnsi="Arial" w:cs="Arial"/>
          <w:sz w:val="22"/>
          <w:szCs w:val="22"/>
          <w:lang w:val="en-GB"/>
        </w:rPr>
        <w:t xml:space="preserve">. </w:t>
      </w:r>
    </w:p>
    <w:p w14:paraId="1BCC8ECD" w14:textId="77777777" w:rsidR="007B5DCB" w:rsidRPr="00417468" w:rsidRDefault="007B5DCB" w:rsidP="00F87FC2">
      <w:pPr>
        <w:spacing w:line="360" w:lineRule="auto"/>
        <w:rPr>
          <w:rFonts w:ascii="Arial" w:eastAsia="Times New Roman" w:hAnsi="Arial" w:cs="Arial"/>
          <w:sz w:val="22"/>
          <w:szCs w:val="22"/>
        </w:rPr>
      </w:pPr>
    </w:p>
    <w:p w14:paraId="71E0C9CE" w14:textId="77777777" w:rsidR="003603E6" w:rsidRPr="009E2800" w:rsidRDefault="003603E6" w:rsidP="003603E6">
      <w:pPr>
        <w:rPr>
          <w:rFonts w:ascii="Arial" w:hAnsi="Arial" w:cs="Arial"/>
          <w:b/>
          <w:sz w:val="22"/>
          <w:szCs w:val="22"/>
          <w:u w:val="single"/>
          <w:lang w:val="en-GB"/>
        </w:rPr>
      </w:pPr>
      <w:r w:rsidRPr="00116399">
        <w:rPr>
          <w:rFonts w:ascii="Arial" w:hAnsi="Arial" w:cs="Arial"/>
          <w:b/>
          <w:sz w:val="22"/>
          <w:szCs w:val="22"/>
          <w:u w:val="single"/>
          <w:lang w:val="en-GB"/>
        </w:rPr>
        <w:t xml:space="preserve">Reference </w:t>
      </w:r>
      <w:r>
        <w:rPr>
          <w:rFonts w:ascii="Arial" w:hAnsi="Arial" w:cs="Arial"/>
          <w:b/>
          <w:sz w:val="22"/>
          <w:szCs w:val="22"/>
          <w:u w:val="single"/>
          <w:lang w:val="en-GB"/>
        </w:rPr>
        <w:t>L</w:t>
      </w:r>
      <w:r w:rsidRPr="00116399">
        <w:rPr>
          <w:rFonts w:ascii="Arial" w:hAnsi="Arial" w:cs="Arial"/>
          <w:b/>
          <w:sz w:val="22"/>
          <w:szCs w:val="22"/>
          <w:u w:val="single"/>
          <w:lang w:val="en-GB"/>
        </w:rPr>
        <w:t>ist</w:t>
      </w:r>
    </w:p>
    <w:p w14:paraId="57AAD40A" w14:textId="77777777" w:rsidR="003603E6" w:rsidRPr="00116399" w:rsidRDefault="003603E6" w:rsidP="003603E6">
      <w:pPr>
        <w:rPr>
          <w:rFonts w:ascii="Arial" w:hAnsi="Arial" w:cs="Arial"/>
          <w:lang w:val="en-GB"/>
        </w:rPr>
      </w:pPr>
    </w:p>
    <w:p w14:paraId="4F9570F4" w14:textId="77777777" w:rsidR="003603E6" w:rsidRDefault="003603E6" w:rsidP="003603E6">
      <w:pPr>
        <w:pStyle w:val="ListParagraph"/>
        <w:numPr>
          <w:ilvl w:val="0"/>
          <w:numId w:val="1"/>
        </w:numPr>
        <w:spacing w:line="360" w:lineRule="auto"/>
        <w:rPr>
          <w:rFonts w:ascii="Arial" w:hAnsi="Arial" w:cs="Arial"/>
          <w:sz w:val="22"/>
          <w:szCs w:val="22"/>
          <w:lang w:val="en-GB"/>
        </w:rPr>
      </w:pPr>
      <w:r>
        <w:rPr>
          <w:rFonts w:ascii="Arial" w:hAnsi="Arial" w:cs="Arial"/>
          <w:sz w:val="22"/>
          <w:szCs w:val="22"/>
          <w:lang w:val="en-GB"/>
        </w:rPr>
        <w:t xml:space="preserve">Arthur, J., Waring, M., Coe, R., Hedges, L. V. (2012) </w:t>
      </w:r>
      <w:r>
        <w:rPr>
          <w:rFonts w:ascii="Arial" w:hAnsi="Arial" w:cs="Arial"/>
          <w:i/>
          <w:sz w:val="22"/>
          <w:szCs w:val="22"/>
          <w:lang w:val="en-GB"/>
        </w:rPr>
        <w:t>Research Methods &amp; Methodologies in Education.</w:t>
      </w:r>
      <w:r>
        <w:rPr>
          <w:rFonts w:ascii="Arial" w:hAnsi="Arial" w:cs="Arial"/>
          <w:sz w:val="22"/>
          <w:szCs w:val="22"/>
          <w:lang w:val="en-GB"/>
        </w:rPr>
        <w:t xml:space="preserve"> London: SAGE Publications Ltd. (Chapter 23, Michael V. Angrosino, 2012). </w:t>
      </w:r>
    </w:p>
    <w:p w14:paraId="331B1B01" w14:textId="77777777" w:rsidR="003603E6" w:rsidRDefault="003603E6" w:rsidP="003603E6">
      <w:pPr>
        <w:pStyle w:val="ListParagraph"/>
        <w:numPr>
          <w:ilvl w:val="0"/>
          <w:numId w:val="1"/>
        </w:numPr>
        <w:spacing w:line="360" w:lineRule="auto"/>
        <w:rPr>
          <w:rFonts w:ascii="Arial" w:hAnsi="Arial" w:cs="Arial"/>
          <w:sz w:val="22"/>
          <w:szCs w:val="22"/>
          <w:lang w:val="en-GB"/>
        </w:rPr>
      </w:pPr>
      <w:r>
        <w:rPr>
          <w:rFonts w:ascii="Arial" w:hAnsi="Arial" w:cs="Arial"/>
          <w:sz w:val="22"/>
          <w:szCs w:val="22"/>
          <w:lang w:val="en-GB"/>
        </w:rPr>
        <w:t xml:space="preserve">Berman, J., Graham, L. (2018) </w:t>
      </w:r>
      <w:r>
        <w:rPr>
          <w:rFonts w:ascii="Arial" w:hAnsi="Arial" w:cs="Arial"/>
          <w:i/>
          <w:sz w:val="22"/>
          <w:szCs w:val="22"/>
          <w:lang w:val="en-GB"/>
        </w:rPr>
        <w:t xml:space="preserve">Learning Intervention: Educational Casework and Responsive Teaching for Sustainable Learning. </w:t>
      </w:r>
      <w:r>
        <w:rPr>
          <w:rFonts w:ascii="Arial" w:hAnsi="Arial" w:cs="Arial"/>
          <w:sz w:val="22"/>
          <w:szCs w:val="22"/>
          <w:lang w:val="en-GB"/>
        </w:rPr>
        <w:t>Oxon: Routledge.</w:t>
      </w:r>
    </w:p>
    <w:p w14:paraId="31E7D174" w14:textId="77777777" w:rsidR="003603E6" w:rsidRPr="00116399" w:rsidRDefault="003603E6" w:rsidP="003603E6">
      <w:pPr>
        <w:pStyle w:val="ListParagraph"/>
        <w:numPr>
          <w:ilvl w:val="0"/>
          <w:numId w:val="1"/>
        </w:numPr>
        <w:spacing w:line="360" w:lineRule="auto"/>
        <w:rPr>
          <w:rFonts w:ascii="Arial" w:hAnsi="Arial" w:cs="Arial"/>
          <w:sz w:val="22"/>
          <w:szCs w:val="22"/>
          <w:lang w:val="en-GB"/>
        </w:rPr>
      </w:pPr>
      <w:r w:rsidRPr="00116399">
        <w:rPr>
          <w:rFonts w:ascii="Arial" w:hAnsi="Arial" w:cs="Arial"/>
          <w:sz w:val="22"/>
          <w:szCs w:val="22"/>
          <w:lang w:val="en-GB"/>
        </w:rPr>
        <w:t>Cohen, L., Manion, L. (1994, 4</w:t>
      </w:r>
      <w:r w:rsidRPr="00116399">
        <w:rPr>
          <w:rFonts w:ascii="Arial" w:hAnsi="Arial" w:cs="Arial"/>
          <w:sz w:val="22"/>
          <w:szCs w:val="22"/>
          <w:vertAlign w:val="superscript"/>
          <w:lang w:val="en-GB"/>
        </w:rPr>
        <w:t>th</w:t>
      </w:r>
      <w:r w:rsidRPr="00116399">
        <w:rPr>
          <w:rFonts w:ascii="Arial" w:hAnsi="Arial" w:cs="Arial"/>
          <w:sz w:val="22"/>
          <w:szCs w:val="22"/>
          <w:lang w:val="en-GB"/>
        </w:rPr>
        <w:t xml:space="preserve"> Edition). </w:t>
      </w:r>
      <w:r w:rsidRPr="00116399">
        <w:rPr>
          <w:rFonts w:ascii="Arial" w:hAnsi="Arial" w:cs="Arial"/>
          <w:i/>
          <w:sz w:val="22"/>
          <w:szCs w:val="22"/>
          <w:lang w:val="en-GB"/>
        </w:rPr>
        <w:t>Research Methods in Education</w:t>
      </w:r>
      <w:r w:rsidRPr="00116399">
        <w:rPr>
          <w:rFonts w:ascii="Arial" w:hAnsi="Arial" w:cs="Arial"/>
          <w:sz w:val="22"/>
          <w:szCs w:val="22"/>
          <w:lang w:val="en-GB"/>
        </w:rPr>
        <w:t xml:space="preserve">. London and New York: Routledge. </w:t>
      </w:r>
    </w:p>
    <w:p w14:paraId="255B0BAF" w14:textId="77777777" w:rsidR="003603E6" w:rsidRDefault="003603E6" w:rsidP="003603E6">
      <w:pPr>
        <w:pStyle w:val="ListParagraph"/>
        <w:numPr>
          <w:ilvl w:val="0"/>
          <w:numId w:val="1"/>
        </w:numPr>
        <w:spacing w:line="360" w:lineRule="auto"/>
        <w:rPr>
          <w:rFonts w:ascii="Arial" w:hAnsi="Arial" w:cs="Arial"/>
          <w:sz w:val="22"/>
          <w:szCs w:val="22"/>
          <w:lang w:val="en-GB"/>
        </w:rPr>
      </w:pPr>
      <w:r>
        <w:rPr>
          <w:rFonts w:ascii="Arial" w:hAnsi="Arial" w:cs="Arial"/>
          <w:sz w:val="22"/>
          <w:szCs w:val="22"/>
          <w:lang w:val="en-GB"/>
        </w:rPr>
        <w:t xml:space="preserve">Coughlan, S. (2019) </w:t>
      </w:r>
      <w:r>
        <w:rPr>
          <w:rFonts w:ascii="Arial" w:hAnsi="Arial" w:cs="Arial"/>
          <w:i/>
          <w:sz w:val="22"/>
          <w:szCs w:val="22"/>
          <w:lang w:val="en-GB"/>
        </w:rPr>
        <w:t xml:space="preserve">Disadvantaged pupils ‘stuck 18 months behind’ </w:t>
      </w:r>
      <w:r>
        <w:rPr>
          <w:rFonts w:ascii="Arial" w:hAnsi="Arial" w:cs="Arial"/>
          <w:sz w:val="22"/>
          <w:szCs w:val="22"/>
          <w:lang w:val="en-GB"/>
        </w:rPr>
        <w:t xml:space="preserve">(online) Available at: </w:t>
      </w:r>
      <w:r w:rsidRPr="008B328C">
        <w:rPr>
          <w:rFonts w:ascii="Arial" w:hAnsi="Arial" w:cs="Arial"/>
          <w:sz w:val="22"/>
          <w:szCs w:val="22"/>
          <w:lang w:val="en-GB"/>
        </w:rPr>
        <w:t>https://www.bbc.co.uk/news/education-49150993#</w:t>
      </w:r>
      <w:r>
        <w:rPr>
          <w:rFonts w:ascii="Arial" w:hAnsi="Arial" w:cs="Arial"/>
          <w:sz w:val="22"/>
          <w:szCs w:val="22"/>
          <w:lang w:val="en-GB"/>
        </w:rPr>
        <w:t xml:space="preserve"> [Accessed on 27/10/19]</w:t>
      </w:r>
    </w:p>
    <w:p w14:paraId="30DC096C" w14:textId="77777777" w:rsidR="003603E6" w:rsidRDefault="003603E6" w:rsidP="003603E6">
      <w:pPr>
        <w:pStyle w:val="ListParagraph"/>
        <w:numPr>
          <w:ilvl w:val="0"/>
          <w:numId w:val="1"/>
        </w:numPr>
        <w:spacing w:line="360" w:lineRule="auto"/>
        <w:rPr>
          <w:rFonts w:ascii="Arial" w:hAnsi="Arial" w:cs="Arial"/>
          <w:sz w:val="22"/>
          <w:szCs w:val="22"/>
          <w:lang w:val="en-GB"/>
        </w:rPr>
      </w:pPr>
      <w:r>
        <w:rPr>
          <w:rFonts w:ascii="Arial" w:hAnsi="Arial" w:cs="Arial"/>
          <w:sz w:val="22"/>
          <w:szCs w:val="22"/>
          <w:lang w:val="en-GB"/>
        </w:rPr>
        <w:t xml:space="preserve">Dauncey, M. (2016) </w:t>
      </w:r>
      <w:r>
        <w:rPr>
          <w:rFonts w:ascii="Arial" w:hAnsi="Arial" w:cs="Arial"/>
          <w:i/>
          <w:sz w:val="22"/>
          <w:szCs w:val="22"/>
          <w:lang w:val="en-GB"/>
        </w:rPr>
        <w:t xml:space="preserve">Research Briefing: Additional Learning Needs (ALN) in Wales. </w:t>
      </w:r>
      <w:r>
        <w:rPr>
          <w:rFonts w:ascii="Arial" w:hAnsi="Arial" w:cs="Arial"/>
          <w:sz w:val="22"/>
          <w:szCs w:val="22"/>
          <w:lang w:val="en-GB"/>
        </w:rPr>
        <w:t>Cardiff: National Assembly for Wales.</w:t>
      </w:r>
    </w:p>
    <w:p w14:paraId="04624DB4" w14:textId="77777777" w:rsidR="003603E6" w:rsidRDefault="003603E6" w:rsidP="003603E6">
      <w:pPr>
        <w:pStyle w:val="ListParagraph"/>
        <w:numPr>
          <w:ilvl w:val="0"/>
          <w:numId w:val="1"/>
        </w:numPr>
        <w:spacing w:line="360" w:lineRule="auto"/>
        <w:rPr>
          <w:rFonts w:ascii="Arial" w:hAnsi="Arial" w:cs="Arial"/>
          <w:sz w:val="22"/>
          <w:szCs w:val="22"/>
          <w:lang w:val="en-GB"/>
        </w:rPr>
      </w:pPr>
      <w:r>
        <w:rPr>
          <w:rFonts w:ascii="Arial" w:hAnsi="Arial" w:cs="Arial"/>
          <w:sz w:val="22"/>
          <w:szCs w:val="22"/>
          <w:lang w:val="en-GB"/>
        </w:rPr>
        <w:t xml:space="preserve">Davies, G. (2013) </w:t>
      </w:r>
      <w:r>
        <w:rPr>
          <w:rFonts w:ascii="Arial" w:hAnsi="Arial" w:cs="Arial"/>
          <w:i/>
          <w:sz w:val="22"/>
          <w:szCs w:val="22"/>
          <w:lang w:val="en-GB"/>
        </w:rPr>
        <w:t>Attention Autism</w:t>
      </w:r>
      <w:r>
        <w:rPr>
          <w:rFonts w:ascii="Arial" w:hAnsi="Arial" w:cs="Arial"/>
          <w:sz w:val="22"/>
          <w:szCs w:val="22"/>
          <w:lang w:val="en-GB"/>
        </w:rPr>
        <w:t xml:space="preserve"> (online) Available at: </w:t>
      </w:r>
      <w:r w:rsidRPr="00B73667">
        <w:rPr>
          <w:rFonts w:ascii="Arial" w:hAnsi="Arial" w:cs="Arial"/>
          <w:sz w:val="22"/>
          <w:szCs w:val="22"/>
          <w:lang w:val="en-GB"/>
        </w:rPr>
        <w:t>http://ginadavies.co.uk/</w:t>
      </w:r>
      <w:r>
        <w:rPr>
          <w:rFonts w:ascii="Arial" w:hAnsi="Arial" w:cs="Arial"/>
          <w:sz w:val="22"/>
          <w:szCs w:val="22"/>
          <w:lang w:val="en-GB"/>
        </w:rPr>
        <w:t xml:space="preserve"> [Accessed on 27/10/19] </w:t>
      </w:r>
    </w:p>
    <w:p w14:paraId="4A4BA138" w14:textId="77777777" w:rsidR="003603E6" w:rsidRDefault="003603E6" w:rsidP="003603E6">
      <w:pPr>
        <w:pStyle w:val="ListParagraph"/>
        <w:numPr>
          <w:ilvl w:val="0"/>
          <w:numId w:val="1"/>
        </w:numPr>
        <w:spacing w:line="360" w:lineRule="auto"/>
        <w:rPr>
          <w:rFonts w:ascii="Arial" w:hAnsi="Arial" w:cs="Arial"/>
          <w:sz w:val="22"/>
          <w:szCs w:val="22"/>
          <w:lang w:val="en-GB"/>
        </w:rPr>
      </w:pPr>
      <w:r>
        <w:rPr>
          <w:rFonts w:ascii="Arial" w:hAnsi="Arial" w:cs="Arial"/>
          <w:sz w:val="22"/>
          <w:szCs w:val="22"/>
          <w:lang w:val="en-GB"/>
        </w:rPr>
        <w:t xml:space="preserve">Donaldson, G. (2015) </w:t>
      </w:r>
      <w:r>
        <w:rPr>
          <w:rFonts w:ascii="Arial" w:hAnsi="Arial" w:cs="Arial"/>
          <w:i/>
          <w:sz w:val="22"/>
          <w:szCs w:val="22"/>
          <w:lang w:val="en-GB"/>
        </w:rPr>
        <w:t>Successful Futures: Independent Review of Curriculum and Assessment Arrangements in Wales.</w:t>
      </w:r>
      <w:r>
        <w:rPr>
          <w:rFonts w:ascii="Arial" w:hAnsi="Arial" w:cs="Arial"/>
          <w:sz w:val="22"/>
          <w:szCs w:val="22"/>
          <w:lang w:val="en-GB"/>
        </w:rPr>
        <w:t xml:space="preserve"> Cardiff: Welsh Assembly Government. </w:t>
      </w:r>
    </w:p>
    <w:p w14:paraId="5274CF56" w14:textId="77777777" w:rsidR="003603E6" w:rsidRDefault="003603E6" w:rsidP="003603E6">
      <w:pPr>
        <w:pStyle w:val="ListParagraph"/>
        <w:numPr>
          <w:ilvl w:val="0"/>
          <w:numId w:val="1"/>
        </w:numPr>
        <w:spacing w:line="360" w:lineRule="auto"/>
        <w:rPr>
          <w:rFonts w:ascii="Arial" w:hAnsi="Arial" w:cs="Arial"/>
          <w:sz w:val="22"/>
          <w:szCs w:val="22"/>
          <w:lang w:val="en-GB"/>
        </w:rPr>
      </w:pPr>
      <w:r>
        <w:rPr>
          <w:rFonts w:ascii="Arial" w:hAnsi="Arial" w:cs="Arial"/>
          <w:i/>
          <w:sz w:val="22"/>
          <w:szCs w:val="22"/>
          <w:lang w:val="en-GB"/>
        </w:rPr>
        <w:t xml:space="preserve">Education Act 1996 Part IV. </w:t>
      </w:r>
      <w:r>
        <w:rPr>
          <w:rFonts w:ascii="Arial" w:hAnsi="Arial" w:cs="Arial"/>
          <w:sz w:val="22"/>
          <w:szCs w:val="22"/>
          <w:lang w:val="en-GB"/>
        </w:rPr>
        <w:t xml:space="preserve">UK. Available at: </w:t>
      </w:r>
      <w:r w:rsidRPr="00744D21">
        <w:rPr>
          <w:rFonts w:ascii="Arial" w:hAnsi="Arial" w:cs="Arial"/>
          <w:sz w:val="22"/>
          <w:szCs w:val="22"/>
          <w:lang w:val="en-GB"/>
        </w:rPr>
        <w:t>http://www.legislation.gov.uk/ukpga/1996/56/section/312</w:t>
      </w:r>
      <w:r>
        <w:rPr>
          <w:rFonts w:ascii="Arial" w:hAnsi="Arial" w:cs="Arial"/>
          <w:sz w:val="22"/>
          <w:szCs w:val="22"/>
          <w:lang w:val="en-GB"/>
        </w:rPr>
        <w:t xml:space="preserve"> (Accessed: 27/10/19) </w:t>
      </w:r>
    </w:p>
    <w:p w14:paraId="664308F5" w14:textId="77777777" w:rsidR="003603E6" w:rsidRPr="00116399" w:rsidRDefault="003603E6" w:rsidP="003603E6">
      <w:pPr>
        <w:pStyle w:val="ListParagraph"/>
        <w:numPr>
          <w:ilvl w:val="0"/>
          <w:numId w:val="1"/>
        </w:numPr>
        <w:spacing w:line="360" w:lineRule="auto"/>
        <w:rPr>
          <w:rFonts w:ascii="Arial" w:hAnsi="Arial" w:cs="Arial"/>
          <w:sz w:val="22"/>
          <w:szCs w:val="22"/>
          <w:lang w:val="en-GB"/>
        </w:rPr>
      </w:pPr>
      <w:r w:rsidRPr="00116399">
        <w:rPr>
          <w:rFonts w:ascii="Arial" w:hAnsi="Arial" w:cs="Arial"/>
          <w:sz w:val="22"/>
          <w:szCs w:val="22"/>
          <w:lang w:val="en-GB"/>
        </w:rPr>
        <w:t xml:space="preserve">Estyn (2015) </w:t>
      </w:r>
      <w:r w:rsidRPr="00116399">
        <w:rPr>
          <w:rFonts w:ascii="Arial" w:hAnsi="Arial" w:cs="Arial"/>
          <w:i/>
          <w:sz w:val="22"/>
          <w:szCs w:val="22"/>
          <w:lang w:val="en-GB"/>
        </w:rPr>
        <w:t>A Report on ‘School X’</w:t>
      </w:r>
      <w:r w:rsidRPr="00116399">
        <w:rPr>
          <w:rFonts w:ascii="Arial" w:hAnsi="Arial" w:cs="Arial"/>
          <w:sz w:val="22"/>
          <w:szCs w:val="22"/>
          <w:lang w:val="en-GB"/>
        </w:rPr>
        <w:t>. (online)</w:t>
      </w:r>
      <w:r>
        <w:rPr>
          <w:rFonts w:ascii="Arial" w:hAnsi="Arial" w:cs="Arial"/>
          <w:sz w:val="22"/>
          <w:szCs w:val="22"/>
          <w:lang w:val="en-GB"/>
        </w:rPr>
        <w:t xml:space="preserve"> Available at</w:t>
      </w:r>
      <w:r w:rsidRPr="00116399">
        <w:rPr>
          <w:rFonts w:ascii="Arial" w:hAnsi="Arial" w:cs="Arial"/>
          <w:sz w:val="22"/>
          <w:szCs w:val="22"/>
          <w:lang w:val="en-GB"/>
        </w:rPr>
        <w:t>: https://www.estyn.gov.wales/sites/www.estyn.gov.wales/files/documents/</w:t>
      </w:r>
      <w:r w:rsidRPr="00116399">
        <w:rPr>
          <w:rFonts w:ascii="Arial" w:hAnsi="Arial" w:cs="Arial"/>
          <w:sz w:val="22"/>
          <w:szCs w:val="22"/>
          <w:highlight w:val="black"/>
          <w:lang w:val="en-GB"/>
        </w:rPr>
        <w:t>Bishop%20Gore</w:t>
      </w:r>
      <w:r w:rsidRPr="00116399">
        <w:rPr>
          <w:rFonts w:ascii="Arial" w:hAnsi="Arial" w:cs="Arial"/>
          <w:sz w:val="22"/>
          <w:szCs w:val="22"/>
          <w:lang w:val="en-GB"/>
        </w:rPr>
        <w:t>%20School.pdf Full URL not available due to BERA (2018).</w:t>
      </w:r>
    </w:p>
    <w:p w14:paraId="34BB7C5E" w14:textId="77777777" w:rsidR="003603E6" w:rsidRDefault="003603E6" w:rsidP="003603E6">
      <w:pPr>
        <w:pStyle w:val="ListParagraph"/>
        <w:numPr>
          <w:ilvl w:val="0"/>
          <w:numId w:val="1"/>
        </w:numPr>
        <w:spacing w:line="360" w:lineRule="auto"/>
        <w:rPr>
          <w:rFonts w:ascii="Arial" w:hAnsi="Arial" w:cs="Arial"/>
          <w:sz w:val="22"/>
          <w:szCs w:val="22"/>
          <w:lang w:val="en-GB"/>
        </w:rPr>
      </w:pPr>
      <w:r>
        <w:rPr>
          <w:rFonts w:ascii="Arial" w:hAnsi="Arial" w:cs="Arial"/>
          <w:sz w:val="22"/>
          <w:szCs w:val="22"/>
          <w:lang w:val="en-GB"/>
        </w:rPr>
        <w:t xml:space="preserve">Estyn (2016-2017) </w:t>
      </w:r>
      <w:r>
        <w:rPr>
          <w:rFonts w:ascii="Arial" w:hAnsi="Arial" w:cs="Arial"/>
          <w:i/>
          <w:sz w:val="22"/>
          <w:szCs w:val="22"/>
          <w:lang w:val="en-GB"/>
        </w:rPr>
        <w:t xml:space="preserve">The Annual Report of Her Majesty’s Chief Inspector of Education and Training in Wales. </w:t>
      </w:r>
      <w:r>
        <w:rPr>
          <w:rFonts w:ascii="Arial" w:hAnsi="Arial" w:cs="Arial"/>
          <w:sz w:val="22"/>
          <w:szCs w:val="22"/>
          <w:lang w:val="en-GB"/>
        </w:rPr>
        <w:t xml:space="preserve">(online) Available at: </w:t>
      </w:r>
      <w:r w:rsidRPr="004F5384">
        <w:rPr>
          <w:rFonts w:ascii="Arial" w:hAnsi="Arial" w:cs="Arial"/>
          <w:sz w:val="22"/>
          <w:szCs w:val="22"/>
          <w:lang w:val="en-GB"/>
        </w:rPr>
        <w:t>https://www.estyn.gov.wales/sites/www.estyn.gov.wales/files/documents/Estyn_Annual%20Report_2018_English_Accessible.pdf</w:t>
      </w:r>
      <w:r>
        <w:rPr>
          <w:rFonts w:ascii="Arial" w:hAnsi="Arial" w:cs="Arial"/>
          <w:sz w:val="22"/>
          <w:szCs w:val="22"/>
          <w:lang w:val="en-GB"/>
        </w:rPr>
        <w:t xml:space="preserve"> [Accessed on 27/10/19] </w:t>
      </w:r>
    </w:p>
    <w:p w14:paraId="179EE211" w14:textId="77777777" w:rsidR="003603E6" w:rsidRDefault="003603E6" w:rsidP="003603E6">
      <w:pPr>
        <w:pStyle w:val="ListParagraph"/>
        <w:numPr>
          <w:ilvl w:val="0"/>
          <w:numId w:val="1"/>
        </w:numPr>
        <w:spacing w:line="360" w:lineRule="auto"/>
        <w:rPr>
          <w:rFonts w:ascii="Arial" w:hAnsi="Arial" w:cs="Arial"/>
          <w:sz w:val="22"/>
          <w:szCs w:val="22"/>
          <w:lang w:val="en-GB"/>
        </w:rPr>
      </w:pPr>
      <w:r>
        <w:rPr>
          <w:rFonts w:ascii="Arial" w:hAnsi="Arial" w:cs="Arial"/>
          <w:sz w:val="22"/>
          <w:szCs w:val="22"/>
          <w:lang w:val="en-GB"/>
        </w:rPr>
        <w:t xml:space="preserve">McLeod, S. (2019) </w:t>
      </w:r>
      <w:r>
        <w:rPr>
          <w:rFonts w:ascii="Arial" w:hAnsi="Arial" w:cs="Arial"/>
          <w:i/>
          <w:sz w:val="22"/>
          <w:szCs w:val="22"/>
          <w:lang w:val="en-GB"/>
        </w:rPr>
        <w:t xml:space="preserve">What is the Zone of Proximal Development? </w:t>
      </w:r>
      <w:r>
        <w:rPr>
          <w:rFonts w:ascii="Arial" w:hAnsi="Arial" w:cs="Arial"/>
          <w:sz w:val="22"/>
          <w:szCs w:val="22"/>
          <w:lang w:val="en-GB"/>
        </w:rPr>
        <w:t xml:space="preserve">(online) Available at: </w:t>
      </w:r>
      <w:r w:rsidRPr="0078532B">
        <w:rPr>
          <w:rFonts w:ascii="Arial" w:hAnsi="Arial" w:cs="Arial"/>
          <w:sz w:val="22"/>
          <w:szCs w:val="22"/>
          <w:lang w:val="en-GB"/>
        </w:rPr>
        <w:t>https://www.simplypsychology.org/Zone-of-Proximal-Development.html</w:t>
      </w:r>
      <w:r>
        <w:rPr>
          <w:rFonts w:ascii="Arial" w:hAnsi="Arial" w:cs="Arial"/>
          <w:sz w:val="22"/>
          <w:szCs w:val="22"/>
          <w:lang w:val="en-GB"/>
        </w:rPr>
        <w:t xml:space="preserve"> [Accessed on 27/10/19]</w:t>
      </w:r>
    </w:p>
    <w:p w14:paraId="45535754" w14:textId="77777777" w:rsidR="003603E6" w:rsidRDefault="003603E6" w:rsidP="003603E6">
      <w:pPr>
        <w:pStyle w:val="ListParagraph"/>
        <w:numPr>
          <w:ilvl w:val="0"/>
          <w:numId w:val="1"/>
        </w:numPr>
        <w:spacing w:line="360" w:lineRule="auto"/>
        <w:rPr>
          <w:rFonts w:ascii="Arial" w:hAnsi="Arial" w:cs="Arial"/>
          <w:sz w:val="22"/>
          <w:szCs w:val="22"/>
          <w:lang w:val="en-GB"/>
        </w:rPr>
      </w:pPr>
      <w:r w:rsidRPr="00116399">
        <w:rPr>
          <w:rFonts w:ascii="Arial" w:hAnsi="Arial" w:cs="Arial"/>
          <w:sz w:val="22"/>
          <w:szCs w:val="22"/>
          <w:lang w:val="en-GB"/>
        </w:rPr>
        <w:t xml:space="preserve">Palaiologou, I. (2010) </w:t>
      </w:r>
      <w:r w:rsidRPr="00116399">
        <w:rPr>
          <w:rFonts w:ascii="Arial" w:hAnsi="Arial" w:cs="Arial"/>
          <w:i/>
          <w:sz w:val="22"/>
          <w:szCs w:val="22"/>
          <w:lang w:val="en-GB"/>
        </w:rPr>
        <w:t>Childhood Observation.</w:t>
      </w:r>
      <w:r w:rsidRPr="00116399">
        <w:rPr>
          <w:rFonts w:ascii="Arial" w:hAnsi="Arial" w:cs="Arial"/>
          <w:sz w:val="22"/>
          <w:szCs w:val="22"/>
          <w:lang w:val="en-GB"/>
        </w:rPr>
        <w:t xml:space="preserve"> Exeter: Learning Matters Ltd.</w:t>
      </w:r>
    </w:p>
    <w:p w14:paraId="294A115A" w14:textId="77777777" w:rsidR="003603E6" w:rsidRDefault="003603E6" w:rsidP="003603E6">
      <w:pPr>
        <w:pStyle w:val="ListParagraph"/>
        <w:numPr>
          <w:ilvl w:val="0"/>
          <w:numId w:val="1"/>
        </w:numPr>
        <w:spacing w:line="360" w:lineRule="auto"/>
        <w:rPr>
          <w:rFonts w:ascii="Arial" w:hAnsi="Arial" w:cs="Arial"/>
          <w:sz w:val="22"/>
          <w:szCs w:val="22"/>
          <w:lang w:val="en-GB"/>
        </w:rPr>
      </w:pPr>
      <w:r>
        <w:rPr>
          <w:rFonts w:ascii="Arial" w:hAnsi="Arial" w:cs="Arial"/>
          <w:sz w:val="22"/>
          <w:szCs w:val="22"/>
          <w:lang w:val="en-GB"/>
        </w:rPr>
        <w:t xml:space="preserve">Peer, L., Reid, G. (2012) </w:t>
      </w:r>
      <w:r>
        <w:rPr>
          <w:rFonts w:ascii="Arial" w:hAnsi="Arial" w:cs="Arial"/>
          <w:i/>
          <w:sz w:val="22"/>
          <w:szCs w:val="22"/>
          <w:lang w:val="en-GB"/>
        </w:rPr>
        <w:t xml:space="preserve">Special Educational Needs: A Guide for Inclusive Practice. </w:t>
      </w:r>
      <w:r>
        <w:rPr>
          <w:rFonts w:ascii="Arial" w:hAnsi="Arial" w:cs="Arial"/>
          <w:sz w:val="22"/>
          <w:szCs w:val="22"/>
          <w:lang w:val="en-GB"/>
        </w:rPr>
        <w:t xml:space="preserve">London: SAGE Publications Ltd. </w:t>
      </w:r>
    </w:p>
    <w:p w14:paraId="19886963" w14:textId="77777777" w:rsidR="003603E6" w:rsidRDefault="003603E6" w:rsidP="003603E6">
      <w:pPr>
        <w:pStyle w:val="ListParagraph"/>
        <w:numPr>
          <w:ilvl w:val="0"/>
          <w:numId w:val="1"/>
        </w:numPr>
        <w:spacing w:line="360" w:lineRule="auto"/>
        <w:rPr>
          <w:rFonts w:ascii="Arial" w:hAnsi="Arial" w:cs="Arial"/>
          <w:sz w:val="22"/>
          <w:szCs w:val="22"/>
          <w:lang w:val="en-GB"/>
        </w:rPr>
      </w:pPr>
      <w:r>
        <w:rPr>
          <w:rFonts w:ascii="Arial" w:hAnsi="Arial" w:cs="Arial"/>
          <w:sz w:val="22"/>
          <w:szCs w:val="22"/>
          <w:lang w:val="en-GB"/>
        </w:rPr>
        <w:t xml:space="preserve">Phoenix Speech and Language Therapy Team (2018) </w:t>
      </w:r>
      <w:r>
        <w:rPr>
          <w:rFonts w:ascii="Arial" w:hAnsi="Arial" w:cs="Arial"/>
          <w:i/>
          <w:sz w:val="22"/>
          <w:szCs w:val="22"/>
          <w:lang w:val="en-GB"/>
        </w:rPr>
        <w:t xml:space="preserve">Phoenix School PECS Audit. </w:t>
      </w:r>
      <w:r>
        <w:rPr>
          <w:rFonts w:ascii="Arial" w:hAnsi="Arial" w:cs="Arial"/>
          <w:sz w:val="22"/>
          <w:szCs w:val="22"/>
          <w:lang w:val="en-GB"/>
        </w:rPr>
        <w:t xml:space="preserve">(online) Available at: </w:t>
      </w:r>
      <w:r w:rsidRPr="006308A9">
        <w:rPr>
          <w:rFonts w:ascii="Arial" w:hAnsi="Arial" w:cs="Arial"/>
          <w:sz w:val="22"/>
          <w:szCs w:val="22"/>
          <w:lang w:val="en-GB"/>
        </w:rPr>
        <w:t>https://www.phoenix.towerhamlets.sch.uk/thamlets/primary/phoenix/site/pages/keystageinformation/pecsnew</w:t>
      </w:r>
      <w:r>
        <w:rPr>
          <w:rFonts w:ascii="Arial" w:hAnsi="Arial" w:cs="Arial"/>
          <w:sz w:val="22"/>
          <w:szCs w:val="22"/>
          <w:lang w:val="en-GB"/>
        </w:rPr>
        <w:t xml:space="preserve"> [Accessed on 27/10/19]</w:t>
      </w:r>
    </w:p>
    <w:p w14:paraId="213FBD94" w14:textId="77777777" w:rsidR="003603E6" w:rsidRDefault="003603E6" w:rsidP="003603E6">
      <w:pPr>
        <w:pStyle w:val="ListParagraph"/>
        <w:numPr>
          <w:ilvl w:val="0"/>
          <w:numId w:val="1"/>
        </w:numPr>
        <w:spacing w:line="360" w:lineRule="auto"/>
        <w:rPr>
          <w:rFonts w:ascii="Arial" w:hAnsi="Arial" w:cs="Arial"/>
          <w:sz w:val="22"/>
          <w:szCs w:val="22"/>
          <w:lang w:val="en-GB"/>
        </w:rPr>
      </w:pPr>
      <w:r>
        <w:rPr>
          <w:rFonts w:ascii="Arial" w:hAnsi="Arial" w:cs="Arial"/>
          <w:sz w:val="22"/>
          <w:szCs w:val="22"/>
          <w:lang w:val="en-GB"/>
        </w:rPr>
        <w:t xml:space="preserve">Sharples, J., Webster, R., Blatchford, P. (2015) </w:t>
      </w:r>
      <w:r>
        <w:rPr>
          <w:rFonts w:ascii="Arial" w:hAnsi="Arial" w:cs="Arial"/>
          <w:i/>
          <w:sz w:val="22"/>
          <w:szCs w:val="22"/>
          <w:lang w:val="en-GB"/>
        </w:rPr>
        <w:t xml:space="preserve">Making Best Use of Teaching Assistants: Guidance Report. </w:t>
      </w:r>
      <w:r>
        <w:rPr>
          <w:rFonts w:ascii="Arial" w:hAnsi="Arial" w:cs="Arial"/>
          <w:sz w:val="22"/>
          <w:szCs w:val="22"/>
          <w:lang w:val="en-GB"/>
        </w:rPr>
        <w:t>London: The Education Endowment Foundation.</w:t>
      </w:r>
    </w:p>
    <w:p w14:paraId="25589C9A" w14:textId="77777777" w:rsidR="003603E6" w:rsidRPr="00116399" w:rsidRDefault="003603E6" w:rsidP="003603E6">
      <w:pPr>
        <w:pStyle w:val="ListParagraph"/>
        <w:numPr>
          <w:ilvl w:val="0"/>
          <w:numId w:val="1"/>
        </w:numPr>
        <w:spacing w:line="360" w:lineRule="auto"/>
        <w:rPr>
          <w:rFonts w:ascii="Arial" w:hAnsi="Arial" w:cs="Arial"/>
          <w:sz w:val="22"/>
          <w:szCs w:val="22"/>
          <w:lang w:val="en-GB"/>
        </w:rPr>
      </w:pPr>
      <w:r w:rsidRPr="00116399">
        <w:rPr>
          <w:rFonts w:ascii="Arial" w:hAnsi="Arial" w:cs="Arial"/>
          <w:sz w:val="22"/>
          <w:szCs w:val="22"/>
          <w:lang w:val="en-GB"/>
        </w:rPr>
        <w:t xml:space="preserve">Tripp, D. (1993) </w:t>
      </w:r>
      <w:r w:rsidRPr="00116399">
        <w:rPr>
          <w:rFonts w:ascii="Arial" w:hAnsi="Arial" w:cs="Arial"/>
          <w:i/>
          <w:sz w:val="22"/>
          <w:szCs w:val="22"/>
          <w:lang w:val="en-GB"/>
        </w:rPr>
        <w:t xml:space="preserve">Critical Incidents in Teaching. </w:t>
      </w:r>
      <w:r w:rsidRPr="00116399">
        <w:rPr>
          <w:rFonts w:ascii="Arial" w:hAnsi="Arial" w:cs="Arial"/>
          <w:sz w:val="22"/>
          <w:szCs w:val="22"/>
          <w:lang w:val="en-GB"/>
        </w:rPr>
        <w:t>Oxon: Routledge.</w:t>
      </w:r>
    </w:p>
    <w:p w14:paraId="537C7E82" w14:textId="77777777" w:rsidR="003603E6" w:rsidRDefault="003603E6" w:rsidP="003603E6">
      <w:pPr>
        <w:pStyle w:val="ListParagraph"/>
        <w:numPr>
          <w:ilvl w:val="0"/>
          <w:numId w:val="1"/>
        </w:numPr>
        <w:spacing w:line="360" w:lineRule="auto"/>
        <w:rPr>
          <w:rFonts w:ascii="Arial" w:hAnsi="Arial" w:cs="Arial"/>
          <w:sz w:val="22"/>
          <w:szCs w:val="22"/>
          <w:lang w:val="en-GB"/>
        </w:rPr>
      </w:pPr>
      <w:r>
        <w:rPr>
          <w:rFonts w:ascii="Arial" w:hAnsi="Arial" w:cs="Arial"/>
          <w:sz w:val="22"/>
          <w:szCs w:val="22"/>
          <w:lang w:val="en-GB"/>
        </w:rPr>
        <w:t xml:space="preserve">Vygotsky, L. S. (1978) </w:t>
      </w:r>
      <w:r>
        <w:rPr>
          <w:rFonts w:ascii="Arial" w:hAnsi="Arial" w:cs="Arial"/>
          <w:i/>
          <w:sz w:val="22"/>
          <w:szCs w:val="22"/>
          <w:lang w:val="en-GB"/>
        </w:rPr>
        <w:t xml:space="preserve">Mind in Society: The Development of Higher Psychological Processes. </w:t>
      </w:r>
      <w:r>
        <w:rPr>
          <w:rFonts w:ascii="Arial" w:hAnsi="Arial" w:cs="Arial"/>
          <w:sz w:val="22"/>
          <w:szCs w:val="22"/>
          <w:lang w:val="en-GB"/>
        </w:rPr>
        <w:t>Cambridge, Mass: Harvard University Press.</w:t>
      </w:r>
    </w:p>
    <w:p w14:paraId="6A0E34C4" w14:textId="77777777" w:rsidR="003603E6" w:rsidRDefault="003603E6" w:rsidP="003603E6">
      <w:pPr>
        <w:pStyle w:val="ListParagraph"/>
        <w:numPr>
          <w:ilvl w:val="0"/>
          <w:numId w:val="1"/>
        </w:numPr>
        <w:spacing w:line="360" w:lineRule="auto"/>
        <w:rPr>
          <w:rFonts w:ascii="Arial" w:hAnsi="Arial" w:cs="Arial"/>
          <w:sz w:val="22"/>
          <w:szCs w:val="22"/>
          <w:lang w:val="en-GB"/>
        </w:rPr>
      </w:pPr>
      <w:r>
        <w:rPr>
          <w:rFonts w:ascii="Arial" w:hAnsi="Arial" w:cs="Arial"/>
          <w:sz w:val="22"/>
          <w:szCs w:val="22"/>
          <w:lang w:val="en-GB"/>
        </w:rPr>
        <w:t xml:space="preserve">Welsh Government (2015) </w:t>
      </w:r>
      <w:r>
        <w:rPr>
          <w:rFonts w:ascii="Arial" w:hAnsi="Arial" w:cs="Arial"/>
          <w:i/>
          <w:sz w:val="22"/>
          <w:szCs w:val="22"/>
          <w:lang w:val="en-GB"/>
        </w:rPr>
        <w:t>Reflective Practice.</w:t>
      </w:r>
      <w:r>
        <w:rPr>
          <w:rFonts w:ascii="Arial" w:hAnsi="Arial" w:cs="Arial"/>
          <w:sz w:val="22"/>
          <w:szCs w:val="22"/>
          <w:lang w:val="en-GB"/>
        </w:rPr>
        <w:t xml:space="preserve"> (online) Available at: </w:t>
      </w:r>
      <w:r w:rsidRPr="003C74C7">
        <w:rPr>
          <w:rFonts w:ascii="Arial" w:hAnsi="Arial" w:cs="Arial"/>
          <w:sz w:val="22"/>
          <w:szCs w:val="22"/>
          <w:lang w:val="en-GB"/>
        </w:rPr>
        <w:t>https://dera.ioe.ac.uk/23376/2/150611-reflective-practice-booklet-en_Redacted.pdf</w:t>
      </w:r>
      <w:r>
        <w:rPr>
          <w:rFonts w:ascii="Arial" w:hAnsi="Arial" w:cs="Arial"/>
          <w:sz w:val="22"/>
          <w:szCs w:val="22"/>
          <w:lang w:val="en-GB"/>
        </w:rPr>
        <w:t xml:space="preserve"> [Accessed on 28/10/19]</w:t>
      </w:r>
    </w:p>
    <w:p w14:paraId="3E0B207D" w14:textId="77777777" w:rsidR="003603E6" w:rsidRPr="00357F99" w:rsidRDefault="003603E6" w:rsidP="003603E6">
      <w:pPr>
        <w:pStyle w:val="ListParagraph"/>
        <w:numPr>
          <w:ilvl w:val="0"/>
          <w:numId w:val="1"/>
        </w:numPr>
        <w:spacing w:line="360" w:lineRule="auto"/>
        <w:rPr>
          <w:rFonts w:ascii="Arial" w:hAnsi="Arial" w:cs="Arial"/>
          <w:sz w:val="22"/>
          <w:szCs w:val="22"/>
          <w:lang w:val="en-GB"/>
        </w:rPr>
      </w:pPr>
      <w:r>
        <w:rPr>
          <w:rFonts w:ascii="Arial" w:hAnsi="Arial" w:cs="Arial"/>
          <w:sz w:val="22"/>
          <w:szCs w:val="22"/>
          <w:lang w:val="en-GB"/>
        </w:rPr>
        <w:t xml:space="preserve">Welsh Government (2018) </w:t>
      </w:r>
      <w:r>
        <w:rPr>
          <w:rFonts w:ascii="Arial" w:hAnsi="Arial" w:cs="Arial"/>
          <w:i/>
          <w:sz w:val="22"/>
          <w:szCs w:val="22"/>
          <w:lang w:val="en-GB"/>
        </w:rPr>
        <w:t>An Introduction to the Professional Standards for Teaching and Leadership.</w:t>
      </w:r>
      <w:r>
        <w:rPr>
          <w:rFonts w:ascii="Arial" w:hAnsi="Arial" w:cs="Arial"/>
          <w:sz w:val="22"/>
          <w:szCs w:val="22"/>
          <w:lang w:val="en-GB"/>
        </w:rPr>
        <w:t xml:space="preserve"> (online) Available at: </w:t>
      </w:r>
      <w:r w:rsidRPr="005777FF">
        <w:rPr>
          <w:rFonts w:ascii="Arial" w:hAnsi="Arial" w:cs="Arial"/>
          <w:sz w:val="22"/>
          <w:szCs w:val="22"/>
          <w:lang w:val="en-GB"/>
        </w:rPr>
        <w:t>https://s3-eu-west-1.amazonaws.com/hwb-live-storage/9b/9a/d3/8a/f1354794bb954aa3cbb0f5e3/an-introduction-to-the-professional-standards-for-teaching-and-leadership.pdf</w:t>
      </w:r>
      <w:r>
        <w:rPr>
          <w:rFonts w:ascii="Arial" w:hAnsi="Arial" w:cs="Arial"/>
          <w:sz w:val="22"/>
          <w:szCs w:val="22"/>
          <w:lang w:val="en-GB"/>
        </w:rPr>
        <w:t xml:space="preserve"> [Accessed on 28/10/19]</w:t>
      </w:r>
    </w:p>
    <w:p w14:paraId="63A5B41D" w14:textId="77777777" w:rsidR="00F87FC2" w:rsidRPr="00F87FC2" w:rsidRDefault="00F87FC2">
      <w:pPr>
        <w:rPr>
          <w:rFonts w:ascii="Arial" w:hAnsi="Arial" w:cs="Arial"/>
          <w:sz w:val="22"/>
          <w:szCs w:val="22"/>
          <w:lang w:val="en-GB"/>
        </w:rPr>
      </w:pPr>
      <w:bookmarkStart w:id="0" w:name="_GoBack"/>
      <w:bookmarkEnd w:id="0"/>
    </w:p>
    <w:sectPr w:rsidR="00F87FC2" w:rsidRPr="00F87FC2" w:rsidSect="00D22D8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BD277CF"/>
    <w:multiLevelType w:val="hybridMultilevel"/>
    <w:tmpl w:val="405C7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7"/>
  <w:doNotDisplayPageBoundaries/>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7FC2"/>
    <w:rsid w:val="00022BF9"/>
    <w:rsid w:val="00054ED4"/>
    <w:rsid w:val="000643EF"/>
    <w:rsid w:val="00102EDA"/>
    <w:rsid w:val="001A18F9"/>
    <w:rsid w:val="001C595D"/>
    <w:rsid w:val="002A028A"/>
    <w:rsid w:val="002C5D10"/>
    <w:rsid w:val="003603E6"/>
    <w:rsid w:val="00400D60"/>
    <w:rsid w:val="004768BB"/>
    <w:rsid w:val="00533EA5"/>
    <w:rsid w:val="007B5DCB"/>
    <w:rsid w:val="007D7E78"/>
    <w:rsid w:val="009513D5"/>
    <w:rsid w:val="00976DD1"/>
    <w:rsid w:val="00A055CD"/>
    <w:rsid w:val="00A70CA2"/>
    <w:rsid w:val="00A90D1C"/>
    <w:rsid w:val="00AA56C0"/>
    <w:rsid w:val="00B408F1"/>
    <w:rsid w:val="00B6642D"/>
    <w:rsid w:val="00B709E7"/>
    <w:rsid w:val="00BB6479"/>
    <w:rsid w:val="00C8775D"/>
    <w:rsid w:val="00CA29AE"/>
    <w:rsid w:val="00CD6D0B"/>
    <w:rsid w:val="00D12427"/>
    <w:rsid w:val="00D22D8C"/>
    <w:rsid w:val="00D81146"/>
    <w:rsid w:val="00DD3645"/>
    <w:rsid w:val="00E33927"/>
    <w:rsid w:val="00F12017"/>
    <w:rsid w:val="00F31BD9"/>
    <w:rsid w:val="00F40A85"/>
    <w:rsid w:val="00F678B5"/>
    <w:rsid w:val="00F87F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819572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03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TotalTime>
  <Pages>10</Pages>
  <Words>3883</Words>
  <Characters>22138</Characters>
  <Application>Microsoft Macintosh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25970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19</cp:revision>
  <dcterms:created xsi:type="dcterms:W3CDTF">2019-10-27T23:43:00Z</dcterms:created>
  <dcterms:modified xsi:type="dcterms:W3CDTF">2019-10-28T10:38:00Z</dcterms:modified>
</cp:coreProperties>
</file>