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6DF088" w14:textId="19C1BDD9" w:rsidR="004B5A99" w:rsidRPr="004B5A99" w:rsidRDefault="004B5A99">
      <w:pPr>
        <w:rPr>
          <w:sz w:val="36"/>
          <w:szCs w:val="36"/>
        </w:rPr>
      </w:pPr>
      <w:r w:rsidRPr="004B5A99">
        <w:rPr>
          <w:sz w:val="36"/>
          <w:szCs w:val="36"/>
        </w:rPr>
        <w:t>Analyse the role of divination within the theory and practice of ancient Greek medicine</w:t>
      </w:r>
      <w:r>
        <w:rPr>
          <w:sz w:val="36"/>
          <w:szCs w:val="36"/>
        </w:rPr>
        <w:t>.</w:t>
      </w:r>
    </w:p>
    <w:p w14:paraId="202AF53F" w14:textId="6CD076E4" w:rsidR="00E70B84" w:rsidRDefault="00E70B84">
      <w:r>
        <w:t xml:space="preserve">This essay will be looking into how the theories and practice of ancient Greek medicine involved divination. This will be looked at from the early ideas of the archaic period in the temples of Asclepius and work through the Hippocratic period of medicine and then finish with looking at </w:t>
      </w:r>
      <w:r w:rsidR="004B5A99">
        <w:t>Galen. These three figures have been picked out as they are accredited with laying the foundation for most medical theories with some even surviving up to the modern day. With the changes in their theories, it will also show how the relation of divination and medicine changed throughout the periods of the ancient Greek people.</w:t>
      </w:r>
    </w:p>
    <w:p w14:paraId="383B6408" w14:textId="61F8C859" w:rsidR="00DA6B7A" w:rsidRDefault="00DA6B7A">
      <w:r>
        <w:t>The earliest Greek theories of medicine were that disease and cures were brought by divine intervention which required divination to be performed to find where in the body was being affected.</w:t>
      </w:r>
      <w:r>
        <w:rPr>
          <w:rStyle w:val="FootnoteReference"/>
        </w:rPr>
        <w:footnoteReference w:id="1"/>
      </w:r>
    </w:p>
    <w:p w14:paraId="5D1C2FD4" w14:textId="3FE98054" w:rsidR="00DA6B7A" w:rsidRDefault="00DA6B7A">
      <w:r>
        <w:t>Although there are many references to the divine being the cause and cure, there is also many instances of rationalised medicine also being applied.</w:t>
      </w:r>
      <w:r>
        <w:rPr>
          <w:rStyle w:val="FootnoteReference"/>
        </w:rPr>
        <w:footnoteReference w:id="2"/>
      </w:r>
      <w:r>
        <w:t xml:space="preserve"> This suggesting that even though divination and magical means were seen as needed they were not seen as absolute methods of curing disease or illness, even in archaic times.</w:t>
      </w:r>
    </w:p>
    <w:p w14:paraId="4B7488BD" w14:textId="217B04AD" w:rsidR="00DA6B7A" w:rsidRDefault="00DA6B7A" w:rsidP="00D81DAD">
      <w:pPr>
        <w:ind w:left="720"/>
      </w:pPr>
      <w:r>
        <w:t xml:space="preserve">Bring in some references to the </w:t>
      </w:r>
      <w:proofErr w:type="spellStart"/>
      <w:r>
        <w:t>Illiad</w:t>
      </w:r>
      <w:proofErr w:type="spellEnd"/>
      <w:r>
        <w:t xml:space="preserve"> and Odyssey.  (Od. 19.455 – 58.)       (Il. 11.514 – 15.)</w:t>
      </w:r>
      <w:r w:rsidR="00D81DAD">
        <w:t xml:space="preserve"> find some other sections or maybe a couple from other ancient sources</w:t>
      </w:r>
    </w:p>
    <w:p w14:paraId="27F18F42" w14:textId="77777777" w:rsidR="00E70B84" w:rsidRDefault="00A96FF5" w:rsidP="00A96FF5">
      <w:r>
        <w:t xml:space="preserve">In the ancient Greek world, the idea of medicine, magic and religion was entangled together. This meaning that while they did </w:t>
      </w:r>
      <w:proofErr w:type="gramStart"/>
      <w:r>
        <w:t>have understanding of</w:t>
      </w:r>
      <w:proofErr w:type="gramEnd"/>
      <w:r>
        <w:t xml:space="preserve"> natural and rational medicine like pharmaceutical plants, bandages, and stitches. They still would use prayer and other magic practices like amulets to help cure patients. One </w:t>
      </w:r>
      <w:r w:rsidR="00E70B84">
        <w:t>of the major</w:t>
      </w:r>
      <w:r>
        <w:t xml:space="preserve"> magical method</w:t>
      </w:r>
      <w:r w:rsidR="00E70B84">
        <w:t>s of medical practice was</w:t>
      </w:r>
      <w:r>
        <w:t xml:space="preserve"> divination.</w:t>
      </w:r>
    </w:p>
    <w:p w14:paraId="3FF265E5" w14:textId="74364B6F" w:rsidR="00A96FF5" w:rsidRDefault="00E70B84" w:rsidP="00A96FF5">
      <w:r>
        <w:t>Divination is the practice of using divine knowledge or a divine being to learn information or perform an action that would normally be impossible. The most common example of this in ancient Greece would have been the oracle that people would ask for advice. The implementation of divination in medicine was similar as people would seek divine guidance on how to cure an illness or what the illness even is.</w:t>
      </w:r>
      <w:r w:rsidR="00A96FF5">
        <w:t xml:space="preserve"> </w:t>
      </w:r>
    </w:p>
    <w:p w14:paraId="3C11EB0C" w14:textId="5E955EA8" w:rsidR="00CA308F" w:rsidRPr="00050762" w:rsidRDefault="00CA308F" w:rsidP="00D81DAD">
      <w:pPr>
        <w:rPr>
          <w:sz w:val="28"/>
          <w:szCs w:val="28"/>
        </w:rPr>
      </w:pPr>
      <w:r w:rsidRPr="00050762">
        <w:rPr>
          <w:sz w:val="28"/>
          <w:szCs w:val="28"/>
        </w:rPr>
        <w:t>Asclepius divination:</w:t>
      </w:r>
    </w:p>
    <w:p w14:paraId="4C4E9B9B" w14:textId="1FB3495B" w:rsidR="00D81DAD" w:rsidRDefault="00CA308F" w:rsidP="00D81DAD">
      <w:r>
        <w:t>One of the main usages of divination in medical practices was that of dream divination performed in temples of Asclepius. This was more of a diagnostic divination but was also supposedly reported as being able to sometimes cure people as well. A believer would sleep in the temple and hope that the god would come to them in a dream and then provide them with either a cure or medical advice for the temple priests to interpret.</w:t>
      </w:r>
      <w:r>
        <w:rPr>
          <w:rStyle w:val="FootnoteReference"/>
        </w:rPr>
        <w:footnoteReference w:id="3"/>
      </w:r>
      <w:r>
        <w:t xml:space="preserve"> In these instances the divination is displayed as being purely therapeutic and has no interest in finding the cause of the ailment.</w:t>
      </w:r>
      <w:r>
        <w:rPr>
          <w:rStyle w:val="FootnoteReference"/>
        </w:rPr>
        <w:footnoteReference w:id="4"/>
      </w:r>
    </w:p>
    <w:p w14:paraId="59E96C54" w14:textId="2C91DCFC" w:rsidR="00FB79B4" w:rsidRDefault="00FB79B4" w:rsidP="00D81DAD">
      <w:r>
        <w:lastRenderedPageBreak/>
        <w:t>There are many sources of steles that have been dedicated to the god Asclepius. Many of these are in favour of the god and talk of there experience in getting healed but there are some that ridicule the practice. There are even some that mention being made ill by Asclepius because of their attitude towards him.</w:t>
      </w:r>
      <w:r>
        <w:rPr>
          <w:rStyle w:val="FootnoteReference"/>
        </w:rPr>
        <w:footnoteReference w:id="5"/>
      </w:r>
    </w:p>
    <w:p w14:paraId="336C2A6D" w14:textId="388AA16B" w:rsidR="00FB79B4" w:rsidRDefault="00FB79B4" w:rsidP="00D81DAD"/>
    <w:p w14:paraId="0475365D" w14:textId="492E0902" w:rsidR="00CA308F" w:rsidRPr="00050762" w:rsidRDefault="00CA308F" w:rsidP="00D81DAD">
      <w:pPr>
        <w:rPr>
          <w:sz w:val="28"/>
          <w:szCs w:val="28"/>
        </w:rPr>
      </w:pPr>
      <w:r w:rsidRPr="00050762">
        <w:rPr>
          <w:sz w:val="28"/>
          <w:szCs w:val="28"/>
        </w:rPr>
        <w:t>Hippocratic divination:</w:t>
      </w:r>
    </w:p>
    <w:p w14:paraId="092CA450" w14:textId="29D86A2D" w:rsidR="00CA308F" w:rsidRDefault="00586FF1" w:rsidP="00D81DAD">
      <w:r>
        <w:t>This connection even continues in the Hippocratic doctrine. They swear an oath to the god Apollo and the other gods of health, and they also attribute the link of divination and medicine to the god Apollo.</w:t>
      </w:r>
      <w:r>
        <w:rPr>
          <w:rStyle w:val="FootnoteReference"/>
        </w:rPr>
        <w:footnoteReference w:id="6"/>
      </w:r>
      <w:r>
        <w:t xml:space="preserve"> However there are many texts in the Hippocratic corpus that reject and criticize the use of divination within medicine.</w:t>
      </w:r>
    </w:p>
    <w:p w14:paraId="42065ACB" w14:textId="299537B1" w:rsidR="00637858" w:rsidRDefault="00637858" w:rsidP="00D81DAD">
      <w:r>
        <w:t xml:space="preserve">Hippocratic texts also make use of divination practices. One such practice is </w:t>
      </w:r>
      <w:proofErr w:type="gramStart"/>
      <w:r>
        <w:t>dream</w:t>
      </w:r>
      <w:proofErr w:type="gramEnd"/>
      <w:r>
        <w:t xml:space="preserve"> divination but in this case it is diagnostic and not therapeutic, unlike in the temples of Asclepius.</w:t>
      </w:r>
      <w:r>
        <w:rPr>
          <w:rStyle w:val="FootnoteReference"/>
        </w:rPr>
        <w:footnoteReference w:id="7"/>
      </w:r>
    </w:p>
    <w:p w14:paraId="27BF6357" w14:textId="470D66B1" w:rsidR="00637858" w:rsidRDefault="00637858" w:rsidP="00637858">
      <w:pPr>
        <w:ind w:left="720"/>
      </w:pPr>
      <w:r>
        <w:t>On regimen 4 (4.87.1-4) gives the t</w:t>
      </w:r>
      <w:r w:rsidR="006D4763">
        <w:t>h</w:t>
      </w:r>
      <w:r>
        <w:t>eory of dream divination in that it is a precise art to interpret the dream and that people can miss the mark with their interpretations. Thus, suggesting on the acceptance of the divinatory practice but not a complete faith in it.</w:t>
      </w:r>
    </w:p>
    <w:p w14:paraId="5F6237D6" w14:textId="78F6C6C8" w:rsidR="006B0D1E" w:rsidRDefault="00165694" w:rsidP="00165694">
      <w:pPr>
        <w:ind w:left="720"/>
      </w:pPr>
      <w:r>
        <w:t xml:space="preserve">This text also goes into the diagnostic power of dreams. Saying that the soul is freed from the body and </w:t>
      </w:r>
      <w:proofErr w:type="gramStart"/>
      <w:r>
        <w:t>all of</w:t>
      </w:r>
      <w:proofErr w:type="gramEnd"/>
      <w:r>
        <w:t xml:space="preserve"> its physical sensations which allows it to examine the body comprehensively, learning what is ailing it.</w:t>
      </w:r>
      <w:r>
        <w:rPr>
          <w:rStyle w:val="FootnoteReference"/>
        </w:rPr>
        <w:footnoteReference w:id="8"/>
      </w:r>
      <w:r>
        <w:t xml:space="preserve"> It always prescribe a </w:t>
      </w:r>
      <w:r w:rsidR="006D4763">
        <w:t>prayer,</w:t>
      </w:r>
      <w:r>
        <w:t xml:space="preserve"> but which </w:t>
      </w:r>
      <w:r w:rsidR="006D4763">
        <w:t>God</w:t>
      </w:r>
      <w:r>
        <w:t xml:space="preserve"> receives the prayer is determined by signs within the dream.</w:t>
      </w:r>
    </w:p>
    <w:p w14:paraId="68291E45" w14:textId="3AD3421C" w:rsidR="00637858" w:rsidRDefault="000D49E6" w:rsidP="00165694">
      <w:pPr>
        <w:ind w:left="720"/>
      </w:pPr>
      <w:r>
        <w:t xml:space="preserve">This text also goes into what signs to look for within the dream and whether they suggest that you are sick or healthy. Particularly focused upon are dreams to do with everyday activities. If the dream is a continuation of something that would happen in their everyday life or at least in line with what may happen then it would be interpreted as showing no abnormality in the body. </w:t>
      </w:r>
      <w:r w:rsidR="006D4763">
        <w:t>However,</w:t>
      </w:r>
      <w:r>
        <w:t xml:space="preserve"> if the scenes that they witness have them dealing with a conflict, overcoming something in some type of victory or something that would be contrary to their everyday life</w:t>
      </w:r>
      <w:r w:rsidR="006D4763">
        <w:t xml:space="preserve"> then it would be interpreted as there being an abnormality in the body.</w:t>
      </w:r>
      <w:r w:rsidR="00165694">
        <w:t xml:space="preserve"> </w:t>
      </w:r>
    </w:p>
    <w:p w14:paraId="1B7DFC9E" w14:textId="7627F04A" w:rsidR="00EE6EAC" w:rsidRDefault="00EE6EAC" w:rsidP="00165694">
      <w:pPr>
        <w:ind w:left="720"/>
      </w:pPr>
      <w:r>
        <w:t xml:space="preserve">If they determine that an abnormality is within your </w:t>
      </w:r>
      <w:r w:rsidR="00BF3EE6">
        <w:t>body,</w:t>
      </w:r>
      <w:r>
        <w:t xml:space="preserve"> then what signs had appeared within the dream will tell what this disturbance is.</w:t>
      </w:r>
      <w:r w:rsidR="00BF3EE6">
        <w:t xml:space="preserve"> Significant items to look for within the dream</w:t>
      </w:r>
      <w:r w:rsidR="00DB0A71">
        <w:t xml:space="preserve"> were celestial bodies, </w:t>
      </w:r>
      <w:r w:rsidR="00E160E8">
        <w:t>atmospheric phenomena like clouds, land and water formations, types of movement, and clothing.</w:t>
      </w:r>
      <w:r>
        <w:t xml:space="preserve"> </w:t>
      </w:r>
      <w:r w:rsidR="007A68BE">
        <w:t xml:space="preserve">All of these have their own standard position that they may be expected to appear in but if this is not the case it indicates the presence of disease, with details of their anomaly giving information on the nature of what the disease is. </w:t>
      </w:r>
    </w:p>
    <w:p w14:paraId="559841D4" w14:textId="44760D39" w:rsidR="007A68BE" w:rsidRDefault="00B2197C" w:rsidP="00165694">
      <w:pPr>
        <w:ind w:left="720"/>
      </w:pPr>
      <w:r>
        <w:t xml:space="preserve">The text also </w:t>
      </w:r>
      <w:r w:rsidR="00CC00E7">
        <w:t xml:space="preserve">gives the details of what each of these </w:t>
      </w:r>
      <w:proofErr w:type="gramStart"/>
      <w:r w:rsidR="00CC00E7">
        <w:t>particular phenomena</w:t>
      </w:r>
      <w:proofErr w:type="gramEnd"/>
      <w:r w:rsidR="00CC00E7">
        <w:t xml:space="preserve"> determine. Celestial bodies li</w:t>
      </w:r>
      <w:r w:rsidR="003341A1">
        <w:t>ke</w:t>
      </w:r>
      <w:r w:rsidR="00295186">
        <w:t xml:space="preserve"> the sun and moon can indicate </w:t>
      </w:r>
      <w:r w:rsidR="00E13436">
        <w:t xml:space="preserve">types of treatment like exercise or dieting regimes. </w:t>
      </w:r>
      <w:r w:rsidR="003341A1">
        <w:t xml:space="preserve">Although other planetary celestial bodies and atmospheric conditions would relate to mental disturbances rather than physical ones. Looking at these </w:t>
      </w:r>
      <w:r w:rsidR="003341A1">
        <w:lastRenderedPageBreak/>
        <w:t>indications with more detail would give the exact part of the body feeling this certain disturbance. Examples of this being upward moving star suggesting head ailment, seaward moving suggesting the bowels, abnormal rivers meaning blood issues, springs and wells suggesting bladder, and rough land suggesting flesh.</w:t>
      </w:r>
      <w:r w:rsidR="003341A1">
        <w:rPr>
          <w:rStyle w:val="FootnoteReference"/>
        </w:rPr>
        <w:footnoteReference w:id="9"/>
      </w:r>
      <w:r w:rsidR="003341A1">
        <w:t xml:space="preserve"> All of these signs in their normal condition also suggest that there is no disease or disturbance in the area that they relate too.</w:t>
      </w:r>
    </w:p>
    <w:p w14:paraId="38C943E3" w14:textId="49D0F1E3" w:rsidR="003341A1" w:rsidRDefault="003341A1" w:rsidP="00165694">
      <w:pPr>
        <w:ind w:left="720"/>
      </w:pPr>
      <w:r>
        <w:t>On Regimen 4 states that the power of understanding dreams is the greatest power</w:t>
      </w:r>
      <w:r w:rsidR="00FB79B4">
        <w:t xml:space="preserve">. It says that the theory of dreams can be used in both diagnostics and preventative medicine. However, it does say that dream divination is not a precise </w:t>
      </w:r>
      <w:r w:rsidR="007634F1">
        <w:t>technique,</w:t>
      </w:r>
      <w:r w:rsidR="00FB79B4">
        <w:t xml:space="preserve"> but that proper divination is.</w:t>
      </w:r>
      <w:r w:rsidR="00FB79B4">
        <w:rPr>
          <w:rStyle w:val="FootnoteReference"/>
        </w:rPr>
        <w:footnoteReference w:id="10"/>
      </w:r>
    </w:p>
    <w:p w14:paraId="0CA5049C" w14:textId="25BDAE7D" w:rsidR="007634F1" w:rsidRPr="00050762" w:rsidRDefault="000A4538" w:rsidP="007634F1">
      <w:pPr>
        <w:rPr>
          <w:sz w:val="28"/>
          <w:szCs w:val="28"/>
        </w:rPr>
      </w:pPr>
      <w:r w:rsidRPr="00050762">
        <w:rPr>
          <w:sz w:val="28"/>
          <w:szCs w:val="28"/>
        </w:rPr>
        <w:t>Galen</w:t>
      </w:r>
      <w:r w:rsidR="00050762" w:rsidRPr="00050762">
        <w:rPr>
          <w:sz w:val="28"/>
          <w:szCs w:val="28"/>
        </w:rPr>
        <w:t xml:space="preserve"> Divination</w:t>
      </w:r>
      <w:r w:rsidRPr="00050762">
        <w:rPr>
          <w:sz w:val="28"/>
          <w:szCs w:val="28"/>
        </w:rPr>
        <w:t>:</w:t>
      </w:r>
    </w:p>
    <w:p w14:paraId="5D838688" w14:textId="77777777" w:rsidR="008D1D69" w:rsidRDefault="000A4538" w:rsidP="007634F1">
      <w:r>
        <w:t>During the time of Galen divination was under much stricter rules and had been mostly outlawed by the emperor of Rome. Even though he was being accused of being a magician he still wrote in support of divination as a diagnosis method. Although he does still draw some separation to it from medicine.</w:t>
      </w:r>
      <w:r>
        <w:rPr>
          <w:rStyle w:val="FootnoteReference"/>
        </w:rPr>
        <w:footnoteReference w:id="11"/>
      </w:r>
      <w:r>
        <w:t xml:space="preserve"> </w:t>
      </w:r>
    </w:p>
    <w:p w14:paraId="0D73A4F5" w14:textId="28A97B9C" w:rsidR="007634F1" w:rsidRDefault="008D1D69" w:rsidP="007634F1">
      <w:r>
        <w:t xml:space="preserve">Galen is not defending divination through medicine but rather that they are both their own equal arts that work in the same way. He puts that </w:t>
      </w:r>
      <w:proofErr w:type="gramStart"/>
      <w:r>
        <w:t>both of them</w:t>
      </w:r>
      <w:proofErr w:type="gramEnd"/>
      <w:r>
        <w:t xml:space="preserve"> are stochastic arts.</w:t>
      </w:r>
      <w:r w:rsidR="000A4538">
        <w:t xml:space="preserve"> </w:t>
      </w:r>
      <w:r>
        <w:t>In his arguments divination is even used to explain how some of the medical practices function.</w:t>
      </w:r>
      <w:r>
        <w:rPr>
          <w:rStyle w:val="FootnoteReference"/>
        </w:rPr>
        <w:footnoteReference w:id="12"/>
      </w:r>
    </w:p>
    <w:p w14:paraId="589DCE84" w14:textId="25B49C1F" w:rsidR="002819D8" w:rsidRDefault="007E0870" w:rsidP="007634F1">
      <w:proofErr w:type="spellStart"/>
      <w:r>
        <w:t>Vann</w:t>
      </w:r>
      <w:r w:rsidR="00E16FF1">
        <w:t>uffelen</w:t>
      </w:r>
      <w:proofErr w:type="spellEnd"/>
      <w:r w:rsidR="00E16FF1">
        <w:t xml:space="preserve"> gives an account from a review that Galen wrote about a Hippocratic text, as well as opinions about what this account means. He explains a story that Galen talks about a Greek and an Arab diviner who both tell what they can predict from a bird flying by. The difference being that the Greek can have a more detailed prediction building upon the greater knowledge he has from the corpus of divinatory works that have been written previously. Galen compounds this disagreement between </w:t>
      </w:r>
      <w:r w:rsidR="00050762">
        <w:t xml:space="preserve">the diviners to that of doctors in that </w:t>
      </w:r>
      <w:r>
        <w:t>their disagreement within their skills comes from a lack of fully understanding their art.</w:t>
      </w:r>
      <w:r>
        <w:rPr>
          <w:rStyle w:val="FootnoteReference"/>
        </w:rPr>
        <w:footnoteReference w:id="13"/>
      </w:r>
    </w:p>
    <w:p w14:paraId="0974C330" w14:textId="21E65295" w:rsidR="007E0870" w:rsidRDefault="007E0870" w:rsidP="007634F1">
      <w:proofErr w:type="spellStart"/>
      <w:r>
        <w:t>Vannuffelen</w:t>
      </w:r>
      <w:proofErr w:type="spellEnd"/>
      <w:r>
        <w:t xml:space="preserve"> then follows with the differing opinions of what Galen </w:t>
      </w:r>
      <w:proofErr w:type="gramStart"/>
      <w:r>
        <w:t>actually thought</w:t>
      </w:r>
      <w:proofErr w:type="gramEnd"/>
      <w:r>
        <w:t xml:space="preserve"> about divination when he had written this. </w:t>
      </w:r>
      <w:r w:rsidR="00307188">
        <w:t>Saying that Hankinson believes Galen means that divination is not a part of medicine and that it is a very questionable practice and in opposition giving the opinion of Nutton that he is disputing their premise and not the success of the diviners.</w:t>
      </w:r>
      <w:r w:rsidR="00307188">
        <w:rPr>
          <w:rStyle w:val="FootnoteReference"/>
        </w:rPr>
        <w:footnoteReference w:id="14"/>
      </w:r>
      <w:r w:rsidR="00307188">
        <w:t xml:space="preserve"> While these two opinions on what Galen said do seem to hold some weight, </w:t>
      </w:r>
      <w:proofErr w:type="spellStart"/>
      <w:r w:rsidR="00307188">
        <w:t>Vannufelen’s</w:t>
      </w:r>
      <w:proofErr w:type="spellEnd"/>
      <w:r w:rsidR="00307188">
        <w:t xml:space="preserve"> own idea on what Galen is trying to say seems to have the most merit. </w:t>
      </w:r>
      <w:r w:rsidR="00DC7B5E">
        <w:t xml:space="preserve">He states that Galen is accepting divination and medicine as parallel arts that can work alongside one another, but that medicine is still superior to divination since it </w:t>
      </w:r>
      <w:proofErr w:type="gramStart"/>
      <w:r w:rsidR="00DC7B5E">
        <w:t>takes into account</w:t>
      </w:r>
      <w:proofErr w:type="gramEnd"/>
      <w:r w:rsidR="00DC7B5E">
        <w:t xml:space="preserve"> the actual details of the patient </w:t>
      </w:r>
      <w:r w:rsidR="00141BD4">
        <w:t>and</w:t>
      </w:r>
      <w:r w:rsidR="00DC7B5E">
        <w:t xml:space="preserve"> disease that is being dealt with. This does not mean that he rejects the use of divination but </w:t>
      </w:r>
      <w:r w:rsidR="00141BD4">
        <w:t>that</w:t>
      </w:r>
      <w:r w:rsidR="00DC7B5E">
        <w:t xml:space="preserve"> the lines between the two should not be blurred.</w:t>
      </w:r>
      <w:r w:rsidR="00DC7B5E">
        <w:rPr>
          <w:rStyle w:val="FootnoteReference"/>
        </w:rPr>
        <w:footnoteReference w:id="15"/>
      </w:r>
    </w:p>
    <w:p w14:paraId="7A98400E" w14:textId="4A942DFE" w:rsidR="00041310" w:rsidRDefault="00CB2625" w:rsidP="007634F1">
      <w:r>
        <w:t xml:space="preserve">In </w:t>
      </w:r>
      <w:r w:rsidR="00141BD4">
        <w:t>fact,</w:t>
      </w:r>
      <w:r>
        <w:t xml:space="preserve"> </w:t>
      </w:r>
      <w:proofErr w:type="gramStart"/>
      <w:r>
        <w:t>Galens</w:t>
      </w:r>
      <w:proofErr w:type="gramEnd"/>
      <w:r>
        <w:t xml:space="preserve"> view towards divination was an unexpected one during his period as if someone was suspected of sorcery then they could be exiled or killed. This is expanded upon in Galens </w:t>
      </w:r>
      <w:r>
        <w:lastRenderedPageBreak/>
        <w:t xml:space="preserve">talk about how the contemporary doctor of his time </w:t>
      </w:r>
      <w:proofErr w:type="gramStart"/>
      <w:r>
        <w:t>has to</w:t>
      </w:r>
      <w:proofErr w:type="gramEnd"/>
      <w:r>
        <w:t xml:space="preserve"> rely on the knowledge of the previous people like Hippocrates and that they should not be bringing new knowledge forward. He also laments upon the fact that if a truly skilled doctor </w:t>
      </w:r>
      <w:proofErr w:type="gramStart"/>
      <w:r>
        <w:t>is capable of predicting</w:t>
      </w:r>
      <w:proofErr w:type="gramEnd"/>
      <w:r>
        <w:t xml:space="preserve"> what the affliction of a patient is then they run the risk of being accused of sorcery and then may be killed by their competitors.</w:t>
      </w:r>
      <w:r>
        <w:rPr>
          <w:rStyle w:val="FootnoteReference"/>
        </w:rPr>
        <w:footnoteReference w:id="16"/>
      </w:r>
      <w:r>
        <w:t xml:space="preserve"> This attitude of the wider society of doctors shows the fazing out of regular divination practices as they are being </w:t>
      </w:r>
      <w:proofErr w:type="spellStart"/>
      <w:r w:rsidR="002964F4">
        <w:t>labled</w:t>
      </w:r>
      <w:proofErr w:type="spellEnd"/>
      <w:r>
        <w:t xml:space="preserve"> as unreliable and vilified. This also seems like a continuation of the ideas of Hippocrates as he started a shift towards a more rationalised practice of medicine rather than </w:t>
      </w:r>
      <w:r w:rsidR="002964F4">
        <w:t xml:space="preserve">the more divine based practices of the archaic period. </w:t>
      </w:r>
      <w:proofErr w:type="gramStart"/>
      <w:r w:rsidR="002964F4">
        <w:t>However</w:t>
      </w:r>
      <w:proofErr w:type="gramEnd"/>
      <w:r w:rsidR="002964F4">
        <w:t xml:space="preserve"> even with a shift toward a more rationalised practice of medicine Galen still saw the use of divination and professed it as a proper practice alongside medicine.</w:t>
      </w:r>
    </w:p>
    <w:p w14:paraId="43C4C6F4" w14:textId="2555A259" w:rsidR="002964F4" w:rsidRDefault="002964F4" w:rsidP="007634F1">
      <w:r>
        <w:t>Galen also liked to use his advanced medical knowledge to make himself appear as a diviner to others and display that it is a lack of knowledge that can create this impression.</w:t>
      </w:r>
      <w:r>
        <w:rPr>
          <w:rStyle w:val="FootnoteReference"/>
        </w:rPr>
        <w:footnoteReference w:id="17"/>
      </w:r>
    </w:p>
    <w:p w14:paraId="026F199B" w14:textId="31AE7963" w:rsidR="007634F1" w:rsidRPr="00307188" w:rsidRDefault="007634F1" w:rsidP="007634F1">
      <w:pPr>
        <w:rPr>
          <w:sz w:val="28"/>
          <w:szCs w:val="28"/>
        </w:rPr>
      </w:pPr>
      <w:r w:rsidRPr="00307188">
        <w:rPr>
          <w:sz w:val="28"/>
          <w:szCs w:val="28"/>
        </w:rPr>
        <w:t>Bibliography:</w:t>
      </w:r>
    </w:p>
    <w:p w14:paraId="005910ED" w14:textId="5F10FAB5" w:rsidR="007634F1" w:rsidRDefault="007634F1" w:rsidP="007634F1">
      <w:proofErr w:type="spellStart"/>
      <w:r>
        <w:t>Raphals</w:t>
      </w:r>
      <w:proofErr w:type="spellEnd"/>
      <w:r>
        <w:t xml:space="preserve">, Lisa. 2005. Divination and Medicine in China and Greece: A Comparative Perspective on the </w:t>
      </w:r>
      <w:proofErr w:type="spellStart"/>
      <w:r>
        <w:t>Baoshan</w:t>
      </w:r>
      <w:proofErr w:type="spellEnd"/>
      <w:r>
        <w:t xml:space="preserve"> Illness Divinations. EASTM 24. pp 78 </w:t>
      </w:r>
      <w:r w:rsidR="00050762">
        <w:t>–</w:t>
      </w:r>
      <w:r>
        <w:t xml:space="preserve"> 103</w:t>
      </w:r>
    </w:p>
    <w:p w14:paraId="2C7F175B" w14:textId="04B49273" w:rsidR="00050762" w:rsidRDefault="00050762" w:rsidP="00050762">
      <w:pPr>
        <w:spacing w:after="0" w:line="240" w:lineRule="auto"/>
        <w:rPr>
          <w:rFonts w:ascii="Times New Roman" w:eastAsia="Times New Roman" w:hAnsi="Times New Roman" w:cs="Times New Roman"/>
          <w:kern w:val="0"/>
          <w:sz w:val="24"/>
          <w:szCs w:val="24"/>
          <w:lang w:eastAsia="en-GB"/>
          <w14:ligatures w14:val="none"/>
        </w:rPr>
      </w:pPr>
      <w:r w:rsidRPr="00050762">
        <w:rPr>
          <w:rFonts w:ascii="Times New Roman" w:eastAsia="Times New Roman" w:hAnsi="Times New Roman" w:cs="Times New Roman"/>
          <w:kern w:val="0"/>
          <w:sz w:val="24"/>
          <w:szCs w:val="24"/>
          <w:lang w:eastAsia="en-GB"/>
          <w14:ligatures w14:val="none"/>
        </w:rPr>
        <w:t xml:space="preserve">VANNUFFELEN, PETER. “GALEN, DIVINATION AND THE STATUS OF MEDICINE.” </w:t>
      </w:r>
      <w:r w:rsidRPr="00050762">
        <w:rPr>
          <w:rFonts w:ascii="Times New Roman" w:eastAsia="Times New Roman" w:hAnsi="Times New Roman" w:cs="Times New Roman"/>
          <w:i/>
          <w:iCs/>
          <w:kern w:val="0"/>
          <w:sz w:val="24"/>
          <w:szCs w:val="24"/>
          <w:lang w:eastAsia="en-GB"/>
          <w14:ligatures w14:val="none"/>
        </w:rPr>
        <w:t>The Classical Quarterly</w:t>
      </w:r>
      <w:r w:rsidRPr="00050762">
        <w:rPr>
          <w:rFonts w:ascii="Times New Roman" w:eastAsia="Times New Roman" w:hAnsi="Times New Roman" w:cs="Times New Roman"/>
          <w:kern w:val="0"/>
          <w:sz w:val="24"/>
          <w:szCs w:val="24"/>
          <w:lang w:eastAsia="en-GB"/>
          <w14:ligatures w14:val="none"/>
        </w:rPr>
        <w:t xml:space="preserve">, vol. 64, no. 1, 2014, pp. 337–52. </w:t>
      </w:r>
      <w:r w:rsidRPr="00050762">
        <w:rPr>
          <w:rFonts w:ascii="Times New Roman" w:eastAsia="Times New Roman" w:hAnsi="Times New Roman" w:cs="Times New Roman"/>
          <w:i/>
          <w:iCs/>
          <w:kern w:val="0"/>
          <w:sz w:val="24"/>
          <w:szCs w:val="24"/>
          <w:lang w:eastAsia="en-GB"/>
          <w14:ligatures w14:val="none"/>
        </w:rPr>
        <w:t>JSTOR</w:t>
      </w:r>
      <w:r w:rsidRPr="00050762">
        <w:rPr>
          <w:rFonts w:ascii="Times New Roman" w:eastAsia="Times New Roman" w:hAnsi="Times New Roman" w:cs="Times New Roman"/>
          <w:kern w:val="0"/>
          <w:sz w:val="24"/>
          <w:szCs w:val="24"/>
          <w:lang w:eastAsia="en-GB"/>
          <w14:ligatures w14:val="none"/>
        </w:rPr>
        <w:t xml:space="preserve">, </w:t>
      </w:r>
      <w:hyperlink r:id="rId7" w:history="1">
        <w:r w:rsidRPr="00050762">
          <w:rPr>
            <w:rStyle w:val="Hyperlink"/>
            <w:rFonts w:ascii="Times New Roman" w:eastAsia="Times New Roman" w:hAnsi="Times New Roman" w:cs="Times New Roman"/>
            <w:kern w:val="0"/>
            <w:sz w:val="24"/>
            <w:szCs w:val="24"/>
            <w:lang w:eastAsia="en-GB"/>
            <w14:ligatures w14:val="none"/>
          </w:rPr>
          <w:t>https://www.jstor.org/stable/26546306. Accessed 14 May 2024</w:t>
        </w:r>
      </w:hyperlink>
      <w:r w:rsidRPr="00050762">
        <w:rPr>
          <w:rFonts w:ascii="Times New Roman" w:eastAsia="Times New Roman" w:hAnsi="Times New Roman" w:cs="Times New Roman"/>
          <w:kern w:val="0"/>
          <w:sz w:val="24"/>
          <w:szCs w:val="24"/>
          <w:lang w:eastAsia="en-GB"/>
          <w14:ligatures w14:val="none"/>
        </w:rPr>
        <w:t>.</w:t>
      </w:r>
    </w:p>
    <w:p w14:paraId="393CA4B7" w14:textId="77777777" w:rsidR="00050762" w:rsidRDefault="00050762" w:rsidP="00050762">
      <w:pPr>
        <w:spacing w:after="0" w:line="240" w:lineRule="auto"/>
        <w:rPr>
          <w:rFonts w:ascii="Times New Roman" w:eastAsia="Times New Roman" w:hAnsi="Times New Roman" w:cs="Times New Roman"/>
          <w:kern w:val="0"/>
          <w:sz w:val="24"/>
          <w:szCs w:val="24"/>
          <w:lang w:eastAsia="en-GB"/>
          <w14:ligatures w14:val="none"/>
        </w:rPr>
      </w:pPr>
    </w:p>
    <w:p w14:paraId="083DE3EA" w14:textId="198BEC8A"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5CD6836B" w14:textId="77777777"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7EFADD46" w14:textId="77777777"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3B0B5EA3" w14:textId="77777777"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5F3AA901" w14:textId="77777777"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p>
    <w:p w14:paraId="3EFFA529" w14:textId="3E3A577A" w:rsidR="00E14DD2" w:rsidRDefault="00E14DD2" w:rsidP="00050762">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Sorry that its terrible. I just lost motivation to do it.</w:t>
      </w:r>
    </w:p>
    <w:p w14:paraId="31E0DC57" w14:textId="77777777" w:rsidR="00050762" w:rsidRPr="00050762" w:rsidRDefault="00050762" w:rsidP="00050762">
      <w:pPr>
        <w:spacing w:after="0" w:line="240" w:lineRule="auto"/>
        <w:rPr>
          <w:rFonts w:ascii="Times New Roman" w:eastAsia="Times New Roman" w:hAnsi="Times New Roman" w:cs="Times New Roman"/>
          <w:kern w:val="0"/>
          <w:sz w:val="24"/>
          <w:szCs w:val="24"/>
          <w:lang w:eastAsia="en-GB"/>
          <w14:ligatures w14:val="none"/>
        </w:rPr>
      </w:pPr>
    </w:p>
    <w:p w14:paraId="1846F90E" w14:textId="77777777" w:rsidR="00050762" w:rsidRDefault="00050762" w:rsidP="007634F1"/>
    <w:sectPr w:rsidR="000507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E6539" w14:textId="77777777" w:rsidR="008931D0" w:rsidRDefault="008931D0" w:rsidP="00DA6B7A">
      <w:pPr>
        <w:spacing w:after="0" w:line="240" w:lineRule="auto"/>
      </w:pPr>
      <w:r>
        <w:separator/>
      </w:r>
    </w:p>
  </w:endnote>
  <w:endnote w:type="continuationSeparator" w:id="0">
    <w:p w14:paraId="436A2C3D" w14:textId="77777777" w:rsidR="008931D0" w:rsidRDefault="008931D0" w:rsidP="00DA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37912" w14:textId="77777777" w:rsidR="008931D0" w:rsidRDefault="008931D0" w:rsidP="00DA6B7A">
      <w:pPr>
        <w:spacing w:after="0" w:line="240" w:lineRule="auto"/>
      </w:pPr>
      <w:r>
        <w:separator/>
      </w:r>
    </w:p>
  </w:footnote>
  <w:footnote w:type="continuationSeparator" w:id="0">
    <w:p w14:paraId="07AD7B47" w14:textId="77777777" w:rsidR="008931D0" w:rsidRDefault="008931D0" w:rsidP="00DA6B7A">
      <w:pPr>
        <w:spacing w:after="0" w:line="240" w:lineRule="auto"/>
      </w:pPr>
      <w:r>
        <w:continuationSeparator/>
      </w:r>
    </w:p>
  </w:footnote>
  <w:footnote w:id="1">
    <w:p w14:paraId="2DDEA54D" w14:textId="15FFA9A2" w:rsidR="00DA6B7A" w:rsidRDefault="00DA6B7A">
      <w:pPr>
        <w:pStyle w:val="FootnoteText"/>
      </w:pPr>
      <w:r>
        <w:rPr>
          <w:rStyle w:val="FootnoteReference"/>
        </w:rPr>
        <w:footnoteRef/>
      </w:r>
      <w:r>
        <w:t xml:space="preserve"> </w:t>
      </w:r>
      <w:proofErr w:type="spellStart"/>
      <w:r w:rsidR="007634F1">
        <w:t>Ralphals</w:t>
      </w:r>
      <w:proofErr w:type="spellEnd"/>
      <w:r w:rsidR="007634F1">
        <w:t xml:space="preserve">, 2005, p. </w:t>
      </w:r>
      <w:r w:rsidR="00D81DAD">
        <w:t>91</w:t>
      </w:r>
    </w:p>
  </w:footnote>
  <w:footnote w:id="2">
    <w:p w14:paraId="787F3466" w14:textId="09016801" w:rsidR="00DA6B7A" w:rsidRDefault="00DA6B7A">
      <w:pPr>
        <w:pStyle w:val="FootnoteText"/>
      </w:pPr>
      <w:r>
        <w:rPr>
          <w:rStyle w:val="FootnoteReference"/>
        </w:rPr>
        <w:footnoteRef/>
      </w:r>
      <w:r w:rsidR="00D81DAD">
        <w:t xml:space="preserve"> </w:t>
      </w:r>
      <w:proofErr w:type="spellStart"/>
      <w:r w:rsidR="007634F1">
        <w:t>Ralphals</w:t>
      </w:r>
      <w:proofErr w:type="spellEnd"/>
      <w:r w:rsidR="007634F1">
        <w:t xml:space="preserve">, 2005, p. </w:t>
      </w:r>
      <w:r w:rsidR="00D81DAD">
        <w:t>91</w:t>
      </w:r>
    </w:p>
  </w:footnote>
  <w:footnote w:id="3">
    <w:p w14:paraId="513A642D" w14:textId="58B3E913" w:rsidR="00CA308F" w:rsidRDefault="00CA308F">
      <w:pPr>
        <w:pStyle w:val="FootnoteText"/>
      </w:pPr>
      <w:r>
        <w:rPr>
          <w:rStyle w:val="FootnoteReference"/>
        </w:rPr>
        <w:footnoteRef/>
      </w:r>
      <w:r>
        <w:t xml:space="preserve"> </w:t>
      </w:r>
      <w:proofErr w:type="spellStart"/>
      <w:r w:rsidR="007634F1">
        <w:t>Ralphals</w:t>
      </w:r>
      <w:proofErr w:type="spellEnd"/>
      <w:r w:rsidR="007634F1">
        <w:t xml:space="preserve">, 2005, p. </w:t>
      </w:r>
      <w:r>
        <w:t>92</w:t>
      </w:r>
    </w:p>
  </w:footnote>
  <w:footnote w:id="4">
    <w:p w14:paraId="7891673F" w14:textId="582D30BF" w:rsidR="00CA308F" w:rsidRDefault="00CA308F">
      <w:pPr>
        <w:pStyle w:val="FootnoteText"/>
      </w:pPr>
      <w:r>
        <w:rPr>
          <w:rStyle w:val="FootnoteReference"/>
        </w:rPr>
        <w:footnoteRef/>
      </w:r>
      <w:r>
        <w:t xml:space="preserve"> </w:t>
      </w:r>
      <w:proofErr w:type="spellStart"/>
      <w:r w:rsidR="007634F1">
        <w:t>Ralphals</w:t>
      </w:r>
      <w:proofErr w:type="spellEnd"/>
      <w:r w:rsidR="007634F1">
        <w:t xml:space="preserve">, 2005, p. </w:t>
      </w:r>
      <w:r>
        <w:t>93</w:t>
      </w:r>
    </w:p>
  </w:footnote>
  <w:footnote w:id="5">
    <w:p w14:paraId="72D76F15" w14:textId="376927EB" w:rsidR="00FB79B4" w:rsidRDefault="00FB79B4">
      <w:pPr>
        <w:pStyle w:val="FootnoteText"/>
      </w:pPr>
      <w:r>
        <w:rPr>
          <w:rStyle w:val="FootnoteReference"/>
        </w:rPr>
        <w:footnoteRef/>
      </w:r>
      <w:r>
        <w:t xml:space="preserve"> </w:t>
      </w:r>
      <w:proofErr w:type="spellStart"/>
      <w:r w:rsidR="007634F1">
        <w:t>Ralphals</w:t>
      </w:r>
      <w:proofErr w:type="spellEnd"/>
      <w:r w:rsidR="007634F1">
        <w:t xml:space="preserve">, 2005, p. </w:t>
      </w:r>
      <w:r>
        <w:t xml:space="preserve">97 </w:t>
      </w:r>
    </w:p>
  </w:footnote>
  <w:footnote w:id="6">
    <w:p w14:paraId="532B9320" w14:textId="641C9410" w:rsidR="00586FF1" w:rsidRDefault="00586FF1">
      <w:pPr>
        <w:pStyle w:val="FootnoteText"/>
      </w:pPr>
      <w:r>
        <w:rPr>
          <w:rStyle w:val="FootnoteReference"/>
        </w:rPr>
        <w:footnoteRef/>
      </w:r>
      <w:r>
        <w:t xml:space="preserve"> </w:t>
      </w:r>
      <w:proofErr w:type="spellStart"/>
      <w:r w:rsidR="007634F1">
        <w:t>Ralphals</w:t>
      </w:r>
      <w:proofErr w:type="spellEnd"/>
      <w:r w:rsidR="007634F1">
        <w:t xml:space="preserve">, 2005, p. </w:t>
      </w:r>
      <w:r>
        <w:t>94</w:t>
      </w:r>
    </w:p>
  </w:footnote>
  <w:footnote w:id="7">
    <w:p w14:paraId="5C865B97" w14:textId="77E6962F" w:rsidR="00637858" w:rsidRDefault="00637858">
      <w:pPr>
        <w:pStyle w:val="FootnoteText"/>
      </w:pPr>
      <w:r>
        <w:rPr>
          <w:rStyle w:val="FootnoteReference"/>
        </w:rPr>
        <w:footnoteRef/>
      </w:r>
      <w:r>
        <w:t xml:space="preserve"> </w:t>
      </w:r>
      <w:proofErr w:type="spellStart"/>
      <w:r w:rsidR="007634F1">
        <w:t>Ralphals</w:t>
      </w:r>
      <w:proofErr w:type="spellEnd"/>
      <w:r w:rsidR="007634F1">
        <w:t xml:space="preserve">, 2005, p. </w:t>
      </w:r>
      <w:r>
        <w:t>95</w:t>
      </w:r>
    </w:p>
  </w:footnote>
  <w:footnote w:id="8">
    <w:p w14:paraId="5207E5C1" w14:textId="0EB5F22D" w:rsidR="00165694" w:rsidRDefault="00165694">
      <w:pPr>
        <w:pStyle w:val="FootnoteText"/>
      </w:pPr>
      <w:r>
        <w:rPr>
          <w:rStyle w:val="FootnoteReference"/>
        </w:rPr>
        <w:footnoteRef/>
      </w:r>
      <w:r w:rsidR="007634F1">
        <w:t xml:space="preserve"> </w:t>
      </w:r>
      <w:proofErr w:type="spellStart"/>
      <w:r w:rsidR="007634F1">
        <w:t>Raphals</w:t>
      </w:r>
      <w:proofErr w:type="spellEnd"/>
      <w:r w:rsidR="007634F1">
        <w:t>, 2005, p.</w:t>
      </w:r>
      <w:r>
        <w:t xml:space="preserve"> 95</w:t>
      </w:r>
    </w:p>
  </w:footnote>
  <w:footnote w:id="9">
    <w:p w14:paraId="43F314AC" w14:textId="79A6325A" w:rsidR="003341A1" w:rsidRDefault="003341A1">
      <w:pPr>
        <w:pStyle w:val="FootnoteText"/>
      </w:pPr>
      <w:r>
        <w:rPr>
          <w:rStyle w:val="FootnoteReference"/>
        </w:rPr>
        <w:footnoteRef/>
      </w:r>
      <w:r>
        <w:t xml:space="preserve"> </w:t>
      </w:r>
      <w:proofErr w:type="spellStart"/>
      <w:r w:rsidR="007634F1">
        <w:t>Ralphals</w:t>
      </w:r>
      <w:proofErr w:type="spellEnd"/>
      <w:r w:rsidR="007634F1">
        <w:t xml:space="preserve">, 2005, p. </w:t>
      </w:r>
      <w:r>
        <w:t>95 - 96</w:t>
      </w:r>
    </w:p>
  </w:footnote>
  <w:footnote w:id="10">
    <w:p w14:paraId="46A7C89E" w14:textId="503BDD99" w:rsidR="00FB79B4" w:rsidRDefault="00FB79B4">
      <w:pPr>
        <w:pStyle w:val="FootnoteText"/>
      </w:pPr>
      <w:r>
        <w:rPr>
          <w:rStyle w:val="FootnoteReference"/>
        </w:rPr>
        <w:footnoteRef/>
      </w:r>
      <w:r>
        <w:t xml:space="preserve"> </w:t>
      </w:r>
      <w:proofErr w:type="spellStart"/>
      <w:r w:rsidR="007634F1">
        <w:t>Ralphals</w:t>
      </w:r>
      <w:proofErr w:type="spellEnd"/>
      <w:r w:rsidR="007634F1">
        <w:t xml:space="preserve">, 2005, p. </w:t>
      </w:r>
      <w:r>
        <w:t>96</w:t>
      </w:r>
    </w:p>
  </w:footnote>
  <w:footnote w:id="11">
    <w:p w14:paraId="7FB9769C" w14:textId="4BED7166" w:rsidR="000A4538" w:rsidRDefault="000A4538">
      <w:pPr>
        <w:pStyle w:val="FootnoteText"/>
      </w:pPr>
      <w:r>
        <w:rPr>
          <w:rStyle w:val="FootnoteReference"/>
        </w:rPr>
        <w:footnoteRef/>
      </w:r>
      <w:r>
        <w:t xml:space="preserve"> </w:t>
      </w:r>
      <w:proofErr w:type="spellStart"/>
      <w:r w:rsidR="007E0870">
        <w:t>Vann</w:t>
      </w:r>
      <w:r>
        <w:t>uffelen</w:t>
      </w:r>
      <w:proofErr w:type="spellEnd"/>
      <w:r>
        <w:t>, 2014, p. 339</w:t>
      </w:r>
    </w:p>
  </w:footnote>
  <w:footnote w:id="12">
    <w:p w14:paraId="08F7CC25" w14:textId="1EB1D928" w:rsidR="008D1D69" w:rsidRDefault="008D1D69">
      <w:pPr>
        <w:pStyle w:val="FootnoteText"/>
      </w:pPr>
      <w:r>
        <w:rPr>
          <w:rStyle w:val="FootnoteReference"/>
        </w:rPr>
        <w:footnoteRef/>
      </w:r>
      <w:r>
        <w:t xml:space="preserve"> </w:t>
      </w:r>
      <w:proofErr w:type="spellStart"/>
      <w:r w:rsidR="007E0870">
        <w:t>Vann</w:t>
      </w:r>
      <w:r>
        <w:t>uffelen</w:t>
      </w:r>
      <w:proofErr w:type="spellEnd"/>
      <w:r>
        <w:t>, 2014, p. 340</w:t>
      </w:r>
    </w:p>
  </w:footnote>
  <w:footnote w:id="13">
    <w:p w14:paraId="1F695C5F" w14:textId="54C210F6" w:rsidR="007E0870" w:rsidRDefault="007E0870">
      <w:pPr>
        <w:pStyle w:val="FootnoteText"/>
      </w:pPr>
      <w:r>
        <w:rPr>
          <w:rStyle w:val="FootnoteReference"/>
        </w:rPr>
        <w:footnoteRef/>
      </w:r>
      <w:r>
        <w:t xml:space="preserve"> </w:t>
      </w:r>
      <w:proofErr w:type="spellStart"/>
      <w:r>
        <w:t>Vannuffelen</w:t>
      </w:r>
      <w:proofErr w:type="spellEnd"/>
      <w:r>
        <w:t>, 2014, p. 340 - 341</w:t>
      </w:r>
    </w:p>
  </w:footnote>
  <w:footnote w:id="14">
    <w:p w14:paraId="514574D1" w14:textId="6B38722A" w:rsidR="00307188" w:rsidRDefault="00307188">
      <w:pPr>
        <w:pStyle w:val="FootnoteText"/>
      </w:pPr>
      <w:r>
        <w:rPr>
          <w:rStyle w:val="FootnoteReference"/>
        </w:rPr>
        <w:footnoteRef/>
      </w:r>
      <w:r>
        <w:t xml:space="preserve"> </w:t>
      </w:r>
      <w:proofErr w:type="spellStart"/>
      <w:r>
        <w:t>Vannuffelen</w:t>
      </w:r>
      <w:proofErr w:type="spellEnd"/>
      <w:r>
        <w:t>, 201</w:t>
      </w:r>
      <w:r w:rsidR="00DC7B5E">
        <w:t>4</w:t>
      </w:r>
      <w:r>
        <w:t>, p. 341</w:t>
      </w:r>
    </w:p>
  </w:footnote>
  <w:footnote w:id="15">
    <w:p w14:paraId="0B9102EA" w14:textId="1F3F9CF6" w:rsidR="00DC7B5E" w:rsidRDefault="00DC7B5E">
      <w:pPr>
        <w:pStyle w:val="FootnoteText"/>
      </w:pPr>
      <w:r>
        <w:rPr>
          <w:rStyle w:val="FootnoteReference"/>
        </w:rPr>
        <w:footnoteRef/>
      </w:r>
      <w:r>
        <w:t xml:space="preserve"> </w:t>
      </w:r>
      <w:proofErr w:type="spellStart"/>
      <w:r>
        <w:t>Vannuffelen</w:t>
      </w:r>
      <w:proofErr w:type="spellEnd"/>
      <w:r>
        <w:t>, 2014, p. 341 - 342</w:t>
      </w:r>
    </w:p>
  </w:footnote>
  <w:footnote w:id="16">
    <w:p w14:paraId="365256D7" w14:textId="3742C5E6" w:rsidR="00CB2625" w:rsidRDefault="00CB2625">
      <w:pPr>
        <w:pStyle w:val="FootnoteText"/>
      </w:pPr>
      <w:r>
        <w:rPr>
          <w:rStyle w:val="FootnoteReference"/>
        </w:rPr>
        <w:footnoteRef/>
      </w:r>
      <w:r>
        <w:t xml:space="preserve"> </w:t>
      </w:r>
      <w:proofErr w:type="spellStart"/>
      <w:r>
        <w:t>Vannuffelen</w:t>
      </w:r>
      <w:proofErr w:type="spellEnd"/>
      <w:r>
        <w:t>, 2014, p. 343</w:t>
      </w:r>
    </w:p>
  </w:footnote>
  <w:footnote w:id="17">
    <w:p w14:paraId="6142011A" w14:textId="4FAB0DB5" w:rsidR="002964F4" w:rsidRDefault="002964F4">
      <w:pPr>
        <w:pStyle w:val="FootnoteText"/>
      </w:pPr>
      <w:r>
        <w:rPr>
          <w:rStyle w:val="FootnoteReference"/>
        </w:rPr>
        <w:footnoteRef/>
      </w:r>
      <w:r>
        <w:t xml:space="preserve"> </w:t>
      </w:r>
      <w:proofErr w:type="spellStart"/>
      <w:r>
        <w:t>Vannuffelen</w:t>
      </w:r>
      <w:proofErr w:type="spellEnd"/>
      <w:r>
        <w:t>, 2014, p. 343 - 344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085E"/>
    <w:rsid w:val="00041310"/>
    <w:rsid w:val="00050762"/>
    <w:rsid w:val="000A4538"/>
    <w:rsid w:val="000D49E6"/>
    <w:rsid w:val="00141BD4"/>
    <w:rsid w:val="00165694"/>
    <w:rsid w:val="00165930"/>
    <w:rsid w:val="00224DF9"/>
    <w:rsid w:val="0024399F"/>
    <w:rsid w:val="002819D8"/>
    <w:rsid w:val="00295186"/>
    <w:rsid w:val="002964F4"/>
    <w:rsid w:val="002A09B8"/>
    <w:rsid w:val="00307188"/>
    <w:rsid w:val="00326F93"/>
    <w:rsid w:val="003341A1"/>
    <w:rsid w:val="0046589C"/>
    <w:rsid w:val="004B5A99"/>
    <w:rsid w:val="00586FF1"/>
    <w:rsid w:val="00637858"/>
    <w:rsid w:val="006B0D1E"/>
    <w:rsid w:val="006D4763"/>
    <w:rsid w:val="006E4C70"/>
    <w:rsid w:val="007634F1"/>
    <w:rsid w:val="007A68BE"/>
    <w:rsid w:val="007E0870"/>
    <w:rsid w:val="008931D0"/>
    <w:rsid w:val="008D1D69"/>
    <w:rsid w:val="00933665"/>
    <w:rsid w:val="0097085E"/>
    <w:rsid w:val="009C3DB1"/>
    <w:rsid w:val="009E6D1E"/>
    <w:rsid w:val="00A95D55"/>
    <w:rsid w:val="00A96FF5"/>
    <w:rsid w:val="00B2197C"/>
    <w:rsid w:val="00BF0CE5"/>
    <w:rsid w:val="00BF3EE6"/>
    <w:rsid w:val="00CA308F"/>
    <w:rsid w:val="00CB2625"/>
    <w:rsid w:val="00CC00E7"/>
    <w:rsid w:val="00D25977"/>
    <w:rsid w:val="00D81DAD"/>
    <w:rsid w:val="00DA6B7A"/>
    <w:rsid w:val="00DB0A71"/>
    <w:rsid w:val="00DC7B5E"/>
    <w:rsid w:val="00E13436"/>
    <w:rsid w:val="00E14DD2"/>
    <w:rsid w:val="00E160E8"/>
    <w:rsid w:val="00E16FF1"/>
    <w:rsid w:val="00E70B84"/>
    <w:rsid w:val="00E809E7"/>
    <w:rsid w:val="00EE6EAC"/>
    <w:rsid w:val="00F86120"/>
    <w:rsid w:val="00FB6BD2"/>
    <w:rsid w:val="00FB79B4"/>
    <w:rsid w:val="00FC0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D9F38"/>
  <w15:docId w15:val="{5A2314BD-6813-4969-BEC7-941E60918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8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08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08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08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08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08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08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08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08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8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08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08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08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08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08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08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08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085E"/>
    <w:rPr>
      <w:rFonts w:eastAsiaTheme="majorEastAsia" w:cstheme="majorBidi"/>
      <w:color w:val="272727" w:themeColor="text1" w:themeTint="D8"/>
    </w:rPr>
  </w:style>
  <w:style w:type="paragraph" w:styleId="Title">
    <w:name w:val="Title"/>
    <w:basedOn w:val="Normal"/>
    <w:next w:val="Normal"/>
    <w:link w:val="TitleChar"/>
    <w:uiPriority w:val="10"/>
    <w:qFormat/>
    <w:rsid w:val="00970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8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08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08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085E"/>
    <w:pPr>
      <w:spacing w:before="160"/>
      <w:jc w:val="center"/>
    </w:pPr>
    <w:rPr>
      <w:i/>
      <w:iCs/>
      <w:color w:val="404040" w:themeColor="text1" w:themeTint="BF"/>
    </w:rPr>
  </w:style>
  <w:style w:type="character" w:customStyle="1" w:styleId="QuoteChar">
    <w:name w:val="Quote Char"/>
    <w:basedOn w:val="DefaultParagraphFont"/>
    <w:link w:val="Quote"/>
    <w:uiPriority w:val="29"/>
    <w:rsid w:val="0097085E"/>
    <w:rPr>
      <w:i/>
      <w:iCs/>
      <w:color w:val="404040" w:themeColor="text1" w:themeTint="BF"/>
    </w:rPr>
  </w:style>
  <w:style w:type="paragraph" w:styleId="ListParagraph">
    <w:name w:val="List Paragraph"/>
    <w:basedOn w:val="Normal"/>
    <w:uiPriority w:val="34"/>
    <w:qFormat/>
    <w:rsid w:val="0097085E"/>
    <w:pPr>
      <w:ind w:left="720"/>
      <w:contextualSpacing/>
    </w:pPr>
  </w:style>
  <w:style w:type="character" w:styleId="IntenseEmphasis">
    <w:name w:val="Intense Emphasis"/>
    <w:basedOn w:val="DefaultParagraphFont"/>
    <w:uiPriority w:val="21"/>
    <w:qFormat/>
    <w:rsid w:val="0097085E"/>
    <w:rPr>
      <w:i/>
      <w:iCs/>
      <w:color w:val="0F4761" w:themeColor="accent1" w:themeShade="BF"/>
    </w:rPr>
  </w:style>
  <w:style w:type="paragraph" w:styleId="IntenseQuote">
    <w:name w:val="Intense Quote"/>
    <w:basedOn w:val="Normal"/>
    <w:next w:val="Normal"/>
    <w:link w:val="IntenseQuoteChar"/>
    <w:uiPriority w:val="30"/>
    <w:qFormat/>
    <w:rsid w:val="009708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085E"/>
    <w:rPr>
      <w:i/>
      <w:iCs/>
      <w:color w:val="0F4761" w:themeColor="accent1" w:themeShade="BF"/>
    </w:rPr>
  </w:style>
  <w:style w:type="character" w:styleId="IntenseReference">
    <w:name w:val="Intense Reference"/>
    <w:basedOn w:val="DefaultParagraphFont"/>
    <w:uiPriority w:val="32"/>
    <w:qFormat/>
    <w:rsid w:val="0097085E"/>
    <w:rPr>
      <w:b/>
      <w:bCs/>
      <w:smallCaps/>
      <w:color w:val="0F4761" w:themeColor="accent1" w:themeShade="BF"/>
      <w:spacing w:val="5"/>
    </w:rPr>
  </w:style>
  <w:style w:type="paragraph" w:styleId="FootnoteText">
    <w:name w:val="footnote text"/>
    <w:basedOn w:val="Normal"/>
    <w:link w:val="FootnoteTextChar"/>
    <w:uiPriority w:val="99"/>
    <w:semiHidden/>
    <w:unhideWhenUsed/>
    <w:rsid w:val="00DA6B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A6B7A"/>
    <w:rPr>
      <w:sz w:val="20"/>
      <w:szCs w:val="20"/>
    </w:rPr>
  </w:style>
  <w:style w:type="character" w:styleId="FootnoteReference">
    <w:name w:val="footnote reference"/>
    <w:basedOn w:val="DefaultParagraphFont"/>
    <w:uiPriority w:val="99"/>
    <w:semiHidden/>
    <w:unhideWhenUsed/>
    <w:rsid w:val="00DA6B7A"/>
    <w:rPr>
      <w:vertAlign w:val="superscript"/>
    </w:rPr>
  </w:style>
  <w:style w:type="character" w:styleId="Hyperlink">
    <w:name w:val="Hyperlink"/>
    <w:basedOn w:val="DefaultParagraphFont"/>
    <w:uiPriority w:val="99"/>
    <w:unhideWhenUsed/>
    <w:rsid w:val="00050762"/>
    <w:rPr>
      <w:color w:val="467886" w:themeColor="hyperlink"/>
      <w:u w:val="single"/>
    </w:rPr>
  </w:style>
  <w:style w:type="character" w:styleId="UnresolvedMention">
    <w:name w:val="Unresolved Mention"/>
    <w:basedOn w:val="DefaultParagraphFont"/>
    <w:uiPriority w:val="99"/>
    <w:semiHidden/>
    <w:unhideWhenUsed/>
    <w:rsid w:val="000507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9049766">
      <w:bodyDiv w:val="1"/>
      <w:marLeft w:val="0"/>
      <w:marRight w:val="0"/>
      <w:marTop w:val="0"/>
      <w:marBottom w:val="0"/>
      <w:divBdr>
        <w:top w:val="none" w:sz="0" w:space="0" w:color="auto"/>
        <w:left w:val="none" w:sz="0" w:space="0" w:color="auto"/>
        <w:bottom w:val="none" w:sz="0" w:space="0" w:color="auto"/>
        <w:right w:val="none" w:sz="0" w:space="0" w:color="auto"/>
      </w:divBdr>
      <w:divsChild>
        <w:div w:id="2078551175">
          <w:marLeft w:val="0"/>
          <w:marRight w:val="0"/>
          <w:marTop w:val="0"/>
          <w:marBottom w:val="0"/>
          <w:divBdr>
            <w:top w:val="none" w:sz="0" w:space="0" w:color="auto"/>
            <w:left w:val="none" w:sz="0" w:space="0" w:color="auto"/>
            <w:bottom w:val="none" w:sz="0" w:space="0" w:color="auto"/>
            <w:right w:val="none" w:sz="0" w:space="0" w:color="auto"/>
          </w:divBdr>
          <w:divsChild>
            <w:div w:id="3420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stor.org/stable/26546306.%20Accessed%2014%20May%20202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6412A-9F2B-47D2-86AF-EC8CF032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6463</TotalTime>
  <Pages>4</Pages>
  <Words>1549</Words>
  <Characters>8832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14</cp:revision>
  <dcterms:created xsi:type="dcterms:W3CDTF">2024-04-29T21:32:00Z</dcterms:created>
  <dcterms:modified xsi:type="dcterms:W3CDTF">2024-05-14T04:18:00Z</dcterms:modified>
</cp:coreProperties>
</file>