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0E3B49" w14:textId="77777777" w:rsidR="00255917" w:rsidRDefault="00C312C7">
      <w:pPr>
        <w:spacing w:line="276"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noProof/>
          <w:color w:val="000000"/>
          <w:sz w:val="32"/>
          <w:szCs w:val="32"/>
        </w:rPr>
        <w:drawing>
          <wp:inline distT="0" distB="0" distL="114300" distR="114300" wp14:anchorId="30B4A6C4" wp14:editId="1D6E780F">
            <wp:extent cx="2916000" cy="1169336"/>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2916000" cy="1169336"/>
                    </a:xfrm>
                    <a:prstGeom prst="rect">
                      <a:avLst/>
                    </a:prstGeom>
                    <a:ln/>
                  </pic:spPr>
                </pic:pic>
              </a:graphicData>
            </a:graphic>
          </wp:inline>
        </w:drawing>
      </w:r>
    </w:p>
    <w:p w14:paraId="3A052C8C" w14:textId="77777777" w:rsidR="00255917" w:rsidRDefault="00C312C7">
      <w:pPr>
        <w:spacing w:line="276"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FINANCIAL MANAGEMENT</w:t>
      </w:r>
    </w:p>
    <w:p w14:paraId="738AC635" w14:textId="77777777" w:rsidR="00255917" w:rsidRDefault="00C312C7">
      <w:pPr>
        <w:spacing w:line="276"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Financial Performance and Management</w:t>
      </w:r>
    </w:p>
    <w:p w14:paraId="2DE2C6CE" w14:textId="77777777" w:rsidR="00255917" w:rsidRDefault="00C312C7">
      <w:pPr>
        <w:spacing w:line="276"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Whitbread PLC</w:t>
      </w:r>
    </w:p>
    <w:p w14:paraId="2E1E09C9" w14:textId="353708FE" w:rsidR="007D077B" w:rsidRDefault="007D077B">
      <w:pPr>
        <w:spacing w:line="276" w:lineRule="auto"/>
        <w:jc w:val="center"/>
        <w:rPr>
          <w:rFonts w:ascii="Times New Roman" w:eastAsia="Times New Roman" w:hAnsi="Times New Roman" w:cs="Times New Roman"/>
          <w:b/>
          <w:bCs/>
          <w:color w:val="000000"/>
          <w:sz w:val="32"/>
          <w:szCs w:val="32"/>
        </w:rPr>
      </w:pPr>
      <w:proofErr w:type="gramStart"/>
      <w:r>
        <w:rPr>
          <w:rFonts w:ascii="Times New Roman" w:eastAsia="Times New Roman" w:hAnsi="Times New Roman" w:cs="Times New Roman"/>
          <w:b/>
          <w:bCs/>
          <w:color w:val="000000"/>
          <w:sz w:val="32"/>
          <w:szCs w:val="32"/>
        </w:rPr>
        <w:t>Professor :</w:t>
      </w:r>
      <w:proofErr w:type="gramEnd"/>
      <w:r>
        <w:rPr>
          <w:rFonts w:ascii="Times New Roman" w:eastAsia="Times New Roman" w:hAnsi="Times New Roman" w:cs="Times New Roman"/>
          <w:b/>
          <w:bCs/>
          <w:color w:val="000000"/>
          <w:sz w:val="32"/>
          <w:szCs w:val="32"/>
        </w:rPr>
        <w:t>- Md Kalam</w:t>
      </w:r>
    </w:p>
    <w:p w14:paraId="6FF1A7DF" w14:textId="77777777" w:rsidR="00255917" w:rsidRDefault="00255917">
      <w:pPr>
        <w:spacing w:line="276" w:lineRule="auto"/>
        <w:jc w:val="center"/>
        <w:rPr>
          <w:rFonts w:ascii="Times New Roman" w:eastAsia="Times New Roman" w:hAnsi="Times New Roman" w:cs="Times New Roman"/>
          <w:color w:val="000000"/>
        </w:rPr>
      </w:pPr>
    </w:p>
    <w:tbl>
      <w:tblPr>
        <w:tblStyle w:val="a"/>
        <w:tblW w:w="9026" w:type="dxa"/>
        <w:tblInd w:w="-1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1900"/>
        <w:gridCol w:w="7126"/>
      </w:tblGrid>
      <w:tr w:rsidR="00255917" w14:paraId="017E67F8" w14:textId="77777777">
        <w:trPr>
          <w:tblHeader/>
        </w:trPr>
        <w:tc>
          <w:tcPr>
            <w:tcW w:w="1900" w:type="dxa"/>
            <w:shd w:val="clear" w:color="auto" w:fill="E8F1F5"/>
            <w:tcMar>
              <w:top w:w="90" w:type="dxa"/>
              <w:bottom w:w="90" w:type="dxa"/>
            </w:tcMar>
            <w:vAlign w:val="center"/>
          </w:tcPr>
          <w:p w14:paraId="24C20A74" w14:textId="77777777" w:rsidR="00255917" w:rsidRDefault="00C312C7">
            <w:pPr>
              <w:spacing w:after="0" w:line="276" w:lineRule="auto"/>
              <w:jc w:val="center"/>
              <w:rPr>
                <w:rFonts w:ascii="Times New Roman" w:eastAsia="Times New Roman" w:hAnsi="Times New Roman" w:cs="Times New Roman"/>
                <w:b/>
                <w:bCs/>
                <w:color w:val="000000"/>
              </w:rPr>
            </w:pPr>
            <w:proofErr w:type="spellStart"/>
            <w:r>
              <w:rPr>
                <w:rFonts w:ascii="Times New Roman" w:eastAsia="Times New Roman" w:hAnsi="Times New Roman" w:cs="Times New Roman"/>
                <w:b/>
                <w:bCs/>
                <w:color w:val="000000"/>
              </w:rPr>
              <w:t>Programme</w:t>
            </w:r>
            <w:proofErr w:type="spellEnd"/>
          </w:p>
        </w:tc>
        <w:tc>
          <w:tcPr>
            <w:tcW w:w="7126" w:type="dxa"/>
            <w:tcMar>
              <w:top w:w="90" w:type="dxa"/>
              <w:bottom w:w="90" w:type="dxa"/>
            </w:tcMar>
            <w:vAlign w:val="center"/>
          </w:tcPr>
          <w:p w14:paraId="4317C21B" w14:textId="77777777" w:rsidR="00255917" w:rsidRPr="007D077B" w:rsidRDefault="00C312C7">
            <w:pPr>
              <w:spacing w:after="0" w:line="276" w:lineRule="auto"/>
              <w:jc w:val="center"/>
              <w:rPr>
                <w:rFonts w:ascii="Times New Roman" w:eastAsia="Times New Roman" w:hAnsi="Times New Roman" w:cs="Times New Roman"/>
                <w:b/>
                <w:bCs/>
                <w:color w:val="000000"/>
              </w:rPr>
            </w:pPr>
            <w:r w:rsidRPr="007D077B">
              <w:rPr>
                <w:rFonts w:ascii="Times New Roman" w:eastAsia="Times New Roman" w:hAnsi="Times New Roman" w:cs="Times New Roman"/>
                <w:b/>
                <w:bCs/>
                <w:color w:val="000000"/>
              </w:rPr>
              <w:t>Master of Business Administration</w:t>
            </w:r>
          </w:p>
        </w:tc>
      </w:tr>
      <w:tr w:rsidR="00255917" w14:paraId="24479BD1" w14:textId="77777777">
        <w:tc>
          <w:tcPr>
            <w:tcW w:w="1900" w:type="dxa"/>
            <w:shd w:val="clear" w:color="auto" w:fill="E8F1F5"/>
            <w:tcMar>
              <w:top w:w="90" w:type="dxa"/>
              <w:bottom w:w="90" w:type="dxa"/>
            </w:tcMar>
            <w:vAlign w:val="center"/>
          </w:tcPr>
          <w:p w14:paraId="6967469F"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Module</w:t>
            </w:r>
          </w:p>
        </w:tc>
        <w:tc>
          <w:tcPr>
            <w:tcW w:w="7126" w:type="dxa"/>
            <w:tcMar>
              <w:top w:w="90" w:type="dxa"/>
              <w:bottom w:w="90" w:type="dxa"/>
            </w:tcMar>
            <w:vAlign w:val="center"/>
          </w:tcPr>
          <w:p w14:paraId="3A0D1E13" w14:textId="77777777" w:rsidR="00255917" w:rsidRDefault="00C312C7">
            <w:pPr>
              <w:spacing w:after="0" w:line="276" w:lineRule="auto"/>
              <w:jc w:val="center"/>
              <w:rPr>
                <w:rFonts w:ascii="Times New Roman" w:eastAsia="Times New Roman" w:hAnsi="Times New Roman" w:cs="Times New Roman"/>
                <w:color w:val="000000"/>
              </w:rPr>
            </w:pPr>
            <w:r w:rsidRPr="007D077B">
              <w:rPr>
                <w:rFonts w:ascii="Times New Roman" w:eastAsia="Times New Roman" w:hAnsi="Times New Roman" w:cs="Times New Roman"/>
                <w:b/>
                <w:bCs/>
                <w:color w:val="000000"/>
              </w:rPr>
              <w:t>Financial Management (LCMB7002</w:t>
            </w:r>
            <w:r>
              <w:rPr>
                <w:rFonts w:ascii="Times New Roman" w:eastAsia="Times New Roman" w:hAnsi="Times New Roman" w:cs="Times New Roman"/>
                <w:color w:val="000000"/>
              </w:rPr>
              <w:t>)</w:t>
            </w:r>
          </w:p>
        </w:tc>
      </w:tr>
      <w:tr w:rsidR="00255917" w14:paraId="4EBA7FA0" w14:textId="77777777">
        <w:tc>
          <w:tcPr>
            <w:tcW w:w="1900" w:type="dxa"/>
            <w:shd w:val="clear" w:color="auto" w:fill="E8F1F5"/>
            <w:tcMar>
              <w:top w:w="90" w:type="dxa"/>
              <w:bottom w:w="90" w:type="dxa"/>
            </w:tcMar>
            <w:vAlign w:val="center"/>
          </w:tcPr>
          <w:p w14:paraId="6A315D64"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Student name</w:t>
            </w:r>
          </w:p>
        </w:tc>
        <w:tc>
          <w:tcPr>
            <w:tcW w:w="7126" w:type="dxa"/>
            <w:tcMar>
              <w:top w:w="90" w:type="dxa"/>
              <w:bottom w:w="90" w:type="dxa"/>
            </w:tcMar>
            <w:vAlign w:val="center"/>
          </w:tcPr>
          <w:p w14:paraId="02D8B593" w14:textId="60C7128D" w:rsidR="00255917" w:rsidRPr="007D077B" w:rsidRDefault="007D077B">
            <w:pPr>
              <w:spacing w:after="0" w:line="276" w:lineRule="auto"/>
              <w:jc w:val="center"/>
              <w:rPr>
                <w:rFonts w:ascii="Times New Roman" w:eastAsia="Times New Roman" w:hAnsi="Times New Roman" w:cs="Times New Roman"/>
                <w:b/>
                <w:bCs/>
                <w:color w:val="000000"/>
              </w:rPr>
            </w:pPr>
            <w:proofErr w:type="spellStart"/>
            <w:r w:rsidRPr="007D077B">
              <w:rPr>
                <w:rFonts w:ascii="Times New Roman" w:eastAsia="Times New Roman" w:hAnsi="Times New Roman" w:cs="Times New Roman"/>
                <w:b/>
                <w:bCs/>
                <w:color w:val="000000"/>
              </w:rPr>
              <w:t>Rohankumar</w:t>
            </w:r>
            <w:proofErr w:type="spellEnd"/>
            <w:r w:rsidRPr="007D077B">
              <w:rPr>
                <w:rFonts w:ascii="Times New Roman" w:eastAsia="Times New Roman" w:hAnsi="Times New Roman" w:cs="Times New Roman"/>
                <w:b/>
                <w:bCs/>
                <w:color w:val="000000"/>
              </w:rPr>
              <w:t xml:space="preserve"> </w:t>
            </w:r>
            <w:proofErr w:type="spellStart"/>
            <w:r w:rsidRPr="007D077B">
              <w:rPr>
                <w:rFonts w:ascii="Times New Roman" w:eastAsia="Times New Roman" w:hAnsi="Times New Roman" w:cs="Times New Roman"/>
                <w:b/>
                <w:bCs/>
                <w:color w:val="000000"/>
              </w:rPr>
              <w:t>Rajeshbhai</w:t>
            </w:r>
            <w:proofErr w:type="spellEnd"/>
            <w:r w:rsidRPr="007D077B">
              <w:rPr>
                <w:rFonts w:ascii="Times New Roman" w:eastAsia="Times New Roman" w:hAnsi="Times New Roman" w:cs="Times New Roman"/>
                <w:b/>
                <w:bCs/>
                <w:color w:val="000000"/>
              </w:rPr>
              <w:t xml:space="preserve"> Patel</w:t>
            </w:r>
          </w:p>
        </w:tc>
      </w:tr>
      <w:tr w:rsidR="00255917" w14:paraId="5F66916E" w14:textId="77777777">
        <w:tc>
          <w:tcPr>
            <w:tcW w:w="1900" w:type="dxa"/>
            <w:shd w:val="clear" w:color="auto" w:fill="E8F1F5"/>
            <w:tcMar>
              <w:top w:w="90" w:type="dxa"/>
              <w:bottom w:w="90" w:type="dxa"/>
            </w:tcMar>
            <w:vAlign w:val="center"/>
          </w:tcPr>
          <w:p w14:paraId="63BEF1F2"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Student ID</w:t>
            </w:r>
          </w:p>
        </w:tc>
        <w:tc>
          <w:tcPr>
            <w:tcW w:w="7126" w:type="dxa"/>
            <w:tcMar>
              <w:top w:w="90" w:type="dxa"/>
              <w:bottom w:w="90" w:type="dxa"/>
            </w:tcMar>
            <w:vAlign w:val="center"/>
          </w:tcPr>
          <w:p w14:paraId="2F54B312" w14:textId="10380E3A" w:rsidR="00255917" w:rsidRPr="007D077B" w:rsidRDefault="007D077B">
            <w:pPr>
              <w:spacing w:after="0" w:line="276" w:lineRule="auto"/>
              <w:jc w:val="center"/>
              <w:rPr>
                <w:rFonts w:ascii="Times New Roman" w:eastAsia="Times New Roman" w:hAnsi="Times New Roman" w:cs="Times New Roman"/>
                <w:b/>
                <w:bCs/>
                <w:color w:val="000000"/>
              </w:rPr>
            </w:pPr>
            <w:r w:rsidRPr="007D077B">
              <w:rPr>
                <w:rFonts w:ascii="Times New Roman" w:eastAsia="Times New Roman" w:hAnsi="Times New Roman" w:cs="Times New Roman"/>
                <w:b/>
                <w:bCs/>
                <w:color w:val="000000"/>
              </w:rPr>
              <w:t>2530043</w:t>
            </w:r>
          </w:p>
        </w:tc>
      </w:tr>
      <w:tr w:rsidR="00255917" w14:paraId="0584BF4D" w14:textId="77777777">
        <w:tc>
          <w:tcPr>
            <w:tcW w:w="1900" w:type="dxa"/>
            <w:shd w:val="clear" w:color="auto" w:fill="E8F1F5"/>
            <w:tcMar>
              <w:top w:w="90" w:type="dxa"/>
              <w:bottom w:w="90" w:type="dxa"/>
            </w:tcMar>
            <w:vAlign w:val="center"/>
          </w:tcPr>
          <w:p w14:paraId="7CE60545"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Word count</w:t>
            </w:r>
          </w:p>
        </w:tc>
        <w:tc>
          <w:tcPr>
            <w:tcW w:w="7126" w:type="dxa"/>
            <w:tcMar>
              <w:top w:w="90" w:type="dxa"/>
              <w:bottom w:w="90" w:type="dxa"/>
            </w:tcMar>
            <w:vAlign w:val="center"/>
          </w:tcPr>
          <w:p w14:paraId="1F651FE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5,126 words</w:t>
            </w:r>
          </w:p>
        </w:tc>
      </w:tr>
      <w:tr w:rsidR="00255917" w14:paraId="352C08E8" w14:textId="77777777">
        <w:tc>
          <w:tcPr>
            <w:tcW w:w="1900" w:type="dxa"/>
            <w:shd w:val="clear" w:color="auto" w:fill="E8F1F5"/>
            <w:tcMar>
              <w:top w:w="90" w:type="dxa"/>
              <w:bottom w:w="90" w:type="dxa"/>
            </w:tcMar>
            <w:vAlign w:val="center"/>
          </w:tcPr>
          <w:p w14:paraId="50ABA82A"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Submission date</w:t>
            </w:r>
          </w:p>
        </w:tc>
        <w:tc>
          <w:tcPr>
            <w:tcW w:w="7126" w:type="dxa"/>
            <w:tcMar>
              <w:top w:w="90" w:type="dxa"/>
              <w:bottom w:w="90" w:type="dxa"/>
            </w:tcMar>
            <w:vAlign w:val="center"/>
          </w:tcPr>
          <w:p w14:paraId="645F402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13 August 2026</w:t>
            </w:r>
          </w:p>
        </w:tc>
      </w:tr>
    </w:tbl>
    <w:p w14:paraId="755E7ABA" w14:textId="77777777" w:rsidR="00255917" w:rsidRDefault="00255917">
      <w:pPr>
        <w:spacing w:line="276" w:lineRule="auto"/>
        <w:jc w:val="left"/>
        <w:rPr>
          <w:rFonts w:ascii="Times New Roman" w:eastAsia="Times New Roman" w:hAnsi="Times New Roman" w:cs="Times New Roman"/>
          <w:color w:val="000000"/>
        </w:rPr>
        <w:sectPr w:rsidR="00255917">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9" w:footer="709" w:gutter="0"/>
          <w:pgNumType w:start="1"/>
          <w:cols w:space="720"/>
          <w:titlePg/>
        </w:sectPr>
      </w:pPr>
    </w:p>
    <w:p w14:paraId="44973897" w14:textId="77777777" w:rsidR="00255917" w:rsidRDefault="00C312C7">
      <w:pPr>
        <w:spacing w:line="276"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lastRenderedPageBreak/>
        <w:t>Table of Contents</w:t>
      </w:r>
    </w:p>
    <w:sdt>
      <w:sdtPr>
        <w:id w:val="267795302"/>
        <w:docPartObj>
          <w:docPartGallery w:val="Table of Contents"/>
          <w:docPartUnique/>
        </w:docPartObj>
      </w:sdtPr>
      <w:sdtEndPr/>
      <w:sdtContent>
        <w:p w14:paraId="7862DEFB" w14:textId="77777777" w:rsidR="00255917" w:rsidRDefault="00C312C7">
          <w:pPr>
            <w:widowControl w:val="0"/>
            <w:tabs>
              <w:tab w:val="right" w:pos="12000"/>
            </w:tabs>
            <w:spacing w:before="60" w:after="0" w:line="276" w:lineRule="auto"/>
            <w:jc w:val="left"/>
            <w:rPr>
              <w:rFonts w:ascii="Times New Roman" w:eastAsia="Times New Roman" w:hAnsi="Times New Roman" w:cs="Times New Roman"/>
              <w:b/>
              <w:bCs/>
              <w:color w:val="000000"/>
            </w:rPr>
          </w:pPr>
          <w:r>
            <w:fldChar w:fldCharType="begin"/>
          </w:r>
          <w:r>
            <w:instrText xml:space="preserve"> TOC \h \u \z \t "Heading 1,1,Heading 2,1,Heading 3,2,Heading 6,6,"</w:instrText>
          </w:r>
          <w:r>
            <w:fldChar w:fldCharType="separate"/>
          </w:r>
          <w:hyperlink w:anchor="_yu9wz1p81znr">
            <w:r>
              <w:rPr>
                <w:rFonts w:ascii="Times New Roman" w:eastAsia="Times New Roman" w:hAnsi="Times New Roman" w:cs="Times New Roman"/>
                <w:b/>
                <w:bCs/>
                <w:color w:val="000000"/>
              </w:rPr>
              <w:t>1. Introduction</w:t>
            </w:r>
            <w:r>
              <w:rPr>
                <w:rFonts w:ascii="Times New Roman" w:eastAsia="Times New Roman" w:hAnsi="Times New Roman" w:cs="Times New Roman"/>
                <w:b/>
                <w:bCs/>
                <w:color w:val="000000"/>
              </w:rPr>
              <w:tab/>
              <w:t>4</w:t>
            </w:r>
          </w:hyperlink>
        </w:p>
        <w:p w14:paraId="04113321" w14:textId="77777777" w:rsidR="00255917" w:rsidRDefault="00C312C7">
          <w:pPr>
            <w:widowControl w:val="0"/>
            <w:tabs>
              <w:tab w:val="right" w:pos="12000"/>
            </w:tabs>
            <w:spacing w:before="60" w:after="0" w:line="276" w:lineRule="auto"/>
            <w:jc w:val="left"/>
            <w:rPr>
              <w:rFonts w:ascii="Times New Roman" w:eastAsia="Times New Roman" w:hAnsi="Times New Roman" w:cs="Times New Roman"/>
              <w:b/>
              <w:bCs/>
              <w:color w:val="000000"/>
            </w:rPr>
          </w:pPr>
          <w:hyperlink w:anchor="_a09hhauujg8f">
            <w:r>
              <w:rPr>
                <w:rFonts w:ascii="Times New Roman" w:eastAsia="Times New Roman" w:hAnsi="Times New Roman" w:cs="Times New Roman"/>
                <w:b/>
                <w:bCs/>
                <w:color w:val="000000"/>
              </w:rPr>
              <w:t>2. Financial Health Check</w:t>
            </w:r>
            <w:r>
              <w:rPr>
                <w:rFonts w:ascii="Times New Roman" w:eastAsia="Times New Roman" w:hAnsi="Times New Roman" w:cs="Times New Roman"/>
                <w:b/>
                <w:bCs/>
                <w:color w:val="000000"/>
              </w:rPr>
              <w:tab/>
              <w:t>4</w:t>
            </w:r>
          </w:hyperlink>
        </w:p>
        <w:p w14:paraId="22E33ADA" w14:textId="77777777" w:rsidR="00255917" w:rsidRDefault="00C312C7">
          <w:pPr>
            <w:widowControl w:val="0"/>
            <w:tabs>
              <w:tab w:val="right" w:pos="12000"/>
            </w:tabs>
            <w:spacing w:before="60" w:after="0" w:line="276" w:lineRule="auto"/>
            <w:ind w:left="360"/>
            <w:jc w:val="left"/>
            <w:rPr>
              <w:rFonts w:ascii="Times New Roman" w:eastAsia="Times New Roman" w:hAnsi="Times New Roman" w:cs="Times New Roman"/>
              <w:color w:val="000000"/>
            </w:rPr>
          </w:pPr>
          <w:hyperlink w:anchor="_tr81jnkj3ge2">
            <w:r>
              <w:rPr>
                <w:rFonts w:ascii="Times New Roman" w:eastAsia="Times New Roman" w:hAnsi="Times New Roman" w:cs="Times New Roman"/>
                <w:color w:val="000000"/>
              </w:rPr>
              <w:t>2.1 Analytical basis and statement trends</w:t>
            </w:r>
            <w:r>
              <w:rPr>
                <w:rFonts w:ascii="Times New Roman" w:eastAsia="Times New Roman" w:hAnsi="Times New Roman" w:cs="Times New Roman"/>
                <w:color w:val="000000"/>
              </w:rPr>
              <w:tab/>
              <w:t>4</w:t>
            </w:r>
          </w:hyperlink>
        </w:p>
        <w:p w14:paraId="02558A13" w14:textId="77777777" w:rsidR="00255917" w:rsidRDefault="00C312C7">
          <w:pPr>
            <w:widowControl w:val="0"/>
            <w:tabs>
              <w:tab w:val="right" w:pos="12000"/>
            </w:tabs>
            <w:spacing w:before="60" w:after="0" w:line="276" w:lineRule="auto"/>
            <w:ind w:left="360"/>
            <w:jc w:val="left"/>
            <w:rPr>
              <w:rFonts w:ascii="Times New Roman" w:eastAsia="Times New Roman" w:hAnsi="Times New Roman" w:cs="Times New Roman"/>
              <w:color w:val="000000"/>
            </w:rPr>
          </w:pPr>
          <w:hyperlink w:anchor="_8k4p5458184r">
            <w:r>
              <w:rPr>
                <w:rFonts w:ascii="Times New Roman" w:eastAsia="Times New Roman" w:hAnsi="Times New Roman" w:cs="Times New Roman"/>
                <w:color w:val="000000"/>
              </w:rPr>
              <w:t>2.2 Profitability and returns</w:t>
            </w:r>
            <w:r>
              <w:rPr>
                <w:rFonts w:ascii="Times New Roman" w:eastAsia="Times New Roman" w:hAnsi="Times New Roman" w:cs="Times New Roman"/>
                <w:color w:val="000000"/>
              </w:rPr>
              <w:tab/>
              <w:t>5</w:t>
            </w:r>
          </w:hyperlink>
        </w:p>
        <w:p w14:paraId="269EBC51" w14:textId="77777777" w:rsidR="00255917" w:rsidRDefault="00C312C7">
          <w:pPr>
            <w:widowControl w:val="0"/>
            <w:tabs>
              <w:tab w:val="right" w:pos="12000"/>
            </w:tabs>
            <w:spacing w:before="60" w:after="0" w:line="276" w:lineRule="auto"/>
            <w:ind w:left="360"/>
            <w:jc w:val="left"/>
            <w:rPr>
              <w:rFonts w:ascii="Times New Roman" w:eastAsia="Times New Roman" w:hAnsi="Times New Roman" w:cs="Times New Roman"/>
              <w:color w:val="000000"/>
            </w:rPr>
          </w:pPr>
          <w:hyperlink w:anchor="_tqm21f4r4gzu">
            <w:r>
              <w:rPr>
                <w:rFonts w:ascii="Times New Roman" w:eastAsia="Times New Roman" w:hAnsi="Times New Roman" w:cs="Times New Roman"/>
                <w:color w:val="000000"/>
              </w:rPr>
              <w:t>2.3 Liquidity and sector comparison</w:t>
            </w:r>
            <w:r>
              <w:rPr>
                <w:rFonts w:ascii="Times New Roman" w:eastAsia="Times New Roman" w:hAnsi="Times New Roman" w:cs="Times New Roman"/>
                <w:color w:val="000000"/>
              </w:rPr>
              <w:tab/>
              <w:t>6</w:t>
            </w:r>
          </w:hyperlink>
        </w:p>
        <w:p w14:paraId="32AB38DC" w14:textId="77777777" w:rsidR="00255917" w:rsidRDefault="00C312C7">
          <w:pPr>
            <w:widowControl w:val="0"/>
            <w:tabs>
              <w:tab w:val="right" w:pos="12000"/>
            </w:tabs>
            <w:spacing w:before="60" w:after="0" w:line="276" w:lineRule="auto"/>
            <w:ind w:left="360"/>
            <w:jc w:val="left"/>
            <w:rPr>
              <w:rFonts w:ascii="Times New Roman" w:eastAsia="Times New Roman" w:hAnsi="Times New Roman" w:cs="Times New Roman"/>
              <w:color w:val="000000"/>
            </w:rPr>
          </w:pPr>
          <w:hyperlink w:anchor="_v69cu76w1wy5">
            <w:r>
              <w:rPr>
                <w:rFonts w:ascii="Times New Roman" w:eastAsia="Times New Roman" w:hAnsi="Times New Roman" w:cs="Times New Roman"/>
                <w:color w:val="000000"/>
              </w:rPr>
              <w:t>2.4 Efficiency, gearing, market and cash-flow evidence</w:t>
            </w:r>
            <w:r>
              <w:rPr>
                <w:rFonts w:ascii="Times New Roman" w:eastAsia="Times New Roman" w:hAnsi="Times New Roman" w:cs="Times New Roman"/>
                <w:color w:val="000000"/>
              </w:rPr>
              <w:tab/>
              <w:t>7</w:t>
            </w:r>
          </w:hyperlink>
        </w:p>
        <w:p w14:paraId="6DB11AB3" w14:textId="77777777" w:rsidR="00255917" w:rsidRDefault="00C312C7">
          <w:pPr>
            <w:widowControl w:val="0"/>
            <w:tabs>
              <w:tab w:val="right" w:pos="12000"/>
            </w:tabs>
            <w:spacing w:before="60" w:after="0" w:line="276" w:lineRule="auto"/>
            <w:jc w:val="left"/>
            <w:rPr>
              <w:rFonts w:ascii="Times New Roman" w:eastAsia="Times New Roman" w:hAnsi="Times New Roman" w:cs="Times New Roman"/>
              <w:b/>
              <w:bCs/>
              <w:color w:val="000000"/>
            </w:rPr>
          </w:pPr>
          <w:hyperlink w:anchor="_ddrtptmegb0n">
            <w:r>
              <w:rPr>
                <w:rFonts w:ascii="Times New Roman" w:eastAsia="Times New Roman" w:hAnsi="Times New Roman" w:cs="Times New Roman"/>
                <w:b/>
                <w:bCs/>
                <w:color w:val="000000"/>
              </w:rPr>
              <w:t>3. Strategic Financial Restructuring Plan</w:t>
            </w:r>
            <w:r>
              <w:rPr>
                <w:rFonts w:ascii="Times New Roman" w:eastAsia="Times New Roman" w:hAnsi="Times New Roman" w:cs="Times New Roman"/>
                <w:b/>
                <w:bCs/>
                <w:color w:val="000000"/>
              </w:rPr>
              <w:tab/>
              <w:t>8</w:t>
            </w:r>
          </w:hyperlink>
        </w:p>
        <w:p w14:paraId="3E5A2982" w14:textId="77777777" w:rsidR="00255917" w:rsidRDefault="00C312C7">
          <w:pPr>
            <w:widowControl w:val="0"/>
            <w:tabs>
              <w:tab w:val="right" w:pos="12000"/>
            </w:tabs>
            <w:spacing w:before="60" w:after="0" w:line="276" w:lineRule="auto"/>
            <w:ind w:left="360"/>
            <w:jc w:val="left"/>
            <w:rPr>
              <w:rFonts w:ascii="Times New Roman" w:eastAsia="Times New Roman" w:hAnsi="Times New Roman" w:cs="Times New Roman"/>
              <w:color w:val="000000"/>
            </w:rPr>
          </w:pPr>
          <w:hyperlink w:anchor="_y99fp2o879tf">
            <w:r>
              <w:rPr>
                <w:rFonts w:ascii="Times New Roman" w:eastAsia="Times New Roman" w:hAnsi="Times New Roman" w:cs="Times New Roman"/>
                <w:color w:val="000000"/>
              </w:rPr>
              <w:t>3.1 Cash operating cycle assessment</w:t>
            </w:r>
            <w:r>
              <w:rPr>
                <w:rFonts w:ascii="Times New Roman" w:eastAsia="Times New Roman" w:hAnsi="Times New Roman" w:cs="Times New Roman"/>
                <w:color w:val="000000"/>
              </w:rPr>
              <w:tab/>
              <w:t>8</w:t>
            </w:r>
          </w:hyperlink>
        </w:p>
        <w:p w14:paraId="23F72A08" w14:textId="77777777" w:rsidR="00255917" w:rsidRDefault="00C312C7">
          <w:pPr>
            <w:widowControl w:val="0"/>
            <w:tabs>
              <w:tab w:val="right" w:pos="12000"/>
            </w:tabs>
            <w:spacing w:before="60" w:after="0" w:line="276" w:lineRule="auto"/>
            <w:ind w:left="360"/>
            <w:jc w:val="left"/>
            <w:rPr>
              <w:rFonts w:ascii="Times New Roman" w:eastAsia="Times New Roman" w:hAnsi="Times New Roman" w:cs="Times New Roman"/>
              <w:color w:val="000000"/>
            </w:rPr>
          </w:pPr>
          <w:hyperlink w:anchor="_z79cj0gyhsra">
            <w:r>
              <w:rPr>
                <w:rFonts w:ascii="Times New Roman" w:eastAsia="Times New Roman" w:hAnsi="Times New Roman" w:cs="Times New Roman"/>
                <w:color w:val="000000"/>
              </w:rPr>
              <w:t>3.2 Liquidity reforms</w:t>
            </w:r>
            <w:r>
              <w:rPr>
                <w:rFonts w:ascii="Times New Roman" w:eastAsia="Times New Roman" w:hAnsi="Times New Roman" w:cs="Times New Roman"/>
                <w:color w:val="000000"/>
              </w:rPr>
              <w:tab/>
              <w:t>9</w:t>
            </w:r>
          </w:hyperlink>
        </w:p>
        <w:p w14:paraId="5C144B86" w14:textId="77777777" w:rsidR="00255917" w:rsidRDefault="00C312C7">
          <w:pPr>
            <w:widowControl w:val="0"/>
            <w:tabs>
              <w:tab w:val="right" w:pos="12000"/>
            </w:tabs>
            <w:spacing w:before="60" w:after="0" w:line="276" w:lineRule="auto"/>
            <w:ind w:left="360"/>
            <w:jc w:val="left"/>
            <w:rPr>
              <w:rFonts w:ascii="Times New Roman" w:eastAsia="Times New Roman" w:hAnsi="Times New Roman" w:cs="Times New Roman"/>
              <w:color w:val="000000"/>
            </w:rPr>
          </w:pPr>
          <w:hyperlink w:anchor="_muaciedyr566">
            <w:r>
              <w:rPr>
                <w:rFonts w:ascii="Times New Roman" w:eastAsia="Times New Roman" w:hAnsi="Times New Roman" w:cs="Times New Roman"/>
                <w:color w:val="000000"/>
              </w:rPr>
              <w:t>3.3 Short-term versus long-term finance</w:t>
            </w:r>
            <w:r>
              <w:rPr>
                <w:rFonts w:ascii="Times New Roman" w:eastAsia="Times New Roman" w:hAnsi="Times New Roman" w:cs="Times New Roman"/>
                <w:color w:val="000000"/>
              </w:rPr>
              <w:tab/>
              <w:t>10</w:t>
            </w:r>
          </w:hyperlink>
        </w:p>
        <w:p w14:paraId="11A22C9F" w14:textId="77777777" w:rsidR="00255917" w:rsidRDefault="00C312C7">
          <w:pPr>
            <w:widowControl w:val="0"/>
            <w:tabs>
              <w:tab w:val="right" w:pos="12000"/>
            </w:tabs>
            <w:spacing w:before="60" w:after="0" w:line="276" w:lineRule="auto"/>
            <w:jc w:val="left"/>
            <w:rPr>
              <w:rFonts w:ascii="Times New Roman" w:eastAsia="Times New Roman" w:hAnsi="Times New Roman" w:cs="Times New Roman"/>
              <w:b/>
              <w:bCs/>
              <w:color w:val="000000"/>
            </w:rPr>
          </w:pPr>
          <w:hyperlink w:anchor="_uofmgrvsc63">
            <w:r>
              <w:rPr>
                <w:rFonts w:ascii="Times New Roman" w:eastAsia="Times New Roman" w:hAnsi="Times New Roman" w:cs="Times New Roman"/>
                <w:b/>
                <w:bCs/>
                <w:color w:val="000000"/>
              </w:rPr>
              <w:t>4. Strategic Financial Restructuring Plan</w:t>
            </w:r>
            <w:r>
              <w:rPr>
                <w:rFonts w:ascii="Times New Roman" w:eastAsia="Times New Roman" w:hAnsi="Times New Roman" w:cs="Times New Roman"/>
                <w:b/>
                <w:bCs/>
                <w:color w:val="000000"/>
              </w:rPr>
              <w:tab/>
              <w:t>10</w:t>
            </w:r>
          </w:hyperlink>
        </w:p>
        <w:p w14:paraId="15969A8B" w14:textId="77777777" w:rsidR="00255917" w:rsidRDefault="00C312C7">
          <w:pPr>
            <w:widowControl w:val="0"/>
            <w:tabs>
              <w:tab w:val="right" w:pos="12000"/>
            </w:tabs>
            <w:spacing w:before="60" w:after="0" w:line="276" w:lineRule="auto"/>
            <w:ind w:left="360"/>
            <w:jc w:val="left"/>
            <w:rPr>
              <w:rFonts w:ascii="Times New Roman" w:eastAsia="Times New Roman" w:hAnsi="Times New Roman" w:cs="Times New Roman"/>
              <w:color w:val="000000"/>
            </w:rPr>
          </w:pPr>
          <w:hyperlink w:anchor="_6qlm9mby3yjh">
            <w:r>
              <w:rPr>
                <w:rFonts w:ascii="Times New Roman" w:eastAsia="Times New Roman" w:hAnsi="Times New Roman" w:cs="Times New Roman"/>
                <w:color w:val="000000"/>
                <w:u w:val="single"/>
              </w:rPr>
              <w:t>4.1 Recommended plan</w:t>
            </w:r>
            <w:r>
              <w:rPr>
                <w:rFonts w:ascii="Times New Roman" w:eastAsia="Times New Roman" w:hAnsi="Times New Roman" w:cs="Times New Roman"/>
                <w:color w:val="000000"/>
                <w:u w:val="single"/>
              </w:rPr>
              <w:tab/>
              <w:t>10</w:t>
            </w:r>
          </w:hyperlink>
        </w:p>
        <w:p w14:paraId="4DB3849C" w14:textId="77777777" w:rsidR="00255917" w:rsidRDefault="00C312C7">
          <w:pPr>
            <w:widowControl w:val="0"/>
            <w:tabs>
              <w:tab w:val="right" w:pos="12000"/>
            </w:tabs>
            <w:spacing w:before="60" w:after="0" w:line="276" w:lineRule="auto"/>
            <w:ind w:left="360"/>
            <w:jc w:val="left"/>
            <w:rPr>
              <w:rFonts w:ascii="Times New Roman" w:eastAsia="Times New Roman" w:hAnsi="Times New Roman" w:cs="Times New Roman"/>
              <w:color w:val="000000"/>
            </w:rPr>
          </w:pPr>
          <w:hyperlink w:anchor="_rxnfu3cjx5vq">
            <w:r>
              <w:rPr>
                <w:rFonts w:ascii="Times New Roman" w:eastAsia="Times New Roman" w:hAnsi="Times New Roman" w:cs="Times New Roman"/>
                <w:color w:val="000000"/>
              </w:rPr>
              <w:t>4.2 Shareholder value, debt and flexibility</w:t>
            </w:r>
            <w:r>
              <w:rPr>
                <w:rFonts w:ascii="Times New Roman" w:eastAsia="Times New Roman" w:hAnsi="Times New Roman" w:cs="Times New Roman"/>
                <w:color w:val="000000"/>
              </w:rPr>
              <w:tab/>
              <w:t>11</w:t>
            </w:r>
          </w:hyperlink>
        </w:p>
        <w:p w14:paraId="7AF344C3" w14:textId="77777777" w:rsidR="00255917" w:rsidRDefault="00C312C7">
          <w:pPr>
            <w:widowControl w:val="0"/>
            <w:tabs>
              <w:tab w:val="right" w:pos="12000"/>
            </w:tabs>
            <w:spacing w:before="60" w:after="0" w:line="276" w:lineRule="auto"/>
            <w:ind w:left="360"/>
            <w:jc w:val="left"/>
            <w:rPr>
              <w:rFonts w:ascii="Times New Roman" w:eastAsia="Times New Roman" w:hAnsi="Times New Roman" w:cs="Times New Roman"/>
              <w:color w:val="000000"/>
            </w:rPr>
          </w:pPr>
          <w:hyperlink w:anchor="_wc8rclcab3cu">
            <w:r>
              <w:rPr>
                <w:rFonts w:ascii="Times New Roman" w:eastAsia="Times New Roman" w:hAnsi="Times New Roman" w:cs="Times New Roman"/>
                <w:color w:val="000000"/>
              </w:rPr>
              <w:t>4.3 International and ethical considerations</w:t>
            </w:r>
            <w:r>
              <w:rPr>
                <w:rFonts w:ascii="Times New Roman" w:eastAsia="Times New Roman" w:hAnsi="Times New Roman" w:cs="Times New Roman"/>
                <w:color w:val="000000"/>
              </w:rPr>
              <w:tab/>
              <w:t>12</w:t>
            </w:r>
          </w:hyperlink>
        </w:p>
        <w:p w14:paraId="61A1E2DA" w14:textId="77777777" w:rsidR="00255917" w:rsidRDefault="00C312C7">
          <w:pPr>
            <w:widowControl w:val="0"/>
            <w:tabs>
              <w:tab w:val="right" w:pos="12000"/>
            </w:tabs>
            <w:spacing w:before="60" w:after="0" w:line="276" w:lineRule="auto"/>
            <w:jc w:val="left"/>
            <w:rPr>
              <w:rFonts w:ascii="Times New Roman" w:eastAsia="Times New Roman" w:hAnsi="Times New Roman" w:cs="Times New Roman"/>
              <w:b/>
              <w:bCs/>
              <w:color w:val="000000"/>
            </w:rPr>
          </w:pPr>
          <w:hyperlink w:anchor="_8nuws41bp44d">
            <w:r>
              <w:rPr>
                <w:rFonts w:ascii="Times New Roman" w:eastAsia="Times New Roman" w:hAnsi="Times New Roman" w:cs="Times New Roman"/>
                <w:b/>
                <w:bCs/>
                <w:color w:val="000000"/>
              </w:rPr>
              <w:t>5. Investment Appraisal and Capital Budgeting</w:t>
            </w:r>
            <w:r>
              <w:rPr>
                <w:rFonts w:ascii="Times New Roman" w:eastAsia="Times New Roman" w:hAnsi="Times New Roman" w:cs="Times New Roman"/>
                <w:b/>
                <w:bCs/>
                <w:color w:val="000000"/>
              </w:rPr>
              <w:tab/>
              <w:t>13</w:t>
            </w:r>
          </w:hyperlink>
        </w:p>
        <w:p w14:paraId="1A88A255" w14:textId="77777777" w:rsidR="00255917" w:rsidRDefault="00C312C7">
          <w:pPr>
            <w:widowControl w:val="0"/>
            <w:tabs>
              <w:tab w:val="right" w:pos="12000"/>
            </w:tabs>
            <w:spacing w:before="60" w:after="0" w:line="276" w:lineRule="auto"/>
            <w:ind w:left="360"/>
            <w:jc w:val="left"/>
            <w:rPr>
              <w:rFonts w:ascii="Times New Roman" w:eastAsia="Times New Roman" w:hAnsi="Times New Roman" w:cs="Times New Roman"/>
              <w:color w:val="000000"/>
            </w:rPr>
          </w:pPr>
          <w:hyperlink w:anchor="_2ixzu8tx9ar4">
            <w:r>
              <w:rPr>
                <w:rFonts w:ascii="Times New Roman" w:eastAsia="Times New Roman" w:hAnsi="Times New Roman" w:cs="Times New Roman"/>
                <w:color w:val="000000"/>
              </w:rPr>
              <w:t>5.1 Methods and assumptions</w:t>
            </w:r>
            <w:r>
              <w:rPr>
                <w:rFonts w:ascii="Times New Roman" w:eastAsia="Times New Roman" w:hAnsi="Times New Roman" w:cs="Times New Roman"/>
                <w:color w:val="000000"/>
              </w:rPr>
              <w:tab/>
              <w:t>13</w:t>
            </w:r>
          </w:hyperlink>
        </w:p>
        <w:p w14:paraId="06C86841" w14:textId="77777777" w:rsidR="00255917" w:rsidRDefault="00C312C7">
          <w:pPr>
            <w:widowControl w:val="0"/>
            <w:tabs>
              <w:tab w:val="right" w:pos="12000"/>
            </w:tabs>
            <w:spacing w:before="60" w:after="0" w:line="276" w:lineRule="auto"/>
            <w:ind w:left="360"/>
            <w:jc w:val="left"/>
            <w:rPr>
              <w:rFonts w:ascii="Times New Roman" w:eastAsia="Times New Roman" w:hAnsi="Times New Roman" w:cs="Times New Roman"/>
              <w:color w:val="000000"/>
            </w:rPr>
          </w:pPr>
          <w:hyperlink w:anchor="_ijlt2ucxp4it">
            <w:r>
              <w:rPr>
                <w:rFonts w:ascii="Times New Roman" w:eastAsia="Times New Roman" w:hAnsi="Times New Roman" w:cs="Times New Roman"/>
                <w:color w:val="000000"/>
              </w:rPr>
              <w:t>5.2 Results by technique</w:t>
            </w:r>
            <w:r>
              <w:rPr>
                <w:rFonts w:ascii="Times New Roman" w:eastAsia="Times New Roman" w:hAnsi="Times New Roman" w:cs="Times New Roman"/>
                <w:color w:val="000000"/>
              </w:rPr>
              <w:tab/>
              <w:t>13</w:t>
            </w:r>
          </w:hyperlink>
        </w:p>
        <w:p w14:paraId="51544321" w14:textId="77777777" w:rsidR="00255917" w:rsidRDefault="00C312C7">
          <w:pPr>
            <w:widowControl w:val="0"/>
            <w:tabs>
              <w:tab w:val="right" w:pos="12000"/>
            </w:tabs>
            <w:spacing w:before="60" w:after="0" w:line="276" w:lineRule="auto"/>
            <w:ind w:left="360"/>
            <w:jc w:val="left"/>
            <w:rPr>
              <w:rFonts w:ascii="Times New Roman" w:eastAsia="Times New Roman" w:hAnsi="Times New Roman" w:cs="Times New Roman"/>
              <w:color w:val="000000"/>
            </w:rPr>
          </w:pPr>
          <w:hyperlink w:anchor="_s2pr80kcdms4">
            <w:r>
              <w:rPr>
                <w:rFonts w:ascii="Times New Roman" w:eastAsia="Times New Roman" w:hAnsi="Times New Roman" w:cs="Times New Roman"/>
                <w:color w:val="000000"/>
              </w:rPr>
              <w:t>5.3 Risk and strategic fit</w:t>
            </w:r>
            <w:r>
              <w:rPr>
                <w:rFonts w:ascii="Times New Roman" w:eastAsia="Times New Roman" w:hAnsi="Times New Roman" w:cs="Times New Roman"/>
                <w:color w:val="000000"/>
              </w:rPr>
              <w:tab/>
              <w:t>14</w:t>
            </w:r>
          </w:hyperlink>
        </w:p>
        <w:p w14:paraId="28A027B3" w14:textId="77777777" w:rsidR="00255917" w:rsidRDefault="00C312C7">
          <w:pPr>
            <w:widowControl w:val="0"/>
            <w:tabs>
              <w:tab w:val="right" w:pos="12000"/>
            </w:tabs>
            <w:spacing w:before="60" w:after="0" w:line="276" w:lineRule="auto"/>
            <w:ind w:left="360"/>
            <w:jc w:val="left"/>
            <w:rPr>
              <w:rFonts w:ascii="Times New Roman" w:eastAsia="Times New Roman" w:hAnsi="Times New Roman" w:cs="Times New Roman"/>
              <w:color w:val="000000"/>
            </w:rPr>
          </w:pPr>
          <w:hyperlink w:anchor="_b14qk727svta">
            <w:r>
              <w:rPr>
                <w:rFonts w:ascii="Times New Roman" w:eastAsia="Times New Roman" w:hAnsi="Times New Roman" w:cs="Times New Roman"/>
                <w:color w:val="000000"/>
              </w:rPr>
              <w:t>5.4 Capital rationing</w:t>
            </w:r>
            <w:r>
              <w:rPr>
                <w:rFonts w:ascii="Times New Roman" w:eastAsia="Times New Roman" w:hAnsi="Times New Roman" w:cs="Times New Roman"/>
                <w:color w:val="000000"/>
              </w:rPr>
              <w:tab/>
              <w:t>15</w:t>
            </w:r>
          </w:hyperlink>
        </w:p>
        <w:p w14:paraId="231FC849" w14:textId="77777777" w:rsidR="00255917" w:rsidRDefault="00C312C7">
          <w:pPr>
            <w:widowControl w:val="0"/>
            <w:tabs>
              <w:tab w:val="right" w:pos="12000"/>
            </w:tabs>
            <w:spacing w:before="60" w:after="0" w:line="276" w:lineRule="auto"/>
            <w:jc w:val="left"/>
            <w:rPr>
              <w:rFonts w:ascii="Times New Roman" w:eastAsia="Times New Roman" w:hAnsi="Times New Roman" w:cs="Times New Roman"/>
              <w:b/>
              <w:bCs/>
              <w:color w:val="000000"/>
            </w:rPr>
          </w:pPr>
          <w:hyperlink w:anchor="_kp6laqyy95u9">
            <w:r>
              <w:rPr>
                <w:rFonts w:ascii="Times New Roman" w:eastAsia="Times New Roman" w:hAnsi="Times New Roman" w:cs="Times New Roman"/>
                <w:b/>
                <w:bCs/>
                <w:color w:val="000000"/>
              </w:rPr>
              <w:t>6. Critical Reflection on AI Usage</w:t>
            </w:r>
            <w:r>
              <w:rPr>
                <w:rFonts w:ascii="Times New Roman" w:eastAsia="Times New Roman" w:hAnsi="Times New Roman" w:cs="Times New Roman"/>
                <w:b/>
                <w:bCs/>
                <w:color w:val="000000"/>
              </w:rPr>
              <w:tab/>
              <w:t>16</w:t>
            </w:r>
          </w:hyperlink>
        </w:p>
        <w:p w14:paraId="15534C39" w14:textId="77777777" w:rsidR="00255917" w:rsidRDefault="00C312C7">
          <w:pPr>
            <w:widowControl w:val="0"/>
            <w:tabs>
              <w:tab w:val="right" w:pos="12000"/>
            </w:tabs>
            <w:spacing w:before="60" w:after="0" w:line="276" w:lineRule="auto"/>
            <w:jc w:val="left"/>
            <w:rPr>
              <w:rFonts w:ascii="Times New Roman" w:eastAsia="Times New Roman" w:hAnsi="Times New Roman" w:cs="Times New Roman"/>
              <w:b/>
              <w:bCs/>
              <w:color w:val="000000"/>
            </w:rPr>
          </w:pPr>
          <w:hyperlink w:anchor="_70qgkc16qyui">
            <w:r>
              <w:rPr>
                <w:rFonts w:ascii="Times New Roman" w:eastAsia="Times New Roman" w:hAnsi="Times New Roman" w:cs="Times New Roman"/>
                <w:b/>
                <w:bCs/>
                <w:color w:val="000000"/>
              </w:rPr>
              <w:t>7. Conclusion</w:t>
            </w:r>
            <w:r>
              <w:rPr>
                <w:rFonts w:ascii="Times New Roman" w:eastAsia="Times New Roman" w:hAnsi="Times New Roman" w:cs="Times New Roman"/>
                <w:b/>
                <w:bCs/>
                <w:color w:val="000000"/>
              </w:rPr>
              <w:tab/>
              <w:t>17</w:t>
            </w:r>
          </w:hyperlink>
        </w:p>
        <w:p w14:paraId="379FE6EC" w14:textId="77777777" w:rsidR="00255917" w:rsidRDefault="00C312C7">
          <w:pPr>
            <w:widowControl w:val="0"/>
            <w:tabs>
              <w:tab w:val="right" w:pos="12000"/>
            </w:tabs>
            <w:spacing w:before="60" w:after="0" w:line="276" w:lineRule="auto"/>
            <w:jc w:val="left"/>
            <w:rPr>
              <w:rFonts w:ascii="Times New Roman" w:eastAsia="Times New Roman" w:hAnsi="Times New Roman" w:cs="Times New Roman"/>
              <w:b/>
              <w:bCs/>
              <w:color w:val="000000"/>
            </w:rPr>
          </w:pPr>
          <w:hyperlink w:anchor="_6nv44naeg3za">
            <w:r>
              <w:rPr>
                <w:rFonts w:ascii="Times New Roman" w:eastAsia="Times New Roman" w:hAnsi="Times New Roman" w:cs="Times New Roman"/>
                <w:b/>
                <w:bCs/>
                <w:color w:val="000000"/>
              </w:rPr>
              <w:t>Reference :</w:t>
            </w:r>
            <w:r>
              <w:rPr>
                <w:rFonts w:ascii="Times New Roman" w:eastAsia="Times New Roman" w:hAnsi="Times New Roman" w:cs="Times New Roman"/>
                <w:b/>
                <w:bCs/>
                <w:color w:val="000000"/>
              </w:rPr>
              <w:tab/>
              <w:t>18</w:t>
            </w:r>
          </w:hyperlink>
        </w:p>
        <w:p w14:paraId="0C6AB8C4" w14:textId="77777777" w:rsidR="00255917" w:rsidRDefault="00C312C7">
          <w:pPr>
            <w:widowControl w:val="0"/>
            <w:tabs>
              <w:tab w:val="right" w:pos="12000"/>
            </w:tabs>
            <w:spacing w:before="60" w:after="0" w:line="276" w:lineRule="auto"/>
            <w:jc w:val="left"/>
            <w:rPr>
              <w:rFonts w:ascii="Times New Roman" w:eastAsia="Times New Roman" w:hAnsi="Times New Roman" w:cs="Times New Roman"/>
              <w:b/>
              <w:bCs/>
              <w:color w:val="000000"/>
            </w:rPr>
          </w:pPr>
          <w:hyperlink w:anchor="_iqxla1p2is7i">
            <w:r>
              <w:rPr>
                <w:rFonts w:ascii="Times New Roman" w:eastAsia="Times New Roman" w:hAnsi="Times New Roman" w:cs="Times New Roman"/>
                <w:b/>
                <w:bCs/>
                <w:color w:val="000000"/>
              </w:rPr>
              <w:t>Appendices</w:t>
            </w:r>
            <w:r>
              <w:rPr>
                <w:rFonts w:ascii="Times New Roman" w:eastAsia="Times New Roman" w:hAnsi="Times New Roman" w:cs="Times New Roman"/>
                <w:b/>
                <w:bCs/>
                <w:color w:val="000000"/>
              </w:rPr>
              <w:tab/>
              <w:t>25</w:t>
            </w:r>
          </w:hyperlink>
        </w:p>
        <w:p w14:paraId="753EE030" w14:textId="77777777" w:rsidR="00255917" w:rsidRDefault="00C312C7">
          <w:pPr>
            <w:widowControl w:val="0"/>
            <w:tabs>
              <w:tab w:val="right" w:pos="12000"/>
            </w:tabs>
            <w:spacing w:before="60" w:after="0" w:line="276" w:lineRule="auto"/>
            <w:ind w:left="360"/>
            <w:jc w:val="left"/>
            <w:rPr>
              <w:rFonts w:ascii="Times New Roman" w:eastAsia="Times New Roman" w:hAnsi="Times New Roman" w:cs="Times New Roman"/>
              <w:color w:val="000000"/>
            </w:rPr>
          </w:pPr>
          <w:hyperlink w:anchor="_dytqb58f3d9v">
            <w:r>
              <w:rPr>
                <w:rFonts w:ascii="Times New Roman" w:eastAsia="Times New Roman" w:hAnsi="Times New Roman" w:cs="Times New Roman"/>
                <w:color w:val="000000"/>
              </w:rPr>
              <w:t>Appendix A: Detailed ratio calculations</w:t>
            </w:r>
            <w:r>
              <w:rPr>
                <w:rFonts w:ascii="Times New Roman" w:eastAsia="Times New Roman" w:hAnsi="Times New Roman" w:cs="Times New Roman"/>
                <w:color w:val="000000"/>
              </w:rPr>
              <w:tab/>
              <w:t>25</w:t>
            </w:r>
          </w:hyperlink>
        </w:p>
        <w:p w14:paraId="082B78FE" w14:textId="77777777" w:rsidR="00255917" w:rsidRDefault="00C312C7">
          <w:pPr>
            <w:widowControl w:val="0"/>
            <w:tabs>
              <w:tab w:val="right" w:pos="12000"/>
            </w:tabs>
            <w:spacing w:before="60" w:after="0" w:line="276" w:lineRule="auto"/>
            <w:ind w:left="360"/>
            <w:jc w:val="left"/>
            <w:rPr>
              <w:rFonts w:ascii="Times New Roman" w:eastAsia="Times New Roman" w:hAnsi="Times New Roman" w:cs="Times New Roman"/>
              <w:color w:val="000000"/>
            </w:rPr>
          </w:pPr>
          <w:hyperlink w:anchor="_8rm96bfa1uqj">
            <w:r>
              <w:rPr>
                <w:rFonts w:ascii="Times New Roman" w:eastAsia="Times New Roman" w:hAnsi="Times New Roman" w:cs="Times New Roman"/>
                <w:color w:val="000000"/>
              </w:rPr>
              <w:t>Appendix B: Investment appraisal calculations</w:t>
            </w:r>
            <w:r>
              <w:rPr>
                <w:rFonts w:ascii="Times New Roman" w:eastAsia="Times New Roman" w:hAnsi="Times New Roman" w:cs="Times New Roman"/>
                <w:color w:val="000000"/>
              </w:rPr>
              <w:tab/>
              <w:t>26</w:t>
            </w:r>
          </w:hyperlink>
        </w:p>
        <w:p w14:paraId="06CD5CF4" w14:textId="77777777" w:rsidR="00255917" w:rsidRDefault="00C312C7">
          <w:pPr>
            <w:widowControl w:val="0"/>
            <w:tabs>
              <w:tab w:val="right" w:pos="12000"/>
            </w:tabs>
            <w:spacing w:before="60" w:after="0" w:line="276" w:lineRule="auto"/>
            <w:ind w:left="360"/>
            <w:jc w:val="left"/>
            <w:rPr>
              <w:rFonts w:ascii="Times New Roman" w:eastAsia="Times New Roman" w:hAnsi="Times New Roman" w:cs="Times New Roman"/>
              <w:color w:val="000000"/>
            </w:rPr>
          </w:pPr>
          <w:hyperlink w:anchor="_mtt6mtiyeftl">
            <w:r>
              <w:rPr>
                <w:rFonts w:ascii="Times New Roman" w:eastAsia="Times New Roman" w:hAnsi="Times New Roman" w:cs="Times New Roman"/>
                <w:color w:val="000000"/>
              </w:rPr>
              <w:t>Appendix C: Embedded Excel calculation evidence</w:t>
            </w:r>
            <w:r>
              <w:rPr>
                <w:rFonts w:ascii="Times New Roman" w:eastAsia="Times New Roman" w:hAnsi="Times New Roman" w:cs="Times New Roman"/>
                <w:color w:val="000000"/>
              </w:rPr>
              <w:tab/>
              <w:t>28</w:t>
            </w:r>
          </w:hyperlink>
          <w:r>
            <w:fldChar w:fldCharType="end"/>
          </w:r>
        </w:p>
      </w:sdtContent>
    </w:sdt>
    <w:p w14:paraId="0F73A45B" w14:textId="77777777" w:rsidR="00255917" w:rsidRDefault="00255917">
      <w:pPr>
        <w:pStyle w:val="Heading1"/>
        <w:spacing w:line="276" w:lineRule="auto"/>
        <w:rPr>
          <w:rFonts w:ascii="Times New Roman" w:eastAsia="Times New Roman" w:hAnsi="Times New Roman" w:cs="Times New Roman"/>
          <w:color w:val="000000"/>
          <w:sz w:val="24"/>
          <w:szCs w:val="24"/>
        </w:rPr>
      </w:pPr>
    </w:p>
    <w:p w14:paraId="6274F4DF" w14:textId="77777777" w:rsidR="00255917" w:rsidRDefault="00255917">
      <w:pPr>
        <w:spacing w:line="276" w:lineRule="auto"/>
        <w:rPr>
          <w:rFonts w:ascii="Times New Roman" w:eastAsia="Times New Roman" w:hAnsi="Times New Roman" w:cs="Times New Roman"/>
          <w:color w:val="000000"/>
        </w:rPr>
      </w:pPr>
    </w:p>
    <w:p w14:paraId="3BE30998" w14:textId="77777777" w:rsidR="00255917" w:rsidRDefault="00255917">
      <w:pPr>
        <w:spacing w:line="276" w:lineRule="auto"/>
        <w:rPr>
          <w:rFonts w:ascii="Times New Roman" w:eastAsia="Times New Roman" w:hAnsi="Times New Roman" w:cs="Times New Roman"/>
          <w:color w:val="000000"/>
        </w:rPr>
      </w:pPr>
    </w:p>
    <w:p w14:paraId="0FF3EC5B" w14:textId="77777777" w:rsidR="00255917" w:rsidRDefault="00255917">
      <w:pPr>
        <w:spacing w:line="276" w:lineRule="auto"/>
        <w:rPr>
          <w:rFonts w:ascii="Times New Roman" w:eastAsia="Times New Roman" w:hAnsi="Times New Roman" w:cs="Times New Roman"/>
          <w:color w:val="000000"/>
        </w:rPr>
      </w:pPr>
    </w:p>
    <w:p w14:paraId="1BBF1443" w14:textId="77777777" w:rsidR="00255917" w:rsidRDefault="00255917">
      <w:pPr>
        <w:spacing w:line="276" w:lineRule="auto"/>
        <w:rPr>
          <w:rFonts w:ascii="Times New Roman" w:eastAsia="Times New Roman" w:hAnsi="Times New Roman" w:cs="Times New Roman"/>
          <w:color w:val="000000"/>
        </w:rPr>
      </w:pPr>
    </w:p>
    <w:p w14:paraId="0C790078" w14:textId="77777777" w:rsidR="00255917" w:rsidRDefault="00255917">
      <w:pPr>
        <w:spacing w:line="276" w:lineRule="auto"/>
        <w:rPr>
          <w:rFonts w:ascii="Times New Roman" w:eastAsia="Times New Roman" w:hAnsi="Times New Roman" w:cs="Times New Roman"/>
          <w:color w:val="000000"/>
        </w:rPr>
      </w:pPr>
    </w:p>
    <w:p w14:paraId="1913C2EE" w14:textId="77777777" w:rsidR="00255917" w:rsidRDefault="00255917">
      <w:pPr>
        <w:spacing w:line="276" w:lineRule="auto"/>
        <w:rPr>
          <w:rFonts w:ascii="Times New Roman" w:eastAsia="Times New Roman" w:hAnsi="Times New Roman" w:cs="Times New Roman"/>
          <w:color w:val="000000"/>
        </w:rPr>
      </w:pPr>
    </w:p>
    <w:p w14:paraId="2629D4F1" w14:textId="77777777" w:rsidR="00255917" w:rsidRDefault="00255917">
      <w:pPr>
        <w:spacing w:line="276" w:lineRule="auto"/>
        <w:rPr>
          <w:rFonts w:ascii="Times New Roman" w:eastAsia="Times New Roman" w:hAnsi="Times New Roman" w:cs="Times New Roman"/>
          <w:color w:val="000000"/>
        </w:rPr>
      </w:pPr>
    </w:p>
    <w:p w14:paraId="2DDAE909" w14:textId="77777777" w:rsidR="00255917" w:rsidRDefault="00255917">
      <w:pPr>
        <w:spacing w:line="276" w:lineRule="auto"/>
        <w:rPr>
          <w:rFonts w:ascii="Times New Roman" w:eastAsia="Times New Roman" w:hAnsi="Times New Roman" w:cs="Times New Roman"/>
          <w:color w:val="000000"/>
        </w:rPr>
      </w:pPr>
    </w:p>
    <w:p w14:paraId="422ABCAF" w14:textId="77777777" w:rsidR="00255917" w:rsidRDefault="00C312C7">
      <w:pPr>
        <w:spacing w:line="276"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List of Tables</w:t>
      </w:r>
    </w:p>
    <w:sdt>
      <w:sdtPr>
        <w:id w:val="-16227832"/>
        <w:docPartObj>
          <w:docPartGallery w:val="Table of Contents"/>
          <w:docPartUnique/>
        </w:docPartObj>
      </w:sdtPr>
      <w:sdtEndPr/>
      <w:sdtContent>
        <w:p w14:paraId="7C956B2C" w14:textId="77777777" w:rsidR="00255917" w:rsidRDefault="00C312C7">
          <w:pPr>
            <w:widowControl w:val="0"/>
            <w:tabs>
              <w:tab w:val="right" w:pos="12000"/>
            </w:tabs>
            <w:spacing w:before="60" w:after="0" w:line="276" w:lineRule="auto"/>
            <w:ind w:left="360"/>
            <w:rPr>
              <w:rFonts w:ascii="Times New Roman" w:eastAsia="Times New Roman" w:hAnsi="Times New Roman" w:cs="Times New Roman"/>
              <w:color w:val="000000"/>
            </w:rPr>
          </w:pPr>
          <w:r>
            <w:fldChar w:fldCharType="begin"/>
          </w:r>
          <w:r>
            <w:instrText xml:space="preserve"> TOC \h \u \z \t "Heading 1,1,Heading 4,2,Heading 6,6,"</w:instrText>
          </w:r>
          <w:r>
            <w:fldChar w:fldCharType="separate"/>
          </w:r>
          <w:hyperlink w:anchor="_dvmpkn3w4tgc">
            <w:r>
              <w:rPr>
                <w:rFonts w:ascii="Times New Roman" w:eastAsia="Times New Roman" w:hAnsi="Times New Roman" w:cs="Times New Roman"/>
                <w:color w:val="000000"/>
              </w:rPr>
              <w:t>Table 1. Five-year statutory financial summary</w:t>
            </w:r>
            <w:r>
              <w:rPr>
                <w:rFonts w:ascii="Times New Roman" w:eastAsia="Times New Roman" w:hAnsi="Times New Roman" w:cs="Times New Roman"/>
                <w:color w:val="000000"/>
              </w:rPr>
              <w:tab/>
              <w:t>5</w:t>
            </w:r>
          </w:hyperlink>
        </w:p>
        <w:p w14:paraId="0B3D82E1" w14:textId="77777777" w:rsidR="00255917" w:rsidRDefault="00C312C7">
          <w:pPr>
            <w:widowControl w:val="0"/>
            <w:tabs>
              <w:tab w:val="right" w:pos="12000"/>
            </w:tabs>
            <w:spacing w:before="60" w:after="0" w:line="276" w:lineRule="auto"/>
            <w:ind w:left="360"/>
            <w:rPr>
              <w:rFonts w:ascii="Times New Roman" w:eastAsia="Times New Roman" w:hAnsi="Times New Roman" w:cs="Times New Roman"/>
              <w:color w:val="000000"/>
            </w:rPr>
          </w:pPr>
          <w:hyperlink w:anchor="_miixzh6hznae">
            <w:r>
              <w:rPr>
                <w:rFonts w:ascii="Times New Roman" w:eastAsia="Times New Roman" w:hAnsi="Times New Roman" w:cs="Times New Roman"/>
                <w:color w:val="000000"/>
              </w:rPr>
              <w:t>Table 2. Selected ratio trend</w:t>
            </w:r>
            <w:r>
              <w:rPr>
                <w:rFonts w:ascii="Times New Roman" w:eastAsia="Times New Roman" w:hAnsi="Times New Roman" w:cs="Times New Roman"/>
                <w:color w:val="000000"/>
              </w:rPr>
              <w:tab/>
              <w:t>6</w:t>
            </w:r>
          </w:hyperlink>
        </w:p>
        <w:p w14:paraId="51D2AA02" w14:textId="77777777" w:rsidR="00255917" w:rsidRDefault="00C312C7">
          <w:pPr>
            <w:widowControl w:val="0"/>
            <w:tabs>
              <w:tab w:val="right" w:pos="12000"/>
            </w:tabs>
            <w:spacing w:before="60" w:after="0" w:line="276" w:lineRule="auto"/>
            <w:ind w:left="360"/>
            <w:rPr>
              <w:rFonts w:ascii="Times New Roman" w:eastAsia="Times New Roman" w:hAnsi="Times New Roman" w:cs="Times New Roman"/>
              <w:color w:val="000000"/>
            </w:rPr>
          </w:pPr>
          <w:hyperlink w:anchor="_v6duf2pldxdw">
            <w:r>
              <w:rPr>
                <w:rFonts w:ascii="Times New Roman" w:eastAsia="Times New Roman" w:hAnsi="Times New Roman" w:cs="Times New Roman"/>
                <w:color w:val="000000"/>
              </w:rPr>
              <w:t>Table 3. FY26 liquidity benchmark</w:t>
            </w:r>
            <w:r>
              <w:rPr>
                <w:rFonts w:ascii="Times New Roman" w:eastAsia="Times New Roman" w:hAnsi="Times New Roman" w:cs="Times New Roman"/>
                <w:color w:val="000000"/>
              </w:rPr>
              <w:tab/>
              <w:t>7</w:t>
            </w:r>
          </w:hyperlink>
        </w:p>
        <w:p w14:paraId="19D0F861" w14:textId="77777777" w:rsidR="00255917" w:rsidRDefault="00C312C7">
          <w:pPr>
            <w:widowControl w:val="0"/>
            <w:tabs>
              <w:tab w:val="right" w:pos="12000"/>
            </w:tabs>
            <w:spacing w:before="60" w:after="0" w:line="276" w:lineRule="auto"/>
            <w:ind w:left="360"/>
            <w:rPr>
              <w:rFonts w:ascii="Times New Roman" w:eastAsia="Times New Roman" w:hAnsi="Times New Roman" w:cs="Times New Roman"/>
              <w:color w:val="000000"/>
            </w:rPr>
          </w:pPr>
          <w:hyperlink w:anchor="_byy5rfpr7y1">
            <w:r>
              <w:rPr>
                <w:rFonts w:ascii="Times New Roman" w:eastAsia="Times New Roman" w:hAnsi="Times New Roman" w:cs="Times New Roman"/>
                <w:color w:val="000000"/>
              </w:rPr>
              <w:t>Table 4. Cash operating-cycle proxies</w:t>
            </w:r>
            <w:r>
              <w:rPr>
                <w:rFonts w:ascii="Times New Roman" w:eastAsia="Times New Roman" w:hAnsi="Times New Roman" w:cs="Times New Roman"/>
                <w:color w:val="000000"/>
              </w:rPr>
              <w:tab/>
              <w:t>9</w:t>
            </w:r>
          </w:hyperlink>
        </w:p>
        <w:p w14:paraId="00D55910" w14:textId="77777777" w:rsidR="00255917" w:rsidRDefault="00C312C7">
          <w:pPr>
            <w:widowControl w:val="0"/>
            <w:tabs>
              <w:tab w:val="right" w:pos="12000"/>
            </w:tabs>
            <w:spacing w:before="60" w:after="0" w:line="276" w:lineRule="auto"/>
            <w:ind w:left="360"/>
            <w:rPr>
              <w:rFonts w:ascii="Times New Roman" w:eastAsia="Times New Roman" w:hAnsi="Times New Roman" w:cs="Times New Roman"/>
              <w:color w:val="000000"/>
            </w:rPr>
          </w:pPr>
          <w:hyperlink w:anchor="_s0vsfu93p5at">
            <w:r>
              <w:rPr>
                <w:rFonts w:ascii="Times New Roman" w:eastAsia="Times New Roman" w:hAnsi="Times New Roman" w:cs="Times New Roman"/>
                <w:color w:val="000000"/>
              </w:rPr>
              <w:t>Table 5. Recommended restructuring programme</w:t>
            </w:r>
            <w:r>
              <w:rPr>
                <w:rFonts w:ascii="Times New Roman" w:eastAsia="Times New Roman" w:hAnsi="Times New Roman" w:cs="Times New Roman"/>
                <w:color w:val="000000"/>
              </w:rPr>
              <w:tab/>
              <w:t>11</w:t>
            </w:r>
          </w:hyperlink>
        </w:p>
        <w:p w14:paraId="13C67AA8" w14:textId="77777777" w:rsidR="00255917" w:rsidRDefault="00C312C7">
          <w:pPr>
            <w:widowControl w:val="0"/>
            <w:tabs>
              <w:tab w:val="right" w:pos="12000"/>
            </w:tabs>
            <w:spacing w:before="60" w:after="0" w:line="276" w:lineRule="auto"/>
            <w:ind w:left="360"/>
            <w:rPr>
              <w:rFonts w:ascii="Times New Roman" w:eastAsia="Times New Roman" w:hAnsi="Times New Roman" w:cs="Times New Roman"/>
              <w:color w:val="000000"/>
            </w:rPr>
          </w:pPr>
          <w:hyperlink w:anchor="_40hw9fabf9v8">
            <w:r>
              <w:rPr>
                <w:rFonts w:ascii="Times New Roman" w:eastAsia="Times New Roman" w:hAnsi="Times New Roman" w:cs="Times New Roman"/>
                <w:color w:val="000000"/>
              </w:rPr>
              <w:t>Table 6. Investment-appraisal results</w:t>
            </w:r>
            <w:r>
              <w:rPr>
                <w:rFonts w:ascii="Times New Roman" w:eastAsia="Times New Roman" w:hAnsi="Times New Roman" w:cs="Times New Roman"/>
                <w:color w:val="000000"/>
              </w:rPr>
              <w:tab/>
              <w:t>14</w:t>
            </w:r>
          </w:hyperlink>
        </w:p>
        <w:p w14:paraId="405C2938" w14:textId="77777777" w:rsidR="00255917" w:rsidRDefault="00C312C7">
          <w:pPr>
            <w:widowControl w:val="0"/>
            <w:tabs>
              <w:tab w:val="right" w:pos="12000"/>
            </w:tabs>
            <w:spacing w:before="60" w:after="0" w:line="276" w:lineRule="auto"/>
            <w:ind w:left="360"/>
            <w:rPr>
              <w:rFonts w:ascii="Times New Roman" w:eastAsia="Times New Roman" w:hAnsi="Times New Roman" w:cs="Times New Roman"/>
              <w:color w:val="000000"/>
            </w:rPr>
          </w:pPr>
          <w:hyperlink w:anchor="_11smcn3986h">
            <w:r>
              <w:rPr>
                <w:rFonts w:ascii="Times New Roman" w:eastAsia="Times New Roman" w:hAnsi="Times New Roman" w:cs="Times New Roman"/>
                <w:color w:val="000000"/>
              </w:rPr>
              <w:t>Table 7. Capital-rationing combinations</w:t>
            </w:r>
            <w:r>
              <w:rPr>
                <w:rFonts w:ascii="Times New Roman" w:eastAsia="Times New Roman" w:hAnsi="Times New Roman" w:cs="Times New Roman"/>
                <w:color w:val="000000"/>
              </w:rPr>
              <w:tab/>
              <w:t>16</w:t>
            </w:r>
          </w:hyperlink>
          <w:r>
            <w:fldChar w:fldCharType="end"/>
          </w:r>
        </w:p>
      </w:sdtContent>
    </w:sdt>
    <w:p w14:paraId="2AA61270" w14:textId="77777777" w:rsidR="00255917" w:rsidRDefault="00C312C7">
      <w:pPr>
        <w:spacing w:line="276" w:lineRule="auto"/>
        <w:rPr>
          <w:rFonts w:ascii="Times New Roman" w:eastAsia="Times New Roman" w:hAnsi="Times New Roman" w:cs="Times New Roman"/>
          <w:color w:val="000000"/>
        </w:rPr>
      </w:pPr>
      <w:r>
        <w:br w:type="page"/>
      </w:r>
    </w:p>
    <w:p w14:paraId="401E209D" w14:textId="77777777" w:rsidR="00255917" w:rsidRDefault="00C312C7">
      <w:pPr>
        <w:spacing w:line="276"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lastRenderedPageBreak/>
        <w:t>List of Figures</w:t>
      </w:r>
    </w:p>
    <w:p w14:paraId="5ED5FD47" w14:textId="77777777" w:rsidR="00255917" w:rsidRDefault="00C312C7">
      <w:pPr>
        <w:tabs>
          <w:tab w:val="right" w:pos="9288"/>
        </w:tabs>
        <w:spacing w:after="0" w:line="276" w:lineRule="auto"/>
        <w:rPr>
          <w:rFonts w:ascii="Times New Roman" w:eastAsia="Times New Roman" w:hAnsi="Times New Roman" w:cs="Times New Roman"/>
          <w:b/>
          <w:bCs/>
          <w:color w:val="000000"/>
        </w:rPr>
      </w:pPr>
      <w:r>
        <w:rPr>
          <w:rFonts w:ascii="Times New Roman" w:eastAsia="Times New Roman" w:hAnsi="Times New Roman" w:cs="Times New Roman"/>
          <w:sz w:val="20"/>
          <w:szCs w:val="20"/>
        </w:rPr>
        <w:t>Figure 1. Whitbread profitability trend, FY22-FY26</w:t>
      </w:r>
      <w:r>
        <w:rPr>
          <w:rFonts w:ascii="Times New Roman" w:eastAsia="Times New Roman" w:hAnsi="Times New Roman" w:cs="Times New Roman"/>
          <w:sz w:val="20"/>
          <w:szCs w:val="20"/>
        </w:rPr>
        <w:tab/>
        <w:t>6</w:t>
      </w:r>
      <w:r>
        <w:rPr>
          <w:rFonts w:ascii="Times New Roman" w:eastAsia="Times New Roman" w:hAnsi="Times New Roman" w:cs="Times New Roman"/>
          <w:sz w:val="20"/>
          <w:szCs w:val="20"/>
        </w:rPr>
        <w:br/>
        <w:t>Figure 2. Whitbread liquidity trend, FY22-FY26</w:t>
      </w:r>
      <w:r>
        <w:rPr>
          <w:rFonts w:ascii="Times New Roman" w:eastAsia="Times New Roman" w:hAnsi="Times New Roman" w:cs="Times New Roman"/>
          <w:sz w:val="20"/>
          <w:szCs w:val="20"/>
        </w:rPr>
        <w:tab/>
        <w:t>7</w:t>
      </w:r>
      <w:r>
        <w:rPr>
          <w:rFonts w:ascii="Times New Roman" w:eastAsia="Times New Roman" w:hAnsi="Times New Roman" w:cs="Times New Roman"/>
          <w:sz w:val="20"/>
          <w:szCs w:val="20"/>
        </w:rPr>
        <w:br/>
      </w:r>
      <w:r>
        <w:rPr>
          <w:rFonts w:ascii="Times New Roman" w:eastAsia="Times New Roman" w:hAnsi="Times New Roman" w:cs="Times New Roman"/>
          <w:sz w:val="20"/>
          <w:szCs w:val="20"/>
        </w:rPr>
        <w:t>Figure 3. Whitbread efficiency and cash-cycle trends, FY22-FY26</w:t>
      </w:r>
      <w:r>
        <w:rPr>
          <w:rFonts w:ascii="Times New Roman" w:eastAsia="Times New Roman" w:hAnsi="Times New Roman" w:cs="Times New Roman"/>
          <w:sz w:val="20"/>
          <w:szCs w:val="20"/>
        </w:rPr>
        <w:tab/>
        <w:t>8</w:t>
      </w:r>
      <w:r>
        <w:rPr>
          <w:rFonts w:ascii="Times New Roman" w:eastAsia="Times New Roman" w:hAnsi="Times New Roman" w:cs="Times New Roman"/>
          <w:sz w:val="20"/>
          <w:szCs w:val="20"/>
        </w:rPr>
        <w:br/>
        <w:t>Figure 4. Whitbread leverage and interest-cover trends, FY22-FY26</w:t>
      </w:r>
      <w:r>
        <w:rPr>
          <w:rFonts w:ascii="Times New Roman" w:eastAsia="Times New Roman" w:hAnsi="Times New Roman" w:cs="Times New Roman"/>
          <w:sz w:val="20"/>
          <w:szCs w:val="20"/>
        </w:rPr>
        <w:tab/>
        <w:t>9</w:t>
      </w:r>
      <w:r>
        <w:rPr>
          <w:rFonts w:ascii="Times New Roman" w:eastAsia="Times New Roman" w:hAnsi="Times New Roman" w:cs="Times New Roman"/>
          <w:sz w:val="20"/>
          <w:szCs w:val="20"/>
        </w:rPr>
        <w:br/>
        <w:t>Figure 5. Whitbread price/earnings ratio, FY22-FY26</w:t>
      </w:r>
      <w:r>
        <w:rPr>
          <w:rFonts w:ascii="Times New Roman" w:eastAsia="Times New Roman" w:hAnsi="Times New Roman" w:cs="Times New Roman"/>
          <w:sz w:val="20"/>
          <w:szCs w:val="20"/>
        </w:rPr>
        <w:tab/>
        <w:t>10</w:t>
      </w:r>
      <w:r>
        <w:rPr>
          <w:rFonts w:ascii="Times New Roman" w:eastAsia="Times New Roman" w:hAnsi="Times New Roman" w:cs="Times New Roman"/>
          <w:sz w:val="20"/>
          <w:szCs w:val="20"/>
        </w:rPr>
        <w:br/>
        <w:t>Figure 6. Project NPV at an 8% discount rate</w:t>
      </w:r>
      <w:r>
        <w:rPr>
          <w:rFonts w:ascii="Times New Roman" w:eastAsia="Times New Roman" w:hAnsi="Times New Roman" w:cs="Times New Roman"/>
          <w:sz w:val="20"/>
          <w:szCs w:val="20"/>
        </w:rPr>
        <w:tab/>
        <w:t>15</w:t>
      </w:r>
      <w:r>
        <w:rPr>
          <w:rFonts w:ascii="Times New Roman" w:eastAsia="Times New Roman" w:hAnsi="Times New Roman" w:cs="Times New Roman"/>
          <w:sz w:val="20"/>
          <w:szCs w:val="20"/>
        </w:rPr>
        <w:br/>
        <w:t>Figure 7. Excel ratio calculations: profitability, liquidity and efficiency</w:t>
      </w:r>
      <w:r>
        <w:rPr>
          <w:rFonts w:ascii="Times New Roman" w:eastAsia="Times New Roman" w:hAnsi="Times New Roman" w:cs="Times New Roman"/>
          <w:sz w:val="20"/>
          <w:szCs w:val="20"/>
        </w:rPr>
        <w:tab/>
        <w:t>23</w:t>
      </w:r>
      <w:r>
        <w:rPr>
          <w:rFonts w:ascii="Times New Roman" w:eastAsia="Times New Roman" w:hAnsi="Times New Roman" w:cs="Times New Roman"/>
          <w:sz w:val="20"/>
          <w:szCs w:val="20"/>
        </w:rPr>
        <w:br/>
        <w:t>Figure 8. Excel ratio calculations: gearing, market and cash flow</w:t>
      </w:r>
      <w:r>
        <w:rPr>
          <w:rFonts w:ascii="Times New Roman" w:eastAsia="Times New Roman" w:hAnsi="Times New Roman" w:cs="Times New Roman"/>
          <w:sz w:val="20"/>
          <w:szCs w:val="20"/>
        </w:rPr>
        <w:tab/>
        <w:t>24</w:t>
      </w:r>
      <w:r>
        <w:rPr>
          <w:rFonts w:ascii="Times New Roman" w:eastAsia="Times New Roman" w:hAnsi="Times New Roman" w:cs="Times New Roman"/>
          <w:sz w:val="20"/>
          <w:szCs w:val="20"/>
        </w:rPr>
        <w:br/>
        <w:t>Figure 9. Excel working-capital and cash-cycle calculations</w:t>
      </w:r>
      <w:r>
        <w:rPr>
          <w:rFonts w:ascii="Times New Roman" w:eastAsia="Times New Roman" w:hAnsi="Times New Roman" w:cs="Times New Roman"/>
          <w:sz w:val="20"/>
          <w:szCs w:val="20"/>
        </w:rPr>
        <w:tab/>
        <w:t>25</w:t>
      </w:r>
      <w:r>
        <w:rPr>
          <w:rFonts w:ascii="Times New Roman" w:eastAsia="Times New Roman" w:hAnsi="Times New Roman" w:cs="Times New Roman"/>
          <w:sz w:val="20"/>
          <w:szCs w:val="20"/>
        </w:rPr>
        <w:br/>
      </w:r>
      <w:r>
        <w:rPr>
          <w:rFonts w:ascii="Times New Roman" w:eastAsia="Times New Roman" w:hAnsi="Times New Roman" w:cs="Times New Roman"/>
          <w:sz w:val="20"/>
          <w:szCs w:val="20"/>
        </w:rPr>
        <w:t>Figure 10. Excel investment appraisal and capital-rationing calculations</w:t>
      </w:r>
      <w:r>
        <w:rPr>
          <w:rFonts w:ascii="Times New Roman" w:eastAsia="Times New Roman" w:hAnsi="Times New Roman" w:cs="Times New Roman"/>
          <w:sz w:val="20"/>
          <w:szCs w:val="20"/>
        </w:rPr>
        <w:tab/>
        <w:t>26</w:t>
      </w:r>
    </w:p>
    <w:p w14:paraId="52626941" w14:textId="77777777" w:rsidR="00255917" w:rsidRDefault="00C312C7">
      <w:pPr>
        <w:spacing w:line="276" w:lineRule="auto"/>
        <w:rPr>
          <w:rFonts w:ascii="Times New Roman" w:eastAsia="Times New Roman" w:hAnsi="Times New Roman" w:cs="Times New Roman"/>
          <w:color w:val="000000"/>
        </w:rPr>
      </w:pPr>
      <w:r>
        <w:br w:type="page"/>
      </w:r>
    </w:p>
    <w:p w14:paraId="246CC200" w14:textId="77777777" w:rsidR="00255917" w:rsidRDefault="00C312C7">
      <w:pPr>
        <w:pStyle w:val="Heading2"/>
        <w:spacing w:line="276" w:lineRule="auto"/>
        <w:rPr>
          <w:rFonts w:ascii="Times New Roman" w:eastAsia="Times New Roman" w:hAnsi="Times New Roman" w:cs="Times New Roman"/>
          <w:color w:val="000000"/>
          <w:sz w:val="24"/>
          <w:szCs w:val="24"/>
        </w:rPr>
      </w:pPr>
      <w:bookmarkStart w:id="0" w:name="_yu9wz1p81znr" w:colFirst="0" w:colLast="0"/>
      <w:bookmarkEnd w:id="0"/>
      <w:r>
        <w:rPr>
          <w:rFonts w:ascii="Times New Roman" w:eastAsia="Times New Roman" w:hAnsi="Times New Roman" w:cs="Times New Roman"/>
          <w:color w:val="000000"/>
          <w:sz w:val="24"/>
          <w:szCs w:val="24"/>
        </w:rPr>
        <w:lastRenderedPageBreak/>
        <w:t>1. Introduction</w:t>
      </w:r>
    </w:p>
    <w:p w14:paraId="7B5B363D"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Whitbread PLC owns Premier Inn, the largest hotel chain in the UK, along with a developing business in Germany. This report examines the statutory financial performance of the Group for the FY22 to FY26 periods and considers the implications for the working capital, restructuring and capital budgeting decisions. This period poses particular challenges for analysts. FY22 comprised a 53-week recovery period from the pandemic and the FY23 to FY26 periods comprised 52-week years. Further, Whitbread employs alte</w:t>
      </w:r>
      <w:r>
        <w:rPr>
          <w:rFonts w:ascii="Times New Roman" w:eastAsia="Times New Roman" w:hAnsi="Times New Roman" w:cs="Times New Roman"/>
          <w:color w:val="000000"/>
        </w:rPr>
        <w:t>rnative performance measures, which define the measures differently from statutory measures. Consequently, the analysis focuses on the measures' definitions, reliance on audited or official figures, the disclosures made by Whitbread, and consistency over the apparent accuracy of the figures.</w:t>
      </w:r>
    </w:p>
    <w:p w14:paraId="753CC3DC" w14:textId="77777777" w:rsidR="00255917" w:rsidRDefault="00C312C7">
      <w:pPr>
        <w:pStyle w:val="Heading2"/>
        <w:spacing w:line="276" w:lineRule="auto"/>
        <w:rPr>
          <w:rFonts w:ascii="Times New Roman" w:eastAsia="Times New Roman" w:hAnsi="Times New Roman" w:cs="Times New Roman"/>
          <w:color w:val="000000"/>
          <w:sz w:val="24"/>
          <w:szCs w:val="24"/>
        </w:rPr>
      </w:pPr>
      <w:bookmarkStart w:id="1" w:name="_a09hhauujg8f" w:colFirst="0" w:colLast="0"/>
      <w:bookmarkEnd w:id="1"/>
      <w:r>
        <w:rPr>
          <w:rFonts w:ascii="Times New Roman" w:eastAsia="Times New Roman" w:hAnsi="Times New Roman" w:cs="Times New Roman"/>
          <w:color w:val="000000"/>
          <w:sz w:val="24"/>
          <w:szCs w:val="24"/>
        </w:rPr>
        <w:t>2. Financial Health Check</w:t>
      </w:r>
    </w:p>
    <w:p w14:paraId="3732B8F2" w14:textId="77777777" w:rsidR="00255917" w:rsidRDefault="00C312C7">
      <w:pPr>
        <w:pStyle w:val="Heading3"/>
        <w:spacing w:line="276" w:lineRule="auto"/>
        <w:rPr>
          <w:rFonts w:ascii="Times New Roman" w:eastAsia="Times New Roman" w:hAnsi="Times New Roman" w:cs="Times New Roman"/>
          <w:color w:val="000000"/>
          <w:sz w:val="24"/>
          <w:szCs w:val="24"/>
        </w:rPr>
      </w:pPr>
      <w:bookmarkStart w:id="2" w:name="_tr81jnkj3ge2" w:colFirst="0" w:colLast="0"/>
      <w:bookmarkEnd w:id="2"/>
      <w:r>
        <w:rPr>
          <w:rFonts w:ascii="Times New Roman" w:eastAsia="Times New Roman" w:hAnsi="Times New Roman" w:cs="Times New Roman"/>
          <w:color w:val="000000"/>
          <w:sz w:val="24"/>
          <w:szCs w:val="24"/>
        </w:rPr>
        <w:t>2.1 Analytical basis and statement trends</w:t>
      </w:r>
    </w:p>
    <w:p w14:paraId="2FEDF6A7"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In the case of Whitbread, an item in the income statement categorizes operating costs into a small number of large groups, instead of providing a statutory subtotal of cost of sales, which makes the calculation of a gross profit margin unfeasible. Therefore, this gross margin shows a value of not reported, and is preferred as opposed to producing a meaningless figure for the sake of comparability.</w:t>
      </w:r>
    </w:p>
    <w:p w14:paraId="571C3D3B"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Revenue for Whitbread increased by £1,203.4 million from FY22 to FY26, an increase of 71.4%. Reopening post COVID 19 and the reestablishing of </w:t>
      </w:r>
      <w:proofErr w:type="gramStart"/>
      <w:r>
        <w:rPr>
          <w:rFonts w:ascii="Times New Roman" w:eastAsia="Times New Roman" w:hAnsi="Times New Roman" w:cs="Times New Roman"/>
          <w:color w:val="000000"/>
        </w:rPr>
        <w:t>pre COVID</w:t>
      </w:r>
      <w:proofErr w:type="gramEnd"/>
      <w:r>
        <w:rPr>
          <w:rFonts w:ascii="Times New Roman" w:eastAsia="Times New Roman" w:hAnsi="Times New Roman" w:cs="Times New Roman"/>
          <w:color w:val="000000"/>
        </w:rPr>
        <w:t xml:space="preserve"> 19 trading conditions accounts for most of this movement. The </w:t>
      </w:r>
      <w:proofErr w:type="gramStart"/>
      <w:r>
        <w:rPr>
          <w:rFonts w:ascii="Times New Roman" w:eastAsia="Times New Roman" w:hAnsi="Times New Roman" w:cs="Times New Roman"/>
          <w:color w:val="000000"/>
        </w:rPr>
        <w:t>five year</w:t>
      </w:r>
      <w:proofErr w:type="gramEnd"/>
      <w:r>
        <w:rPr>
          <w:rFonts w:ascii="Times New Roman" w:eastAsia="Times New Roman" w:hAnsi="Times New Roman" w:cs="Times New Roman"/>
          <w:color w:val="000000"/>
        </w:rPr>
        <w:t xml:space="preserve"> headline growth is therefore an indicator of the company's outdated growth. Whitbread's official results cite recent pressures on the UK market, on the operating results from food and beverage, and of course the recent inflation and cost increases, and are attributed to strategic investments which were, in part, offset by improved results from Germany and a decrease in operational costs (Whitbread PLC, 2025; Whitbread PLC, 202</w:t>
      </w:r>
      <w:r>
        <w:rPr>
          <w:rFonts w:ascii="Times New Roman" w:eastAsia="Times New Roman" w:hAnsi="Times New Roman" w:cs="Times New Roman"/>
          <w:color w:val="000000"/>
        </w:rPr>
        <w:t>6a).</w:t>
      </w:r>
    </w:p>
    <w:p w14:paraId="7165F518"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The core diagnosis is not operating insolvency. Instead, it is the reduced liquidity headroom and increased fixed financial commitments of the company against the background of intensified Capital Expenditures (</w:t>
      </w:r>
      <w:proofErr w:type="spellStart"/>
      <w:r>
        <w:rPr>
          <w:rFonts w:ascii="Times New Roman" w:eastAsia="Times New Roman" w:hAnsi="Times New Roman" w:cs="Times New Roman"/>
          <w:color w:val="000000"/>
        </w:rPr>
        <w:t>CapEx</w:t>
      </w:r>
      <w:proofErr w:type="spellEnd"/>
      <w:r>
        <w:rPr>
          <w:rFonts w:ascii="Times New Roman" w:eastAsia="Times New Roman" w:hAnsi="Times New Roman" w:cs="Times New Roman"/>
          <w:color w:val="000000"/>
        </w:rPr>
        <w:t>) and declining profits.</w:t>
      </w:r>
    </w:p>
    <w:p w14:paraId="6F7892CD" w14:textId="77777777" w:rsidR="00255917" w:rsidRDefault="00C312C7">
      <w:pPr>
        <w:pStyle w:val="Heading4"/>
        <w:spacing w:before="80" w:after="80" w:line="276" w:lineRule="auto"/>
        <w:jc w:val="center"/>
        <w:rPr>
          <w:rFonts w:ascii="Times New Roman" w:eastAsia="Times New Roman" w:hAnsi="Times New Roman" w:cs="Times New Roman"/>
          <w:i w:val="0"/>
          <w:iCs w:val="0"/>
          <w:color w:val="000000"/>
        </w:rPr>
      </w:pPr>
      <w:bookmarkStart w:id="3" w:name="_dvmpkn3w4tgc" w:colFirst="0" w:colLast="0"/>
      <w:bookmarkEnd w:id="3"/>
      <w:r>
        <w:rPr>
          <w:rFonts w:ascii="Times New Roman" w:eastAsia="Times New Roman" w:hAnsi="Times New Roman" w:cs="Times New Roman"/>
          <w:i w:val="0"/>
          <w:iCs w:val="0"/>
          <w:color w:val="000000"/>
        </w:rPr>
        <w:t>Table 1. Five-year statutory financial summary</w:t>
      </w:r>
    </w:p>
    <w:tbl>
      <w:tblPr>
        <w:tblStyle w:val="a0"/>
        <w:tblW w:w="9019" w:type="dxa"/>
        <w:tblInd w:w="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2399"/>
        <w:gridCol w:w="1324"/>
        <w:gridCol w:w="1324"/>
        <w:gridCol w:w="1324"/>
        <w:gridCol w:w="1324"/>
        <w:gridCol w:w="1324"/>
      </w:tblGrid>
      <w:tr w:rsidR="00255917" w14:paraId="5E202A4F" w14:textId="77777777">
        <w:trPr>
          <w:tblHeader/>
        </w:trPr>
        <w:tc>
          <w:tcPr>
            <w:tcW w:w="2400" w:type="dxa"/>
            <w:tcMar>
              <w:top w:w="90" w:type="dxa"/>
              <w:bottom w:w="90" w:type="dxa"/>
            </w:tcMar>
            <w:vAlign w:val="center"/>
          </w:tcPr>
          <w:p w14:paraId="7FA4B0B0"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Metric</w:t>
            </w:r>
          </w:p>
        </w:tc>
        <w:tc>
          <w:tcPr>
            <w:tcW w:w="1324" w:type="dxa"/>
            <w:tcMar>
              <w:top w:w="90" w:type="dxa"/>
              <w:bottom w:w="90" w:type="dxa"/>
            </w:tcMar>
            <w:vAlign w:val="center"/>
          </w:tcPr>
          <w:p w14:paraId="6C1B57A1"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FY22</w:t>
            </w:r>
          </w:p>
        </w:tc>
        <w:tc>
          <w:tcPr>
            <w:tcW w:w="1324" w:type="dxa"/>
            <w:tcMar>
              <w:top w:w="90" w:type="dxa"/>
              <w:bottom w:w="90" w:type="dxa"/>
            </w:tcMar>
            <w:vAlign w:val="center"/>
          </w:tcPr>
          <w:p w14:paraId="6FFDB9E4"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FY23</w:t>
            </w:r>
          </w:p>
        </w:tc>
        <w:tc>
          <w:tcPr>
            <w:tcW w:w="1324" w:type="dxa"/>
            <w:tcMar>
              <w:top w:w="90" w:type="dxa"/>
              <w:bottom w:w="90" w:type="dxa"/>
            </w:tcMar>
            <w:vAlign w:val="center"/>
          </w:tcPr>
          <w:p w14:paraId="73D14A26"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FY24</w:t>
            </w:r>
          </w:p>
        </w:tc>
        <w:tc>
          <w:tcPr>
            <w:tcW w:w="1324" w:type="dxa"/>
            <w:tcMar>
              <w:top w:w="90" w:type="dxa"/>
              <w:bottom w:w="90" w:type="dxa"/>
            </w:tcMar>
            <w:vAlign w:val="center"/>
          </w:tcPr>
          <w:p w14:paraId="3F168A6B"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FY25</w:t>
            </w:r>
          </w:p>
        </w:tc>
        <w:tc>
          <w:tcPr>
            <w:tcW w:w="1324" w:type="dxa"/>
            <w:tcMar>
              <w:top w:w="90" w:type="dxa"/>
              <w:bottom w:w="90" w:type="dxa"/>
            </w:tcMar>
            <w:vAlign w:val="center"/>
          </w:tcPr>
          <w:p w14:paraId="5EC8F307"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FY26</w:t>
            </w:r>
          </w:p>
        </w:tc>
      </w:tr>
      <w:tr w:rsidR="00255917" w14:paraId="5E127299" w14:textId="77777777">
        <w:tc>
          <w:tcPr>
            <w:tcW w:w="2400" w:type="dxa"/>
          </w:tcPr>
          <w:p w14:paraId="1303FF94"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Revenue (£m)</w:t>
            </w:r>
          </w:p>
        </w:tc>
        <w:tc>
          <w:tcPr>
            <w:tcW w:w="1324" w:type="dxa"/>
          </w:tcPr>
          <w:p w14:paraId="1B70934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1,703.4</w:t>
            </w:r>
          </w:p>
        </w:tc>
        <w:tc>
          <w:tcPr>
            <w:tcW w:w="1324" w:type="dxa"/>
          </w:tcPr>
          <w:p w14:paraId="48CFD633"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2,625.2</w:t>
            </w:r>
          </w:p>
        </w:tc>
        <w:tc>
          <w:tcPr>
            <w:tcW w:w="1324" w:type="dxa"/>
          </w:tcPr>
          <w:p w14:paraId="68594B93"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2,959.9</w:t>
            </w:r>
          </w:p>
        </w:tc>
        <w:tc>
          <w:tcPr>
            <w:tcW w:w="1324" w:type="dxa"/>
          </w:tcPr>
          <w:p w14:paraId="44B5399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2,921.9</w:t>
            </w:r>
          </w:p>
        </w:tc>
        <w:tc>
          <w:tcPr>
            <w:tcW w:w="1324" w:type="dxa"/>
          </w:tcPr>
          <w:p w14:paraId="776E507B"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2,920.2</w:t>
            </w:r>
          </w:p>
        </w:tc>
      </w:tr>
      <w:tr w:rsidR="00255917" w14:paraId="78269BCA" w14:textId="77777777">
        <w:tc>
          <w:tcPr>
            <w:tcW w:w="2400" w:type="dxa"/>
          </w:tcPr>
          <w:p w14:paraId="04C3316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Operating profit (£m)</w:t>
            </w:r>
          </w:p>
        </w:tc>
        <w:tc>
          <w:tcPr>
            <w:tcW w:w="1324" w:type="dxa"/>
          </w:tcPr>
          <w:p w14:paraId="4F4BCDE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227.3</w:t>
            </w:r>
          </w:p>
        </w:tc>
        <w:tc>
          <w:tcPr>
            <w:tcW w:w="1324" w:type="dxa"/>
          </w:tcPr>
          <w:p w14:paraId="2A2716A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505.0</w:t>
            </w:r>
          </w:p>
        </w:tc>
        <w:tc>
          <w:tcPr>
            <w:tcW w:w="1324" w:type="dxa"/>
          </w:tcPr>
          <w:p w14:paraId="389D92B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564.8</w:t>
            </w:r>
          </w:p>
        </w:tc>
        <w:tc>
          <w:tcPr>
            <w:tcW w:w="1324" w:type="dxa"/>
          </w:tcPr>
          <w:p w14:paraId="10121BDF"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514.0</w:t>
            </w:r>
          </w:p>
        </w:tc>
        <w:tc>
          <w:tcPr>
            <w:tcW w:w="1324" w:type="dxa"/>
          </w:tcPr>
          <w:p w14:paraId="21C405F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464.2</w:t>
            </w:r>
          </w:p>
        </w:tc>
      </w:tr>
      <w:tr w:rsidR="00255917" w14:paraId="5363F74C" w14:textId="77777777">
        <w:tc>
          <w:tcPr>
            <w:tcW w:w="2400" w:type="dxa"/>
          </w:tcPr>
          <w:p w14:paraId="7C338F43"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Profit after tax (£m)</w:t>
            </w:r>
          </w:p>
        </w:tc>
        <w:tc>
          <w:tcPr>
            <w:tcW w:w="1324" w:type="dxa"/>
          </w:tcPr>
          <w:p w14:paraId="610BF95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42.5</w:t>
            </w:r>
          </w:p>
        </w:tc>
        <w:tc>
          <w:tcPr>
            <w:tcW w:w="1324" w:type="dxa"/>
          </w:tcPr>
          <w:p w14:paraId="2369967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278.8</w:t>
            </w:r>
          </w:p>
        </w:tc>
        <w:tc>
          <w:tcPr>
            <w:tcW w:w="1324" w:type="dxa"/>
          </w:tcPr>
          <w:p w14:paraId="24BEF402"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312.1</w:t>
            </w:r>
          </w:p>
        </w:tc>
        <w:tc>
          <w:tcPr>
            <w:tcW w:w="1324" w:type="dxa"/>
          </w:tcPr>
          <w:p w14:paraId="4CA3A5D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253.7</w:t>
            </w:r>
          </w:p>
        </w:tc>
        <w:tc>
          <w:tcPr>
            <w:tcW w:w="1324" w:type="dxa"/>
          </w:tcPr>
          <w:p w14:paraId="3D1E6DB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212.9</w:t>
            </w:r>
          </w:p>
        </w:tc>
      </w:tr>
      <w:tr w:rsidR="00255917" w14:paraId="21A9B445" w14:textId="77777777">
        <w:tc>
          <w:tcPr>
            <w:tcW w:w="2400" w:type="dxa"/>
          </w:tcPr>
          <w:p w14:paraId="3D12F514"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Cash (£m)</w:t>
            </w:r>
          </w:p>
        </w:tc>
        <w:tc>
          <w:tcPr>
            <w:tcW w:w="1324" w:type="dxa"/>
          </w:tcPr>
          <w:p w14:paraId="1B50CB4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1,132.4</w:t>
            </w:r>
          </w:p>
        </w:tc>
        <w:tc>
          <w:tcPr>
            <w:tcW w:w="1324" w:type="dxa"/>
          </w:tcPr>
          <w:p w14:paraId="0592E917"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1,164.8</w:t>
            </w:r>
          </w:p>
        </w:tc>
        <w:tc>
          <w:tcPr>
            <w:tcW w:w="1324" w:type="dxa"/>
          </w:tcPr>
          <w:p w14:paraId="7004D4B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696.7</w:t>
            </w:r>
          </w:p>
        </w:tc>
        <w:tc>
          <w:tcPr>
            <w:tcW w:w="1324" w:type="dxa"/>
          </w:tcPr>
          <w:p w14:paraId="04618DF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909.0</w:t>
            </w:r>
          </w:p>
        </w:tc>
        <w:tc>
          <w:tcPr>
            <w:tcW w:w="1324" w:type="dxa"/>
          </w:tcPr>
          <w:p w14:paraId="2D90A8D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233.7</w:t>
            </w:r>
          </w:p>
        </w:tc>
      </w:tr>
      <w:tr w:rsidR="00255917" w14:paraId="73CE5B9A" w14:textId="77777777">
        <w:tc>
          <w:tcPr>
            <w:tcW w:w="2400" w:type="dxa"/>
          </w:tcPr>
          <w:p w14:paraId="06757A1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Net operating cash flow (£m)</w:t>
            </w:r>
          </w:p>
        </w:tc>
        <w:tc>
          <w:tcPr>
            <w:tcW w:w="1324" w:type="dxa"/>
          </w:tcPr>
          <w:p w14:paraId="63D9484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508.7</w:t>
            </w:r>
          </w:p>
        </w:tc>
        <w:tc>
          <w:tcPr>
            <w:tcW w:w="1324" w:type="dxa"/>
          </w:tcPr>
          <w:p w14:paraId="21B5AA2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799.9</w:t>
            </w:r>
          </w:p>
        </w:tc>
        <w:tc>
          <w:tcPr>
            <w:tcW w:w="1324" w:type="dxa"/>
          </w:tcPr>
          <w:p w14:paraId="514E3B8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877.9</w:t>
            </w:r>
          </w:p>
        </w:tc>
        <w:tc>
          <w:tcPr>
            <w:tcW w:w="1324" w:type="dxa"/>
          </w:tcPr>
          <w:p w14:paraId="414F0A0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761.7</w:t>
            </w:r>
          </w:p>
        </w:tc>
        <w:tc>
          <w:tcPr>
            <w:tcW w:w="1324" w:type="dxa"/>
          </w:tcPr>
          <w:p w14:paraId="103F9F4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752.8</w:t>
            </w:r>
          </w:p>
        </w:tc>
      </w:tr>
      <w:tr w:rsidR="00255917" w14:paraId="68438B0B" w14:textId="77777777">
        <w:tc>
          <w:tcPr>
            <w:tcW w:w="2400" w:type="dxa"/>
          </w:tcPr>
          <w:p w14:paraId="4E9D29F7"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Free cash flow (£m)</w:t>
            </w:r>
          </w:p>
        </w:tc>
        <w:tc>
          <w:tcPr>
            <w:tcW w:w="1324" w:type="dxa"/>
          </w:tcPr>
          <w:p w14:paraId="7E5FCEDB"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308.3</w:t>
            </w:r>
          </w:p>
        </w:tc>
        <w:tc>
          <w:tcPr>
            <w:tcW w:w="1324" w:type="dxa"/>
          </w:tcPr>
          <w:p w14:paraId="3C8F978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317.9</w:t>
            </w:r>
          </w:p>
        </w:tc>
        <w:tc>
          <w:tcPr>
            <w:tcW w:w="1324" w:type="dxa"/>
          </w:tcPr>
          <w:p w14:paraId="6BB3F1B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398.0</w:t>
            </w:r>
          </w:p>
        </w:tc>
        <w:tc>
          <w:tcPr>
            <w:tcW w:w="1324" w:type="dxa"/>
          </w:tcPr>
          <w:p w14:paraId="714D3972"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283.1</w:t>
            </w:r>
          </w:p>
        </w:tc>
        <w:tc>
          <w:tcPr>
            <w:tcW w:w="1324" w:type="dxa"/>
          </w:tcPr>
          <w:p w14:paraId="3AA1B257"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75.3</w:t>
            </w:r>
          </w:p>
        </w:tc>
      </w:tr>
    </w:tbl>
    <w:p w14:paraId="023A243A" w14:textId="77777777" w:rsidR="00255917" w:rsidRDefault="00C312C7">
      <w:pPr>
        <w:pBdr>
          <w:top w:val="nil"/>
          <w:left w:val="nil"/>
          <w:bottom w:val="nil"/>
          <w:right w:val="nil"/>
          <w:between w:val="nil"/>
        </w:pBdr>
        <w:spacing w:before="80" w:after="14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Source: Whitbread PLC annual reports</w:t>
      </w:r>
      <w:r>
        <w:rPr>
          <w:rFonts w:ascii="Times New Roman" w:eastAsia="Times New Roman" w:hAnsi="Times New Roman" w:cs="Times New Roman"/>
          <w:color w:val="000000"/>
        </w:rPr>
        <w:t>,</w:t>
      </w:r>
      <w:r>
        <w:rPr>
          <w:rFonts w:ascii="Times New Roman" w:eastAsia="Times New Roman" w:hAnsi="Times New Roman" w:cs="Times New Roman"/>
          <w:color w:val="000000"/>
        </w:rPr>
        <w:t xml:space="preserve"> FY23-FY26 (2026).</w:t>
      </w:r>
    </w:p>
    <w:p w14:paraId="0B8C88E2" w14:textId="77777777" w:rsidR="00255917" w:rsidRDefault="00C312C7">
      <w:pPr>
        <w:pStyle w:val="Heading3"/>
        <w:spacing w:line="276" w:lineRule="auto"/>
        <w:rPr>
          <w:rFonts w:ascii="Times New Roman" w:eastAsia="Times New Roman" w:hAnsi="Times New Roman" w:cs="Times New Roman"/>
          <w:color w:val="000000"/>
          <w:sz w:val="24"/>
          <w:szCs w:val="24"/>
        </w:rPr>
      </w:pPr>
      <w:bookmarkStart w:id="4" w:name="_8k4p5458184r" w:colFirst="0" w:colLast="0"/>
      <w:bookmarkEnd w:id="4"/>
      <w:r>
        <w:rPr>
          <w:rFonts w:ascii="Times New Roman" w:eastAsia="Times New Roman" w:hAnsi="Times New Roman" w:cs="Times New Roman"/>
          <w:color w:val="000000"/>
          <w:sz w:val="24"/>
          <w:szCs w:val="24"/>
        </w:rPr>
        <w:lastRenderedPageBreak/>
        <w:t>2.2 Profitability and returns</w:t>
      </w:r>
    </w:p>
    <w:p w14:paraId="296C0858"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Operating profit margin increased for FY23 to FY24, while FY25 and FY26 balances showed a decline. For the same period, net profit margin also increased and then showed a decline. Effects of the recovery showed improved pricing and occupancy economics, while the two-year decline after FY24 illustrated that revenue stability was not enough to protect earnings from the effects of operating and financing costs. The deterioration of the margin is of strategic importance, since a hotel network with highly fixed-</w:t>
      </w:r>
      <w:r>
        <w:rPr>
          <w:rFonts w:ascii="Times New Roman" w:eastAsia="Times New Roman" w:hAnsi="Times New Roman" w:cs="Times New Roman"/>
          <w:color w:val="000000"/>
        </w:rPr>
        <w:t>cost structures has limited ability to absorb continuous weakness in demand and still protect cash generation.</w:t>
      </w:r>
    </w:p>
    <w:p w14:paraId="3088D1F5"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Calculated as operating profit divided by total assets </w:t>
      </w:r>
      <w:proofErr w:type="gramStart"/>
      <w:r>
        <w:rPr>
          <w:rFonts w:ascii="Times New Roman" w:eastAsia="Times New Roman" w:hAnsi="Times New Roman" w:cs="Times New Roman"/>
          <w:color w:val="000000"/>
        </w:rPr>
        <w:t>less</w:t>
      </w:r>
      <w:proofErr w:type="gramEnd"/>
      <w:r>
        <w:rPr>
          <w:rFonts w:ascii="Times New Roman" w:eastAsia="Times New Roman" w:hAnsi="Times New Roman" w:cs="Times New Roman"/>
          <w:color w:val="000000"/>
        </w:rPr>
        <w:t xml:space="preserve"> current liabilities, statutory ROCE was 2.6% in FY22 and 6.5% in FY24 with a subsequent drop to 5.3% in FY26. Whitbread's company-reported Group ROCE was significantly higher at 10.5% in FY23, 13.1% in FY24, 11.3% in FY25 and 11.1% in FY26. The numbers don't contradict </w:t>
      </w:r>
      <w:proofErr w:type="gramStart"/>
      <w:r>
        <w:rPr>
          <w:rFonts w:ascii="Times New Roman" w:eastAsia="Times New Roman" w:hAnsi="Times New Roman" w:cs="Times New Roman"/>
          <w:color w:val="000000"/>
        </w:rPr>
        <w:t>each other,</w:t>
      </w:r>
      <w:proofErr w:type="gramEnd"/>
      <w:r>
        <w:rPr>
          <w:rFonts w:ascii="Times New Roman" w:eastAsia="Times New Roman" w:hAnsi="Times New Roman" w:cs="Times New Roman"/>
          <w:color w:val="000000"/>
        </w:rPr>
        <w:t xml:space="preserve"> they rely on different definitions and adjustments. The APM, while beneficial, has limitations as it considers management's capital allocation framework, while statutory ROCE provides an external measure. Assumed interchangea</w:t>
      </w:r>
      <w:r>
        <w:rPr>
          <w:rFonts w:ascii="Times New Roman" w:eastAsia="Times New Roman" w:hAnsi="Times New Roman" w:cs="Times New Roman"/>
          <w:color w:val="000000"/>
        </w:rPr>
        <w:t>bility would result in a distorted view of profitability, a comparison that is not warranted. Both, however, indicate a peak in FY24 with a decline in profitability in succeeding fiscal years.</w:t>
      </w:r>
    </w:p>
    <w:p w14:paraId="0BEB5EDD"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Considering this, Whitbread's reported profitability is a strength, however, a more granular view is warranted. FY26 operating profit was 17.8% below FY24's peak and profit after tax decreased from £312.1 million to £212.9 million over the same period. Considering the context, management's target of an additional 500 basis points to Group ROCE by FY31 is a more conservative forecast from where it is now, rather than a target that seeks to close the gap to an improved forecast (Whitbread PLC, 2026b). The aim</w:t>
      </w:r>
      <w:r>
        <w:rPr>
          <w:rFonts w:ascii="Times New Roman" w:eastAsia="Times New Roman" w:hAnsi="Times New Roman" w:cs="Times New Roman"/>
          <w:color w:val="000000"/>
        </w:rPr>
        <w:t xml:space="preserve"> is entirely reliant on a number of factors.</w:t>
      </w:r>
    </w:p>
    <w:p w14:paraId="5FA2FE9D" w14:textId="77777777" w:rsidR="00255917" w:rsidRDefault="00C312C7">
      <w:pPr>
        <w:pStyle w:val="Heading4"/>
        <w:spacing w:before="80" w:after="80" w:line="276" w:lineRule="auto"/>
        <w:jc w:val="center"/>
        <w:rPr>
          <w:rFonts w:ascii="Times New Roman" w:eastAsia="Times New Roman" w:hAnsi="Times New Roman" w:cs="Times New Roman"/>
          <w:i w:val="0"/>
          <w:iCs w:val="0"/>
          <w:color w:val="000000"/>
        </w:rPr>
      </w:pPr>
      <w:bookmarkStart w:id="5" w:name="_miixzh6hznae" w:colFirst="0" w:colLast="0"/>
      <w:bookmarkEnd w:id="5"/>
      <w:r>
        <w:rPr>
          <w:rFonts w:ascii="Times New Roman" w:eastAsia="Times New Roman" w:hAnsi="Times New Roman" w:cs="Times New Roman"/>
          <w:i w:val="0"/>
          <w:iCs w:val="0"/>
          <w:color w:val="000000"/>
        </w:rPr>
        <w:t>Table 2. Selected ratio trend</w:t>
      </w:r>
    </w:p>
    <w:tbl>
      <w:tblPr>
        <w:tblStyle w:val="a1"/>
        <w:tblW w:w="9019" w:type="dxa"/>
        <w:tblInd w:w="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2399"/>
        <w:gridCol w:w="1324"/>
        <w:gridCol w:w="1324"/>
        <w:gridCol w:w="1324"/>
        <w:gridCol w:w="1324"/>
        <w:gridCol w:w="1324"/>
      </w:tblGrid>
      <w:tr w:rsidR="00255917" w14:paraId="092ADA6B" w14:textId="77777777">
        <w:trPr>
          <w:tblHeader/>
        </w:trPr>
        <w:tc>
          <w:tcPr>
            <w:tcW w:w="2400" w:type="dxa"/>
            <w:tcMar>
              <w:top w:w="90" w:type="dxa"/>
              <w:bottom w:w="90" w:type="dxa"/>
            </w:tcMar>
            <w:vAlign w:val="center"/>
          </w:tcPr>
          <w:p w14:paraId="0B0EC9AF"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Ratio</w:t>
            </w:r>
          </w:p>
        </w:tc>
        <w:tc>
          <w:tcPr>
            <w:tcW w:w="1324" w:type="dxa"/>
            <w:tcMar>
              <w:top w:w="90" w:type="dxa"/>
              <w:bottom w:w="90" w:type="dxa"/>
            </w:tcMar>
            <w:vAlign w:val="center"/>
          </w:tcPr>
          <w:p w14:paraId="515BE4F0"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FY22</w:t>
            </w:r>
          </w:p>
        </w:tc>
        <w:tc>
          <w:tcPr>
            <w:tcW w:w="1324" w:type="dxa"/>
            <w:tcMar>
              <w:top w:w="90" w:type="dxa"/>
              <w:bottom w:w="90" w:type="dxa"/>
            </w:tcMar>
            <w:vAlign w:val="center"/>
          </w:tcPr>
          <w:p w14:paraId="4D6AA507"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FY23</w:t>
            </w:r>
          </w:p>
        </w:tc>
        <w:tc>
          <w:tcPr>
            <w:tcW w:w="1324" w:type="dxa"/>
            <w:tcMar>
              <w:top w:w="90" w:type="dxa"/>
              <w:bottom w:w="90" w:type="dxa"/>
            </w:tcMar>
            <w:vAlign w:val="center"/>
          </w:tcPr>
          <w:p w14:paraId="0F49CF38"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FY24</w:t>
            </w:r>
          </w:p>
        </w:tc>
        <w:tc>
          <w:tcPr>
            <w:tcW w:w="1324" w:type="dxa"/>
            <w:tcMar>
              <w:top w:w="90" w:type="dxa"/>
              <w:bottom w:w="90" w:type="dxa"/>
            </w:tcMar>
            <w:vAlign w:val="center"/>
          </w:tcPr>
          <w:p w14:paraId="1D9F4A5F"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FY25</w:t>
            </w:r>
          </w:p>
        </w:tc>
        <w:tc>
          <w:tcPr>
            <w:tcW w:w="1324" w:type="dxa"/>
            <w:tcMar>
              <w:top w:w="90" w:type="dxa"/>
              <w:bottom w:w="90" w:type="dxa"/>
            </w:tcMar>
            <w:vAlign w:val="center"/>
          </w:tcPr>
          <w:p w14:paraId="02F4ECBE"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FY26</w:t>
            </w:r>
          </w:p>
        </w:tc>
      </w:tr>
      <w:tr w:rsidR="00255917" w14:paraId="7FCAFC83" w14:textId="77777777">
        <w:tc>
          <w:tcPr>
            <w:tcW w:w="2400" w:type="dxa"/>
          </w:tcPr>
          <w:p w14:paraId="4C09E07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Operating margin</w:t>
            </w:r>
          </w:p>
        </w:tc>
        <w:tc>
          <w:tcPr>
            <w:tcW w:w="1324" w:type="dxa"/>
          </w:tcPr>
          <w:p w14:paraId="31F5ECE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13.3%</w:t>
            </w:r>
          </w:p>
        </w:tc>
        <w:tc>
          <w:tcPr>
            <w:tcW w:w="1324" w:type="dxa"/>
          </w:tcPr>
          <w:p w14:paraId="428EFC44"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19.2%</w:t>
            </w:r>
          </w:p>
        </w:tc>
        <w:tc>
          <w:tcPr>
            <w:tcW w:w="1324" w:type="dxa"/>
          </w:tcPr>
          <w:p w14:paraId="02709114"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19.1%</w:t>
            </w:r>
          </w:p>
        </w:tc>
        <w:tc>
          <w:tcPr>
            <w:tcW w:w="1324" w:type="dxa"/>
          </w:tcPr>
          <w:p w14:paraId="337A4D9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17.6%</w:t>
            </w:r>
          </w:p>
        </w:tc>
        <w:tc>
          <w:tcPr>
            <w:tcW w:w="1324" w:type="dxa"/>
          </w:tcPr>
          <w:p w14:paraId="76002CF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15.9%</w:t>
            </w:r>
          </w:p>
        </w:tc>
      </w:tr>
      <w:tr w:rsidR="00255917" w14:paraId="0FF6BC03" w14:textId="77777777">
        <w:tc>
          <w:tcPr>
            <w:tcW w:w="2400" w:type="dxa"/>
          </w:tcPr>
          <w:p w14:paraId="294631B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Net margin</w:t>
            </w:r>
          </w:p>
        </w:tc>
        <w:tc>
          <w:tcPr>
            <w:tcW w:w="1324" w:type="dxa"/>
          </w:tcPr>
          <w:p w14:paraId="04ED0FC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2.5%</w:t>
            </w:r>
          </w:p>
        </w:tc>
        <w:tc>
          <w:tcPr>
            <w:tcW w:w="1324" w:type="dxa"/>
          </w:tcPr>
          <w:p w14:paraId="1582C273"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10.6%</w:t>
            </w:r>
          </w:p>
        </w:tc>
        <w:tc>
          <w:tcPr>
            <w:tcW w:w="1324" w:type="dxa"/>
          </w:tcPr>
          <w:p w14:paraId="546A6D0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10.5%</w:t>
            </w:r>
          </w:p>
        </w:tc>
        <w:tc>
          <w:tcPr>
            <w:tcW w:w="1324" w:type="dxa"/>
          </w:tcPr>
          <w:p w14:paraId="11E46DD2"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8.7%</w:t>
            </w:r>
          </w:p>
        </w:tc>
        <w:tc>
          <w:tcPr>
            <w:tcW w:w="1324" w:type="dxa"/>
          </w:tcPr>
          <w:p w14:paraId="0355DC72"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7.3%</w:t>
            </w:r>
          </w:p>
        </w:tc>
      </w:tr>
      <w:tr w:rsidR="00255917" w14:paraId="1BD08BCE" w14:textId="77777777">
        <w:tc>
          <w:tcPr>
            <w:tcW w:w="2400" w:type="dxa"/>
          </w:tcPr>
          <w:p w14:paraId="0797743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Statutory ROCE</w:t>
            </w:r>
          </w:p>
        </w:tc>
        <w:tc>
          <w:tcPr>
            <w:tcW w:w="1324" w:type="dxa"/>
          </w:tcPr>
          <w:p w14:paraId="5852338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2.6%</w:t>
            </w:r>
          </w:p>
        </w:tc>
        <w:tc>
          <w:tcPr>
            <w:tcW w:w="1324" w:type="dxa"/>
          </w:tcPr>
          <w:p w14:paraId="648EA75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5.6%</w:t>
            </w:r>
          </w:p>
        </w:tc>
        <w:tc>
          <w:tcPr>
            <w:tcW w:w="1324" w:type="dxa"/>
          </w:tcPr>
          <w:p w14:paraId="4FB5A4E4"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6.5%</w:t>
            </w:r>
          </w:p>
        </w:tc>
        <w:tc>
          <w:tcPr>
            <w:tcW w:w="1324" w:type="dxa"/>
          </w:tcPr>
          <w:p w14:paraId="0683B033"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6.0%</w:t>
            </w:r>
          </w:p>
        </w:tc>
        <w:tc>
          <w:tcPr>
            <w:tcW w:w="1324" w:type="dxa"/>
          </w:tcPr>
          <w:p w14:paraId="050B413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5.3%</w:t>
            </w:r>
          </w:p>
        </w:tc>
      </w:tr>
      <w:tr w:rsidR="00255917" w14:paraId="1D373574" w14:textId="77777777">
        <w:tc>
          <w:tcPr>
            <w:tcW w:w="2400" w:type="dxa"/>
          </w:tcPr>
          <w:p w14:paraId="2A902E9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Current ratio</w:t>
            </w:r>
          </w:p>
        </w:tc>
        <w:tc>
          <w:tcPr>
            <w:tcW w:w="1324" w:type="dxa"/>
          </w:tcPr>
          <w:p w14:paraId="7858E92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1.76x</w:t>
            </w:r>
          </w:p>
        </w:tc>
        <w:tc>
          <w:tcPr>
            <w:tcW w:w="1324" w:type="dxa"/>
          </w:tcPr>
          <w:p w14:paraId="05F5EFF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1.57x</w:t>
            </w:r>
          </w:p>
        </w:tc>
        <w:tc>
          <w:tcPr>
            <w:tcW w:w="1324" w:type="dxa"/>
          </w:tcPr>
          <w:p w14:paraId="47029172"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0.96x</w:t>
            </w:r>
          </w:p>
        </w:tc>
        <w:tc>
          <w:tcPr>
            <w:tcW w:w="1324" w:type="dxa"/>
          </w:tcPr>
          <w:p w14:paraId="4892924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0.81x</w:t>
            </w:r>
          </w:p>
        </w:tc>
        <w:tc>
          <w:tcPr>
            <w:tcW w:w="1324" w:type="dxa"/>
          </w:tcPr>
          <w:p w14:paraId="3A02EC7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0.44x</w:t>
            </w:r>
          </w:p>
        </w:tc>
      </w:tr>
      <w:tr w:rsidR="00255917" w14:paraId="69D4FD2F" w14:textId="77777777">
        <w:tc>
          <w:tcPr>
            <w:tcW w:w="2400" w:type="dxa"/>
          </w:tcPr>
          <w:p w14:paraId="6A0A65E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Quick ratio</w:t>
            </w:r>
          </w:p>
        </w:tc>
        <w:tc>
          <w:tcPr>
            <w:tcW w:w="1324" w:type="dxa"/>
          </w:tcPr>
          <w:p w14:paraId="2BF422B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1.74x</w:t>
            </w:r>
          </w:p>
        </w:tc>
        <w:tc>
          <w:tcPr>
            <w:tcW w:w="1324" w:type="dxa"/>
          </w:tcPr>
          <w:p w14:paraId="4FE396A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1.55x</w:t>
            </w:r>
          </w:p>
        </w:tc>
        <w:tc>
          <w:tcPr>
            <w:tcW w:w="1324" w:type="dxa"/>
          </w:tcPr>
          <w:p w14:paraId="6916460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0.94x</w:t>
            </w:r>
          </w:p>
        </w:tc>
        <w:tc>
          <w:tcPr>
            <w:tcW w:w="1324" w:type="dxa"/>
          </w:tcPr>
          <w:p w14:paraId="168A36F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0.80x</w:t>
            </w:r>
          </w:p>
        </w:tc>
        <w:tc>
          <w:tcPr>
            <w:tcW w:w="1324" w:type="dxa"/>
          </w:tcPr>
          <w:p w14:paraId="4F6B7E3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0.42x</w:t>
            </w:r>
          </w:p>
        </w:tc>
      </w:tr>
      <w:tr w:rsidR="00255917" w14:paraId="28932474" w14:textId="77777777">
        <w:tc>
          <w:tcPr>
            <w:tcW w:w="2400" w:type="dxa"/>
          </w:tcPr>
          <w:p w14:paraId="2B01D6A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Cash ratio</w:t>
            </w:r>
          </w:p>
        </w:tc>
        <w:tc>
          <w:tcPr>
            <w:tcW w:w="1324" w:type="dxa"/>
          </w:tcPr>
          <w:p w14:paraId="0095AC8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1.57x</w:t>
            </w:r>
          </w:p>
        </w:tc>
        <w:tc>
          <w:tcPr>
            <w:tcW w:w="1324" w:type="dxa"/>
          </w:tcPr>
          <w:p w14:paraId="090960D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1.38x</w:t>
            </w:r>
          </w:p>
        </w:tc>
        <w:tc>
          <w:tcPr>
            <w:tcW w:w="1324" w:type="dxa"/>
          </w:tcPr>
          <w:p w14:paraId="47D3B8E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0.80x</w:t>
            </w:r>
          </w:p>
        </w:tc>
        <w:tc>
          <w:tcPr>
            <w:tcW w:w="1324" w:type="dxa"/>
          </w:tcPr>
          <w:p w14:paraId="20690A6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0.69x</w:t>
            </w:r>
          </w:p>
        </w:tc>
        <w:tc>
          <w:tcPr>
            <w:tcW w:w="1324" w:type="dxa"/>
          </w:tcPr>
          <w:p w14:paraId="78C13EC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0.26x</w:t>
            </w:r>
          </w:p>
        </w:tc>
      </w:tr>
      <w:tr w:rsidR="00255917" w14:paraId="058209AB" w14:textId="77777777">
        <w:tc>
          <w:tcPr>
            <w:tcW w:w="2400" w:type="dxa"/>
          </w:tcPr>
          <w:p w14:paraId="2FEA31D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Debt/equity</w:t>
            </w:r>
          </w:p>
        </w:tc>
        <w:tc>
          <w:tcPr>
            <w:tcW w:w="1324" w:type="dxa"/>
          </w:tcPr>
          <w:p w14:paraId="468795D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1.14x</w:t>
            </w:r>
          </w:p>
        </w:tc>
        <w:tc>
          <w:tcPr>
            <w:tcW w:w="1324" w:type="dxa"/>
          </w:tcPr>
          <w:p w14:paraId="5A8C5FE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1.20x</w:t>
            </w:r>
          </w:p>
        </w:tc>
        <w:tc>
          <w:tcPr>
            <w:tcW w:w="1324" w:type="dxa"/>
          </w:tcPr>
          <w:p w14:paraId="5647F1F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1.45x</w:t>
            </w:r>
          </w:p>
        </w:tc>
        <w:tc>
          <w:tcPr>
            <w:tcW w:w="1324" w:type="dxa"/>
          </w:tcPr>
          <w:p w14:paraId="211B654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1.69x</w:t>
            </w:r>
          </w:p>
        </w:tc>
        <w:tc>
          <w:tcPr>
            <w:tcW w:w="1324" w:type="dxa"/>
          </w:tcPr>
          <w:p w14:paraId="330943F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1.74x</w:t>
            </w:r>
          </w:p>
        </w:tc>
      </w:tr>
      <w:tr w:rsidR="00255917" w14:paraId="39E79CC4" w14:textId="77777777">
        <w:tc>
          <w:tcPr>
            <w:tcW w:w="2400" w:type="dxa"/>
          </w:tcPr>
          <w:p w14:paraId="68B9A6E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Interest cover</w:t>
            </w:r>
          </w:p>
        </w:tc>
        <w:tc>
          <w:tcPr>
            <w:tcW w:w="1324" w:type="dxa"/>
          </w:tcPr>
          <w:p w14:paraId="3544FE8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1.31x</w:t>
            </w:r>
          </w:p>
        </w:tc>
        <w:tc>
          <w:tcPr>
            <w:tcW w:w="1324" w:type="dxa"/>
          </w:tcPr>
          <w:p w14:paraId="32E6531F"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3.03x</w:t>
            </w:r>
          </w:p>
        </w:tc>
        <w:tc>
          <w:tcPr>
            <w:tcW w:w="1324" w:type="dxa"/>
          </w:tcPr>
          <w:p w14:paraId="490F955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3.15x</w:t>
            </w:r>
          </w:p>
        </w:tc>
        <w:tc>
          <w:tcPr>
            <w:tcW w:w="1324" w:type="dxa"/>
          </w:tcPr>
          <w:p w14:paraId="75E0221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2.73x</w:t>
            </w:r>
          </w:p>
        </w:tc>
        <w:tc>
          <w:tcPr>
            <w:tcW w:w="1324" w:type="dxa"/>
          </w:tcPr>
          <w:p w14:paraId="328881C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2.32x</w:t>
            </w:r>
          </w:p>
        </w:tc>
      </w:tr>
    </w:tbl>
    <w:p w14:paraId="0575CD25" w14:textId="77777777" w:rsidR="00255917" w:rsidRDefault="00C312C7">
      <w:pPr>
        <w:pBdr>
          <w:top w:val="nil"/>
          <w:left w:val="nil"/>
          <w:bottom w:val="nil"/>
          <w:right w:val="nil"/>
          <w:between w:val="nil"/>
        </w:pBdr>
        <w:spacing w:before="80" w:after="14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 xml:space="preserve">Source: Whitbread PLC annual </w:t>
      </w:r>
      <w:proofErr w:type="gramStart"/>
      <w:r>
        <w:rPr>
          <w:rFonts w:ascii="Times New Roman" w:eastAsia="Times New Roman" w:hAnsi="Times New Roman" w:cs="Times New Roman"/>
          <w:color w:val="000000"/>
        </w:rPr>
        <w:t>reports(</w:t>
      </w:r>
      <w:proofErr w:type="gramEnd"/>
      <w:r>
        <w:rPr>
          <w:rFonts w:ascii="Times New Roman" w:eastAsia="Times New Roman" w:hAnsi="Times New Roman" w:cs="Times New Roman"/>
          <w:color w:val="000000"/>
        </w:rPr>
        <w:t>2026). Gross margin is excluded because cost of sales is not disclosed.</w:t>
      </w:r>
    </w:p>
    <w:p w14:paraId="134BB1ED" w14:textId="77777777" w:rsidR="00255917" w:rsidRDefault="00C312C7">
      <w:pPr>
        <w:pStyle w:val="Heading5"/>
        <w:spacing w:before="80" w:after="80" w:line="276" w:lineRule="auto"/>
        <w:jc w:val="center"/>
        <w:rPr>
          <w:rFonts w:ascii="Times New Roman" w:eastAsia="Times New Roman" w:hAnsi="Times New Roman" w:cs="Times New Roman"/>
          <w:b/>
          <w:bCs/>
          <w:color w:val="000000"/>
        </w:rPr>
      </w:pPr>
      <w:bookmarkStart w:id="6" w:name="_2qfv7hq247mu" w:colFirst="0" w:colLast="0"/>
      <w:bookmarkEnd w:id="6"/>
      <w:r>
        <w:rPr>
          <w:rFonts w:ascii="Times New Roman" w:eastAsia="Times New Roman" w:hAnsi="Times New Roman" w:cs="Times New Roman"/>
          <w:b/>
          <w:bCs/>
          <w:color w:val="000000"/>
        </w:rPr>
        <w:lastRenderedPageBreak/>
        <w:t>Figure 1. Whitbread profitability trend, FY22-FY26</w:t>
      </w:r>
    </w:p>
    <w:p w14:paraId="59F58E63" w14:textId="77777777" w:rsidR="00255917" w:rsidRDefault="00C312C7">
      <w:pPr>
        <w:keepNext/>
        <w:spacing w:line="276" w:lineRule="auto"/>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114300" distR="114300" wp14:anchorId="32009C89" wp14:editId="5C81F960">
            <wp:extent cx="5581650" cy="2295742"/>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t="5643" b="3405"/>
                    <a:stretch>
                      <a:fillRect/>
                    </a:stretch>
                  </pic:blipFill>
                  <pic:spPr>
                    <a:xfrm>
                      <a:off x="0" y="0"/>
                      <a:ext cx="5581650" cy="2295742"/>
                    </a:xfrm>
                    <a:prstGeom prst="rect">
                      <a:avLst/>
                    </a:prstGeom>
                    <a:ln/>
                  </pic:spPr>
                </pic:pic>
              </a:graphicData>
            </a:graphic>
          </wp:inline>
        </w:drawing>
      </w:r>
    </w:p>
    <w:p w14:paraId="3C645C22" w14:textId="77777777" w:rsidR="00255917" w:rsidRDefault="00C312C7">
      <w:pPr>
        <w:pBdr>
          <w:top w:val="nil"/>
          <w:left w:val="nil"/>
          <w:bottom w:val="nil"/>
          <w:right w:val="nil"/>
          <w:between w:val="nil"/>
        </w:pBdr>
        <w:spacing w:before="80" w:after="14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 xml:space="preserve">Source: Formula-linked Excel model using Whitbread statutory data </w:t>
      </w:r>
      <w:proofErr w:type="gramStart"/>
      <w:r>
        <w:rPr>
          <w:rFonts w:ascii="Times New Roman" w:eastAsia="Times New Roman" w:hAnsi="Times New Roman" w:cs="Times New Roman"/>
          <w:color w:val="000000"/>
        </w:rPr>
        <w:t>( analysis</w:t>
      </w:r>
      <w:proofErr w:type="gramEnd"/>
      <w:r>
        <w:rPr>
          <w:rFonts w:ascii="Times New Roman" w:eastAsia="Times New Roman" w:hAnsi="Times New Roman" w:cs="Times New Roman"/>
          <w:color w:val="000000"/>
        </w:rPr>
        <w:t>, 2026).</w:t>
      </w:r>
    </w:p>
    <w:p w14:paraId="712F5AF7" w14:textId="77777777" w:rsidR="00255917" w:rsidRDefault="00C312C7">
      <w:pPr>
        <w:pStyle w:val="Heading3"/>
        <w:spacing w:line="276" w:lineRule="auto"/>
        <w:rPr>
          <w:rFonts w:ascii="Times New Roman" w:eastAsia="Times New Roman" w:hAnsi="Times New Roman" w:cs="Times New Roman"/>
          <w:color w:val="000000"/>
          <w:sz w:val="24"/>
          <w:szCs w:val="24"/>
        </w:rPr>
      </w:pPr>
      <w:bookmarkStart w:id="7" w:name="_tqm21f4r4gzu" w:colFirst="0" w:colLast="0"/>
      <w:bookmarkEnd w:id="7"/>
      <w:r>
        <w:rPr>
          <w:rFonts w:ascii="Times New Roman" w:eastAsia="Times New Roman" w:hAnsi="Times New Roman" w:cs="Times New Roman"/>
          <w:color w:val="000000"/>
          <w:sz w:val="24"/>
          <w:szCs w:val="24"/>
        </w:rPr>
        <w:t>2.3 Liquidity and sector comparison</w:t>
      </w:r>
    </w:p>
    <w:p w14:paraId="40C1B509"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Deteriorating liquidity is apparent. This is the most apparent immediate financial concern out of the </w:t>
      </w:r>
      <w:proofErr w:type="gramStart"/>
      <w:r>
        <w:rPr>
          <w:rFonts w:ascii="Times New Roman" w:eastAsia="Times New Roman" w:hAnsi="Times New Roman" w:cs="Times New Roman"/>
          <w:color w:val="000000"/>
        </w:rPr>
        <w:t>five year</w:t>
      </w:r>
      <w:proofErr w:type="gramEnd"/>
      <w:r>
        <w:rPr>
          <w:rFonts w:ascii="Times New Roman" w:eastAsia="Times New Roman" w:hAnsi="Times New Roman" w:cs="Times New Roman"/>
          <w:color w:val="000000"/>
        </w:rPr>
        <w:t xml:space="preserve"> analysis. The benchmarks for the sector, and therefore the analysis, show that the weakness is material. Considering the 2025 hotel and motel sector current and quick ratios of 0.82x and 0.69x from </w:t>
      </w:r>
      <w:proofErr w:type="spellStart"/>
      <w:r>
        <w:rPr>
          <w:rFonts w:ascii="Times New Roman" w:eastAsia="Times New Roman" w:hAnsi="Times New Roman" w:cs="Times New Roman"/>
          <w:color w:val="000000"/>
        </w:rPr>
        <w:t>ReadyRatios</w:t>
      </w:r>
      <w:proofErr w:type="spellEnd"/>
      <w:r>
        <w:rPr>
          <w:rFonts w:ascii="Times New Roman" w:eastAsia="Times New Roman" w:hAnsi="Times New Roman" w:cs="Times New Roman"/>
          <w:color w:val="000000"/>
        </w:rPr>
        <w:t xml:space="preserve"> and a 2026 Q1 hotel and tourism current ratio of 0.87x from </w:t>
      </w:r>
      <w:proofErr w:type="spellStart"/>
      <w:r>
        <w:rPr>
          <w:rFonts w:ascii="Times New Roman" w:eastAsia="Times New Roman" w:hAnsi="Times New Roman" w:cs="Times New Roman"/>
          <w:color w:val="000000"/>
        </w:rPr>
        <w:t>CSIMarket</w:t>
      </w:r>
      <w:proofErr w:type="spellEnd"/>
      <w:r>
        <w:rPr>
          <w:rFonts w:ascii="Times New Roman" w:eastAsia="Times New Roman" w:hAnsi="Times New Roman" w:cs="Times New Roman"/>
          <w:color w:val="000000"/>
        </w:rPr>
        <w:t xml:space="preserve"> (</w:t>
      </w:r>
      <w:proofErr w:type="spellStart"/>
      <w:r>
        <w:rPr>
          <w:rFonts w:ascii="Times New Roman" w:eastAsia="Times New Roman" w:hAnsi="Times New Roman" w:cs="Times New Roman"/>
          <w:color w:val="000000"/>
        </w:rPr>
        <w:t>ReadyRatios</w:t>
      </w:r>
      <w:proofErr w:type="spellEnd"/>
      <w:r>
        <w:rPr>
          <w:rFonts w:ascii="Times New Roman" w:eastAsia="Times New Roman" w:hAnsi="Times New Roman" w:cs="Times New Roman"/>
          <w:color w:val="000000"/>
        </w:rPr>
        <w:t xml:space="preserve">, 2026; </w:t>
      </w:r>
      <w:proofErr w:type="spellStart"/>
      <w:r>
        <w:rPr>
          <w:rFonts w:ascii="Times New Roman" w:eastAsia="Times New Roman" w:hAnsi="Times New Roman" w:cs="Times New Roman"/>
          <w:color w:val="000000"/>
        </w:rPr>
        <w:t>CSIMarket</w:t>
      </w:r>
      <w:proofErr w:type="spellEnd"/>
      <w:r>
        <w:rPr>
          <w:rFonts w:ascii="Times New Roman" w:eastAsia="Times New Roman" w:hAnsi="Times New Roman" w:cs="Times New Roman"/>
          <w:color w:val="000000"/>
        </w:rPr>
        <w:t xml:space="preserve">, 2026), </w:t>
      </w:r>
    </w:p>
    <w:p w14:paraId="624AE51F"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Whitbread's FY26 current ratio is approximately between 0.38x and 0.43x too low and the quick ratio is 0.27x too low. Because of the different constituents, location, time, and reporting terminology, the benchmarks are to be interpreted broadly. Even with low benchmarks, Whitbread is significantly below the hospitality benchmarks, not just the 1.0x benchmark.</w:t>
      </w:r>
    </w:p>
    <w:p w14:paraId="6E44C1B5"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A low current ratio in hotels does not imply financial distress as inventory and cash turn rapidly. In FY26, Whitbread had £752.8 million of net operating cash; however, the operating cash flow ratio was only 0.85x and did not meet current liabilities. Positive cash generation alleviates refinancing risk, covenant risk, and liquidity risk, but does not negate them. Liquidity, fixed lease obligations, capital commitments, and reduced cash reserves must be assessed together.</w:t>
      </w:r>
    </w:p>
    <w:p w14:paraId="5EC828B9" w14:textId="77777777" w:rsidR="00255917" w:rsidRDefault="00C312C7">
      <w:pPr>
        <w:pStyle w:val="Heading4"/>
        <w:spacing w:before="80" w:after="80" w:line="276" w:lineRule="auto"/>
        <w:jc w:val="center"/>
        <w:rPr>
          <w:rFonts w:ascii="Times New Roman" w:eastAsia="Times New Roman" w:hAnsi="Times New Roman" w:cs="Times New Roman"/>
          <w:i w:val="0"/>
          <w:iCs w:val="0"/>
          <w:color w:val="000000"/>
        </w:rPr>
      </w:pPr>
      <w:bookmarkStart w:id="8" w:name="_v6duf2pldxdw" w:colFirst="0" w:colLast="0"/>
      <w:bookmarkEnd w:id="8"/>
      <w:r>
        <w:rPr>
          <w:rFonts w:ascii="Times New Roman" w:eastAsia="Times New Roman" w:hAnsi="Times New Roman" w:cs="Times New Roman"/>
          <w:i w:val="0"/>
          <w:iCs w:val="0"/>
          <w:color w:val="000000"/>
        </w:rPr>
        <w:t>Table 3. FY26 liquidity benchmark</w:t>
      </w:r>
    </w:p>
    <w:tbl>
      <w:tblPr>
        <w:tblStyle w:val="a2"/>
        <w:tblW w:w="9020" w:type="dxa"/>
        <w:tblInd w:w="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1700"/>
        <w:gridCol w:w="1450"/>
        <w:gridCol w:w="1600"/>
        <w:gridCol w:w="1200"/>
        <w:gridCol w:w="1800"/>
        <w:gridCol w:w="1270"/>
      </w:tblGrid>
      <w:tr w:rsidR="00255917" w14:paraId="7339276B" w14:textId="77777777">
        <w:trPr>
          <w:tblHeader/>
        </w:trPr>
        <w:tc>
          <w:tcPr>
            <w:tcW w:w="1700" w:type="dxa"/>
            <w:tcMar>
              <w:top w:w="90" w:type="dxa"/>
              <w:bottom w:w="90" w:type="dxa"/>
            </w:tcMar>
            <w:vAlign w:val="center"/>
          </w:tcPr>
          <w:p w14:paraId="3FCF37AB"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Ratio</w:t>
            </w:r>
          </w:p>
        </w:tc>
        <w:tc>
          <w:tcPr>
            <w:tcW w:w="1450" w:type="dxa"/>
            <w:tcMar>
              <w:top w:w="90" w:type="dxa"/>
              <w:bottom w:w="90" w:type="dxa"/>
            </w:tcMar>
            <w:vAlign w:val="center"/>
          </w:tcPr>
          <w:p w14:paraId="0B977BA2"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Whitbread FY26</w:t>
            </w:r>
          </w:p>
        </w:tc>
        <w:tc>
          <w:tcPr>
            <w:tcW w:w="1600" w:type="dxa"/>
            <w:tcMar>
              <w:top w:w="90" w:type="dxa"/>
              <w:bottom w:w="90" w:type="dxa"/>
            </w:tcMar>
            <w:vAlign w:val="center"/>
          </w:tcPr>
          <w:p w14:paraId="4D6EA787" w14:textId="77777777" w:rsidR="00255917" w:rsidRDefault="00C312C7">
            <w:pPr>
              <w:spacing w:after="0" w:line="276" w:lineRule="auto"/>
              <w:jc w:val="center"/>
              <w:rPr>
                <w:rFonts w:ascii="Times New Roman" w:eastAsia="Times New Roman" w:hAnsi="Times New Roman" w:cs="Times New Roman"/>
                <w:b/>
                <w:bCs/>
                <w:color w:val="000000"/>
              </w:rPr>
            </w:pPr>
            <w:proofErr w:type="spellStart"/>
            <w:r>
              <w:rPr>
                <w:rFonts w:ascii="Times New Roman" w:eastAsia="Times New Roman" w:hAnsi="Times New Roman" w:cs="Times New Roman"/>
                <w:b/>
                <w:bCs/>
                <w:color w:val="000000"/>
              </w:rPr>
              <w:t>ReadyRatios</w:t>
            </w:r>
            <w:proofErr w:type="spellEnd"/>
            <w:r>
              <w:rPr>
                <w:rFonts w:ascii="Times New Roman" w:eastAsia="Times New Roman" w:hAnsi="Times New Roman" w:cs="Times New Roman"/>
                <w:b/>
                <w:bCs/>
                <w:color w:val="000000"/>
              </w:rPr>
              <w:t xml:space="preserve"> 2025</w:t>
            </w:r>
          </w:p>
        </w:tc>
        <w:tc>
          <w:tcPr>
            <w:tcW w:w="1200" w:type="dxa"/>
            <w:tcMar>
              <w:top w:w="90" w:type="dxa"/>
              <w:bottom w:w="90" w:type="dxa"/>
            </w:tcMar>
            <w:vAlign w:val="center"/>
          </w:tcPr>
          <w:p w14:paraId="291DD04B"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Gap</w:t>
            </w:r>
          </w:p>
        </w:tc>
        <w:tc>
          <w:tcPr>
            <w:tcW w:w="1800" w:type="dxa"/>
            <w:tcMar>
              <w:top w:w="90" w:type="dxa"/>
              <w:bottom w:w="90" w:type="dxa"/>
            </w:tcMar>
            <w:vAlign w:val="center"/>
          </w:tcPr>
          <w:p w14:paraId="77CC9673" w14:textId="77777777" w:rsidR="00255917" w:rsidRDefault="00C312C7">
            <w:pPr>
              <w:spacing w:after="0" w:line="276" w:lineRule="auto"/>
              <w:jc w:val="center"/>
              <w:rPr>
                <w:rFonts w:ascii="Times New Roman" w:eastAsia="Times New Roman" w:hAnsi="Times New Roman" w:cs="Times New Roman"/>
                <w:b/>
                <w:bCs/>
                <w:color w:val="000000"/>
              </w:rPr>
            </w:pPr>
            <w:proofErr w:type="spellStart"/>
            <w:r>
              <w:rPr>
                <w:rFonts w:ascii="Times New Roman" w:eastAsia="Times New Roman" w:hAnsi="Times New Roman" w:cs="Times New Roman"/>
                <w:b/>
                <w:bCs/>
                <w:color w:val="000000"/>
              </w:rPr>
              <w:t>CSIMarket</w:t>
            </w:r>
            <w:proofErr w:type="spellEnd"/>
            <w:r>
              <w:rPr>
                <w:rFonts w:ascii="Times New Roman" w:eastAsia="Times New Roman" w:hAnsi="Times New Roman" w:cs="Times New Roman"/>
                <w:b/>
                <w:bCs/>
                <w:color w:val="000000"/>
              </w:rPr>
              <w:t xml:space="preserve"> Q1 2026</w:t>
            </w:r>
          </w:p>
        </w:tc>
        <w:tc>
          <w:tcPr>
            <w:tcW w:w="1270" w:type="dxa"/>
            <w:tcMar>
              <w:top w:w="90" w:type="dxa"/>
              <w:bottom w:w="90" w:type="dxa"/>
            </w:tcMar>
            <w:vAlign w:val="center"/>
          </w:tcPr>
          <w:p w14:paraId="7EB4A55F"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Gap</w:t>
            </w:r>
          </w:p>
        </w:tc>
      </w:tr>
      <w:tr w:rsidR="00255917" w14:paraId="4633834F" w14:textId="77777777">
        <w:tc>
          <w:tcPr>
            <w:tcW w:w="1700" w:type="dxa"/>
          </w:tcPr>
          <w:p w14:paraId="72AA221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Current ratio</w:t>
            </w:r>
          </w:p>
        </w:tc>
        <w:tc>
          <w:tcPr>
            <w:tcW w:w="1450" w:type="dxa"/>
          </w:tcPr>
          <w:p w14:paraId="03EAADB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0.44x</w:t>
            </w:r>
          </w:p>
        </w:tc>
        <w:tc>
          <w:tcPr>
            <w:tcW w:w="1600" w:type="dxa"/>
          </w:tcPr>
          <w:p w14:paraId="5D1610F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0.82x</w:t>
            </w:r>
          </w:p>
        </w:tc>
        <w:tc>
          <w:tcPr>
            <w:tcW w:w="1200" w:type="dxa"/>
          </w:tcPr>
          <w:p w14:paraId="32963112"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-0.38x</w:t>
            </w:r>
          </w:p>
        </w:tc>
        <w:tc>
          <w:tcPr>
            <w:tcW w:w="1800" w:type="dxa"/>
          </w:tcPr>
          <w:p w14:paraId="46E548B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0.87x</w:t>
            </w:r>
          </w:p>
        </w:tc>
        <w:tc>
          <w:tcPr>
            <w:tcW w:w="1270" w:type="dxa"/>
          </w:tcPr>
          <w:p w14:paraId="65248C9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-0.43x</w:t>
            </w:r>
          </w:p>
        </w:tc>
      </w:tr>
      <w:tr w:rsidR="00255917" w14:paraId="5981FF3D" w14:textId="77777777">
        <w:tc>
          <w:tcPr>
            <w:tcW w:w="1700" w:type="dxa"/>
          </w:tcPr>
          <w:p w14:paraId="4141357B"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Quick ratio</w:t>
            </w:r>
          </w:p>
        </w:tc>
        <w:tc>
          <w:tcPr>
            <w:tcW w:w="1450" w:type="dxa"/>
          </w:tcPr>
          <w:p w14:paraId="7DAD89F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0.42x</w:t>
            </w:r>
          </w:p>
        </w:tc>
        <w:tc>
          <w:tcPr>
            <w:tcW w:w="1600" w:type="dxa"/>
          </w:tcPr>
          <w:p w14:paraId="0592EA94"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0.69x</w:t>
            </w:r>
          </w:p>
        </w:tc>
        <w:tc>
          <w:tcPr>
            <w:tcW w:w="1200" w:type="dxa"/>
          </w:tcPr>
          <w:p w14:paraId="703DF06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-0.27x</w:t>
            </w:r>
          </w:p>
        </w:tc>
        <w:tc>
          <w:tcPr>
            <w:tcW w:w="1800" w:type="dxa"/>
          </w:tcPr>
          <w:p w14:paraId="133D7C7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N/A</w:t>
            </w:r>
          </w:p>
        </w:tc>
        <w:tc>
          <w:tcPr>
            <w:tcW w:w="1270" w:type="dxa"/>
          </w:tcPr>
          <w:p w14:paraId="38DB8B7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N/A</w:t>
            </w:r>
          </w:p>
        </w:tc>
      </w:tr>
      <w:tr w:rsidR="00255917" w14:paraId="079055F2" w14:textId="77777777">
        <w:tc>
          <w:tcPr>
            <w:tcW w:w="1700" w:type="dxa"/>
          </w:tcPr>
          <w:p w14:paraId="6B29AB0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Cash ratio</w:t>
            </w:r>
          </w:p>
        </w:tc>
        <w:tc>
          <w:tcPr>
            <w:tcW w:w="1450" w:type="dxa"/>
          </w:tcPr>
          <w:p w14:paraId="38937D5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0.26x</w:t>
            </w:r>
          </w:p>
        </w:tc>
        <w:tc>
          <w:tcPr>
            <w:tcW w:w="1600" w:type="dxa"/>
          </w:tcPr>
          <w:p w14:paraId="0D3C633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N/A</w:t>
            </w:r>
          </w:p>
        </w:tc>
        <w:tc>
          <w:tcPr>
            <w:tcW w:w="1200" w:type="dxa"/>
          </w:tcPr>
          <w:p w14:paraId="60B75BC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N/A</w:t>
            </w:r>
          </w:p>
        </w:tc>
        <w:tc>
          <w:tcPr>
            <w:tcW w:w="1800" w:type="dxa"/>
          </w:tcPr>
          <w:p w14:paraId="75487B24"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N/A</w:t>
            </w:r>
          </w:p>
        </w:tc>
        <w:tc>
          <w:tcPr>
            <w:tcW w:w="1270" w:type="dxa"/>
          </w:tcPr>
          <w:p w14:paraId="78A90777"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N/A</w:t>
            </w:r>
          </w:p>
        </w:tc>
      </w:tr>
    </w:tbl>
    <w:p w14:paraId="473DE62D" w14:textId="77777777" w:rsidR="00255917" w:rsidRDefault="00C312C7">
      <w:pPr>
        <w:pBdr>
          <w:top w:val="nil"/>
          <w:left w:val="nil"/>
          <w:bottom w:val="nil"/>
          <w:right w:val="nil"/>
          <w:between w:val="nil"/>
        </w:pBdr>
        <w:spacing w:before="80" w:after="14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 xml:space="preserve">Source: Whitbread PLC (2026c); </w:t>
      </w:r>
      <w:proofErr w:type="spellStart"/>
      <w:r>
        <w:rPr>
          <w:rFonts w:ascii="Times New Roman" w:eastAsia="Times New Roman" w:hAnsi="Times New Roman" w:cs="Times New Roman"/>
          <w:color w:val="000000"/>
        </w:rPr>
        <w:t>ReadyRatios</w:t>
      </w:r>
      <w:proofErr w:type="spellEnd"/>
      <w:r>
        <w:rPr>
          <w:rFonts w:ascii="Times New Roman" w:eastAsia="Times New Roman" w:hAnsi="Times New Roman" w:cs="Times New Roman"/>
          <w:color w:val="000000"/>
        </w:rPr>
        <w:t xml:space="preserve"> (2026); </w:t>
      </w:r>
      <w:proofErr w:type="spellStart"/>
      <w:r>
        <w:rPr>
          <w:rFonts w:ascii="Times New Roman" w:eastAsia="Times New Roman" w:hAnsi="Times New Roman" w:cs="Times New Roman"/>
          <w:color w:val="000000"/>
        </w:rPr>
        <w:t>CSIMarket</w:t>
      </w:r>
      <w:proofErr w:type="spellEnd"/>
      <w:r>
        <w:rPr>
          <w:rFonts w:ascii="Times New Roman" w:eastAsia="Times New Roman" w:hAnsi="Times New Roman" w:cs="Times New Roman"/>
          <w:color w:val="000000"/>
        </w:rPr>
        <w:t xml:space="preserve"> (2026</w:t>
      </w:r>
      <w:proofErr w:type="gramStart"/>
      <w:r>
        <w:rPr>
          <w:rFonts w:ascii="Times New Roman" w:eastAsia="Times New Roman" w:hAnsi="Times New Roman" w:cs="Times New Roman"/>
          <w:color w:val="000000"/>
        </w:rPr>
        <w:t>);  calculations</w:t>
      </w:r>
      <w:proofErr w:type="gramEnd"/>
      <w:r>
        <w:rPr>
          <w:rFonts w:ascii="Times New Roman" w:eastAsia="Times New Roman" w:hAnsi="Times New Roman" w:cs="Times New Roman"/>
          <w:color w:val="000000"/>
        </w:rPr>
        <w:t>.</w:t>
      </w:r>
    </w:p>
    <w:p w14:paraId="2CB42E35" w14:textId="77777777" w:rsidR="00255917" w:rsidRDefault="00C312C7">
      <w:pPr>
        <w:pStyle w:val="Heading5"/>
        <w:spacing w:before="80" w:after="80" w:line="276" w:lineRule="auto"/>
        <w:jc w:val="center"/>
        <w:rPr>
          <w:rFonts w:ascii="Times New Roman" w:eastAsia="Times New Roman" w:hAnsi="Times New Roman" w:cs="Times New Roman"/>
          <w:b/>
          <w:bCs/>
          <w:color w:val="000000"/>
        </w:rPr>
      </w:pPr>
      <w:bookmarkStart w:id="9" w:name="_7dw8xgv1i7k9" w:colFirst="0" w:colLast="0"/>
      <w:bookmarkEnd w:id="9"/>
      <w:r>
        <w:rPr>
          <w:rFonts w:ascii="Times New Roman" w:eastAsia="Times New Roman" w:hAnsi="Times New Roman" w:cs="Times New Roman"/>
          <w:b/>
          <w:bCs/>
          <w:color w:val="000000"/>
        </w:rPr>
        <w:lastRenderedPageBreak/>
        <w:t>Figure 2. Whitbread liquidity trend, FY22-FY26</w:t>
      </w:r>
    </w:p>
    <w:p w14:paraId="175D6346" w14:textId="77777777" w:rsidR="00255917" w:rsidRDefault="00C312C7">
      <w:pPr>
        <w:keepNext/>
        <w:spacing w:line="276" w:lineRule="auto"/>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114300" distR="114300" wp14:anchorId="0148CE44" wp14:editId="611DB9E1">
            <wp:extent cx="5580000" cy="2474289"/>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580000" cy="2474289"/>
                    </a:xfrm>
                    <a:prstGeom prst="rect">
                      <a:avLst/>
                    </a:prstGeom>
                    <a:ln/>
                  </pic:spPr>
                </pic:pic>
              </a:graphicData>
            </a:graphic>
          </wp:inline>
        </w:drawing>
      </w:r>
    </w:p>
    <w:p w14:paraId="74B63ADC" w14:textId="77777777" w:rsidR="00255917" w:rsidRDefault="00C312C7">
      <w:pPr>
        <w:pBdr>
          <w:top w:val="nil"/>
          <w:left w:val="nil"/>
          <w:bottom w:val="nil"/>
          <w:right w:val="nil"/>
          <w:between w:val="nil"/>
        </w:pBdr>
        <w:spacing w:before="80" w:after="14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 xml:space="preserve">Source: Formula-linked Excel model using Whitbread statutory data </w:t>
      </w:r>
      <w:proofErr w:type="gramStart"/>
      <w:r>
        <w:rPr>
          <w:rFonts w:ascii="Times New Roman" w:eastAsia="Times New Roman" w:hAnsi="Times New Roman" w:cs="Times New Roman"/>
          <w:color w:val="000000"/>
        </w:rPr>
        <w:t>( analysis</w:t>
      </w:r>
      <w:proofErr w:type="gramEnd"/>
      <w:r>
        <w:rPr>
          <w:rFonts w:ascii="Times New Roman" w:eastAsia="Times New Roman" w:hAnsi="Times New Roman" w:cs="Times New Roman"/>
          <w:color w:val="000000"/>
        </w:rPr>
        <w:t>, 2026).</w:t>
      </w:r>
    </w:p>
    <w:p w14:paraId="0DFD003D" w14:textId="77777777" w:rsidR="00255917" w:rsidRDefault="00C312C7">
      <w:pPr>
        <w:pStyle w:val="Heading3"/>
        <w:spacing w:line="276" w:lineRule="auto"/>
        <w:rPr>
          <w:rFonts w:ascii="Times New Roman" w:eastAsia="Times New Roman" w:hAnsi="Times New Roman" w:cs="Times New Roman"/>
          <w:color w:val="000000"/>
          <w:sz w:val="24"/>
          <w:szCs w:val="24"/>
        </w:rPr>
      </w:pPr>
      <w:bookmarkStart w:id="10" w:name="_v69cu76w1wy5" w:colFirst="0" w:colLast="0"/>
      <w:bookmarkEnd w:id="10"/>
      <w:r>
        <w:rPr>
          <w:rFonts w:ascii="Times New Roman" w:eastAsia="Times New Roman" w:hAnsi="Times New Roman" w:cs="Times New Roman"/>
          <w:color w:val="000000"/>
          <w:sz w:val="24"/>
          <w:szCs w:val="24"/>
        </w:rPr>
        <w:t>2.4 Efficiency, gearing, market and cash-flow evidence</w:t>
      </w:r>
    </w:p>
    <w:p w14:paraId="3DFED071"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Efficiency ratios can only be used as broad indicators and only when price of goods sold and trade working capital are available. The number of inventory days decreased from 4.4 to 1.6 days. This is the result of limited food stocks and a more restrictive inventory. Average receivable days also showed an improvement from 24.9 to 14.7 days in FY24, but then deteriorated to 17.1 days in FY26. Average payable days dropped from 129.7 to 101.9 days. </w:t>
      </w:r>
    </w:p>
    <w:p w14:paraId="738F664D" w14:textId="77777777" w:rsidR="00255917" w:rsidRDefault="00C312C7">
      <w:pPr>
        <w:pStyle w:val="Heading5"/>
        <w:spacing w:before="80" w:after="80" w:line="276" w:lineRule="auto"/>
        <w:jc w:val="center"/>
        <w:rPr>
          <w:rFonts w:ascii="Times New Roman" w:eastAsia="Times New Roman" w:hAnsi="Times New Roman" w:cs="Times New Roman"/>
          <w:b/>
          <w:bCs/>
          <w:color w:val="000000"/>
        </w:rPr>
      </w:pPr>
      <w:r>
        <w:rPr>
          <w:b/>
          <w:bCs/>
        </w:rPr>
        <w:t>Figure 3. Whitbread efficiency and cash-cycle trends, FY22-FY26</w:t>
      </w:r>
    </w:p>
    <w:p w14:paraId="5F547D59" w14:textId="77777777" w:rsidR="00255917" w:rsidRDefault="00C312C7">
      <w:pPr>
        <w:keepNext/>
        <w:jc w:val="center"/>
      </w:pPr>
      <w:r>
        <w:rPr>
          <w:noProof/>
        </w:rPr>
        <w:drawing>
          <wp:inline distT="0" distB="0" distL="114300" distR="114300" wp14:anchorId="4C70C8E7" wp14:editId="1DD814E5">
            <wp:extent cx="5440680" cy="2084335"/>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440680" cy="2084335"/>
                    </a:xfrm>
                    <a:prstGeom prst="rect">
                      <a:avLst/>
                    </a:prstGeom>
                    <a:ln/>
                  </pic:spPr>
                </pic:pic>
              </a:graphicData>
            </a:graphic>
          </wp:inline>
        </w:drawing>
      </w:r>
    </w:p>
    <w:p w14:paraId="4759B665" w14:textId="77777777" w:rsidR="00255917" w:rsidRDefault="00C312C7">
      <w:pPr>
        <w:pBdr>
          <w:top w:val="nil"/>
          <w:left w:val="nil"/>
          <w:bottom w:val="nil"/>
          <w:right w:val="nil"/>
          <w:between w:val="nil"/>
        </w:pBdr>
        <w:spacing w:before="80" w:after="140" w:line="276" w:lineRule="auto"/>
        <w:jc w:val="center"/>
        <w:rPr>
          <w:rFonts w:ascii="Times New Roman" w:eastAsia="Times New Roman" w:hAnsi="Times New Roman" w:cs="Times New Roman"/>
          <w:color w:val="000000"/>
        </w:rPr>
      </w:pPr>
      <w:r>
        <w:t>Source: Formula-linked Excel model using Whitbread statutory data (author's analysis, 2026).</w:t>
      </w:r>
    </w:p>
    <w:p w14:paraId="57B70C38" w14:textId="77777777" w:rsidR="00255917" w:rsidRDefault="00C312C7">
      <w:pPr>
        <w:spacing w:after="140" w:line="276" w:lineRule="auto"/>
        <w:rPr>
          <w:rFonts w:ascii="Times New Roman" w:eastAsia="Times New Roman" w:hAnsi="Times New Roman" w:cs="Times New Roman"/>
          <w:color w:val="000000"/>
        </w:rPr>
      </w:pPr>
      <w:r>
        <w:t>Figure 3 shows lower inventory and payable days, while receivable days rose slightly after FY24. The cash-cycle proxy remained negative throughout and should be treated as directional.</w:t>
      </w:r>
    </w:p>
    <w:p w14:paraId="245C9DC8"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Lease-inclusive gearing increased significantly. Debt-to-Assets increased from 49.1% to 57.1%, and Debt-to-Equity increased from 1.14x to 1.74x. Interest coverage also improved from 1.31x in FY22 to 3.15x in FY24, but then dropped to 2.32x in FY26. Lease-heavy hotel </w:t>
      </w:r>
      <w:r>
        <w:rPr>
          <w:rFonts w:ascii="Times New Roman" w:eastAsia="Times New Roman" w:hAnsi="Times New Roman" w:cs="Times New Roman"/>
          <w:color w:val="000000"/>
        </w:rPr>
        <w:lastRenderedPageBreak/>
        <w:t>groups look more leveraged, while IFRS 16 also shows companies with leases more booking exposure to fixed payment commitments (IFRS Foundation, 2025). The research indicates that debt ratios will significantly increase with IFRS 16, and profitability will decline, therefore a Like-for-Like and trend analysis will be required for assessments (Bialek-Jaworska et al., 2022). Consistent lease-inclusive assessments also show a negative trend.</w:t>
      </w:r>
    </w:p>
    <w:p w14:paraId="101DC88B" w14:textId="77777777" w:rsidR="00255917" w:rsidRDefault="00C312C7">
      <w:pPr>
        <w:pStyle w:val="Heading5"/>
        <w:spacing w:before="80" w:after="80" w:line="276" w:lineRule="auto"/>
        <w:jc w:val="center"/>
        <w:rPr>
          <w:rFonts w:ascii="Times New Roman" w:eastAsia="Times New Roman" w:hAnsi="Times New Roman" w:cs="Times New Roman"/>
          <w:b/>
          <w:bCs/>
          <w:color w:val="000000"/>
        </w:rPr>
      </w:pPr>
      <w:r>
        <w:rPr>
          <w:b/>
          <w:bCs/>
        </w:rPr>
        <w:t>Figure 4. Whitbread leverage and interest-cover trends, FY22-FY26</w:t>
      </w:r>
    </w:p>
    <w:p w14:paraId="61A32987" w14:textId="77777777" w:rsidR="00255917" w:rsidRDefault="00C312C7">
      <w:pPr>
        <w:keepNext/>
        <w:jc w:val="center"/>
      </w:pPr>
      <w:r>
        <w:rPr>
          <w:noProof/>
        </w:rPr>
        <w:drawing>
          <wp:inline distT="0" distB="0" distL="114300" distR="114300" wp14:anchorId="05A659E8" wp14:editId="59D3BC0C">
            <wp:extent cx="5440680" cy="2100077"/>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440680" cy="2100077"/>
                    </a:xfrm>
                    <a:prstGeom prst="rect">
                      <a:avLst/>
                    </a:prstGeom>
                    <a:ln/>
                  </pic:spPr>
                </pic:pic>
              </a:graphicData>
            </a:graphic>
          </wp:inline>
        </w:drawing>
      </w:r>
    </w:p>
    <w:p w14:paraId="4B7D0040" w14:textId="77777777" w:rsidR="00255917" w:rsidRDefault="00C312C7">
      <w:pPr>
        <w:pBdr>
          <w:top w:val="nil"/>
          <w:left w:val="nil"/>
          <w:bottom w:val="nil"/>
          <w:right w:val="nil"/>
          <w:between w:val="nil"/>
        </w:pBdr>
        <w:spacing w:before="80" w:after="140" w:line="276" w:lineRule="auto"/>
        <w:jc w:val="center"/>
        <w:rPr>
          <w:rFonts w:ascii="Times New Roman" w:eastAsia="Times New Roman" w:hAnsi="Times New Roman" w:cs="Times New Roman"/>
          <w:color w:val="000000"/>
        </w:rPr>
      </w:pPr>
      <w:r>
        <w:t>Source: Formula-linked Excel model using Whitbread statutory data (author's analysis, 2026).</w:t>
      </w:r>
    </w:p>
    <w:p w14:paraId="157F79C9" w14:textId="77777777" w:rsidR="00255917" w:rsidRDefault="00C312C7">
      <w:pPr>
        <w:spacing w:after="140" w:line="276" w:lineRule="auto"/>
        <w:rPr>
          <w:rFonts w:ascii="Times New Roman" w:eastAsia="Times New Roman" w:hAnsi="Times New Roman" w:cs="Times New Roman"/>
          <w:color w:val="000000"/>
        </w:rPr>
      </w:pPr>
      <w:r>
        <w:t>Figure 4 confirms rising lease-inclusive leverage and a decline in interest coverage after its FY24 peak.</w:t>
      </w:r>
    </w:p>
    <w:p w14:paraId="566FC206"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Investment market indicators suggest the same trend. Diluted EPS increased from 20.9 pence in FY22 to 159.9 pence in FY24, before decreasing to 122.4 pence in FY26. FY22’s P/E ratio of 129.33x is a distortion due to FY22 recovery year earnings. The ratio was between 19.06x and 22.36x in subsequent years, at 21.41x in FY26. The indicated dividend yield increased from 1.3% to 3.7%. This was affected by a decrease in share price at year-end and no change in the declared dividend per share at 97 pence for FY24 </w:t>
      </w:r>
      <w:r>
        <w:rPr>
          <w:rFonts w:ascii="Times New Roman" w:eastAsia="Times New Roman" w:hAnsi="Times New Roman" w:cs="Times New Roman"/>
          <w:color w:val="000000"/>
        </w:rPr>
        <w:t>to FY26 (</w:t>
      </w:r>
      <w:proofErr w:type="spellStart"/>
      <w:r>
        <w:rPr>
          <w:rFonts w:ascii="Times New Roman" w:eastAsia="Times New Roman" w:hAnsi="Times New Roman" w:cs="Times New Roman"/>
          <w:color w:val="000000"/>
        </w:rPr>
        <w:t>StockAnalysis</w:t>
      </w:r>
      <w:proofErr w:type="spellEnd"/>
      <w:r>
        <w:rPr>
          <w:rFonts w:ascii="Times New Roman" w:eastAsia="Times New Roman" w:hAnsi="Times New Roman" w:cs="Times New Roman"/>
          <w:color w:val="000000"/>
        </w:rPr>
        <w:t xml:space="preserve">, 2026; Whitbread PLC, 2026c). Cash Flow Quality covers a range of factors. While the Operating Cash Flow margin remained high at 25.8% in FY26 compared to 29.9% in FY22, Free Cash Flow and the Free Cash Flow margin decreased from £308.3 million to £75.3 million and 18.1% to 2.6%, respectively. This was driven by an increase in cash outflows for the Company’s Investment Model, which was set at £677.5 million. </w:t>
      </w:r>
    </w:p>
    <w:p w14:paraId="18734E41" w14:textId="77777777" w:rsidR="00255917" w:rsidRDefault="00C312C7">
      <w:pPr>
        <w:pStyle w:val="Heading5"/>
        <w:spacing w:before="80" w:after="80" w:line="276" w:lineRule="auto"/>
        <w:jc w:val="center"/>
        <w:rPr>
          <w:rFonts w:ascii="Times New Roman" w:eastAsia="Times New Roman" w:hAnsi="Times New Roman" w:cs="Times New Roman"/>
          <w:b/>
          <w:bCs/>
          <w:color w:val="000000"/>
        </w:rPr>
      </w:pPr>
      <w:r>
        <w:rPr>
          <w:b/>
          <w:bCs/>
        </w:rPr>
        <w:lastRenderedPageBreak/>
        <w:t>Figure 5. Whitbread price/earnings ratio, FY22-FY26</w:t>
      </w:r>
    </w:p>
    <w:p w14:paraId="1A8DC093" w14:textId="77777777" w:rsidR="00255917" w:rsidRDefault="00C312C7">
      <w:pPr>
        <w:keepNext/>
        <w:jc w:val="center"/>
      </w:pPr>
      <w:r>
        <w:rPr>
          <w:noProof/>
        </w:rPr>
        <w:drawing>
          <wp:inline distT="0" distB="0" distL="114300" distR="114300" wp14:anchorId="2AE1FCFD" wp14:editId="3AB34D94">
            <wp:extent cx="5440680" cy="2333069"/>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5440680" cy="2333069"/>
                    </a:xfrm>
                    <a:prstGeom prst="rect">
                      <a:avLst/>
                    </a:prstGeom>
                    <a:ln/>
                  </pic:spPr>
                </pic:pic>
              </a:graphicData>
            </a:graphic>
          </wp:inline>
        </w:drawing>
      </w:r>
    </w:p>
    <w:p w14:paraId="4B217A47" w14:textId="77777777" w:rsidR="00255917" w:rsidRDefault="00C312C7">
      <w:pPr>
        <w:pBdr>
          <w:top w:val="nil"/>
          <w:left w:val="nil"/>
          <w:bottom w:val="nil"/>
          <w:right w:val="nil"/>
          <w:between w:val="nil"/>
        </w:pBdr>
        <w:spacing w:before="80" w:after="140" w:line="276" w:lineRule="auto"/>
        <w:jc w:val="center"/>
        <w:rPr>
          <w:rFonts w:ascii="Times New Roman" w:eastAsia="Times New Roman" w:hAnsi="Times New Roman" w:cs="Times New Roman"/>
          <w:color w:val="000000"/>
        </w:rPr>
      </w:pPr>
      <w:r>
        <w:t>Source: Formula-linked Excel model using Whitbread statutory data (author's analysis, 2026).</w:t>
      </w:r>
    </w:p>
    <w:p w14:paraId="5E5CDC71" w14:textId="77777777" w:rsidR="00255917" w:rsidRDefault="00C312C7">
      <w:pPr>
        <w:spacing w:after="140" w:line="276" w:lineRule="auto"/>
        <w:rPr>
          <w:rFonts w:ascii="Times New Roman" w:eastAsia="Times New Roman" w:hAnsi="Times New Roman" w:cs="Times New Roman"/>
          <w:color w:val="000000"/>
        </w:rPr>
      </w:pPr>
      <w:r>
        <w:t xml:space="preserve">Figure 5 shows that the exceptional FY22 P/E reflected depressed recovery-year earnings; it subsequently </w:t>
      </w:r>
      <w:proofErr w:type="spellStart"/>
      <w:r>
        <w:t>normalised</w:t>
      </w:r>
      <w:proofErr w:type="spellEnd"/>
      <w:r>
        <w:t xml:space="preserve"> at approximately 19-22x.</w:t>
      </w:r>
    </w:p>
    <w:p w14:paraId="2B81D569"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Whitbread’s core operations still produce cash, but the amount remaining after investment is thin relative to dividends, share buybacks, and expansion plans. Liquidity must be protected during capital allocation, with preference given to projects that exceed the cost of capital with a substantial margin of safety. 2. Working Capital Management Analysis</w:t>
      </w:r>
    </w:p>
    <w:p w14:paraId="2EE4E860" w14:textId="77777777" w:rsidR="00255917" w:rsidRDefault="00C312C7">
      <w:pPr>
        <w:pStyle w:val="Heading2"/>
        <w:spacing w:line="276" w:lineRule="auto"/>
        <w:rPr>
          <w:rFonts w:ascii="Times New Roman" w:eastAsia="Times New Roman" w:hAnsi="Times New Roman" w:cs="Times New Roman"/>
          <w:color w:val="000000"/>
          <w:sz w:val="24"/>
          <w:szCs w:val="24"/>
        </w:rPr>
      </w:pPr>
      <w:bookmarkStart w:id="11" w:name="_ddrtptmegb0n" w:colFirst="0" w:colLast="0"/>
      <w:bookmarkEnd w:id="11"/>
      <w:r>
        <w:rPr>
          <w:rFonts w:ascii="Times New Roman" w:eastAsia="Times New Roman" w:hAnsi="Times New Roman" w:cs="Times New Roman"/>
          <w:color w:val="000000"/>
          <w:sz w:val="24"/>
          <w:szCs w:val="24"/>
        </w:rPr>
        <w:t>3. Strategic Financial Restructuring Plan</w:t>
      </w:r>
    </w:p>
    <w:p w14:paraId="1EB36C71" w14:textId="77777777" w:rsidR="00255917" w:rsidRDefault="00C312C7">
      <w:pPr>
        <w:pStyle w:val="Heading3"/>
        <w:spacing w:line="276" w:lineRule="auto"/>
        <w:rPr>
          <w:rFonts w:ascii="Times New Roman" w:eastAsia="Times New Roman" w:hAnsi="Times New Roman" w:cs="Times New Roman"/>
          <w:color w:val="000000"/>
          <w:sz w:val="24"/>
          <w:szCs w:val="24"/>
        </w:rPr>
      </w:pPr>
      <w:bookmarkStart w:id="12" w:name="_y99fp2o879tf" w:colFirst="0" w:colLast="0"/>
      <w:bookmarkEnd w:id="12"/>
      <w:r>
        <w:rPr>
          <w:rFonts w:ascii="Times New Roman" w:eastAsia="Times New Roman" w:hAnsi="Times New Roman" w:cs="Times New Roman"/>
          <w:color w:val="000000"/>
          <w:sz w:val="24"/>
          <w:szCs w:val="24"/>
        </w:rPr>
        <w:t>3.1 Cash operating cycle assessment</w:t>
      </w:r>
    </w:p>
    <w:p w14:paraId="6453DC0D"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The cash operating cycle connects the duration of holding inventories, the time to collect receivables, and the credit duration from suppliers. For Whitbread, the proxy cash operating cycle is days of inventory, days of receivables, and days of payables. This was negative every year. In FY22, it was -100.4 days, FY23 -92.3, FY24 -83.2, FY25 -81.2, and FY26 -83.2. Customer cash is almost completely derived from direct bookings that also help in lowering distribution costs (Whitbread PLC, 2023).</w:t>
      </w:r>
    </w:p>
    <w:p w14:paraId="002DD6FD"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result must not be interpreted to mean that Whitbread had 83 days of free finance from suppliers. Days of inventory finance total operating costs, days of receivables finance trade and other receivables, and days of payables finance other accruals and contract liabilities. Research in hospitality and tourism suggests that there is a non-linear relationship between working capital and business performance whereby excessive working capital and insufficient working capital both destroy value (Chambers and </w:t>
      </w:r>
      <w:proofErr w:type="spellStart"/>
      <w:r>
        <w:rPr>
          <w:rFonts w:ascii="Times New Roman" w:eastAsia="Times New Roman" w:hAnsi="Times New Roman" w:cs="Times New Roman"/>
          <w:color w:val="000000"/>
        </w:rPr>
        <w:t>Cifter</w:t>
      </w:r>
      <w:proofErr w:type="spellEnd"/>
      <w:r>
        <w:rPr>
          <w:rFonts w:ascii="Times New Roman" w:eastAsia="Times New Roman" w:hAnsi="Times New Roman" w:cs="Times New Roman"/>
          <w:color w:val="000000"/>
        </w:rPr>
        <w:t>, 2022). Thus, Whitbread must seek to regulate working capital.</w:t>
      </w:r>
    </w:p>
    <w:p w14:paraId="799D497A"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risk signal is the balance sheet. In FY26, net working capital dropped from a positive £548.6 million to a negative £501.8 million, a £1,050.4 million deterioration. Over the same period, cash decreased by £898.7 million and current liabilities increased by £169.8 million. While the negative cycle supports operations, it cannot replace liquidity reserves during periods </w:t>
      </w:r>
      <w:r>
        <w:rPr>
          <w:rFonts w:ascii="Times New Roman" w:eastAsia="Times New Roman" w:hAnsi="Times New Roman" w:cs="Times New Roman"/>
          <w:color w:val="000000"/>
        </w:rPr>
        <w:lastRenderedPageBreak/>
        <w:t>of decreased demand, negative deposits, supplier relationship deterioration, and an increase in capital expenditures. FY26’s operating cash-flow ratio of 0.85x with free cash flow of £75.3 million also demonstrates this exposure.</w:t>
      </w:r>
    </w:p>
    <w:p w14:paraId="2218B58D" w14:textId="77777777" w:rsidR="00255917" w:rsidRDefault="00C312C7">
      <w:pPr>
        <w:pStyle w:val="Heading4"/>
        <w:spacing w:before="80" w:after="80" w:line="276" w:lineRule="auto"/>
        <w:jc w:val="center"/>
        <w:rPr>
          <w:rFonts w:ascii="Times New Roman" w:eastAsia="Times New Roman" w:hAnsi="Times New Roman" w:cs="Times New Roman"/>
          <w:i w:val="0"/>
          <w:iCs w:val="0"/>
          <w:color w:val="000000"/>
        </w:rPr>
      </w:pPr>
      <w:bookmarkStart w:id="13" w:name="_byy5rfpr7y1" w:colFirst="0" w:colLast="0"/>
      <w:bookmarkEnd w:id="13"/>
      <w:r>
        <w:rPr>
          <w:rFonts w:ascii="Times New Roman" w:eastAsia="Times New Roman" w:hAnsi="Times New Roman" w:cs="Times New Roman"/>
          <w:i w:val="0"/>
          <w:iCs w:val="0"/>
          <w:color w:val="000000"/>
        </w:rPr>
        <w:t>Table 4. Cash operating-cycle proxies</w:t>
      </w:r>
    </w:p>
    <w:tbl>
      <w:tblPr>
        <w:tblStyle w:val="a3"/>
        <w:tblW w:w="9019" w:type="dxa"/>
        <w:tblInd w:w="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2699"/>
        <w:gridCol w:w="1264"/>
        <w:gridCol w:w="1264"/>
        <w:gridCol w:w="1264"/>
        <w:gridCol w:w="1264"/>
        <w:gridCol w:w="1264"/>
      </w:tblGrid>
      <w:tr w:rsidR="00255917" w14:paraId="7D7219D0" w14:textId="77777777">
        <w:trPr>
          <w:tblHeader/>
        </w:trPr>
        <w:tc>
          <w:tcPr>
            <w:tcW w:w="2700" w:type="dxa"/>
            <w:tcMar>
              <w:top w:w="90" w:type="dxa"/>
              <w:bottom w:w="90" w:type="dxa"/>
            </w:tcMar>
            <w:vAlign w:val="center"/>
          </w:tcPr>
          <w:p w14:paraId="28F99733"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Metric</w:t>
            </w:r>
          </w:p>
        </w:tc>
        <w:tc>
          <w:tcPr>
            <w:tcW w:w="1264" w:type="dxa"/>
            <w:tcMar>
              <w:top w:w="90" w:type="dxa"/>
              <w:bottom w:w="90" w:type="dxa"/>
            </w:tcMar>
            <w:vAlign w:val="center"/>
          </w:tcPr>
          <w:p w14:paraId="0A2A431E"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FY22</w:t>
            </w:r>
          </w:p>
        </w:tc>
        <w:tc>
          <w:tcPr>
            <w:tcW w:w="1264" w:type="dxa"/>
            <w:tcMar>
              <w:top w:w="90" w:type="dxa"/>
              <w:bottom w:w="90" w:type="dxa"/>
            </w:tcMar>
            <w:vAlign w:val="center"/>
          </w:tcPr>
          <w:p w14:paraId="125D833C"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FY23</w:t>
            </w:r>
          </w:p>
        </w:tc>
        <w:tc>
          <w:tcPr>
            <w:tcW w:w="1264" w:type="dxa"/>
            <w:tcMar>
              <w:top w:w="90" w:type="dxa"/>
              <w:bottom w:w="90" w:type="dxa"/>
            </w:tcMar>
            <w:vAlign w:val="center"/>
          </w:tcPr>
          <w:p w14:paraId="28804427"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FY24</w:t>
            </w:r>
          </w:p>
        </w:tc>
        <w:tc>
          <w:tcPr>
            <w:tcW w:w="1264" w:type="dxa"/>
            <w:tcMar>
              <w:top w:w="90" w:type="dxa"/>
              <w:bottom w:w="90" w:type="dxa"/>
            </w:tcMar>
            <w:vAlign w:val="center"/>
          </w:tcPr>
          <w:p w14:paraId="5BC35E37"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FY25</w:t>
            </w:r>
          </w:p>
        </w:tc>
        <w:tc>
          <w:tcPr>
            <w:tcW w:w="1264" w:type="dxa"/>
            <w:tcMar>
              <w:top w:w="90" w:type="dxa"/>
              <w:bottom w:w="90" w:type="dxa"/>
            </w:tcMar>
            <w:vAlign w:val="center"/>
          </w:tcPr>
          <w:p w14:paraId="710239D8"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FY26</w:t>
            </w:r>
          </w:p>
        </w:tc>
      </w:tr>
      <w:tr w:rsidR="00255917" w14:paraId="08E40504" w14:textId="77777777">
        <w:tc>
          <w:tcPr>
            <w:tcW w:w="2700" w:type="dxa"/>
          </w:tcPr>
          <w:p w14:paraId="1D5534A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Inventory days - proxy</w:t>
            </w:r>
          </w:p>
        </w:tc>
        <w:tc>
          <w:tcPr>
            <w:tcW w:w="1264" w:type="dxa"/>
          </w:tcPr>
          <w:p w14:paraId="68D0C5E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4.4</w:t>
            </w:r>
          </w:p>
        </w:tc>
        <w:tc>
          <w:tcPr>
            <w:tcW w:w="1264" w:type="dxa"/>
          </w:tcPr>
          <w:p w14:paraId="2C44F85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3.7</w:t>
            </w:r>
          </w:p>
        </w:tc>
        <w:tc>
          <w:tcPr>
            <w:tcW w:w="1264" w:type="dxa"/>
          </w:tcPr>
          <w:p w14:paraId="6CF8487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3.2</w:t>
            </w:r>
          </w:p>
        </w:tc>
        <w:tc>
          <w:tcPr>
            <w:tcW w:w="1264" w:type="dxa"/>
          </w:tcPr>
          <w:p w14:paraId="0C011124"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2.6</w:t>
            </w:r>
          </w:p>
        </w:tc>
        <w:tc>
          <w:tcPr>
            <w:tcW w:w="1264" w:type="dxa"/>
          </w:tcPr>
          <w:p w14:paraId="1FFB5B23"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1.6</w:t>
            </w:r>
          </w:p>
        </w:tc>
      </w:tr>
      <w:tr w:rsidR="00255917" w14:paraId="59EE28B5" w14:textId="77777777">
        <w:tc>
          <w:tcPr>
            <w:tcW w:w="2700" w:type="dxa"/>
          </w:tcPr>
          <w:p w14:paraId="2EA11FE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Receivable days - broad proxy</w:t>
            </w:r>
          </w:p>
        </w:tc>
        <w:tc>
          <w:tcPr>
            <w:tcW w:w="1264" w:type="dxa"/>
          </w:tcPr>
          <w:p w14:paraId="7650C1C4"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24.9</w:t>
            </w:r>
          </w:p>
        </w:tc>
        <w:tc>
          <w:tcPr>
            <w:tcW w:w="1264" w:type="dxa"/>
          </w:tcPr>
          <w:p w14:paraId="132683E7"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19.7</w:t>
            </w:r>
          </w:p>
        </w:tc>
        <w:tc>
          <w:tcPr>
            <w:tcW w:w="1264" w:type="dxa"/>
          </w:tcPr>
          <w:p w14:paraId="479EE69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14.7</w:t>
            </w:r>
          </w:p>
        </w:tc>
        <w:tc>
          <w:tcPr>
            <w:tcW w:w="1264" w:type="dxa"/>
          </w:tcPr>
          <w:p w14:paraId="36013F7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15.9</w:t>
            </w:r>
          </w:p>
        </w:tc>
        <w:tc>
          <w:tcPr>
            <w:tcW w:w="1264" w:type="dxa"/>
          </w:tcPr>
          <w:p w14:paraId="68ECA7C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17.1</w:t>
            </w:r>
          </w:p>
        </w:tc>
      </w:tr>
      <w:tr w:rsidR="00255917" w14:paraId="1590231E" w14:textId="77777777">
        <w:tc>
          <w:tcPr>
            <w:tcW w:w="2700" w:type="dxa"/>
          </w:tcPr>
          <w:p w14:paraId="209C7B4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Payable days - broad proxy</w:t>
            </w:r>
          </w:p>
        </w:tc>
        <w:tc>
          <w:tcPr>
            <w:tcW w:w="1264" w:type="dxa"/>
          </w:tcPr>
          <w:p w14:paraId="2E3300C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129.7</w:t>
            </w:r>
          </w:p>
        </w:tc>
        <w:tc>
          <w:tcPr>
            <w:tcW w:w="1264" w:type="dxa"/>
          </w:tcPr>
          <w:p w14:paraId="75B0C66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115.8</w:t>
            </w:r>
          </w:p>
        </w:tc>
        <w:tc>
          <w:tcPr>
            <w:tcW w:w="1264" w:type="dxa"/>
          </w:tcPr>
          <w:p w14:paraId="19B8328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101.1</w:t>
            </w:r>
          </w:p>
        </w:tc>
        <w:tc>
          <w:tcPr>
            <w:tcW w:w="1264" w:type="dxa"/>
          </w:tcPr>
          <w:p w14:paraId="4A7798C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99.7</w:t>
            </w:r>
          </w:p>
        </w:tc>
        <w:tc>
          <w:tcPr>
            <w:tcW w:w="1264" w:type="dxa"/>
          </w:tcPr>
          <w:p w14:paraId="692D9A9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101.9</w:t>
            </w:r>
          </w:p>
        </w:tc>
      </w:tr>
      <w:tr w:rsidR="00255917" w14:paraId="23CB53ED" w14:textId="77777777">
        <w:tc>
          <w:tcPr>
            <w:tcW w:w="2700" w:type="dxa"/>
          </w:tcPr>
          <w:p w14:paraId="559FF95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Cash cycle - broad proxy</w:t>
            </w:r>
          </w:p>
        </w:tc>
        <w:tc>
          <w:tcPr>
            <w:tcW w:w="1264" w:type="dxa"/>
          </w:tcPr>
          <w:p w14:paraId="752D1DFF"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-100.4</w:t>
            </w:r>
          </w:p>
        </w:tc>
        <w:tc>
          <w:tcPr>
            <w:tcW w:w="1264" w:type="dxa"/>
          </w:tcPr>
          <w:p w14:paraId="5EE4C3F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-92.3</w:t>
            </w:r>
          </w:p>
        </w:tc>
        <w:tc>
          <w:tcPr>
            <w:tcW w:w="1264" w:type="dxa"/>
          </w:tcPr>
          <w:p w14:paraId="093E85D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-83.2</w:t>
            </w:r>
          </w:p>
        </w:tc>
        <w:tc>
          <w:tcPr>
            <w:tcW w:w="1264" w:type="dxa"/>
          </w:tcPr>
          <w:p w14:paraId="3EA0676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-81.2</w:t>
            </w:r>
          </w:p>
        </w:tc>
        <w:tc>
          <w:tcPr>
            <w:tcW w:w="1264" w:type="dxa"/>
          </w:tcPr>
          <w:p w14:paraId="2AAC01B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-83.2</w:t>
            </w:r>
          </w:p>
        </w:tc>
      </w:tr>
    </w:tbl>
    <w:p w14:paraId="4A5F81A4" w14:textId="77777777" w:rsidR="00255917" w:rsidRDefault="00C312C7">
      <w:pPr>
        <w:pBdr>
          <w:top w:val="nil"/>
          <w:left w:val="nil"/>
          <w:bottom w:val="nil"/>
          <w:right w:val="nil"/>
          <w:between w:val="nil"/>
        </w:pBdr>
        <w:spacing w:before="80" w:after="14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 xml:space="preserve">Source: Whitbread statutory </w:t>
      </w:r>
      <w:proofErr w:type="gramStart"/>
      <w:r>
        <w:rPr>
          <w:rFonts w:ascii="Times New Roman" w:eastAsia="Times New Roman" w:hAnsi="Times New Roman" w:cs="Times New Roman"/>
          <w:color w:val="000000"/>
        </w:rPr>
        <w:t>data;  proxy</w:t>
      </w:r>
      <w:proofErr w:type="gramEnd"/>
      <w:r>
        <w:rPr>
          <w:rFonts w:ascii="Times New Roman" w:eastAsia="Times New Roman" w:hAnsi="Times New Roman" w:cs="Times New Roman"/>
          <w:color w:val="000000"/>
        </w:rPr>
        <w:t xml:space="preserve"> calculations (2026). Payables include non-trade balances and should not be treated as classical supplier days.</w:t>
      </w:r>
    </w:p>
    <w:p w14:paraId="4CFD428D" w14:textId="77777777" w:rsidR="00255917" w:rsidRDefault="00C312C7">
      <w:pPr>
        <w:pStyle w:val="Heading3"/>
        <w:spacing w:line="276" w:lineRule="auto"/>
        <w:rPr>
          <w:rFonts w:ascii="Times New Roman" w:eastAsia="Times New Roman" w:hAnsi="Times New Roman" w:cs="Times New Roman"/>
          <w:color w:val="000000"/>
          <w:sz w:val="24"/>
          <w:szCs w:val="24"/>
        </w:rPr>
      </w:pPr>
      <w:bookmarkStart w:id="14" w:name="_z79cj0gyhsra" w:colFirst="0" w:colLast="0"/>
      <w:bookmarkEnd w:id="14"/>
      <w:r>
        <w:rPr>
          <w:rFonts w:ascii="Times New Roman" w:eastAsia="Times New Roman" w:hAnsi="Times New Roman" w:cs="Times New Roman"/>
          <w:color w:val="000000"/>
          <w:sz w:val="24"/>
          <w:szCs w:val="24"/>
        </w:rPr>
        <w:t>3.2 Liquidity reforms</w:t>
      </w:r>
    </w:p>
    <w:p w14:paraId="2AEEEA20"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First, the treasury should construct a 13-week rolling cash forecast, supported by the weekly variance and downside occupancy, room rate, food and beverage disruption, and German cash burn analyses. Minimum cash and committed-facility headroom should be set for payments related to leases, taxes, payroll, and a 12-month commitment to capital. This effectively transforms the current ratio into an operational control and allows management to refinance before, not during, periods of market distress.</w:t>
      </w:r>
    </w:p>
    <w:p w14:paraId="2A988B5E"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Capital investments must have staged approval processes. Positive-NPV decarbonization, maintenance, and customer-critical investments must be prioritized, while growth investments of low expected return and discretionary buybacks must be postponed if there are limits on forecast reserves. </w:t>
      </w:r>
    </w:p>
    <w:p w14:paraId="39276266"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Receivables must be separated. Corporate accounts and intermediaries must have automated billing, enforced debt collections, and credit limits managed through risk assessment. Implementing dynamic controls on inventory and food waste should help achieve the desired level of inventory, with a </w:t>
      </w:r>
      <w:proofErr w:type="gramStart"/>
      <w:r>
        <w:rPr>
          <w:rFonts w:ascii="Times New Roman" w:eastAsia="Times New Roman" w:hAnsi="Times New Roman" w:cs="Times New Roman"/>
          <w:color w:val="000000"/>
        </w:rPr>
        <w:t>1.6 day</w:t>
      </w:r>
      <w:proofErr w:type="gramEnd"/>
      <w:r>
        <w:rPr>
          <w:rFonts w:ascii="Times New Roman" w:eastAsia="Times New Roman" w:hAnsi="Times New Roman" w:cs="Times New Roman"/>
          <w:color w:val="000000"/>
        </w:rPr>
        <w:t xml:space="preserve"> average, while sustaining the level of service. </w:t>
      </w:r>
    </w:p>
    <w:p w14:paraId="36F6C74F" w14:textId="77777777" w:rsidR="00255917" w:rsidRDefault="00C312C7">
      <w:pPr>
        <w:pStyle w:val="Heading3"/>
        <w:spacing w:line="276" w:lineRule="auto"/>
        <w:rPr>
          <w:rFonts w:ascii="Times New Roman" w:eastAsia="Times New Roman" w:hAnsi="Times New Roman" w:cs="Times New Roman"/>
          <w:color w:val="000000"/>
          <w:sz w:val="24"/>
          <w:szCs w:val="24"/>
        </w:rPr>
      </w:pPr>
      <w:bookmarkStart w:id="15" w:name="_muaciedyr566" w:colFirst="0" w:colLast="0"/>
      <w:bookmarkEnd w:id="15"/>
      <w:r>
        <w:rPr>
          <w:rFonts w:ascii="Times New Roman" w:eastAsia="Times New Roman" w:hAnsi="Times New Roman" w:cs="Times New Roman"/>
          <w:color w:val="000000"/>
          <w:sz w:val="24"/>
          <w:szCs w:val="24"/>
        </w:rPr>
        <w:t>3.3 Short-term versus long-term finance</w:t>
      </w:r>
    </w:p>
    <w:p w14:paraId="3448FCE3"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In the case of seasonal working capital fluctuations, short-term, flexible finance (such as bank overdrafts and supplier credit) may be cheaper. However, Whitbread is exposed to the risk of refinancing and loss of access to short-term finance, which makes these options suitable only to meet temporary working capital requirements. Using short-term finance to fund the construction of long-term assets (such as hotels) creates a mismatch which is exacerbated by Whitbread's relatively low current ratio of 0.44x.</w:t>
      </w:r>
      <w:r>
        <w:rPr>
          <w:rFonts w:ascii="Times New Roman" w:eastAsia="Times New Roman" w:hAnsi="Times New Roman" w:cs="Times New Roman"/>
          <w:color w:val="000000"/>
        </w:rPr>
        <w:t xml:space="preserve"> Compared to uncommitted overdrafts, committed revolving credit is preferred as the funding obligation is clearer, although it is subject to fees and covenants.</w:t>
      </w:r>
    </w:p>
    <w:p w14:paraId="6F1A6C79"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CFO should match the term of financing with the duration of investments: use committed short-term bank loans to meet short-term funding needs; use retained earnings, long-term bank </w:t>
      </w:r>
      <w:r>
        <w:rPr>
          <w:rFonts w:ascii="Times New Roman" w:eastAsia="Times New Roman" w:hAnsi="Times New Roman" w:cs="Times New Roman"/>
          <w:color w:val="000000"/>
        </w:rPr>
        <w:lastRenderedPageBreak/>
        <w:t>loans, and selective recycling of firm assets to fund long-term investments. Unless significant downside stress tests show that the sale of firm assets and bank loans will not maintain an investment-grade credit rating, a significant equity issue is not supported.</w:t>
      </w:r>
    </w:p>
    <w:p w14:paraId="63C06041" w14:textId="77777777" w:rsidR="00255917" w:rsidRDefault="00C312C7">
      <w:pPr>
        <w:pStyle w:val="Heading2"/>
        <w:spacing w:line="276" w:lineRule="auto"/>
        <w:rPr>
          <w:rFonts w:ascii="Times New Roman" w:eastAsia="Times New Roman" w:hAnsi="Times New Roman" w:cs="Times New Roman"/>
          <w:color w:val="000000"/>
          <w:sz w:val="24"/>
          <w:szCs w:val="24"/>
        </w:rPr>
      </w:pPr>
      <w:bookmarkStart w:id="16" w:name="_uofmgrvsc63" w:colFirst="0" w:colLast="0"/>
      <w:bookmarkEnd w:id="16"/>
      <w:r>
        <w:rPr>
          <w:rFonts w:ascii="Times New Roman" w:eastAsia="Times New Roman" w:hAnsi="Times New Roman" w:cs="Times New Roman"/>
          <w:color w:val="000000"/>
          <w:sz w:val="24"/>
          <w:szCs w:val="24"/>
        </w:rPr>
        <w:t>4. Strategic Financial Restructuring Plan</w:t>
      </w:r>
    </w:p>
    <w:p w14:paraId="66399905" w14:textId="77777777" w:rsidR="00255917" w:rsidRDefault="00C312C7">
      <w:pPr>
        <w:pStyle w:val="Heading3"/>
        <w:spacing w:line="276" w:lineRule="auto"/>
        <w:rPr>
          <w:rFonts w:ascii="Times New Roman" w:eastAsia="Times New Roman" w:hAnsi="Times New Roman" w:cs="Times New Roman"/>
          <w:color w:val="000000"/>
          <w:sz w:val="24"/>
          <w:szCs w:val="24"/>
        </w:rPr>
      </w:pPr>
      <w:bookmarkStart w:id="17" w:name="_6qlm9mby3yjh" w:colFirst="0" w:colLast="0"/>
      <w:bookmarkEnd w:id="17"/>
      <w:r>
        <w:rPr>
          <w:rFonts w:ascii="Times New Roman" w:eastAsia="Times New Roman" w:hAnsi="Times New Roman" w:cs="Times New Roman"/>
          <w:color w:val="000000"/>
          <w:sz w:val="24"/>
          <w:szCs w:val="24"/>
        </w:rPr>
        <w:t>4.1 Recommended plan</w:t>
      </w:r>
    </w:p>
    <w:p w14:paraId="4AB034E0"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The planned restructuring is a controlled portfolio and balance sheet restructuring rather than a merger or restructuring with a limited scale of equity. Whitbread should leave low-return rooms and restaurants; selectively recycle mature freehold assets and use the proceeds for high-return investments with the liquidity of the firm; maintain a significant freehold base; extend the schedule of debt maturities; and stop discretionary repurchases of shares when the free cash flow or covenant headroom is reduce</w:t>
      </w:r>
      <w:r>
        <w:rPr>
          <w:rFonts w:ascii="Times New Roman" w:eastAsia="Times New Roman" w:hAnsi="Times New Roman" w:cs="Times New Roman"/>
          <w:color w:val="000000"/>
        </w:rPr>
        <w:t>d. This aligns with management's plan for FY31, but adds more financial and stakeholder constraints.</w:t>
      </w:r>
    </w:p>
    <w:p w14:paraId="64E949F8"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Whitbread aims to lower net capital expenditure by over £1 billion using £1.5 billion of freehold property and offering over £2 billion in free cash flow available for shareholders by FY31. It expects a 500-basis-point Group ROCE improvement in this plan. This plan also aims to sell 1,500 unprofitable UK rooms, change the remaining branded restaurants, expand Germany to 18,000 rooms, and keep lease-adjusted net debt to EBITDAR at or below 3.5x (Whitbread PLC, 2026b). </w:t>
      </w:r>
    </w:p>
    <w:p w14:paraId="64C78BB4"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Selling an excess of property limits collateral, increases operational risks and lets the property be sold at a future gain. The plan outlines a 30-40% freehold mix as the minimum. Therefore, transactions need to be structured to pass an after-tax NPV test. Sale proceeds, the logistics of the sale, the lease (if applicable), required maintenance work, the remaining property and strategic options should all be considered. </w:t>
      </w:r>
    </w:p>
    <w:p w14:paraId="564765B6" w14:textId="77777777" w:rsidR="00255917" w:rsidRDefault="00C312C7">
      <w:pPr>
        <w:pStyle w:val="Heading4"/>
        <w:spacing w:before="80" w:after="80" w:line="276" w:lineRule="auto"/>
        <w:jc w:val="center"/>
        <w:rPr>
          <w:rFonts w:ascii="Times New Roman" w:eastAsia="Times New Roman" w:hAnsi="Times New Roman" w:cs="Times New Roman"/>
          <w:i w:val="0"/>
          <w:iCs w:val="0"/>
          <w:color w:val="000000"/>
        </w:rPr>
      </w:pPr>
      <w:bookmarkStart w:id="18" w:name="_s0vsfu93p5at" w:colFirst="0" w:colLast="0"/>
      <w:bookmarkEnd w:id="18"/>
      <w:r>
        <w:rPr>
          <w:rFonts w:ascii="Times New Roman" w:eastAsia="Times New Roman" w:hAnsi="Times New Roman" w:cs="Times New Roman"/>
          <w:i w:val="0"/>
          <w:iCs w:val="0"/>
          <w:color w:val="000000"/>
        </w:rPr>
        <w:t xml:space="preserve">Table 5. Recommended restructuring </w:t>
      </w:r>
      <w:proofErr w:type="spellStart"/>
      <w:r>
        <w:rPr>
          <w:rFonts w:ascii="Times New Roman" w:eastAsia="Times New Roman" w:hAnsi="Times New Roman" w:cs="Times New Roman"/>
          <w:i w:val="0"/>
          <w:iCs w:val="0"/>
          <w:color w:val="000000"/>
        </w:rPr>
        <w:t>programme</w:t>
      </w:r>
      <w:proofErr w:type="spellEnd"/>
    </w:p>
    <w:tbl>
      <w:tblPr>
        <w:tblStyle w:val="a4"/>
        <w:tblW w:w="9020" w:type="dxa"/>
        <w:tblInd w:w="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1500"/>
        <w:gridCol w:w="3000"/>
        <w:gridCol w:w="2300"/>
        <w:gridCol w:w="2220"/>
      </w:tblGrid>
      <w:tr w:rsidR="00255917" w14:paraId="04BC5D4E" w14:textId="77777777">
        <w:trPr>
          <w:tblHeader/>
        </w:trPr>
        <w:tc>
          <w:tcPr>
            <w:tcW w:w="1500" w:type="dxa"/>
            <w:tcMar>
              <w:top w:w="90" w:type="dxa"/>
              <w:bottom w:w="90" w:type="dxa"/>
            </w:tcMar>
            <w:vAlign w:val="center"/>
          </w:tcPr>
          <w:p w14:paraId="0C15D17C"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Priority</w:t>
            </w:r>
          </w:p>
        </w:tc>
        <w:tc>
          <w:tcPr>
            <w:tcW w:w="3000" w:type="dxa"/>
            <w:tcMar>
              <w:top w:w="90" w:type="dxa"/>
              <w:bottom w:w="90" w:type="dxa"/>
            </w:tcMar>
            <w:vAlign w:val="center"/>
          </w:tcPr>
          <w:p w14:paraId="3C1237C5"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Action</w:t>
            </w:r>
          </w:p>
        </w:tc>
        <w:tc>
          <w:tcPr>
            <w:tcW w:w="2300" w:type="dxa"/>
            <w:tcMar>
              <w:top w:w="90" w:type="dxa"/>
              <w:bottom w:w="90" w:type="dxa"/>
            </w:tcMar>
            <w:vAlign w:val="center"/>
          </w:tcPr>
          <w:p w14:paraId="21F26379"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Value effect</w:t>
            </w:r>
          </w:p>
        </w:tc>
        <w:tc>
          <w:tcPr>
            <w:tcW w:w="2220" w:type="dxa"/>
            <w:tcMar>
              <w:top w:w="90" w:type="dxa"/>
              <w:bottom w:w="90" w:type="dxa"/>
            </w:tcMar>
            <w:vAlign w:val="center"/>
          </w:tcPr>
          <w:p w14:paraId="6ADEE9CD"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Principal trade-off</w:t>
            </w:r>
          </w:p>
        </w:tc>
      </w:tr>
      <w:tr w:rsidR="00255917" w14:paraId="50621A5F" w14:textId="77777777">
        <w:tc>
          <w:tcPr>
            <w:tcW w:w="1500" w:type="dxa"/>
          </w:tcPr>
          <w:p w14:paraId="4954285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Liquidity</w:t>
            </w:r>
          </w:p>
        </w:tc>
        <w:tc>
          <w:tcPr>
            <w:tcW w:w="3000" w:type="dxa"/>
          </w:tcPr>
          <w:p w14:paraId="3C9B80FF"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13-week forecast; minimum headroom; staged capex</w:t>
            </w:r>
          </w:p>
        </w:tc>
        <w:tc>
          <w:tcPr>
            <w:tcW w:w="2300" w:type="dxa"/>
          </w:tcPr>
          <w:p w14:paraId="34B07ABF"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Lower shock and refinancing risk</w:t>
            </w:r>
          </w:p>
        </w:tc>
        <w:tc>
          <w:tcPr>
            <w:tcW w:w="2220" w:type="dxa"/>
          </w:tcPr>
          <w:p w14:paraId="7161CF7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Growth delay if controls are too tight</w:t>
            </w:r>
          </w:p>
        </w:tc>
      </w:tr>
      <w:tr w:rsidR="00255917" w14:paraId="6EE0A115" w14:textId="77777777">
        <w:tc>
          <w:tcPr>
            <w:tcW w:w="1500" w:type="dxa"/>
          </w:tcPr>
          <w:p w14:paraId="5E9A834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Portfolio</w:t>
            </w:r>
          </w:p>
        </w:tc>
        <w:tc>
          <w:tcPr>
            <w:tcW w:w="3000" w:type="dxa"/>
          </w:tcPr>
          <w:p w14:paraId="68AA3F2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Exit low-return sites; selective £1.5bn property recycling</w:t>
            </w:r>
          </w:p>
        </w:tc>
        <w:tc>
          <w:tcPr>
            <w:tcW w:w="2300" w:type="dxa"/>
          </w:tcPr>
          <w:p w14:paraId="6645ECF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Higher cash flow and capital efficiency</w:t>
            </w:r>
          </w:p>
        </w:tc>
        <w:tc>
          <w:tcPr>
            <w:tcW w:w="2220" w:type="dxa"/>
          </w:tcPr>
          <w:p w14:paraId="23A0E792"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More lease commitments; weaker asset backing</w:t>
            </w:r>
          </w:p>
        </w:tc>
      </w:tr>
      <w:tr w:rsidR="00255917" w14:paraId="4A1CA8C6" w14:textId="77777777">
        <w:tc>
          <w:tcPr>
            <w:tcW w:w="1500" w:type="dxa"/>
          </w:tcPr>
          <w:p w14:paraId="3A9082B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Debt</w:t>
            </w:r>
          </w:p>
        </w:tc>
        <w:tc>
          <w:tcPr>
            <w:tcW w:w="3000" w:type="dxa"/>
          </w:tcPr>
          <w:p w14:paraId="54F26EA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Spread maturities; maintain investment-grade metrics</w:t>
            </w:r>
          </w:p>
        </w:tc>
        <w:tc>
          <w:tcPr>
            <w:tcW w:w="2300" w:type="dxa"/>
          </w:tcPr>
          <w:p w14:paraId="738CF3C2"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Stronger cover and flexibility</w:t>
            </w:r>
          </w:p>
        </w:tc>
        <w:tc>
          <w:tcPr>
            <w:tcW w:w="2220" w:type="dxa"/>
          </w:tcPr>
          <w:p w14:paraId="01703E8F"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Longer tenor may cost more</w:t>
            </w:r>
          </w:p>
        </w:tc>
      </w:tr>
      <w:tr w:rsidR="00255917" w14:paraId="0DBC8421" w14:textId="77777777">
        <w:tc>
          <w:tcPr>
            <w:tcW w:w="1500" w:type="dxa"/>
          </w:tcPr>
          <w:p w14:paraId="48838FF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Growth</w:t>
            </w:r>
          </w:p>
        </w:tc>
        <w:tc>
          <w:tcPr>
            <w:tcW w:w="3000" w:type="dxa"/>
          </w:tcPr>
          <w:p w14:paraId="7A35F7F3" w14:textId="77777777" w:rsidR="00255917" w:rsidRDefault="00C312C7">
            <w:pPr>
              <w:spacing w:after="0" w:line="276" w:lineRule="auto"/>
              <w:jc w:val="center"/>
              <w:rPr>
                <w:rFonts w:ascii="Times New Roman" w:eastAsia="Times New Roman" w:hAnsi="Times New Roman" w:cs="Times New Roman"/>
                <w:color w:val="000000"/>
              </w:rPr>
            </w:pPr>
            <w:proofErr w:type="spellStart"/>
            <w:r>
              <w:rPr>
                <w:rFonts w:ascii="Times New Roman" w:eastAsia="Times New Roman" w:hAnsi="Times New Roman" w:cs="Times New Roman"/>
                <w:color w:val="000000"/>
              </w:rPr>
              <w:t>Prioritise</w:t>
            </w:r>
            <w:proofErr w:type="spellEnd"/>
            <w:r>
              <w:rPr>
                <w:rFonts w:ascii="Times New Roman" w:eastAsia="Times New Roman" w:hAnsi="Times New Roman" w:cs="Times New Roman"/>
                <w:color w:val="000000"/>
              </w:rPr>
              <w:t xml:space="preserve"> positive-NPV UK extensions and German sites</w:t>
            </w:r>
          </w:p>
        </w:tc>
        <w:tc>
          <w:tcPr>
            <w:tcW w:w="2300" w:type="dxa"/>
          </w:tcPr>
          <w:p w14:paraId="0376189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Improved ROCE and network density</w:t>
            </w:r>
          </w:p>
        </w:tc>
        <w:tc>
          <w:tcPr>
            <w:tcW w:w="2220" w:type="dxa"/>
          </w:tcPr>
          <w:p w14:paraId="649A47A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Demand, currency and execution risk</w:t>
            </w:r>
          </w:p>
        </w:tc>
      </w:tr>
      <w:tr w:rsidR="00255917" w14:paraId="153ED26B" w14:textId="77777777">
        <w:tc>
          <w:tcPr>
            <w:tcW w:w="1500" w:type="dxa"/>
          </w:tcPr>
          <w:p w14:paraId="1425960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Stakeholders</w:t>
            </w:r>
          </w:p>
        </w:tc>
        <w:tc>
          <w:tcPr>
            <w:tcW w:w="3000" w:type="dxa"/>
          </w:tcPr>
          <w:p w14:paraId="00F901DB"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Employee consultation; fair supplier terms; retrofit covenants</w:t>
            </w:r>
          </w:p>
        </w:tc>
        <w:tc>
          <w:tcPr>
            <w:tcW w:w="2300" w:type="dxa"/>
          </w:tcPr>
          <w:p w14:paraId="6BC8DF5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 xml:space="preserve">Trust, resilience and </w:t>
            </w:r>
            <w:proofErr w:type="spellStart"/>
            <w:r>
              <w:rPr>
                <w:rFonts w:ascii="Times New Roman" w:eastAsia="Times New Roman" w:hAnsi="Times New Roman" w:cs="Times New Roman"/>
                <w:color w:val="000000"/>
              </w:rPr>
              <w:t>licence</w:t>
            </w:r>
            <w:proofErr w:type="spellEnd"/>
            <w:r>
              <w:rPr>
                <w:rFonts w:ascii="Times New Roman" w:eastAsia="Times New Roman" w:hAnsi="Times New Roman" w:cs="Times New Roman"/>
                <w:color w:val="000000"/>
              </w:rPr>
              <w:t xml:space="preserve"> to operate</w:t>
            </w:r>
          </w:p>
        </w:tc>
        <w:tc>
          <w:tcPr>
            <w:tcW w:w="2220" w:type="dxa"/>
          </w:tcPr>
          <w:p w14:paraId="142CC99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Near-term implementation cost</w:t>
            </w:r>
          </w:p>
        </w:tc>
      </w:tr>
    </w:tbl>
    <w:p w14:paraId="261B1290" w14:textId="77777777" w:rsidR="00255917" w:rsidRDefault="00C312C7">
      <w:pPr>
        <w:pBdr>
          <w:top w:val="nil"/>
          <w:left w:val="nil"/>
          <w:bottom w:val="nil"/>
          <w:right w:val="nil"/>
          <w:between w:val="nil"/>
        </w:pBdr>
        <w:spacing w:before="80" w:after="14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 xml:space="preserve">Source:  </w:t>
      </w:r>
      <w:r>
        <w:rPr>
          <w:rFonts w:ascii="Times New Roman" w:eastAsia="Times New Roman" w:hAnsi="Times New Roman" w:cs="Times New Roman"/>
          <w:color w:val="000000"/>
        </w:rPr>
        <w:t>R</w:t>
      </w:r>
      <w:r>
        <w:rPr>
          <w:rFonts w:ascii="Times New Roman" w:eastAsia="Times New Roman" w:hAnsi="Times New Roman" w:cs="Times New Roman"/>
          <w:color w:val="000000"/>
        </w:rPr>
        <w:t>ecommendations informed by Whitbread PLC (2026b, 2026d).</w:t>
      </w:r>
    </w:p>
    <w:p w14:paraId="77A3E0EC" w14:textId="77777777" w:rsidR="00255917" w:rsidRDefault="00C312C7">
      <w:pPr>
        <w:pStyle w:val="Heading3"/>
        <w:spacing w:line="276" w:lineRule="auto"/>
        <w:rPr>
          <w:rFonts w:ascii="Times New Roman" w:eastAsia="Times New Roman" w:hAnsi="Times New Roman" w:cs="Times New Roman"/>
          <w:color w:val="000000"/>
          <w:sz w:val="24"/>
          <w:szCs w:val="24"/>
        </w:rPr>
      </w:pPr>
      <w:bookmarkStart w:id="19" w:name="_rxnfu3cjx5vq" w:colFirst="0" w:colLast="0"/>
      <w:bookmarkEnd w:id="19"/>
      <w:r>
        <w:rPr>
          <w:rFonts w:ascii="Times New Roman" w:eastAsia="Times New Roman" w:hAnsi="Times New Roman" w:cs="Times New Roman"/>
          <w:color w:val="000000"/>
          <w:sz w:val="24"/>
          <w:szCs w:val="24"/>
        </w:rPr>
        <w:lastRenderedPageBreak/>
        <w:t>4.2 Shareholder value, debt and flexibility</w:t>
      </w:r>
    </w:p>
    <w:p w14:paraId="64F8A9EE"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Shareholder value can only improve if recycled capital earns above the cost of the leasing and financing. In the absence of these assumptions, a more pessimistic picture should include lower site sale values, higher rents and interest costs, delayed cash positivity in Germany, and reduced demand for the sites. Management incentives should be based on free cash flow and economic value, rather than a narrow focus on adjusted profit or headline ROCE.</w:t>
      </w:r>
    </w:p>
    <w:p w14:paraId="329BF464"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A merger would not be advisable. Whitbread is already large enough and has a direct differentiation advantage in UK/German booking. A large merger would add integration, goodwill, execution, and leverage risk, at a time of diminishing financial flexibility. A merger would only be justifiable if network density could be achieved in Germany to a positive NPV, using a more restrictive set of assumptions. A general equity raise is also not advisable, as it would dilute capital for no reason. It may be valid if </w:t>
      </w:r>
      <w:r>
        <w:rPr>
          <w:rFonts w:ascii="Times New Roman" w:eastAsia="Times New Roman" w:hAnsi="Times New Roman" w:cs="Times New Roman"/>
          <w:color w:val="000000"/>
        </w:rPr>
        <w:t>the more conservative assumptions stress that the current agreements, asset sales, and cash on the balance sheet will support operations.</w:t>
      </w:r>
    </w:p>
    <w:p w14:paraId="23FB6D82"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A balanced ownership structure to allow operational flexibility is also needed. Freeholds offer the potential for covenant backed income, while leases allow for growth at a lower capital cost. The Board should give a yearly public update on progress towards lease-adjusted financial covenants, free cash flow, ROCE, and post-investment return flexibility. </w:t>
      </w:r>
    </w:p>
    <w:p w14:paraId="7FA4CB25" w14:textId="77777777" w:rsidR="00255917" w:rsidRDefault="00C312C7">
      <w:pPr>
        <w:pStyle w:val="Heading3"/>
        <w:spacing w:line="276" w:lineRule="auto"/>
        <w:rPr>
          <w:rFonts w:ascii="Times New Roman" w:eastAsia="Times New Roman" w:hAnsi="Times New Roman" w:cs="Times New Roman"/>
          <w:color w:val="000000"/>
          <w:sz w:val="24"/>
          <w:szCs w:val="24"/>
        </w:rPr>
      </w:pPr>
      <w:bookmarkStart w:id="20" w:name="_wc8rclcab3cu" w:colFirst="0" w:colLast="0"/>
      <w:bookmarkEnd w:id="20"/>
      <w:r>
        <w:rPr>
          <w:rFonts w:ascii="Times New Roman" w:eastAsia="Times New Roman" w:hAnsi="Times New Roman" w:cs="Times New Roman"/>
          <w:color w:val="000000"/>
          <w:sz w:val="24"/>
          <w:szCs w:val="24"/>
        </w:rPr>
        <w:t>4.3 International and ethical considerations</w:t>
      </w:r>
    </w:p>
    <w:p w14:paraId="7012501C"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German expansion leads to euro/sterling translation and transaction risks, local wage and energy inflation, and different demand patterns and planning risks. Natural hedging involves matching euro operating cash flows with euro costs and, when appropriate, euro debt. Residual committed exposures may be hedged by forwards within the limits approved by the Board. Speculative hedging is not permitted. Investment hurdle rates should reflect country and execution risks after avoiding the double-counting of risks</w:t>
      </w:r>
      <w:r>
        <w:rPr>
          <w:rFonts w:ascii="Times New Roman" w:eastAsia="Times New Roman" w:hAnsi="Times New Roman" w:cs="Times New Roman"/>
          <w:color w:val="000000"/>
        </w:rPr>
        <w:t xml:space="preserve"> that are already included in cash-flow estimates (Berk and DeMarzo, 2023).</w:t>
      </w:r>
    </w:p>
    <w:p w14:paraId="0998442D"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Tax planning is legal and aligns with the economic substance of operations. In the UK and Germany, the corporation tax and tax systems shape the sale structures, interest, and gains from the disposal of property. Shifting profits may result in loss of goodwill and create regulatory risks (UK Government, 2026a). Ethical restructuring requires real employee engagement for conversion and closure, fair dealing with suppliers, creating an accessible service for customers, and a transparent evaluation of communit</w:t>
      </w:r>
      <w:r>
        <w:rPr>
          <w:rFonts w:ascii="Times New Roman" w:eastAsia="Times New Roman" w:hAnsi="Times New Roman" w:cs="Times New Roman"/>
          <w:color w:val="000000"/>
        </w:rPr>
        <w:t>y impact. Financial recovery cannot be made by internalizing risk to employees, small suppliers, and the local community.</w:t>
      </w:r>
    </w:p>
    <w:p w14:paraId="317C2B85"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Whitbread’s ESG initiatives show that they are financially relevant. The total Group emissions of Whitbread fell by 4.9% year-on-year in FY26, with a 63% decrease in the intensity of Scope 1 and 2 emissions relative to the 2016/17 financial year, and with a target to reach net zero by 2050 (Whitbread PLC, 2026d). The sale of Property can either support fully decoupled commercial incentives to improve the efficiency of real estate by giveaway improved efficiency, and separation of ownership supported by ince</w:t>
      </w:r>
      <w:r>
        <w:rPr>
          <w:rFonts w:ascii="Times New Roman" w:eastAsia="Times New Roman" w:hAnsi="Times New Roman" w:cs="Times New Roman"/>
          <w:color w:val="000000"/>
        </w:rPr>
        <w:t xml:space="preserve">ntives to </w:t>
      </w:r>
      <w:proofErr w:type="spellStart"/>
      <w:r>
        <w:rPr>
          <w:rFonts w:ascii="Times New Roman" w:eastAsia="Times New Roman" w:hAnsi="Times New Roman" w:cs="Times New Roman"/>
          <w:color w:val="000000"/>
        </w:rPr>
        <w:t>decarbonise</w:t>
      </w:r>
      <w:proofErr w:type="spellEnd"/>
      <w:r>
        <w:rPr>
          <w:rFonts w:ascii="Times New Roman" w:eastAsia="Times New Roman" w:hAnsi="Times New Roman" w:cs="Times New Roman"/>
          <w:color w:val="000000"/>
        </w:rPr>
        <w:t>. Contracts for sale and new leases must fully cover requirements to Retrofit, provide access to data, and invest in renewables. Safety and high-return efficiency projects must be protected by the restructuring.</w:t>
      </w:r>
    </w:p>
    <w:p w14:paraId="039E5780" w14:textId="77777777" w:rsidR="00255917" w:rsidRDefault="00C312C7">
      <w:pPr>
        <w:pStyle w:val="Heading2"/>
        <w:spacing w:line="276" w:lineRule="auto"/>
        <w:rPr>
          <w:rFonts w:ascii="Times New Roman" w:eastAsia="Times New Roman" w:hAnsi="Times New Roman" w:cs="Times New Roman"/>
          <w:color w:val="000000"/>
          <w:sz w:val="24"/>
          <w:szCs w:val="24"/>
        </w:rPr>
      </w:pPr>
      <w:bookmarkStart w:id="21" w:name="_8nuws41bp44d" w:colFirst="0" w:colLast="0"/>
      <w:bookmarkEnd w:id="21"/>
      <w:r>
        <w:rPr>
          <w:rFonts w:ascii="Times New Roman" w:eastAsia="Times New Roman" w:hAnsi="Times New Roman" w:cs="Times New Roman"/>
          <w:color w:val="000000"/>
          <w:sz w:val="24"/>
          <w:szCs w:val="24"/>
        </w:rPr>
        <w:lastRenderedPageBreak/>
        <w:t>5. Investment Appraisal and Capital Budgeting</w:t>
      </w:r>
    </w:p>
    <w:p w14:paraId="6C8F763B" w14:textId="77777777" w:rsidR="00255917" w:rsidRDefault="00C312C7">
      <w:pPr>
        <w:pStyle w:val="Heading3"/>
        <w:spacing w:line="276" w:lineRule="auto"/>
        <w:rPr>
          <w:rFonts w:ascii="Times New Roman" w:eastAsia="Times New Roman" w:hAnsi="Times New Roman" w:cs="Times New Roman"/>
          <w:color w:val="000000"/>
          <w:sz w:val="24"/>
          <w:szCs w:val="24"/>
        </w:rPr>
      </w:pPr>
      <w:bookmarkStart w:id="22" w:name="_2ixzu8tx9ar4" w:colFirst="0" w:colLast="0"/>
      <w:bookmarkEnd w:id="22"/>
      <w:r>
        <w:rPr>
          <w:rFonts w:ascii="Times New Roman" w:eastAsia="Times New Roman" w:hAnsi="Times New Roman" w:cs="Times New Roman"/>
          <w:color w:val="000000"/>
          <w:sz w:val="24"/>
          <w:szCs w:val="24"/>
        </w:rPr>
        <w:t>5.1 Methods and assumptions</w:t>
      </w:r>
    </w:p>
    <w:p w14:paraId="56B7A021"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Each project requires an investment of £50 million at time = 0 and generates net cash inflows annually over the next five years. Given an 8% discount rate and depreciation treated as straight-line to zero residual value, annual depreciation is £10 million. </w:t>
      </w:r>
    </w:p>
    <w:p w14:paraId="5D870500"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ARR uses average investment to determine average annual profit, which is then divided by £25 million. Average investment is determined as the initial investment of £50 million reduced by its residual value of £0 after the project life, divided by the project life of five years. Cash flow figures are treated as incremental, post operational and pre-financial cash flows. No speculation is made on tax, inflation, working capital, or a terminal value.</w:t>
      </w:r>
    </w:p>
    <w:p w14:paraId="1FD7CA3C" w14:textId="77777777" w:rsidR="00255917" w:rsidRDefault="00C312C7">
      <w:pPr>
        <w:pStyle w:val="Heading3"/>
        <w:spacing w:line="276" w:lineRule="auto"/>
        <w:rPr>
          <w:rFonts w:ascii="Times New Roman" w:eastAsia="Times New Roman" w:hAnsi="Times New Roman" w:cs="Times New Roman"/>
          <w:color w:val="000000"/>
          <w:sz w:val="24"/>
          <w:szCs w:val="24"/>
        </w:rPr>
      </w:pPr>
      <w:bookmarkStart w:id="23" w:name="_ijlt2ucxp4it" w:colFirst="0" w:colLast="0"/>
      <w:bookmarkEnd w:id="23"/>
      <w:r>
        <w:rPr>
          <w:rFonts w:ascii="Times New Roman" w:eastAsia="Times New Roman" w:hAnsi="Times New Roman" w:cs="Times New Roman"/>
          <w:color w:val="000000"/>
          <w:sz w:val="24"/>
          <w:szCs w:val="24"/>
        </w:rPr>
        <w:t>5.2 Results by technique</w:t>
      </w:r>
    </w:p>
    <w:p w14:paraId="34763597"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By the end of Year 4, Project A has total inflows of £46 million and has an additional £4 million recovered from the £8 million inflow in Year 5. Therefore, the project has a payback period of 4.50 years. The total inflows of the project are £54 million, and £50 million of this is expensed as depreciation. Therefore, the total accounting profit is £4 million, and the average annual profit is £0.8 million, giving an ARR of 3.2% based on the average investment and 1.6% of the initial outlay. The present value</w:t>
      </w:r>
      <w:r>
        <w:rPr>
          <w:rFonts w:ascii="Times New Roman" w:eastAsia="Times New Roman" w:hAnsi="Times New Roman" w:cs="Times New Roman"/>
          <w:color w:val="000000"/>
        </w:rPr>
        <w:t xml:space="preserve"> of the inflows is £43.456 million, with an NPV of -£6.544 million, a PI of 0.869x and an IRR of 2.72%. The project does not satisfy any </w:t>
      </w:r>
      <w:proofErr w:type="gramStart"/>
      <w:r>
        <w:rPr>
          <w:rFonts w:ascii="Times New Roman" w:eastAsia="Times New Roman" w:hAnsi="Times New Roman" w:cs="Times New Roman"/>
          <w:color w:val="000000"/>
        </w:rPr>
        <w:t>value based</w:t>
      </w:r>
      <w:proofErr w:type="gramEnd"/>
      <w:r>
        <w:rPr>
          <w:rFonts w:ascii="Times New Roman" w:eastAsia="Times New Roman" w:hAnsi="Times New Roman" w:cs="Times New Roman"/>
          <w:color w:val="000000"/>
        </w:rPr>
        <w:t xml:space="preserve"> criteria.</w:t>
      </w:r>
    </w:p>
    <w:p w14:paraId="35F2BADF"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Project B has a stable annual inflow of £11 million, and in Year 4, the cumulative total inflow is £44 million. The remaining £6 million is recovered in 6 out of 11 months (of the Year 5 inflow), resulting in a payback period of 4.55 years. The project has a total accounting profit of £5 million, an average annual profit of £1 million, and an ARR of 4.0% (2.0% on the initial outlay). The stable cash flows of Project B also cause a lesser timing variability when compared to Project A, however, a negative NPV</w:t>
      </w:r>
      <w:r>
        <w:rPr>
          <w:rFonts w:ascii="Times New Roman" w:eastAsia="Times New Roman" w:hAnsi="Times New Roman" w:cs="Times New Roman"/>
          <w:color w:val="000000"/>
        </w:rPr>
        <w:t xml:space="preserve"> is still not acceptable.</w:t>
      </w:r>
    </w:p>
    <w:p w14:paraId="3BF7CEC2" w14:textId="77777777" w:rsidR="00255917" w:rsidRDefault="00C312C7">
      <w:pPr>
        <w:pStyle w:val="Heading4"/>
        <w:spacing w:before="80" w:after="80" w:line="276" w:lineRule="auto"/>
        <w:jc w:val="center"/>
        <w:rPr>
          <w:rFonts w:ascii="Times New Roman" w:eastAsia="Times New Roman" w:hAnsi="Times New Roman" w:cs="Times New Roman"/>
          <w:i w:val="0"/>
          <w:iCs w:val="0"/>
          <w:color w:val="000000"/>
        </w:rPr>
      </w:pPr>
      <w:bookmarkStart w:id="24" w:name="_40hw9fabf9v8" w:colFirst="0" w:colLast="0"/>
      <w:bookmarkEnd w:id="24"/>
      <w:r>
        <w:rPr>
          <w:rFonts w:ascii="Times New Roman" w:eastAsia="Times New Roman" w:hAnsi="Times New Roman" w:cs="Times New Roman"/>
          <w:i w:val="0"/>
          <w:iCs w:val="0"/>
          <w:color w:val="000000"/>
        </w:rPr>
        <w:t>Table 6. Investment-appraisal results</w:t>
      </w:r>
    </w:p>
    <w:tbl>
      <w:tblPr>
        <w:tblStyle w:val="a5"/>
        <w:tblW w:w="9020" w:type="dxa"/>
        <w:tblInd w:w="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3000"/>
        <w:gridCol w:w="2000"/>
        <w:gridCol w:w="2000"/>
        <w:gridCol w:w="2020"/>
      </w:tblGrid>
      <w:tr w:rsidR="00255917" w14:paraId="3A9DBAEE" w14:textId="77777777">
        <w:trPr>
          <w:tblHeader/>
        </w:trPr>
        <w:tc>
          <w:tcPr>
            <w:tcW w:w="3000" w:type="dxa"/>
            <w:tcMar>
              <w:top w:w="90" w:type="dxa"/>
              <w:bottom w:w="90" w:type="dxa"/>
            </w:tcMar>
            <w:vAlign w:val="center"/>
          </w:tcPr>
          <w:p w14:paraId="2CC3C8D6"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Metric</w:t>
            </w:r>
          </w:p>
        </w:tc>
        <w:tc>
          <w:tcPr>
            <w:tcW w:w="2000" w:type="dxa"/>
            <w:tcMar>
              <w:top w:w="90" w:type="dxa"/>
              <w:bottom w:w="90" w:type="dxa"/>
            </w:tcMar>
            <w:vAlign w:val="center"/>
          </w:tcPr>
          <w:p w14:paraId="6DFC83D8"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Project A</w:t>
            </w:r>
          </w:p>
        </w:tc>
        <w:tc>
          <w:tcPr>
            <w:tcW w:w="2000" w:type="dxa"/>
            <w:tcMar>
              <w:top w:w="90" w:type="dxa"/>
              <w:bottom w:w="90" w:type="dxa"/>
            </w:tcMar>
            <w:vAlign w:val="center"/>
          </w:tcPr>
          <w:p w14:paraId="0B5AE7F6"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Project B</w:t>
            </w:r>
          </w:p>
        </w:tc>
        <w:tc>
          <w:tcPr>
            <w:tcW w:w="2020" w:type="dxa"/>
            <w:tcMar>
              <w:top w:w="90" w:type="dxa"/>
              <w:bottom w:w="90" w:type="dxa"/>
            </w:tcMar>
            <w:vAlign w:val="center"/>
          </w:tcPr>
          <w:p w14:paraId="398190D3"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Project C</w:t>
            </w:r>
          </w:p>
        </w:tc>
      </w:tr>
      <w:tr w:rsidR="00255917" w14:paraId="1404AB76" w14:textId="77777777">
        <w:tc>
          <w:tcPr>
            <w:tcW w:w="3000" w:type="dxa"/>
          </w:tcPr>
          <w:p w14:paraId="501912D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PBP (years)</w:t>
            </w:r>
          </w:p>
        </w:tc>
        <w:tc>
          <w:tcPr>
            <w:tcW w:w="2000" w:type="dxa"/>
          </w:tcPr>
          <w:p w14:paraId="6CF51F97"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4.50</w:t>
            </w:r>
          </w:p>
        </w:tc>
        <w:tc>
          <w:tcPr>
            <w:tcW w:w="2000" w:type="dxa"/>
          </w:tcPr>
          <w:p w14:paraId="12C9E15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4.55</w:t>
            </w:r>
          </w:p>
        </w:tc>
        <w:tc>
          <w:tcPr>
            <w:tcW w:w="2020" w:type="dxa"/>
          </w:tcPr>
          <w:p w14:paraId="65D769D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3.60</w:t>
            </w:r>
          </w:p>
        </w:tc>
      </w:tr>
      <w:tr w:rsidR="00255917" w14:paraId="0D40F290" w14:textId="77777777">
        <w:tc>
          <w:tcPr>
            <w:tcW w:w="3000" w:type="dxa"/>
          </w:tcPr>
          <w:p w14:paraId="12328A7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ARR - average investment</w:t>
            </w:r>
          </w:p>
        </w:tc>
        <w:tc>
          <w:tcPr>
            <w:tcW w:w="2000" w:type="dxa"/>
          </w:tcPr>
          <w:p w14:paraId="37F78ED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3.2%</w:t>
            </w:r>
          </w:p>
        </w:tc>
        <w:tc>
          <w:tcPr>
            <w:tcW w:w="2000" w:type="dxa"/>
          </w:tcPr>
          <w:p w14:paraId="2F3089A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4.0%</w:t>
            </w:r>
          </w:p>
        </w:tc>
        <w:tc>
          <w:tcPr>
            <w:tcW w:w="2020" w:type="dxa"/>
          </w:tcPr>
          <w:p w14:paraId="741CBB0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12.0%</w:t>
            </w:r>
          </w:p>
        </w:tc>
      </w:tr>
      <w:tr w:rsidR="00255917" w14:paraId="53BEE5E2" w14:textId="77777777">
        <w:tc>
          <w:tcPr>
            <w:tcW w:w="3000" w:type="dxa"/>
          </w:tcPr>
          <w:p w14:paraId="0FA63623"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NPV at 8% (£m)</w:t>
            </w:r>
          </w:p>
        </w:tc>
        <w:tc>
          <w:tcPr>
            <w:tcW w:w="2000" w:type="dxa"/>
          </w:tcPr>
          <w:p w14:paraId="76779C8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-6.544</w:t>
            </w:r>
          </w:p>
        </w:tc>
        <w:tc>
          <w:tcPr>
            <w:tcW w:w="2000" w:type="dxa"/>
          </w:tcPr>
          <w:p w14:paraId="65BDC422"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-6.080</w:t>
            </w:r>
          </w:p>
        </w:tc>
        <w:tc>
          <w:tcPr>
            <w:tcW w:w="2020" w:type="dxa"/>
          </w:tcPr>
          <w:p w14:paraId="3C1A3062"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0.858</w:t>
            </w:r>
          </w:p>
        </w:tc>
      </w:tr>
      <w:tr w:rsidR="00255917" w14:paraId="0FE687E9" w14:textId="77777777">
        <w:tc>
          <w:tcPr>
            <w:tcW w:w="3000" w:type="dxa"/>
          </w:tcPr>
          <w:p w14:paraId="5D85F77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PI</w:t>
            </w:r>
          </w:p>
        </w:tc>
        <w:tc>
          <w:tcPr>
            <w:tcW w:w="2000" w:type="dxa"/>
          </w:tcPr>
          <w:p w14:paraId="7773DE2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0.869x</w:t>
            </w:r>
          </w:p>
        </w:tc>
        <w:tc>
          <w:tcPr>
            <w:tcW w:w="2000" w:type="dxa"/>
          </w:tcPr>
          <w:p w14:paraId="331D9DE3"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0.878x</w:t>
            </w:r>
          </w:p>
        </w:tc>
        <w:tc>
          <w:tcPr>
            <w:tcW w:w="2020" w:type="dxa"/>
          </w:tcPr>
          <w:p w14:paraId="123ED7B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1.017x</w:t>
            </w:r>
          </w:p>
        </w:tc>
      </w:tr>
      <w:tr w:rsidR="00255917" w14:paraId="6293BE9B" w14:textId="77777777">
        <w:tc>
          <w:tcPr>
            <w:tcW w:w="3000" w:type="dxa"/>
          </w:tcPr>
          <w:p w14:paraId="19F8B5D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IRR</w:t>
            </w:r>
          </w:p>
        </w:tc>
        <w:tc>
          <w:tcPr>
            <w:tcW w:w="2000" w:type="dxa"/>
          </w:tcPr>
          <w:p w14:paraId="756585F2"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2.72%</w:t>
            </w:r>
          </w:p>
        </w:tc>
        <w:tc>
          <w:tcPr>
            <w:tcW w:w="2000" w:type="dxa"/>
          </w:tcPr>
          <w:p w14:paraId="52D08AA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3.26%</w:t>
            </w:r>
          </w:p>
        </w:tc>
        <w:tc>
          <w:tcPr>
            <w:tcW w:w="2020" w:type="dxa"/>
          </w:tcPr>
          <w:p w14:paraId="256303C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8.59%</w:t>
            </w:r>
          </w:p>
        </w:tc>
      </w:tr>
      <w:tr w:rsidR="00255917" w14:paraId="4E92D9C9" w14:textId="77777777">
        <w:tc>
          <w:tcPr>
            <w:tcW w:w="3000" w:type="dxa"/>
          </w:tcPr>
          <w:p w14:paraId="590422B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Decision</w:t>
            </w:r>
          </w:p>
        </w:tc>
        <w:tc>
          <w:tcPr>
            <w:tcW w:w="2000" w:type="dxa"/>
          </w:tcPr>
          <w:p w14:paraId="0EB3A6B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Reject</w:t>
            </w:r>
          </w:p>
        </w:tc>
        <w:tc>
          <w:tcPr>
            <w:tcW w:w="2000" w:type="dxa"/>
          </w:tcPr>
          <w:p w14:paraId="1D104A3F"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Reject</w:t>
            </w:r>
          </w:p>
        </w:tc>
        <w:tc>
          <w:tcPr>
            <w:tcW w:w="2020" w:type="dxa"/>
          </w:tcPr>
          <w:p w14:paraId="14FD257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Accept subject to due diligence</w:t>
            </w:r>
          </w:p>
        </w:tc>
      </w:tr>
    </w:tbl>
    <w:p w14:paraId="72B9DD84" w14:textId="77777777" w:rsidR="00255917" w:rsidRDefault="00C312C7">
      <w:pPr>
        <w:pBdr>
          <w:top w:val="nil"/>
          <w:left w:val="nil"/>
          <w:bottom w:val="nil"/>
          <w:right w:val="nil"/>
          <w:between w:val="nil"/>
        </w:pBdr>
        <w:spacing w:before="80" w:after="14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 xml:space="preserve">Source: UWTSD assessment cash </w:t>
      </w:r>
      <w:proofErr w:type="gramStart"/>
      <w:r>
        <w:rPr>
          <w:rFonts w:ascii="Times New Roman" w:eastAsia="Times New Roman" w:hAnsi="Times New Roman" w:cs="Times New Roman"/>
          <w:color w:val="000000"/>
        </w:rPr>
        <w:t>flows;  Excel</w:t>
      </w:r>
      <w:proofErr w:type="gramEnd"/>
      <w:r>
        <w:rPr>
          <w:rFonts w:ascii="Times New Roman" w:eastAsia="Times New Roman" w:hAnsi="Times New Roman" w:cs="Times New Roman"/>
          <w:color w:val="000000"/>
        </w:rPr>
        <w:t xml:space="preserve"> calculations at 8% (2026). ARR uses average investment.</w:t>
      </w:r>
    </w:p>
    <w:p w14:paraId="5F740790" w14:textId="77777777" w:rsidR="00255917" w:rsidRDefault="00C312C7">
      <w:pPr>
        <w:pStyle w:val="Heading3"/>
        <w:spacing w:line="276" w:lineRule="auto"/>
        <w:rPr>
          <w:rFonts w:ascii="Times New Roman" w:eastAsia="Times New Roman" w:hAnsi="Times New Roman" w:cs="Times New Roman"/>
          <w:color w:val="000000"/>
          <w:sz w:val="24"/>
          <w:szCs w:val="24"/>
        </w:rPr>
      </w:pPr>
      <w:bookmarkStart w:id="25" w:name="_s2pr80kcdms4" w:colFirst="0" w:colLast="0"/>
      <w:bookmarkEnd w:id="25"/>
      <w:r>
        <w:rPr>
          <w:rFonts w:ascii="Times New Roman" w:eastAsia="Times New Roman" w:hAnsi="Times New Roman" w:cs="Times New Roman"/>
          <w:color w:val="000000"/>
          <w:sz w:val="24"/>
          <w:szCs w:val="24"/>
        </w:rPr>
        <w:t>5.3 Risk and strategic fit</w:t>
      </w:r>
    </w:p>
    <w:p w14:paraId="01530DD6"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Project C has the following payment schedule: £5 million, £10 million, £20 million, £25 million and £5 million. By Year 3, a total of £35 million has been recovered and the remaining £15 </w:t>
      </w:r>
      <w:r>
        <w:rPr>
          <w:rFonts w:ascii="Times New Roman" w:eastAsia="Times New Roman" w:hAnsi="Times New Roman" w:cs="Times New Roman"/>
          <w:color w:val="000000"/>
        </w:rPr>
        <w:lastRenderedPageBreak/>
        <w:t>million has been recovered by the Year 4 inflow, giving a payback period of 3.60 years. The total inflows of the project are £65 million, the total accounting profit is £15 million, the average annual profit is £3 million, and the ARR is 12.0% (6.0% on the initial outlay).</w:t>
      </w:r>
    </w:p>
    <w:p w14:paraId="6A467B25"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A strategic fit also needs to be established. A hotel or technology project needs to strengthen direct-booking economics and reliability of service for Premier Inn's value proposition. Investments into Germany need an understanding of specific labor, planning, demand and currency issues for that country. Cost saving initiatives that impact cleanliness, safety or service may negatively impact customer loyalty. Community and environmental opposition can be caused by poorly conceived property projects. These r</w:t>
      </w:r>
      <w:r>
        <w:rPr>
          <w:rFonts w:ascii="Times New Roman" w:eastAsia="Times New Roman" w:hAnsi="Times New Roman" w:cs="Times New Roman"/>
          <w:color w:val="000000"/>
        </w:rPr>
        <w:t>isks should be estimated and expressed as probabilities, with cash-flow impacts where possible. Leave as Board constraints any residual non-financial impacts.</w:t>
      </w:r>
    </w:p>
    <w:p w14:paraId="2CEF2152"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Project economics can be substantially altered by the impact of planning, financing, and the demands of corporate and commercial customers on the cost of energy and carbon retrofits. Whitbread states that insulation of plant rooms can have a payback of 4.4 years, and also that financing and disposals of high performing, low-carbon buildings can be easier to achieve (Whitbread PLC, 2026d). Therefore, Project C must include assessment of the lifecycle impacts of energy, water, and carbon. </w:t>
      </w:r>
    </w:p>
    <w:p w14:paraId="6CDE14C9" w14:textId="77777777" w:rsidR="00255917" w:rsidRDefault="00C312C7">
      <w:pPr>
        <w:pStyle w:val="Heading5"/>
        <w:spacing w:before="80" w:after="80" w:line="276" w:lineRule="auto"/>
        <w:jc w:val="center"/>
        <w:rPr>
          <w:rFonts w:ascii="Times New Roman" w:eastAsia="Times New Roman" w:hAnsi="Times New Roman" w:cs="Times New Roman"/>
          <w:b/>
          <w:bCs/>
          <w:color w:val="000000"/>
        </w:rPr>
      </w:pPr>
      <w:r>
        <w:t>Figure 6. Project NPV at an 8% discount rate</w:t>
      </w:r>
    </w:p>
    <w:p w14:paraId="1ED06699" w14:textId="77777777" w:rsidR="00255917" w:rsidRDefault="00C312C7">
      <w:pPr>
        <w:keepNext/>
        <w:spacing w:line="276" w:lineRule="auto"/>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114300" distR="114300" wp14:anchorId="0BB3EE2D" wp14:editId="10C4EBCC">
            <wp:extent cx="5580000" cy="2466947"/>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a:stretch>
                      <a:fillRect/>
                    </a:stretch>
                  </pic:blipFill>
                  <pic:spPr>
                    <a:xfrm>
                      <a:off x="0" y="0"/>
                      <a:ext cx="5580000" cy="2466947"/>
                    </a:xfrm>
                    <a:prstGeom prst="rect">
                      <a:avLst/>
                    </a:prstGeom>
                    <a:ln/>
                  </pic:spPr>
                </pic:pic>
              </a:graphicData>
            </a:graphic>
          </wp:inline>
        </w:drawing>
      </w:r>
    </w:p>
    <w:p w14:paraId="3BFCAD8F" w14:textId="77777777" w:rsidR="00255917" w:rsidRDefault="00C312C7">
      <w:pPr>
        <w:pBdr>
          <w:top w:val="nil"/>
          <w:left w:val="nil"/>
          <w:bottom w:val="nil"/>
          <w:right w:val="nil"/>
          <w:between w:val="nil"/>
        </w:pBdr>
        <w:spacing w:before="80" w:after="14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 xml:space="preserve">Source: Formula-linked Excel investment-appraisal model </w:t>
      </w:r>
      <w:proofErr w:type="gramStart"/>
      <w:r>
        <w:rPr>
          <w:rFonts w:ascii="Times New Roman" w:eastAsia="Times New Roman" w:hAnsi="Times New Roman" w:cs="Times New Roman"/>
          <w:color w:val="000000"/>
        </w:rPr>
        <w:t>( analysis</w:t>
      </w:r>
      <w:proofErr w:type="gramEnd"/>
      <w:r>
        <w:rPr>
          <w:rFonts w:ascii="Times New Roman" w:eastAsia="Times New Roman" w:hAnsi="Times New Roman" w:cs="Times New Roman"/>
          <w:color w:val="000000"/>
        </w:rPr>
        <w:t>, 2026).</w:t>
      </w:r>
    </w:p>
    <w:p w14:paraId="679B26B5" w14:textId="77777777" w:rsidR="00255917" w:rsidRDefault="00C312C7">
      <w:pPr>
        <w:pStyle w:val="Heading3"/>
        <w:spacing w:line="276" w:lineRule="auto"/>
        <w:rPr>
          <w:rFonts w:ascii="Times New Roman" w:eastAsia="Times New Roman" w:hAnsi="Times New Roman" w:cs="Times New Roman"/>
          <w:color w:val="000000"/>
          <w:sz w:val="24"/>
          <w:szCs w:val="24"/>
        </w:rPr>
      </w:pPr>
      <w:bookmarkStart w:id="26" w:name="_b14qk727svta" w:colFirst="0" w:colLast="0"/>
      <w:bookmarkEnd w:id="26"/>
      <w:r>
        <w:rPr>
          <w:rFonts w:ascii="Times New Roman" w:eastAsia="Times New Roman" w:hAnsi="Times New Roman" w:cs="Times New Roman"/>
          <w:color w:val="000000"/>
          <w:sz w:val="24"/>
          <w:szCs w:val="24"/>
        </w:rPr>
        <w:t>5.4 Capital rationing</w:t>
      </w:r>
    </w:p>
    <w:p w14:paraId="4628CCD6"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Each separate project, and pairs A+B, A+C, and B+C are all under a maximum £100 million budget. Their NPVs are -£12.624 million, -£5.686 million and -£5.222 million. Of the combinations of the three projects, B+C yields the best NPV. B+C also yields a combined PI of 0.948x. Still, B’s negative NPV more than offsets C’s positive NPV, so expected value is lost. A maximum budget is not a constraint.</w:t>
      </w:r>
    </w:p>
    <w:p w14:paraId="26471AD7"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best value option is C alone, which has an investment of £50 million. The other £50 million is retained for liquidity, debt reduction, or positive NPV projects. If management is forced to use the full £100 million, then the least negative option would be B+C. However, this option </w:t>
      </w:r>
      <w:r>
        <w:rPr>
          <w:rFonts w:ascii="Times New Roman" w:eastAsia="Times New Roman" w:hAnsi="Times New Roman" w:cs="Times New Roman"/>
          <w:color w:val="000000"/>
        </w:rPr>
        <w:lastRenderedPageBreak/>
        <w:t xml:space="preserve">is still not recommended. In this case of capital rationing, the projects must be ranked based on their PIs and then grouped in combinations based on total NPVs, while also taking into account the dependencies and risks. The PIs of the available projects </w:t>
      </w:r>
      <w:proofErr w:type="gramStart"/>
      <w:r>
        <w:rPr>
          <w:rFonts w:ascii="Times New Roman" w:eastAsia="Times New Roman" w:hAnsi="Times New Roman" w:cs="Times New Roman"/>
          <w:color w:val="000000"/>
        </w:rPr>
        <w:t>is</w:t>
      </w:r>
      <w:proofErr w:type="gramEnd"/>
      <w:r>
        <w:rPr>
          <w:rFonts w:ascii="Times New Roman" w:eastAsia="Times New Roman" w:hAnsi="Times New Roman" w:cs="Times New Roman"/>
          <w:color w:val="000000"/>
        </w:rPr>
        <w:t xml:space="preserve"> less than 1.0, so it’s rational to leave the budget unfilled.</w:t>
      </w:r>
    </w:p>
    <w:p w14:paraId="10DD6F91"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For Whitbread especially, the results of F26 free cash flows show that committing capital to value-destructive projects has a greater opportunity cost. Retaining budget unfilled also protects against demand shocks and prioritizes the management's best strategic sites. The board is encouraged to either change the design or to re-tender A and B, rather than offer a lower return to ‘burn’ the budget. With an 8% hurdle, the tender offers a return between 2.72%-3.26%.</w:t>
      </w:r>
    </w:p>
    <w:p w14:paraId="1A0DCFC4" w14:textId="77777777" w:rsidR="00255917" w:rsidRDefault="00C312C7">
      <w:pPr>
        <w:pStyle w:val="Heading4"/>
        <w:spacing w:before="80" w:after="80" w:line="276" w:lineRule="auto"/>
        <w:jc w:val="center"/>
        <w:rPr>
          <w:rFonts w:ascii="Times New Roman" w:eastAsia="Times New Roman" w:hAnsi="Times New Roman" w:cs="Times New Roman"/>
          <w:i w:val="0"/>
          <w:iCs w:val="0"/>
          <w:color w:val="000000"/>
        </w:rPr>
      </w:pPr>
      <w:bookmarkStart w:id="27" w:name="_11smcn3986h" w:colFirst="0" w:colLast="0"/>
      <w:bookmarkEnd w:id="27"/>
      <w:r>
        <w:rPr>
          <w:rFonts w:ascii="Times New Roman" w:eastAsia="Times New Roman" w:hAnsi="Times New Roman" w:cs="Times New Roman"/>
          <w:i w:val="0"/>
          <w:iCs w:val="0"/>
          <w:color w:val="000000"/>
        </w:rPr>
        <w:t>Table 7. Capital-rationing combinations</w:t>
      </w:r>
    </w:p>
    <w:tbl>
      <w:tblPr>
        <w:tblStyle w:val="a6"/>
        <w:tblW w:w="9020" w:type="dxa"/>
        <w:tblInd w:w="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2700"/>
        <w:gridCol w:w="2100"/>
        <w:gridCol w:w="2200"/>
        <w:gridCol w:w="2020"/>
      </w:tblGrid>
      <w:tr w:rsidR="00255917" w14:paraId="6B5760DD" w14:textId="77777777">
        <w:trPr>
          <w:tblHeader/>
        </w:trPr>
        <w:tc>
          <w:tcPr>
            <w:tcW w:w="2700" w:type="dxa"/>
            <w:tcMar>
              <w:top w:w="90" w:type="dxa"/>
              <w:bottom w:w="90" w:type="dxa"/>
            </w:tcMar>
            <w:vAlign w:val="center"/>
          </w:tcPr>
          <w:p w14:paraId="1EE84DA0"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Option</w:t>
            </w:r>
          </w:p>
        </w:tc>
        <w:tc>
          <w:tcPr>
            <w:tcW w:w="2100" w:type="dxa"/>
            <w:tcMar>
              <w:top w:w="90" w:type="dxa"/>
              <w:bottom w:w="90" w:type="dxa"/>
            </w:tcMar>
            <w:vAlign w:val="center"/>
          </w:tcPr>
          <w:p w14:paraId="50F6A82C"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Investment (£m)</w:t>
            </w:r>
          </w:p>
        </w:tc>
        <w:tc>
          <w:tcPr>
            <w:tcW w:w="2200" w:type="dxa"/>
            <w:tcMar>
              <w:top w:w="90" w:type="dxa"/>
              <w:bottom w:w="90" w:type="dxa"/>
            </w:tcMar>
            <w:vAlign w:val="center"/>
          </w:tcPr>
          <w:p w14:paraId="219E90E7"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Combined NPV (£m)</w:t>
            </w:r>
          </w:p>
        </w:tc>
        <w:tc>
          <w:tcPr>
            <w:tcW w:w="2020" w:type="dxa"/>
            <w:tcMar>
              <w:top w:w="90" w:type="dxa"/>
              <w:bottom w:w="90" w:type="dxa"/>
            </w:tcMar>
            <w:vAlign w:val="center"/>
          </w:tcPr>
          <w:p w14:paraId="5B29BD7E" w14:textId="77777777" w:rsidR="00255917" w:rsidRDefault="00C312C7">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Combined PI</w:t>
            </w:r>
          </w:p>
        </w:tc>
      </w:tr>
      <w:tr w:rsidR="00255917" w14:paraId="06E45509" w14:textId="77777777">
        <w:tc>
          <w:tcPr>
            <w:tcW w:w="2700" w:type="dxa"/>
          </w:tcPr>
          <w:p w14:paraId="122BF32D" w14:textId="77777777" w:rsidR="00255917" w:rsidRDefault="00C312C7">
            <w:pPr>
              <w:spacing w:after="0" w:line="276" w:lineRule="auto"/>
              <w:jc w:val="center"/>
              <w:rPr>
                <w:rFonts w:ascii="Times New Roman" w:eastAsia="Times New Roman" w:hAnsi="Times New Roman" w:cs="Times New Roman"/>
                <w:color w:val="000000"/>
              </w:rPr>
            </w:pPr>
            <w:proofErr w:type="gramStart"/>
            <w:r>
              <w:rPr>
                <w:rFonts w:ascii="Times New Roman" w:eastAsia="Times New Roman" w:hAnsi="Times New Roman" w:cs="Times New Roman"/>
                <w:color w:val="000000"/>
              </w:rPr>
              <w:t>A</w:t>
            </w:r>
            <w:proofErr w:type="gramEnd"/>
            <w:r>
              <w:rPr>
                <w:rFonts w:ascii="Times New Roman" w:eastAsia="Times New Roman" w:hAnsi="Times New Roman" w:cs="Times New Roman"/>
                <w:color w:val="000000"/>
              </w:rPr>
              <w:t xml:space="preserve"> only</w:t>
            </w:r>
          </w:p>
        </w:tc>
        <w:tc>
          <w:tcPr>
            <w:tcW w:w="2100" w:type="dxa"/>
          </w:tcPr>
          <w:p w14:paraId="3B1CC69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50</w:t>
            </w:r>
          </w:p>
        </w:tc>
        <w:tc>
          <w:tcPr>
            <w:tcW w:w="2200" w:type="dxa"/>
          </w:tcPr>
          <w:p w14:paraId="59FC3087"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-6.544</w:t>
            </w:r>
          </w:p>
        </w:tc>
        <w:tc>
          <w:tcPr>
            <w:tcW w:w="2020" w:type="dxa"/>
          </w:tcPr>
          <w:p w14:paraId="3ADE8D6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0.869x</w:t>
            </w:r>
          </w:p>
        </w:tc>
      </w:tr>
      <w:tr w:rsidR="00255917" w14:paraId="29E50024" w14:textId="77777777">
        <w:tc>
          <w:tcPr>
            <w:tcW w:w="2700" w:type="dxa"/>
          </w:tcPr>
          <w:p w14:paraId="009EE3D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B only</w:t>
            </w:r>
          </w:p>
        </w:tc>
        <w:tc>
          <w:tcPr>
            <w:tcW w:w="2100" w:type="dxa"/>
          </w:tcPr>
          <w:p w14:paraId="6A981B2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50</w:t>
            </w:r>
          </w:p>
        </w:tc>
        <w:tc>
          <w:tcPr>
            <w:tcW w:w="2200" w:type="dxa"/>
          </w:tcPr>
          <w:p w14:paraId="6855A14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-6.080</w:t>
            </w:r>
          </w:p>
        </w:tc>
        <w:tc>
          <w:tcPr>
            <w:tcW w:w="2020" w:type="dxa"/>
          </w:tcPr>
          <w:p w14:paraId="3818C90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0.878x</w:t>
            </w:r>
          </w:p>
        </w:tc>
      </w:tr>
      <w:tr w:rsidR="00255917" w14:paraId="78683BD0" w14:textId="77777777">
        <w:tc>
          <w:tcPr>
            <w:tcW w:w="2700" w:type="dxa"/>
          </w:tcPr>
          <w:p w14:paraId="51431C73"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C only</w:t>
            </w:r>
          </w:p>
        </w:tc>
        <w:tc>
          <w:tcPr>
            <w:tcW w:w="2100" w:type="dxa"/>
          </w:tcPr>
          <w:p w14:paraId="16A74A8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50</w:t>
            </w:r>
          </w:p>
        </w:tc>
        <w:tc>
          <w:tcPr>
            <w:tcW w:w="2200" w:type="dxa"/>
          </w:tcPr>
          <w:p w14:paraId="2AE32CAF"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0.858</w:t>
            </w:r>
          </w:p>
        </w:tc>
        <w:tc>
          <w:tcPr>
            <w:tcW w:w="2020" w:type="dxa"/>
          </w:tcPr>
          <w:p w14:paraId="6835F0E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1.017x</w:t>
            </w:r>
          </w:p>
        </w:tc>
      </w:tr>
      <w:tr w:rsidR="00255917" w14:paraId="184DCB37" w14:textId="77777777">
        <w:tc>
          <w:tcPr>
            <w:tcW w:w="2700" w:type="dxa"/>
          </w:tcPr>
          <w:p w14:paraId="51CB8F9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A + B</w:t>
            </w:r>
          </w:p>
        </w:tc>
        <w:tc>
          <w:tcPr>
            <w:tcW w:w="2100" w:type="dxa"/>
          </w:tcPr>
          <w:p w14:paraId="0950D64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100</w:t>
            </w:r>
          </w:p>
        </w:tc>
        <w:tc>
          <w:tcPr>
            <w:tcW w:w="2200" w:type="dxa"/>
          </w:tcPr>
          <w:p w14:paraId="7D39E2CB"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-12.624</w:t>
            </w:r>
          </w:p>
        </w:tc>
        <w:tc>
          <w:tcPr>
            <w:tcW w:w="2020" w:type="dxa"/>
          </w:tcPr>
          <w:p w14:paraId="30BE870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0.874x</w:t>
            </w:r>
          </w:p>
        </w:tc>
      </w:tr>
      <w:tr w:rsidR="00255917" w14:paraId="6851BC15" w14:textId="77777777">
        <w:tc>
          <w:tcPr>
            <w:tcW w:w="2700" w:type="dxa"/>
          </w:tcPr>
          <w:p w14:paraId="7B79CA0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A + C</w:t>
            </w:r>
          </w:p>
        </w:tc>
        <w:tc>
          <w:tcPr>
            <w:tcW w:w="2100" w:type="dxa"/>
          </w:tcPr>
          <w:p w14:paraId="0A477E14"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100</w:t>
            </w:r>
          </w:p>
        </w:tc>
        <w:tc>
          <w:tcPr>
            <w:tcW w:w="2200" w:type="dxa"/>
          </w:tcPr>
          <w:p w14:paraId="73BC868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-5.686</w:t>
            </w:r>
          </w:p>
        </w:tc>
        <w:tc>
          <w:tcPr>
            <w:tcW w:w="2020" w:type="dxa"/>
          </w:tcPr>
          <w:p w14:paraId="2281CAE7"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0.943x</w:t>
            </w:r>
          </w:p>
        </w:tc>
      </w:tr>
      <w:tr w:rsidR="00255917" w14:paraId="52B986A8" w14:textId="77777777">
        <w:tc>
          <w:tcPr>
            <w:tcW w:w="2700" w:type="dxa"/>
          </w:tcPr>
          <w:p w14:paraId="22A96C5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B + C</w:t>
            </w:r>
          </w:p>
        </w:tc>
        <w:tc>
          <w:tcPr>
            <w:tcW w:w="2100" w:type="dxa"/>
          </w:tcPr>
          <w:p w14:paraId="58AEF37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100</w:t>
            </w:r>
          </w:p>
        </w:tc>
        <w:tc>
          <w:tcPr>
            <w:tcW w:w="2200" w:type="dxa"/>
          </w:tcPr>
          <w:p w14:paraId="4ABFFC1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-5.222</w:t>
            </w:r>
          </w:p>
        </w:tc>
        <w:tc>
          <w:tcPr>
            <w:tcW w:w="2020" w:type="dxa"/>
          </w:tcPr>
          <w:p w14:paraId="4236FDF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0.948x</w:t>
            </w:r>
          </w:p>
        </w:tc>
      </w:tr>
    </w:tbl>
    <w:p w14:paraId="326FAF07" w14:textId="77777777" w:rsidR="00255917" w:rsidRDefault="00C312C7">
      <w:pPr>
        <w:pBdr>
          <w:top w:val="nil"/>
          <w:left w:val="nil"/>
          <w:bottom w:val="nil"/>
          <w:right w:val="nil"/>
          <w:between w:val="nil"/>
        </w:pBdr>
        <w:spacing w:before="80" w:after="14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Source:  Excel calculations (2026). All options satisfy the £100 million ceiling.</w:t>
      </w:r>
    </w:p>
    <w:tbl>
      <w:tblPr>
        <w:tblStyle w:val="a7"/>
        <w:tblW w:w="9026" w:type="dxa"/>
        <w:tblInd w:w="-115" w:type="dxa"/>
        <w:tblBorders>
          <w:top w:val="nil"/>
          <w:left w:val="nil"/>
          <w:bottom w:val="nil"/>
          <w:right w:val="nil"/>
          <w:insideH w:val="nil"/>
          <w:insideV w:val="nil"/>
        </w:tblBorders>
        <w:tblLayout w:type="fixed"/>
        <w:tblLook w:val="0400" w:firstRow="0" w:lastRow="0" w:firstColumn="0" w:lastColumn="0" w:noHBand="0" w:noVBand="1"/>
      </w:tblPr>
      <w:tblGrid>
        <w:gridCol w:w="9026"/>
      </w:tblGrid>
      <w:tr w:rsidR="00255917" w14:paraId="1BFEEF7F" w14:textId="77777777">
        <w:tc>
          <w:tcPr>
            <w:tcW w:w="9026" w:type="dxa"/>
            <w:tcMar>
              <w:top w:w="90" w:type="dxa"/>
              <w:bottom w:w="90" w:type="dxa"/>
            </w:tcMar>
            <w:vAlign w:val="center"/>
          </w:tcPr>
          <w:p w14:paraId="019A6AC6" w14:textId="77777777" w:rsidR="00255917" w:rsidRDefault="00C312C7">
            <w:pPr>
              <w:spacing w:after="0" w:line="276" w:lineRule="auto"/>
              <w:rPr>
                <w:rFonts w:ascii="Times New Roman" w:eastAsia="Times New Roman" w:hAnsi="Times New Roman" w:cs="Times New Roman"/>
                <w:color w:val="000000"/>
              </w:rPr>
            </w:pPr>
            <w:r>
              <w:rPr>
                <w:rFonts w:ascii="Times New Roman" w:eastAsia="Times New Roman" w:hAnsi="Times New Roman" w:cs="Times New Roman"/>
                <w:b/>
                <w:bCs/>
                <w:color w:val="000000"/>
              </w:rPr>
              <w:t xml:space="preserve">Decision: </w:t>
            </w:r>
            <w:r>
              <w:rPr>
                <w:rFonts w:ascii="Times New Roman" w:eastAsia="Times New Roman" w:hAnsi="Times New Roman" w:cs="Times New Roman"/>
                <w:color w:val="000000"/>
              </w:rPr>
              <w:t>Approve Project C only. The £100 million amount is a ceiling, so retaining £50 million is preferable to adding a negative-NPV project.</w:t>
            </w:r>
          </w:p>
        </w:tc>
      </w:tr>
    </w:tbl>
    <w:p w14:paraId="1E368C25" w14:textId="77777777" w:rsidR="00255917" w:rsidRDefault="00C312C7">
      <w:pPr>
        <w:pStyle w:val="Heading2"/>
        <w:spacing w:line="276" w:lineRule="auto"/>
        <w:rPr>
          <w:rFonts w:ascii="Times New Roman" w:eastAsia="Times New Roman" w:hAnsi="Times New Roman" w:cs="Times New Roman"/>
          <w:color w:val="000000"/>
          <w:sz w:val="24"/>
          <w:szCs w:val="24"/>
        </w:rPr>
      </w:pPr>
      <w:bookmarkStart w:id="28" w:name="_kp6laqyy95u9" w:colFirst="0" w:colLast="0"/>
      <w:bookmarkEnd w:id="28"/>
      <w:r>
        <w:rPr>
          <w:rFonts w:ascii="Times New Roman" w:eastAsia="Times New Roman" w:hAnsi="Times New Roman" w:cs="Times New Roman"/>
          <w:color w:val="000000"/>
          <w:sz w:val="24"/>
          <w:szCs w:val="24"/>
        </w:rPr>
        <w:t>6. Critical Reflection on AI Usage</w:t>
      </w:r>
    </w:p>
    <w:p w14:paraId="2DAB1E7A" w14:textId="77777777" w:rsidR="00255917" w:rsidRDefault="00C312C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During this assessment, I only used one generative AI tool: ChatGPT. And I used this tool with strict limitations. I only translated a couple of keywords, and a few specific, technical, and complex terms. I also used it to do a quick grammar, spelling and editing check on my writing. Specifically, I used it to explain terms such as capital rationing, cash operating cycle, or liquidity benchmarking, and then I referred back to the course’s module material, textbooks, and other company resources. I did not us</w:t>
      </w:r>
      <w:r>
        <w:rPr>
          <w:rFonts w:ascii="Times New Roman" w:eastAsia="Times New Roman" w:hAnsi="Times New Roman" w:cs="Times New Roman"/>
          <w:color w:val="000000"/>
        </w:rPr>
        <w:t>e AI to do any of the accompanying financial calculations, decide what financial ratios to use, or select the investment project (if any), and I also did not use AI to make the recommendations presented in the report.</w:t>
      </w:r>
    </w:p>
    <w:p w14:paraId="18BD04E7" w14:textId="77777777" w:rsidR="00255917" w:rsidRDefault="00C312C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Because of the nature of AI, where it can generate responses that are very convincing, and that also may contain incomplete or inaccurate information, I did not use its answers as substantiated proof or evidence. I did a thorough technical check for any critical components of the report against the assignment brief, cited sources, Whitbread annual reports and the raw data I used in my Excel calculations. I also did this for the wording used to explain financial concepts, since the wording may vary depending</w:t>
      </w:r>
      <w:r>
        <w:rPr>
          <w:rFonts w:ascii="Times New Roman" w:eastAsia="Times New Roman" w:hAnsi="Times New Roman" w:cs="Times New Roman"/>
          <w:color w:val="000000"/>
        </w:rPr>
        <w:t xml:space="preserve"> on the source. An example of this is Whitbread’s reported ROCE and a statutory ROCE, derived from the financial statements. I also used my method to calculate ROCE instead of accepting the simplification AI offered. </w:t>
      </w:r>
      <w:r>
        <w:rPr>
          <w:rFonts w:ascii="Times New Roman" w:eastAsia="Times New Roman" w:hAnsi="Times New Roman" w:cs="Times New Roman"/>
          <w:color w:val="000000"/>
        </w:rPr>
        <w:lastRenderedPageBreak/>
        <w:t>When I used AI to do a grammar check, I did a quick check on all the edits it suggested, since sometimes a grammatically perfect edit can change the intended meaning of a financial concept.</w:t>
      </w:r>
    </w:p>
    <w:p w14:paraId="2671D432" w14:textId="77777777" w:rsidR="00255917" w:rsidRDefault="00C312C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vast majority of the report was based on my own input. I analyzed all the financial data, completed the ratio calculations, interpreted the </w:t>
      </w:r>
      <w:proofErr w:type="gramStart"/>
      <w:r>
        <w:rPr>
          <w:rFonts w:ascii="Times New Roman" w:eastAsia="Times New Roman" w:hAnsi="Times New Roman" w:cs="Times New Roman"/>
          <w:color w:val="000000"/>
        </w:rPr>
        <w:t>five year</w:t>
      </w:r>
      <w:proofErr w:type="gramEnd"/>
      <w:r>
        <w:rPr>
          <w:rFonts w:ascii="Times New Roman" w:eastAsia="Times New Roman" w:hAnsi="Times New Roman" w:cs="Times New Roman"/>
          <w:color w:val="000000"/>
        </w:rPr>
        <w:t xml:space="preserve"> financial trends, compared the entity’s liquidity, and analyzed the working-capital position. I also reviewed the three proposed investment projects and ultimately made the decision that Project C was the best proposal, and I also reviewed the rationale for the full use of the £100 million budget and supported the view that full use may not be warranted in that scenario. </w:t>
      </w:r>
    </w:p>
    <w:p w14:paraId="77E63BD1" w14:textId="77777777" w:rsidR="00255917" w:rsidRDefault="00C312C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Using AI in this manner can still be considered unethical to a degree. While employed in a finance role, it is not appropriate to simply accept a generated response and take it at face value, especially given the confidence of the output. Financial decisions affect a wide range of stakeholders, therefore the individual making the decision must remain accountable for the evidence and the reasoning that support the </w:t>
      </w:r>
      <w:proofErr w:type="spellStart"/>
      <w:proofErr w:type="gramStart"/>
      <w:r>
        <w:rPr>
          <w:rFonts w:ascii="Times New Roman" w:eastAsia="Times New Roman" w:hAnsi="Times New Roman" w:cs="Times New Roman"/>
          <w:color w:val="000000"/>
        </w:rPr>
        <w:t>decision.The</w:t>
      </w:r>
      <w:proofErr w:type="spellEnd"/>
      <w:proofErr w:type="gramEnd"/>
      <w:r>
        <w:rPr>
          <w:rFonts w:ascii="Times New Roman" w:eastAsia="Times New Roman" w:hAnsi="Times New Roman" w:cs="Times New Roman"/>
          <w:color w:val="000000"/>
        </w:rPr>
        <w:t xml:space="preserve"> use of AI in accounting and controlling still values professional judgment, transparency, and human intervention (Lehner et al., 2022; </w:t>
      </w:r>
      <w:proofErr w:type="spellStart"/>
      <w:r>
        <w:rPr>
          <w:rFonts w:ascii="Times New Roman" w:eastAsia="Times New Roman" w:hAnsi="Times New Roman" w:cs="Times New Roman"/>
          <w:color w:val="000000"/>
        </w:rPr>
        <w:t>Losbichler</w:t>
      </w:r>
      <w:proofErr w:type="spellEnd"/>
      <w:r>
        <w:rPr>
          <w:rFonts w:ascii="Times New Roman" w:eastAsia="Times New Roman" w:hAnsi="Times New Roman" w:cs="Times New Roman"/>
          <w:color w:val="000000"/>
        </w:rPr>
        <w:t xml:space="preserve"> and Lehner, 2021). My learning experiences during this assessment confirmed that AI should be used to assist, and not replace, the use of financial logic.</w:t>
      </w:r>
    </w:p>
    <w:p w14:paraId="5691CB94" w14:textId="77777777" w:rsidR="00255917" w:rsidRDefault="00C312C7">
      <w:pPr>
        <w:pBdr>
          <w:top w:val="none" w:sz="0" w:space="0" w:color="000000"/>
          <w:left w:val="none" w:sz="0" w:space="0" w:color="000000"/>
          <w:bottom w:val="none" w:sz="0" w:space="0" w:color="000000"/>
          <w:right w:val="none" w:sz="0" w:space="0" w:color="000000"/>
          <w:between w:val="none" w:sz="0" w:space="0" w:color="000000"/>
        </w:pBdr>
        <w:shd w:val="clear" w:color="auto" w:fill="FFFFFF"/>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I have also taken transparency and privacy into account. I have ensured that Whitbread’s confidential information, private financial and personal customer information, was not input into the AI tool. The information used was based on public company information and assessment materials. I have been open to the limited use of AI, as I believe that even proofreading/clarifying keywords should be done in full transparency. AI use was justified for small tasks assisting me. All calculations, analyses, evaluation</w:t>
      </w:r>
      <w:r>
        <w:rPr>
          <w:rFonts w:ascii="Times New Roman" w:eastAsia="Times New Roman" w:hAnsi="Times New Roman" w:cs="Times New Roman"/>
          <w:color w:val="000000"/>
        </w:rPr>
        <w:t>s and the final recommendations were my responsibility. AI saves time and effort on small tasks and the integrity of financial work relies on manual verification of the underlying data, comprehension of the calculations, and justification of the final answer. Seeing the AI be used in this context was also very interesting.</w:t>
      </w:r>
    </w:p>
    <w:p w14:paraId="323BDEBC" w14:textId="77777777" w:rsidR="00255917" w:rsidRDefault="00C312C7">
      <w:pPr>
        <w:pStyle w:val="Heading2"/>
        <w:spacing w:line="276" w:lineRule="auto"/>
        <w:rPr>
          <w:rFonts w:ascii="Times New Roman" w:eastAsia="Times New Roman" w:hAnsi="Times New Roman" w:cs="Times New Roman"/>
          <w:color w:val="000000"/>
          <w:sz w:val="24"/>
          <w:szCs w:val="24"/>
        </w:rPr>
      </w:pPr>
      <w:bookmarkStart w:id="29" w:name="_70qgkc16qyui" w:colFirst="0" w:colLast="0"/>
      <w:bookmarkEnd w:id="29"/>
      <w:r>
        <w:rPr>
          <w:rFonts w:ascii="Times New Roman" w:eastAsia="Times New Roman" w:hAnsi="Times New Roman" w:cs="Times New Roman"/>
          <w:color w:val="000000"/>
          <w:sz w:val="24"/>
          <w:szCs w:val="24"/>
        </w:rPr>
        <w:t>7. Conclusion</w:t>
      </w:r>
    </w:p>
    <w:p w14:paraId="3DDC9057"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Whitbread's </w:t>
      </w:r>
      <w:proofErr w:type="gramStart"/>
      <w:r>
        <w:rPr>
          <w:rFonts w:ascii="Times New Roman" w:eastAsia="Times New Roman" w:hAnsi="Times New Roman" w:cs="Times New Roman"/>
          <w:color w:val="000000"/>
        </w:rPr>
        <w:t>five year</w:t>
      </w:r>
      <w:proofErr w:type="gramEnd"/>
      <w:r>
        <w:rPr>
          <w:rFonts w:ascii="Times New Roman" w:eastAsia="Times New Roman" w:hAnsi="Times New Roman" w:cs="Times New Roman"/>
          <w:color w:val="000000"/>
        </w:rPr>
        <w:t xml:space="preserve"> recovery built a larger and more profitable business, but the FY26 position is less robust than revenue movement suggests. FY24 margins and ROCE peaks, current and cash ratios are significantly below industry benchmarks, lease-adjusted debt has increased coupled with a decrease in free cash flow to £75.3 million. We believe the company is better off with a more conservative approach given the liquidity of the balance sheet and the cash flow situation, particularly given the balance sheet risks.</w:t>
      </w:r>
    </w:p>
    <w:p w14:paraId="519A1C5E"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We believe the company should protect liquidity by staging capital expenditures, selectively investing in properties to maintain a larger freehold base, and aligning the maturities of the liabilities with the lives of the assets. Properties and Restaurants should only be developed if they pass the NPV and stakeholder tests. We suggest acceptance of Project C only, since it has a positive NPV, a profit index of over 1 and an IRR of over 8%. Projects A and B should be rejected. Within the £100 million limit, </w:t>
      </w:r>
      <w:r>
        <w:rPr>
          <w:rFonts w:ascii="Times New Roman" w:eastAsia="Times New Roman" w:hAnsi="Times New Roman" w:cs="Times New Roman"/>
          <w:color w:val="000000"/>
        </w:rPr>
        <w:t xml:space="preserve">the company has the potential to maximize value with Project C, and preserve the remaining capacity of £50 million. </w:t>
      </w:r>
    </w:p>
    <w:p w14:paraId="203F15EC" w14:textId="77777777" w:rsidR="00255917" w:rsidRDefault="00255917">
      <w:pPr>
        <w:spacing w:line="276" w:lineRule="auto"/>
        <w:rPr>
          <w:rFonts w:ascii="Times New Roman" w:eastAsia="Times New Roman" w:hAnsi="Times New Roman" w:cs="Times New Roman"/>
          <w:color w:val="000000"/>
        </w:rPr>
      </w:pPr>
    </w:p>
    <w:p w14:paraId="2F38B50F" w14:textId="77777777" w:rsidR="00255917" w:rsidRDefault="00255917">
      <w:pPr>
        <w:spacing w:line="276" w:lineRule="auto"/>
        <w:rPr>
          <w:rFonts w:ascii="Times New Roman" w:eastAsia="Times New Roman" w:hAnsi="Times New Roman" w:cs="Times New Roman"/>
          <w:color w:val="000000"/>
        </w:rPr>
      </w:pPr>
    </w:p>
    <w:p w14:paraId="2D86CE60" w14:textId="77777777" w:rsidR="00255917" w:rsidRDefault="00255917">
      <w:pPr>
        <w:spacing w:line="276" w:lineRule="auto"/>
        <w:rPr>
          <w:rFonts w:ascii="Times New Roman" w:eastAsia="Times New Roman" w:hAnsi="Times New Roman" w:cs="Times New Roman"/>
          <w:color w:val="000000"/>
        </w:rPr>
      </w:pPr>
    </w:p>
    <w:p w14:paraId="27A80F1F" w14:textId="77777777" w:rsidR="00255917" w:rsidRDefault="00255917">
      <w:pPr>
        <w:spacing w:line="276" w:lineRule="auto"/>
        <w:rPr>
          <w:rFonts w:ascii="Times New Roman" w:eastAsia="Times New Roman" w:hAnsi="Times New Roman" w:cs="Times New Roman"/>
          <w:color w:val="000000"/>
        </w:rPr>
      </w:pPr>
    </w:p>
    <w:p w14:paraId="7558CE5B" w14:textId="77777777" w:rsidR="00255917" w:rsidRDefault="00255917">
      <w:pPr>
        <w:spacing w:line="276" w:lineRule="auto"/>
        <w:rPr>
          <w:rFonts w:ascii="Times New Roman" w:eastAsia="Times New Roman" w:hAnsi="Times New Roman" w:cs="Times New Roman"/>
          <w:color w:val="000000"/>
        </w:rPr>
      </w:pPr>
    </w:p>
    <w:p w14:paraId="6AF17ECE" w14:textId="77777777" w:rsidR="00255917" w:rsidRDefault="00C312C7">
      <w:pPr>
        <w:pStyle w:val="Heading2"/>
        <w:spacing w:line="276" w:lineRule="auto"/>
        <w:rPr>
          <w:rFonts w:ascii="Times New Roman" w:eastAsia="Times New Roman" w:hAnsi="Times New Roman" w:cs="Times New Roman"/>
          <w:color w:val="000000"/>
          <w:sz w:val="24"/>
          <w:szCs w:val="24"/>
        </w:rPr>
      </w:pPr>
      <w:bookmarkStart w:id="30" w:name="_6nv44naeg3za" w:colFirst="0" w:colLast="0"/>
      <w:bookmarkEnd w:id="30"/>
      <w:proofErr w:type="gramStart"/>
      <w:r>
        <w:rPr>
          <w:rFonts w:ascii="Times New Roman" w:eastAsia="Times New Roman" w:hAnsi="Times New Roman" w:cs="Times New Roman"/>
          <w:color w:val="000000"/>
          <w:sz w:val="24"/>
          <w:szCs w:val="24"/>
        </w:rPr>
        <w:t>Reference :</w:t>
      </w:r>
      <w:proofErr w:type="gramEnd"/>
    </w:p>
    <w:p w14:paraId="4D9A8784" w14:textId="77777777" w:rsidR="00255917" w:rsidRDefault="00C312C7">
      <w:pPr>
        <w:numPr>
          <w:ilvl w:val="0"/>
          <w:numId w:val="1"/>
        </w:numPr>
        <w:spacing w:after="0"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Ahmad, M., Bashir, R. and Waqas, H. (2022) 'Working capital management and firm performance: are their effects same in COVID-19 compared to financial crisis 2008?', Cogent Economics &amp; Finance, 10(1), 2101224. https://doi.org/10.1080/23322039.2022.2101224.</w:t>
      </w:r>
    </w:p>
    <w:p w14:paraId="3C4DB556" w14:textId="77777777" w:rsidR="00255917" w:rsidRDefault="00C312C7">
      <w:pPr>
        <w:numPr>
          <w:ilvl w:val="0"/>
          <w:numId w:val="1"/>
        </w:numPr>
        <w:spacing w:after="0" w:line="276" w:lineRule="auto"/>
        <w:rPr>
          <w:rFonts w:ascii="Times New Roman" w:eastAsia="Times New Roman" w:hAnsi="Times New Roman" w:cs="Times New Roman"/>
          <w:color w:val="000000"/>
        </w:rPr>
      </w:pPr>
      <w:proofErr w:type="spellStart"/>
      <w:r>
        <w:rPr>
          <w:rFonts w:ascii="Times New Roman" w:eastAsia="Times New Roman" w:hAnsi="Times New Roman" w:cs="Times New Roman"/>
          <w:color w:val="000000"/>
        </w:rPr>
        <w:t>Atrill</w:t>
      </w:r>
      <w:proofErr w:type="spellEnd"/>
      <w:r>
        <w:rPr>
          <w:rFonts w:ascii="Times New Roman" w:eastAsia="Times New Roman" w:hAnsi="Times New Roman" w:cs="Times New Roman"/>
          <w:color w:val="000000"/>
        </w:rPr>
        <w:t xml:space="preserve">, P. and McLaney, E. (2022) Accounting and Finance for Non-Specialists. 12th </w:t>
      </w:r>
      <w:proofErr w:type="spellStart"/>
      <w:r>
        <w:rPr>
          <w:rFonts w:ascii="Times New Roman" w:eastAsia="Times New Roman" w:hAnsi="Times New Roman" w:cs="Times New Roman"/>
          <w:color w:val="000000"/>
        </w:rPr>
        <w:t>edn</w:t>
      </w:r>
      <w:proofErr w:type="spellEnd"/>
      <w:r>
        <w:rPr>
          <w:rFonts w:ascii="Times New Roman" w:eastAsia="Times New Roman" w:hAnsi="Times New Roman" w:cs="Times New Roman"/>
          <w:color w:val="000000"/>
        </w:rPr>
        <w:t>. Harlow: Pearson.</w:t>
      </w:r>
    </w:p>
    <w:p w14:paraId="0C326AAE" w14:textId="77777777" w:rsidR="00255917" w:rsidRDefault="00C312C7">
      <w:pPr>
        <w:numPr>
          <w:ilvl w:val="0"/>
          <w:numId w:val="1"/>
        </w:numPr>
        <w:spacing w:after="0"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Bank of England (2026) Inflation and the 2% target. Available at: https://www.bankofengland.co.uk/monetary-policy/inflation (Accessed: 8 August 2026).</w:t>
      </w:r>
    </w:p>
    <w:p w14:paraId="05333ECD" w14:textId="77777777" w:rsidR="00255917" w:rsidRDefault="00C312C7">
      <w:pPr>
        <w:numPr>
          <w:ilvl w:val="0"/>
          <w:numId w:val="1"/>
        </w:numPr>
        <w:spacing w:after="0"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Berk, J. and DeMarzo, P. (2023) Corporate Finance. 6th </w:t>
      </w:r>
      <w:proofErr w:type="spellStart"/>
      <w:r>
        <w:rPr>
          <w:rFonts w:ascii="Times New Roman" w:eastAsia="Times New Roman" w:hAnsi="Times New Roman" w:cs="Times New Roman"/>
          <w:color w:val="000000"/>
        </w:rPr>
        <w:t>edn</w:t>
      </w:r>
      <w:proofErr w:type="spellEnd"/>
      <w:r>
        <w:rPr>
          <w:rFonts w:ascii="Times New Roman" w:eastAsia="Times New Roman" w:hAnsi="Times New Roman" w:cs="Times New Roman"/>
          <w:color w:val="000000"/>
        </w:rPr>
        <w:t>. Harlow: Pearson.</w:t>
      </w:r>
    </w:p>
    <w:p w14:paraId="19FCEAAF" w14:textId="77777777" w:rsidR="00255917" w:rsidRDefault="00C312C7">
      <w:pPr>
        <w:numPr>
          <w:ilvl w:val="0"/>
          <w:numId w:val="1"/>
        </w:numPr>
        <w:spacing w:after="0"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Bhatti, T. (2026) 'Algorithmic decision-making and human autonomy in finance: a systematic review of AI ethics research', Journal of Statistical Theory and Applications, 25, article 22. https://doi.org/10.1007/s44199-026-00175-w.</w:t>
      </w:r>
    </w:p>
    <w:p w14:paraId="16C3F57F" w14:textId="77777777" w:rsidR="00255917" w:rsidRDefault="00C312C7">
      <w:pPr>
        <w:numPr>
          <w:ilvl w:val="0"/>
          <w:numId w:val="1"/>
        </w:numPr>
        <w:spacing w:after="0"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Bialek-Jaworska, A., et al. (2022) 'Does IFRS 16 affect the key ratios of listed companies?', International Journal of Management and Economics, 58(3), pp. 299-315.</w:t>
      </w:r>
    </w:p>
    <w:p w14:paraId="76ADCC45" w14:textId="77777777" w:rsidR="00255917" w:rsidRDefault="00C312C7">
      <w:pPr>
        <w:numPr>
          <w:ilvl w:val="0"/>
          <w:numId w:val="1"/>
        </w:numPr>
        <w:spacing w:after="0"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Chambers, N. and </w:t>
      </w:r>
      <w:proofErr w:type="spellStart"/>
      <w:r>
        <w:rPr>
          <w:rFonts w:ascii="Times New Roman" w:eastAsia="Times New Roman" w:hAnsi="Times New Roman" w:cs="Times New Roman"/>
          <w:color w:val="000000"/>
        </w:rPr>
        <w:t>Cifter</w:t>
      </w:r>
      <w:proofErr w:type="spellEnd"/>
      <w:r>
        <w:rPr>
          <w:rFonts w:ascii="Times New Roman" w:eastAsia="Times New Roman" w:hAnsi="Times New Roman" w:cs="Times New Roman"/>
          <w:color w:val="000000"/>
        </w:rPr>
        <w:t>, A. (2022) 'Working capital management and firm performance in the hospitality and tourism industry', International Journal of Hospitality Management, 102, 103144. https://doi.org/10.1016/j.ijhm.2022.103144.</w:t>
      </w:r>
    </w:p>
    <w:p w14:paraId="048269AF" w14:textId="77777777" w:rsidR="00255917" w:rsidRDefault="00C312C7">
      <w:pPr>
        <w:numPr>
          <w:ilvl w:val="0"/>
          <w:numId w:val="1"/>
        </w:numPr>
        <w:spacing w:after="0" w:line="276" w:lineRule="auto"/>
        <w:rPr>
          <w:rFonts w:ascii="Times New Roman" w:eastAsia="Times New Roman" w:hAnsi="Times New Roman" w:cs="Times New Roman"/>
          <w:color w:val="000000"/>
        </w:rPr>
      </w:pPr>
      <w:proofErr w:type="spellStart"/>
      <w:r>
        <w:rPr>
          <w:rFonts w:ascii="Times New Roman" w:eastAsia="Times New Roman" w:hAnsi="Times New Roman" w:cs="Times New Roman"/>
          <w:color w:val="000000"/>
        </w:rPr>
        <w:t>CSIMarket</w:t>
      </w:r>
      <w:proofErr w:type="spellEnd"/>
      <w:r>
        <w:rPr>
          <w:rFonts w:ascii="Times New Roman" w:eastAsia="Times New Roman" w:hAnsi="Times New Roman" w:cs="Times New Roman"/>
          <w:color w:val="000000"/>
        </w:rPr>
        <w:t xml:space="preserve"> (2026) Hotels &amp; Tourism industry financial strength ratios. Available at: https://csimarket.com/Industry/industry_Financial_Strength_Ratios.php?ind=906 (Accessed: 8 August 2026).</w:t>
      </w:r>
    </w:p>
    <w:p w14:paraId="1A1D005F" w14:textId="77777777" w:rsidR="00255917" w:rsidRDefault="00C312C7">
      <w:pPr>
        <w:numPr>
          <w:ilvl w:val="0"/>
          <w:numId w:val="1"/>
        </w:numPr>
        <w:spacing w:after="0"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IFRS Foundation (2024) IAS 7 Statement of Cash Flows. Available at: https://www.ifrs.org/issued-standards/list-of-standards/ias-7-statement-of-cash-flows/ (Accessed: 8 August 2026).</w:t>
      </w:r>
    </w:p>
    <w:p w14:paraId="65A3ECEA" w14:textId="77777777" w:rsidR="00255917" w:rsidRDefault="00C312C7">
      <w:pPr>
        <w:numPr>
          <w:ilvl w:val="0"/>
          <w:numId w:val="1"/>
        </w:numPr>
        <w:spacing w:after="0"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IFRS Foundation (2025) IFRS 16 Leases. Available at: https://www.ifrs.org/content/dam/ifrs/publications/html-standards/english/2025/issued/ifrs16.html (Accessed: 8 August 2026).</w:t>
      </w:r>
    </w:p>
    <w:p w14:paraId="5CC4B3E2" w14:textId="77777777" w:rsidR="00255917" w:rsidRDefault="00C312C7">
      <w:pPr>
        <w:numPr>
          <w:ilvl w:val="0"/>
          <w:numId w:val="1"/>
        </w:numPr>
        <w:spacing w:after="0" w:line="276" w:lineRule="auto"/>
        <w:rPr>
          <w:rFonts w:ascii="Times New Roman" w:eastAsia="Times New Roman" w:hAnsi="Times New Roman" w:cs="Times New Roman"/>
          <w:color w:val="000000"/>
        </w:rPr>
      </w:pPr>
      <w:proofErr w:type="spellStart"/>
      <w:r>
        <w:rPr>
          <w:rFonts w:ascii="Times New Roman" w:eastAsia="Times New Roman" w:hAnsi="Times New Roman" w:cs="Times New Roman"/>
          <w:color w:val="000000"/>
        </w:rPr>
        <w:t>Kiymaz</w:t>
      </w:r>
      <w:proofErr w:type="spellEnd"/>
      <w:r>
        <w:rPr>
          <w:rFonts w:ascii="Times New Roman" w:eastAsia="Times New Roman" w:hAnsi="Times New Roman" w:cs="Times New Roman"/>
          <w:color w:val="000000"/>
        </w:rPr>
        <w:t>, H., Haque, S. and Choudhury, A.A. (2024) 'Working capital management and firm performance: a comparative analysis of developed and emerging economies', Borsa Istanbul Review, 24(3), pp. 634-642. https://doi.org/10.1016/j.bir.2024.03.004.</w:t>
      </w:r>
    </w:p>
    <w:p w14:paraId="0135CE01" w14:textId="77777777" w:rsidR="00255917" w:rsidRDefault="00C312C7">
      <w:pPr>
        <w:numPr>
          <w:ilvl w:val="0"/>
          <w:numId w:val="1"/>
        </w:numPr>
        <w:spacing w:after="0"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Lehner, O.M., </w:t>
      </w:r>
      <w:proofErr w:type="spellStart"/>
      <w:r>
        <w:rPr>
          <w:rFonts w:ascii="Times New Roman" w:eastAsia="Times New Roman" w:hAnsi="Times New Roman" w:cs="Times New Roman"/>
          <w:color w:val="000000"/>
        </w:rPr>
        <w:t>Ittonen</w:t>
      </w:r>
      <w:proofErr w:type="spellEnd"/>
      <w:r>
        <w:rPr>
          <w:rFonts w:ascii="Times New Roman" w:eastAsia="Times New Roman" w:hAnsi="Times New Roman" w:cs="Times New Roman"/>
          <w:color w:val="000000"/>
        </w:rPr>
        <w:t xml:space="preserve">, K., </w:t>
      </w:r>
      <w:proofErr w:type="spellStart"/>
      <w:r>
        <w:rPr>
          <w:rFonts w:ascii="Times New Roman" w:eastAsia="Times New Roman" w:hAnsi="Times New Roman" w:cs="Times New Roman"/>
          <w:color w:val="000000"/>
        </w:rPr>
        <w:t>Silvola</w:t>
      </w:r>
      <w:proofErr w:type="spellEnd"/>
      <w:r>
        <w:rPr>
          <w:rFonts w:ascii="Times New Roman" w:eastAsia="Times New Roman" w:hAnsi="Times New Roman" w:cs="Times New Roman"/>
          <w:color w:val="000000"/>
        </w:rPr>
        <w:t xml:space="preserve">, H., Strom, E. and </w:t>
      </w:r>
      <w:proofErr w:type="spellStart"/>
      <w:r>
        <w:rPr>
          <w:rFonts w:ascii="Times New Roman" w:eastAsia="Times New Roman" w:hAnsi="Times New Roman" w:cs="Times New Roman"/>
          <w:color w:val="000000"/>
        </w:rPr>
        <w:t>Wuhrleitner</w:t>
      </w:r>
      <w:proofErr w:type="spellEnd"/>
      <w:r>
        <w:rPr>
          <w:rFonts w:ascii="Times New Roman" w:eastAsia="Times New Roman" w:hAnsi="Times New Roman" w:cs="Times New Roman"/>
          <w:color w:val="000000"/>
        </w:rPr>
        <w:t xml:space="preserve">, A. (2022) 'Artificial </w:t>
      </w:r>
      <w:proofErr w:type="gramStart"/>
      <w:r>
        <w:rPr>
          <w:rFonts w:ascii="Times New Roman" w:eastAsia="Times New Roman" w:hAnsi="Times New Roman" w:cs="Times New Roman"/>
          <w:color w:val="000000"/>
        </w:rPr>
        <w:t>intelligence based</w:t>
      </w:r>
      <w:proofErr w:type="gramEnd"/>
      <w:r>
        <w:rPr>
          <w:rFonts w:ascii="Times New Roman" w:eastAsia="Times New Roman" w:hAnsi="Times New Roman" w:cs="Times New Roman"/>
          <w:color w:val="000000"/>
        </w:rPr>
        <w:t xml:space="preserve"> decision-making in accounting and auditing: ethical challenges and normative thinking', Accounting, Auditing &amp; Accountability Journal, 35(9), pp. 109-135. https://doi.org/10.1108/AAAJ-09-2020-4934.</w:t>
      </w:r>
    </w:p>
    <w:p w14:paraId="082CBB3B" w14:textId="77777777" w:rsidR="00255917" w:rsidRDefault="00C312C7">
      <w:pPr>
        <w:numPr>
          <w:ilvl w:val="0"/>
          <w:numId w:val="1"/>
        </w:numPr>
        <w:spacing w:after="0" w:line="276" w:lineRule="auto"/>
        <w:rPr>
          <w:rFonts w:ascii="Times New Roman" w:eastAsia="Times New Roman" w:hAnsi="Times New Roman" w:cs="Times New Roman"/>
          <w:color w:val="000000"/>
        </w:rPr>
      </w:pPr>
      <w:proofErr w:type="spellStart"/>
      <w:r>
        <w:rPr>
          <w:rFonts w:ascii="Times New Roman" w:eastAsia="Times New Roman" w:hAnsi="Times New Roman" w:cs="Times New Roman"/>
          <w:color w:val="000000"/>
        </w:rPr>
        <w:lastRenderedPageBreak/>
        <w:t>Losbichler</w:t>
      </w:r>
      <w:proofErr w:type="spellEnd"/>
      <w:r>
        <w:rPr>
          <w:rFonts w:ascii="Times New Roman" w:eastAsia="Times New Roman" w:hAnsi="Times New Roman" w:cs="Times New Roman"/>
          <w:color w:val="000000"/>
        </w:rPr>
        <w:t>, H. and Lehner, O.M. (2021) 'Limits of artificial intelligence in controlling and the ways forward: a call for future accounting research', Journal of Applied Accounting Research, 22(2), pp. 365-382. https://doi.org/10.1108/JAAR-10-2020-0207.</w:t>
      </w:r>
    </w:p>
    <w:p w14:paraId="3717891F" w14:textId="77777777" w:rsidR="00255917" w:rsidRDefault="00C312C7">
      <w:pPr>
        <w:numPr>
          <w:ilvl w:val="0"/>
          <w:numId w:val="1"/>
        </w:numPr>
        <w:spacing w:after="0" w:line="276" w:lineRule="auto"/>
        <w:rPr>
          <w:rFonts w:ascii="Times New Roman" w:eastAsia="Times New Roman" w:hAnsi="Times New Roman" w:cs="Times New Roman"/>
          <w:color w:val="000000"/>
        </w:rPr>
      </w:pPr>
      <w:proofErr w:type="spellStart"/>
      <w:r>
        <w:rPr>
          <w:rFonts w:ascii="Times New Roman" w:eastAsia="Times New Roman" w:hAnsi="Times New Roman" w:cs="Times New Roman"/>
          <w:color w:val="000000"/>
        </w:rPr>
        <w:t>ReadyRatios</w:t>
      </w:r>
      <w:proofErr w:type="spellEnd"/>
      <w:r>
        <w:rPr>
          <w:rFonts w:ascii="Times New Roman" w:eastAsia="Times New Roman" w:hAnsi="Times New Roman" w:cs="Times New Roman"/>
          <w:color w:val="000000"/>
        </w:rPr>
        <w:t xml:space="preserve"> (2026) Hotels and motels industry financial ratios. Available at: https://www.readyratios.com/sec/industry/7011/ (Accessed: 8 August 2026).</w:t>
      </w:r>
    </w:p>
    <w:p w14:paraId="1CF44291" w14:textId="77777777" w:rsidR="00255917" w:rsidRDefault="00C312C7">
      <w:pPr>
        <w:numPr>
          <w:ilvl w:val="0"/>
          <w:numId w:val="1"/>
        </w:numPr>
        <w:spacing w:after="0" w:line="276" w:lineRule="auto"/>
        <w:rPr>
          <w:rFonts w:ascii="Times New Roman" w:eastAsia="Times New Roman" w:hAnsi="Times New Roman" w:cs="Times New Roman"/>
          <w:color w:val="000000"/>
        </w:rPr>
      </w:pPr>
      <w:proofErr w:type="spellStart"/>
      <w:r>
        <w:rPr>
          <w:rFonts w:ascii="Times New Roman" w:eastAsia="Times New Roman" w:hAnsi="Times New Roman" w:cs="Times New Roman"/>
          <w:color w:val="000000"/>
        </w:rPr>
        <w:t>StockAnalysis</w:t>
      </w:r>
      <w:proofErr w:type="spellEnd"/>
      <w:r>
        <w:rPr>
          <w:rFonts w:ascii="Times New Roman" w:eastAsia="Times New Roman" w:hAnsi="Times New Roman" w:cs="Times New Roman"/>
          <w:color w:val="000000"/>
        </w:rPr>
        <w:t xml:space="preserve"> (2026) Whitbread PLC financial ratios and historical fiscal-year prices. Available at: https://stockanalysis.com/quote/lon/WTB/financials/ratios/ (Accessed: 8 August 2026).</w:t>
      </w:r>
    </w:p>
    <w:p w14:paraId="61AA7DCE" w14:textId="77777777" w:rsidR="00255917" w:rsidRDefault="00C312C7">
      <w:pPr>
        <w:numPr>
          <w:ilvl w:val="0"/>
          <w:numId w:val="1"/>
        </w:numPr>
        <w:spacing w:after="0"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UK Government (2026a) Corporation Tax rates and allowances. Available at: https://www.gov.uk/corporation-tax-rates (Accessed: 8 August 2026).</w:t>
      </w:r>
    </w:p>
    <w:p w14:paraId="64A92C76" w14:textId="77777777" w:rsidR="00255917" w:rsidRDefault="00C312C7">
      <w:pPr>
        <w:numPr>
          <w:ilvl w:val="0"/>
          <w:numId w:val="1"/>
        </w:numPr>
        <w:spacing w:after="0"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UK Government (2026b) National Minimum Wage and National Living Wage rates. Available at: https://www.gov.uk/national-minimum-wage-rates (Accessed: 8 August 2026).</w:t>
      </w:r>
    </w:p>
    <w:p w14:paraId="491BA8E5" w14:textId="77777777" w:rsidR="00255917" w:rsidRDefault="00C312C7">
      <w:pPr>
        <w:numPr>
          <w:ilvl w:val="0"/>
          <w:numId w:val="1"/>
        </w:numPr>
        <w:spacing w:after="0"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University of Wales Trinity Saint David (2026) LCMB7002 Financial Management: Level 7 Assessment Specification, May/June 2026. Carmarthen: UWTSD.</w:t>
      </w:r>
    </w:p>
    <w:p w14:paraId="452B46F6" w14:textId="77777777" w:rsidR="00255917" w:rsidRDefault="00C312C7">
      <w:pPr>
        <w:numPr>
          <w:ilvl w:val="0"/>
          <w:numId w:val="1"/>
        </w:numPr>
        <w:spacing w:after="0"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Whitbread PLC (2023) Annual Report and Accounts 2022/23. Available at: https://cdn.whitbread.co.uk/media/2023/05/Whitbread_AR22_Interactive.pdf (Accessed: 8 August 2026).</w:t>
      </w:r>
    </w:p>
    <w:p w14:paraId="284E292E" w14:textId="77777777" w:rsidR="00255917" w:rsidRDefault="00C312C7">
      <w:pPr>
        <w:numPr>
          <w:ilvl w:val="0"/>
          <w:numId w:val="1"/>
        </w:numPr>
        <w:spacing w:after="0"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Whitbread PLC (2024) FY24 Full-Year Results. Available at: https://cdn.whitbread.co.uk/media/2024/04/FY24-RNS-FINAL.pdf (Accessed: 8 August 2026).</w:t>
      </w:r>
    </w:p>
    <w:p w14:paraId="598E8D12" w14:textId="77777777" w:rsidR="00255917" w:rsidRDefault="00C312C7">
      <w:pPr>
        <w:numPr>
          <w:ilvl w:val="0"/>
          <w:numId w:val="1"/>
        </w:numPr>
        <w:spacing w:after="0"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Whitbread PLC (2025) FY25 Full-Year Results. Available at: https://cdn.whitbread.co.uk/media/2025/05/Whitbread-FY25-RNS.pdf (Accessed: 8 August 2026).</w:t>
      </w:r>
    </w:p>
    <w:p w14:paraId="4CC6D0B1" w14:textId="77777777" w:rsidR="00255917" w:rsidRDefault="00C312C7">
      <w:pPr>
        <w:numPr>
          <w:ilvl w:val="0"/>
          <w:numId w:val="1"/>
        </w:numPr>
        <w:spacing w:after="0"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Whitbread PLC (2026a) FY26 Preliminary Results. Available at: https://cdn.whitbread.co.uk/media/2026/04/FY26-Preliminary-Results.pdf (Accessed: 8 August 2026).</w:t>
      </w:r>
    </w:p>
    <w:p w14:paraId="0240F863" w14:textId="77777777" w:rsidR="00255917" w:rsidRDefault="00C312C7">
      <w:pPr>
        <w:numPr>
          <w:ilvl w:val="0"/>
          <w:numId w:val="1"/>
        </w:numPr>
        <w:spacing w:after="0"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Whitbread PLC (2026b) Outcome of Business Review. Available at: https://cdn.whitbread.co.uk/media/2026/04/Outcome-of-Business-Review.pdf (Accessed: 8 August 2026).</w:t>
      </w:r>
    </w:p>
    <w:p w14:paraId="11859887" w14:textId="77777777" w:rsidR="00255917" w:rsidRDefault="00C312C7">
      <w:pPr>
        <w:numPr>
          <w:ilvl w:val="0"/>
          <w:numId w:val="1"/>
        </w:numPr>
        <w:spacing w:after="0"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Whitbread PLC (2026c) Annual Report and Accounts 2025/26. Available at: https://cdn.whitbread.co.uk/media/2026/05/Whitbread-PLC-Annual-Report-and-Accounts-2025-26.pdf (Accessed: 8 August 2026).</w:t>
      </w:r>
    </w:p>
    <w:p w14:paraId="4D392D1D" w14:textId="77777777" w:rsidR="00255917" w:rsidRDefault="00C312C7">
      <w:pPr>
        <w:numPr>
          <w:ilvl w:val="0"/>
          <w:numId w:val="1"/>
        </w:numPr>
        <w:spacing w:after="160" w:line="276" w:lineRule="auto"/>
        <w:rPr>
          <w:rFonts w:ascii="Times New Roman" w:eastAsia="Times New Roman" w:hAnsi="Times New Roman" w:cs="Times New Roman"/>
          <w:color w:val="000000"/>
        </w:rPr>
        <w:sectPr w:rsidR="00255917">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9" w:footer="709" w:gutter="0"/>
          <w:pgNumType w:start="1"/>
          <w:cols w:space="720"/>
        </w:sectPr>
      </w:pPr>
      <w:r>
        <w:rPr>
          <w:rFonts w:ascii="Times New Roman" w:eastAsia="Times New Roman" w:hAnsi="Times New Roman" w:cs="Times New Roman"/>
          <w:color w:val="000000"/>
        </w:rPr>
        <w:t>Whitbread PLC (2026d) Sustainability Report 2025/26. Available at: https://cdn.whitbread.co.uk/media/2026/05/Whitbread-PLC-Sustainability-Report-2025_26.pdf (Accessed: 8 August 2026).</w:t>
      </w:r>
    </w:p>
    <w:p w14:paraId="2584999D" w14:textId="77777777" w:rsidR="00255917" w:rsidRDefault="00C312C7">
      <w:pPr>
        <w:pStyle w:val="Heading2"/>
        <w:spacing w:line="276" w:lineRule="auto"/>
        <w:rPr>
          <w:rFonts w:ascii="Times New Roman" w:eastAsia="Times New Roman" w:hAnsi="Times New Roman" w:cs="Times New Roman"/>
          <w:color w:val="000000"/>
          <w:sz w:val="24"/>
          <w:szCs w:val="24"/>
        </w:rPr>
      </w:pPr>
      <w:bookmarkStart w:id="31" w:name="_iqxla1p2is7i" w:colFirst="0" w:colLast="0"/>
      <w:bookmarkEnd w:id="31"/>
      <w:r>
        <w:rPr>
          <w:rFonts w:ascii="Times New Roman" w:eastAsia="Times New Roman" w:hAnsi="Times New Roman" w:cs="Times New Roman"/>
          <w:color w:val="000000"/>
          <w:sz w:val="24"/>
          <w:szCs w:val="24"/>
        </w:rPr>
        <w:lastRenderedPageBreak/>
        <w:t>Appendices</w:t>
      </w:r>
    </w:p>
    <w:p w14:paraId="6B05DAF9" w14:textId="77777777" w:rsidR="00255917" w:rsidRDefault="00C312C7">
      <w:pPr>
        <w:pStyle w:val="Heading3"/>
        <w:spacing w:line="276" w:lineRule="auto"/>
        <w:rPr>
          <w:rFonts w:ascii="Times New Roman" w:eastAsia="Times New Roman" w:hAnsi="Times New Roman" w:cs="Times New Roman"/>
          <w:color w:val="000000"/>
          <w:sz w:val="24"/>
          <w:szCs w:val="24"/>
        </w:rPr>
      </w:pPr>
      <w:bookmarkStart w:id="32" w:name="_dytqb58f3d9v" w:colFirst="0" w:colLast="0"/>
      <w:bookmarkEnd w:id="32"/>
      <w:r>
        <w:rPr>
          <w:rFonts w:ascii="Times New Roman" w:eastAsia="Times New Roman" w:hAnsi="Times New Roman" w:cs="Times New Roman"/>
          <w:color w:val="000000"/>
          <w:sz w:val="24"/>
          <w:szCs w:val="24"/>
        </w:rPr>
        <w:t>Appendix A: Detailed ratio calculations</w:t>
      </w:r>
    </w:p>
    <w:p w14:paraId="5AAE7279"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The following table reproduces the selected ratio outputs on a consistent five-year basis. Gross profit margin is not calculated because Whitbread does not publish a statutory cost-of-sales subtotal. Efficiency days are broad proxies for the reasons explained in the report.</w:t>
      </w:r>
    </w:p>
    <w:p w14:paraId="716A7B13" w14:textId="77777777" w:rsidR="00255917" w:rsidRDefault="00C312C7">
      <w:pPr>
        <w:keepNext/>
        <w:pBdr>
          <w:top w:val="nil"/>
          <w:left w:val="nil"/>
          <w:bottom w:val="nil"/>
          <w:right w:val="nil"/>
          <w:between w:val="nil"/>
        </w:pBdr>
        <w:spacing w:before="80" w:after="8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Table 8. Detailed selected financial ratios</w:t>
      </w:r>
    </w:p>
    <w:tbl>
      <w:tblPr>
        <w:tblStyle w:val="a8"/>
        <w:tblW w:w="13979" w:type="dxa"/>
        <w:tblInd w:w="5" w:type="dxa"/>
        <w:tblBorders>
          <w:top w:val="single" w:sz="6" w:space="0" w:color="B8C4CE"/>
          <w:left w:val="single" w:sz="6" w:space="0" w:color="B8C4CE"/>
          <w:bottom w:val="single" w:sz="6" w:space="0" w:color="B8C4CE"/>
          <w:right w:val="single" w:sz="6" w:space="0" w:color="B8C4CE"/>
          <w:insideH w:val="single" w:sz="6" w:space="0" w:color="B8C4CE"/>
          <w:insideV w:val="single" w:sz="6" w:space="0" w:color="B8C4CE"/>
        </w:tblBorders>
        <w:tblLayout w:type="fixed"/>
        <w:tblLook w:val="0400" w:firstRow="0" w:lastRow="0" w:firstColumn="0" w:lastColumn="0" w:noHBand="0" w:noVBand="1"/>
      </w:tblPr>
      <w:tblGrid>
        <w:gridCol w:w="2599"/>
        <w:gridCol w:w="4550"/>
        <w:gridCol w:w="1366"/>
        <w:gridCol w:w="1366"/>
        <w:gridCol w:w="1366"/>
        <w:gridCol w:w="1366"/>
        <w:gridCol w:w="1366"/>
      </w:tblGrid>
      <w:tr w:rsidR="00255917" w14:paraId="1CFD589E" w14:textId="77777777">
        <w:trPr>
          <w:tblHeader/>
        </w:trPr>
        <w:tc>
          <w:tcPr>
            <w:tcW w:w="2600" w:type="dxa"/>
            <w:shd w:val="clear" w:color="auto" w:fill="2F6F7E"/>
            <w:tcMar>
              <w:top w:w="90" w:type="dxa"/>
              <w:bottom w:w="90" w:type="dxa"/>
            </w:tcMar>
            <w:vAlign w:val="center"/>
          </w:tcPr>
          <w:p w14:paraId="1D00700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Ratio</w:t>
            </w:r>
          </w:p>
        </w:tc>
        <w:tc>
          <w:tcPr>
            <w:tcW w:w="4550" w:type="dxa"/>
            <w:shd w:val="clear" w:color="auto" w:fill="2F6F7E"/>
            <w:tcMar>
              <w:top w:w="90" w:type="dxa"/>
              <w:bottom w:w="90" w:type="dxa"/>
            </w:tcMar>
            <w:vAlign w:val="center"/>
          </w:tcPr>
          <w:p w14:paraId="34D78F2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Formula</w:t>
            </w:r>
          </w:p>
        </w:tc>
        <w:tc>
          <w:tcPr>
            <w:tcW w:w="1366" w:type="dxa"/>
            <w:shd w:val="clear" w:color="auto" w:fill="2F6F7E"/>
            <w:tcMar>
              <w:top w:w="90" w:type="dxa"/>
              <w:bottom w:w="90" w:type="dxa"/>
            </w:tcMar>
            <w:vAlign w:val="center"/>
          </w:tcPr>
          <w:p w14:paraId="4C9B51E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FY22</w:t>
            </w:r>
          </w:p>
        </w:tc>
        <w:tc>
          <w:tcPr>
            <w:tcW w:w="1366" w:type="dxa"/>
            <w:shd w:val="clear" w:color="auto" w:fill="2F6F7E"/>
            <w:tcMar>
              <w:top w:w="90" w:type="dxa"/>
              <w:bottom w:w="90" w:type="dxa"/>
            </w:tcMar>
            <w:vAlign w:val="center"/>
          </w:tcPr>
          <w:p w14:paraId="7DA23ED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FY23</w:t>
            </w:r>
          </w:p>
        </w:tc>
        <w:tc>
          <w:tcPr>
            <w:tcW w:w="1366" w:type="dxa"/>
            <w:shd w:val="clear" w:color="auto" w:fill="2F6F7E"/>
            <w:tcMar>
              <w:top w:w="90" w:type="dxa"/>
              <w:bottom w:w="90" w:type="dxa"/>
            </w:tcMar>
            <w:vAlign w:val="center"/>
          </w:tcPr>
          <w:p w14:paraId="5450DCB3"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FY24</w:t>
            </w:r>
          </w:p>
        </w:tc>
        <w:tc>
          <w:tcPr>
            <w:tcW w:w="1366" w:type="dxa"/>
            <w:shd w:val="clear" w:color="auto" w:fill="2F6F7E"/>
            <w:tcMar>
              <w:top w:w="90" w:type="dxa"/>
              <w:bottom w:w="90" w:type="dxa"/>
            </w:tcMar>
            <w:vAlign w:val="center"/>
          </w:tcPr>
          <w:p w14:paraId="3D2F93C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FY25</w:t>
            </w:r>
          </w:p>
        </w:tc>
        <w:tc>
          <w:tcPr>
            <w:tcW w:w="1366" w:type="dxa"/>
            <w:shd w:val="clear" w:color="auto" w:fill="2F6F7E"/>
            <w:tcMar>
              <w:top w:w="90" w:type="dxa"/>
              <w:bottom w:w="90" w:type="dxa"/>
            </w:tcMar>
            <w:vAlign w:val="center"/>
          </w:tcPr>
          <w:p w14:paraId="6544D71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FY26</w:t>
            </w:r>
          </w:p>
        </w:tc>
      </w:tr>
      <w:tr w:rsidR="00255917" w14:paraId="643F7E7B" w14:textId="77777777">
        <w:tc>
          <w:tcPr>
            <w:tcW w:w="2600" w:type="dxa"/>
          </w:tcPr>
          <w:p w14:paraId="3E3D5A2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Gross profit margin</w:t>
            </w:r>
          </w:p>
        </w:tc>
        <w:tc>
          <w:tcPr>
            <w:tcW w:w="4550" w:type="dxa"/>
          </w:tcPr>
          <w:p w14:paraId="52B838D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Gross profit / revenue</w:t>
            </w:r>
          </w:p>
        </w:tc>
        <w:tc>
          <w:tcPr>
            <w:tcW w:w="1366" w:type="dxa"/>
          </w:tcPr>
          <w:p w14:paraId="0069BCE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N/A</w:t>
            </w:r>
          </w:p>
        </w:tc>
        <w:tc>
          <w:tcPr>
            <w:tcW w:w="1366" w:type="dxa"/>
          </w:tcPr>
          <w:p w14:paraId="73804B6B"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N/A</w:t>
            </w:r>
          </w:p>
        </w:tc>
        <w:tc>
          <w:tcPr>
            <w:tcW w:w="1366" w:type="dxa"/>
          </w:tcPr>
          <w:p w14:paraId="1BDA4AD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N/A</w:t>
            </w:r>
          </w:p>
        </w:tc>
        <w:tc>
          <w:tcPr>
            <w:tcW w:w="1366" w:type="dxa"/>
          </w:tcPr>
          <w:p w14:paraId="20763C2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N/A</w:t>
            </w:r>
          </w:p>
        </w:tc>
        <w:tc>
          <w:tcPr>
            <w:tcW w:w="1366" w:type="dxa"/>
          </w:tcPr>
          <w:p w14:paraId="72EF5FE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N/A</w:t>
            </w:r>
          </w:p>
        </w:tc>
      </w:tr>
      <w:tr w:rsidR="00255917" w14:paraId="61ADE5F0" w14:textId="77777777">
        <w:tc>
          <w:tcPr>
            <w:tcW w:w="2600" w:type="dxa"/>
            <w:shd w:val="clear" w:color="auto" w:fill="F2F4F7"/>
          </w:tcPr>
          <w:p w14:paraId="72E412D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Operating profit margin</w:t>
            </w:r>
          </w:p>
        </w:tc>
        <w:tc>
          <w:tcPr>
            <w:tcW w:w="4550" w:type="dxa"/>
            <w:shd w:val="clear" w:color="auto" w:fill="F2F4F7"/>
          </w:tcPr>
          <w:p w14:paraId="32B4B4D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Operating profit / revenue</w:t>
            </w:r>
          </w:p>
        </w:tc>
        <w:tc>
          <w:tcPr>
            <w:tcW w:w="1366" w:type="dxa"/>
            <w:shd w:val="clear" w:color="auto" w:fill="F2F4F7"/>
          </w:tcPr>
          <w:p w14:paraId="598ADFB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13.3%</w:t>
            </w:r>
          </w:p>
        </w:tc>
        <w:tc>
          <w:tcPr>
            <w:tcW w:w="1366" w:type="dxa"/>
            <w:shd w:val="clear" w:color="auto" w:fill="F2F4F7"/>
          </w:tcPr>
          <w:p w14:paraId="3FB65FF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19.2%</w:t>
            </w:r>
          </w:p>
        </w:tc>
        <w:tc>
          <w:tcPr>
            <w:tcW w:w="1366" w:type="dxa"/>
            <w:shd w:val="clear" w:color="auto" w:fill="F2F4F7"/>
          </w:tcPr>
          <w:p w14:paraId="528CDF7F"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19.1%</w:t>
            </w:r>
          </w:p>
        </w:tc>
        <w:tc>
          <w:tcPr>
            <w:tcW w:w="1366" w:type="dxa"/>
            <w:shd w:val="clear" w:color="auto" w:fill="F2F4F7"/>
          </w:tcPr>
          <w:p w14:paraId="0166F7A3"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17.6%</w:t>
            </w:r>
          </w:p>
        </w:tc>
        <w:tc>
          <w:tcPr>
            <w:tcW w:w="1366" w:type="dxa"/>
            <w:shd w:val="clear" w:color="auto" w:fill="F2F4F7"/>
          </w:tcPr>
          <w:p w14:paraId="6636DC4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15.9%</w:t>
            </w:r>
          </w:p>
        </w:tc>
      </w:tr>
      <w:tr w:rsidR="00255917" w14:paraId="42F06F24" w14:textId="77777777">
        <w:tc>
          <w:tcPr>
            <w:tcW w:w="2600" w:type="dxa"/>
          </w:tcPr>
          <w:p w14:paraId="675B126F"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Net profit margin</w:t>
            </w:r>
          </w:p>
        </w:tc>
        <w:tc>
          <w:tcPr>
            <w:tcW w:w="4550" w:type="dxa"/>
          </w:tcPr>
          <w:p w14:paraId="2BDF1BE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Profit after tax / revenue</w:t>
            </w:r>
          </w:p>
        </w:tc>
        <w:tc>
          <w:tcPr>
            <w:tcW w:w="1366" w:type="dxa"/>
          </w:tcPr>
          <w:p w14:paraId="293DE56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2.5%</w:t>
            </w:r>
          </w:p>
        </w:tc>
        <w:tc>
          <w:tcPr>
            <w:tcW w:w="1366" w:type="dxa"/>
          </w:tcPr>
          <w:p w14:paraId="46975A2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10.6%</w:t>
            </w:r>
          </w:p>
        </w:tc>
        <w:tc>
          <w:tcPr>
            <w:tcW w:w="1366" w:type="dxa"/>
          </w:tcPr>
          <w:p w14:paraId="376A053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10.5%</w:t>
            </w:r>
          </w:p>
        </w:tc>
        <w:tc>
          <w:tcPr>
            <w:tcW w:w="1366" w:type="dxa"/>
          </w:tcPr>
          <w:p w14:paraId="795735F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8.7%</w:t>
            </w:r>
          </w:p>
        </w:tc>
        <w:tc>
          <w:tcPr>
            <w:tcW w:w="1366" w:type="dxa"/>
          </w:tcPr>
          <w:p w14:paraId="21BF4CC2"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7.3%</w:t>
            </w:r>
          </w:p>
        </w:tc>
      </w:tr>
      <w:tr w:rsidR="00255917" w14:paraId="33903B4C" w14:textId="77777777">
        <w:tc>
          <w:tcPr>
            <w:tcW w:w="2600" w:type="dxa"/>
            <w:shd w:val="clear" w:color="auto" w:fill="F2F4F7"/>
          </w:tcPr>
          <w:p w14:paraId="1CE4888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Statutory ROCE</w:t>
            </w:r>
          </w:p>
        </w:tc>
        <w:tc>
          <w:tcPr>
            <w:tcW w:w="4550" w:type="dxa"/>
            <w:shd w:val="clear" w:color="auto" w:fill="F2F4F7"/>
          </w:tcPr>
          <w:p w14:paraId="0657663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Operating profit / (assets - current liabilities)</w:t>
            </w:r>
          </w:p>
        </w:tc>
        <w:tc>
          <w:tcPr>
            <w:tcW w:w="1366" w:type="dxa"/>
            <w:shd w:val="clear" w:color="auto" w:fill="F2F4F7"/>
          </w:tcPr>
          <w:p w14:paraId="61F8E90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2.6%</w:t>
            </w:r>
          </w:p>
        </w:tc>
        <w:tc>
          <w:tcPr>
            <w:tcW w:w="1366" w:type="dxa"/>
            <w:shd w:val="clear" w:color="auto" w:fill="F2F4F7"/>
          </w:tcPr>
          <w:p w14:paraId="251183D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5.6%</w:t>
            </w:r>
          </w:p>
        </w:tc>
        <w:tc>
          <w:tcPr>
            <w:tcW w:w="1366" w:type="dxa"/>
            <w:shd w:val="clear" w:color="auto" w:fill="F2F4F7"/>
          </w:tcPr>
          <w:p w14:paraId="2BFBD36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6.5%</w:t>
            </w:r>
          </w:p>
        </w:tc>
        <w:tc>
          <w:tcPr>
            <w:tcW w:w="1366" w:type="dxa"/>
            <w:shd w:val="clear" w:color="auto" w:fill="F2F4F7"/>
          </w:tcPr>
          <w:p w14:paraId="76EAF44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6.0%</w:t>
            </w:r>
          </w:p>
        </w:tc>
        <w:tc>
          <w:tcPr>
            <w:tcW w:w="1366" w:type="dxa"/>
            <w:shd w:val="clear" w:color="auto" w:fill="F2F4F7"/>
          </w:tcPr>
          <w:p w14:paraId="2EA964E4"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5.3%</w:t>
            </w:r>
          </w:p>
        </w:tc>
      </w:tr>
      <w:tr w:rsidR="00255917" w14:paraId="60D8CF16" w14:textId="77777777">
        <w:tc>
          <w:tcPr>
            <w:tcW w:w="2600" w:type="dxa"/>
          </w:tcPr>
          <w:p w14:paraId="3F3F9C7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Current ratio</w:t>
            </w:r>
          </w:p>
        </w:tc>
        <w:tc>
          <w:tcPr>
            <w:tcW w:w="4550" w:type="dxa"/>
          </w:tcPr>
          <w:p w14:paraId="0663450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Current assets / current liabilities</w:t>
            </w:r>
          </w:p>
        </w:tc>
        <w:tc>
          <w:tcPr>
            <w:tcW w:w="1366" w:type="dxa"/>
          </w:tcPr>
          <w:p w14:paraId="295ABF7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1.76x</w:t>
            </w:r>
          </w:p>
        </w:tc>
        <w:tc>
          <w:tcPr>
            <w:tcW w:w="1366" w:type="dxa"/>
          </w:tcPr>
          <w:p w14:paraId="196FB6A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1.57x</w:t>
            </w:r>
          </w:p>
        </w:tc>
        <w:tc>
          <w:tcPr>
            <w:tcW w:w="1366" w:type="dxa"/>
          </w:tcPr>
          <w:p w14:paraId="6DBF2BF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0.96x</w:t>
            </w:r>
          </w:p>
        </w:tc>
        <w:tc>
          <w:tcPr>
            <w:tcW w:w="1366" w:type="dxa"/>
          </w:tcPr>
          <w:p w14:paraId="5A07646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0.81x</w:t>
            </w:r>
          </w:p>
        </w:tc>
        <w:tc>
          <w:tcPr>
            <w:tcW w:w="1366" w:type="dxa"/>
          </w:tcPr>
          <w:p w14:paraId="68A36EA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0.44x</w:t>
            </w:r>
          </w:p>
        </w:tc>
      </w:tr>
      <w:tr w:rsidR="00255917" w14:paraId="41790403" w14:textId="77777777">
        <w:tc>
          <w:tcPr>
            <w:tcW w:w="2600" w:type="dxa"/>
            <w:shd w:val="clear" w:color="auto" w:fill="F2F4F7"/>
          </w:tcPr>
          <w:p w14:paraId="788D77B3"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Quick ratio</w:t>
            </w:r>
          </w:p>
        </w:tc>
        <w:tc>
          <w:tcPr>
            <w:tcW w:w="4550" w:type="dxa"/>
            <w:shd w:val="clear" w:color="auto" w:fill="F2F4F7"/>
          </w:tcPr>
          <w:p w14:paraId="6635FFC4"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(Current assets - inventory) / current liabilities</w:t>
            </w:r>
          </w:p>
        </w:tc>
        <w:tc>
          <w:tcPr>
            <w:tcW w:w="1366" w:type="dxa"/>
            <w:shd w:val="clear" w:color="auto" w:fill="F2F4F7"/>
          </w:tcPr>
          <w:p w14:paraId="40A1F837"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1.74x</w:t>
            </w:r>
          </w:p>
        </w:tc>
        <w:tc>
          <w:tcPr>
            <w:tcW w:w="1366" w:type="dxa"/>
            <w:shd w:val="clear" w:color="auto" w:fill="F2F4F7"/>
          </w:tcPr>
          <w:p w14:paraId="20BC330B"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1.55x</w:t>
            </w:r>
          </w:p>
        </w:tc>
        <w:tc>
          <w:tcPr>
            <w:tcW w:w="1366" w:type="dxa"/>
            <w:shd w:val="clear" w:color="auto" w:fill="F2F4F7"/>
          </w:tcPr>
          <w:p w14:paraId="6EFEF76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0.94x</w:t>
            </w:r>
          </w:p>
        </w:tc>
        <w:tc>
          <w:tcPr>
            <w:tcW w:w="1366" w:type="dxa"/>
            <w:shd w:val="clear" w:color="auto" w:fill="F2F4F7"/>
          </w:tcPr>
          <w:p w14:paraId="4665EC0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0.80x</w:t>
            </w:r>
          </w:p>
        </w:tc>
        <w:tc>
          <w:tcPr>
            <w:tcW w:w="1366" w:type="dxa"/>
            <w:shd w:val="clear" w:color="auto" w:fill="F2F4F7"/>
          </w:tcPr>
          <w:p w14:paraId="4F1DB36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0.42x</w:t>
            </w:r>
          </w:p>
        </w:tc>
      </w:tr>
      <w:tr w:rsidR="00255917" w14:paraId="4032CCD0" w14:textId="77777777">
        <w:tc>
          <w:tcPr>
            <w:tcW w:w="2600" w:type="dxa"/>
          </w:tcPr>
          <w:p w14:paraId="5A9BAF6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Cash ratio</w:t>
            </w:r>
          </w:p>
        </w:tc>
        <w:tc>
          <w:tcPr>
            <w:tcW w:w="4550" w:type="dxa"/>
          </w:tcPr>
          <w:p w14:paraId="21A49A6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Cash / current liabilities</w:t>
            </w:r>
          </w:p>
        </w:tc>
        <w:tc>
          <w:tcPr>
            <w:tcW w:w="1366" w:type="dxa"/>
          </w:tcPr>
          <w:p w14:paraId="42C3F353"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1.57x</w:t>
            </w:r>
          </w:p>
        </w:tc>
        <w:tc>
          <w:tcPr>
            <w:tcW w:w="1366" w:type="dxa"/>
          </w:tcPr>
          <w:p w14:paraId="725AA0C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1.38x</w:t>
            </w:r>
          </w:p>
        </w:tc>
        <w:tc>
          <w:tcPr>
            <w:tcW w:w="1366" w:type="dxa"/>
          </w:tcPr>
          <w:p w14:paraId="19D7B6A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0.80x</w:t>
            </w:r>
          </w:p>
        </w:tc>
        <w:tc>
          <w:tcPr>
            <w:tcW w:w="1366" w:type="dxa"/>
          </w:tcPr>
          <w:p w14:paraId="0387315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0.69x</w:t>
            </w:r>
          </w:p>
        </w:tc>
        <w:tc>
          <w:tcPr>
            <w:tcW w:w="1366" w:type="dxa"/>
          </w:tcPr>
          <w:p w14:paraId="747B7B3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0.26x</w:t>
            </w:r>
          </w:p>
        </w:tc>
      </w:tr>
      <w:tr w:rsidR="00255917" w14:paraId="33F2DD9D" w14:textId="77777777">
        <w:tc>
          <w:tcPr>
            <w:tcW w:w="2600" w:type="dxa"/>
            <w:shd w:val="clear" w:color="auto" w:fill="F2F4F7"/>
          </w:tcPr>
          <w:p w14:paraId="77E82DB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Inventory days - proxy</w:t>
            </w:r>
          </w:p>
        </w:tc>
        <w:tc>
          <w:tcPr>
            <w:tcW w:w="4550" w:type="dxa"/>
            <w:shd w:val="clear" w:color="auto" w:fill="F2F4F7"/>
          </w:tcPr>
          <w:p w14:paraId="212DA8E2"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Inventory / operating costs x 365</w:t>
            </w:r>
          </w:p>
        </w:tc>
        <w:tc>
          <w:tcPr>
            <w:tcW w:w="1366" w:type="dxa"/>
            <w:shd w:val="clear" w:color="auto" w:fill="F2F4F7"/>
          </w:tcPr>
          <w:p w14:paraId="6FB4A7F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4.4</w:t>
            </w:r>
          </w:p>
        </w:tc>
        <w:tc>
          <w:tcPr>
            <w:tcW w:w="1366" w:type="dxa"/>
            <w:shd w:val="clear" w:color="auto" w:fill="F2F4F7"/>
          </w:tcPr>
          <w:p w14:paraId="009C7B9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3.7</w:t>
            </w:r>
          </w:p>
        </w:tc>
        <w:tc>
          <w:tcPr>
            <w:tcW w:w="1366" w:type="dxa"/>
            <w:shd w:val="clear" w:color="auto" w:fill="F2F4F7"/>
          </w:tcPr>
          <w:p w14:paraId="0E3ED13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3.2</w:t>
            </w:r>
          </w:p>
        </w:tc>
        <w:tc>
          <w:tcPr>
            <w:tcW w:w="1366" w:type="dxa"/>
            <w:shd w:val="clear" w:color="auto" w:fill="F2F4F7"/>
          </w:tcPr>
          <w:p w14:paraId="1AEDC22B"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2.6</w:t>
            </w:r>
          </w:p>
        </w:tc>
        <w:tc>
          <w:tcPr>
            <w:tcW w:w="1366" w:type="dxa"/>
            <w:shd w:val="clear" w:color="auto" w:fill="F2F4F7"/>
          </w:tcPr>
          <w:p w14:paraId="2E3EA2A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1.6</w:t>
            </w:r>
          </w:p>
        </w:tc>
      </w:tr>
      <w:tr w:rsidR="00255917" w14:paraId="159A77E5" w14:textId="77777777">
        <w:tc>
          <w:tcPr>
            <w:tcW w:w="2600" w:type="dxa"/>
          </w:tcPr>
          <w:p w14:paraId="072C925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Receivable days - broad proxy</w:t>
            </w:r>
          </w:p>
        </w:tc>
        <w:tc>
          <w:tcPr>
            <w:tcW w:w="4550" w:type="dxa"/>
          </w:tcPr>
          <w:p w14:paraId="53F5C0B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Receivables / revenue x 365</w:t>
            </w:r>
          </w:p>
        </w:tc>
        <w:tc>
          <w:tcPr>
            <w:tcW w:w="1366" w:type="dxa"/>
          </w:tcPr>
          <w:p w14:paraId="15EF3723"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24.9</w:t>
            </w:r>
          </w:p>
        </w:tc>
        <w:tc>
          <w:tcPr>
            <w:tcW w:w="1366" w:type="dxa"/>
          </w:tcPr>
          <w:p w14:paraId="1523053F"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19.7</w:t>
            </w:r>
          </w:p>
        </w:tc>
        <w:tc>
          <w:tcPr>
            <w:tcW w:w="1366" w:type="dxa"/>
          </w:tcPr>
          <w:p w14:paraId="7B8CF8F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14.7</w:t>
            </w:r>
          </w:p>
        </w:tc>
        <w:tc>
          <w:tcPr>
            <w:tcW w:w="1366" w:type="dxa"/>
          </w:tcPr>
          <w:p w14:paraId="6A37BC3F"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15.9</w:t>
            </w:r>
          </w:p>
        </w:tc>
        <w:tc>
          <w:tcPr>
            <w:tcW w:w="1366" w:type="dxa"/>
          </w:tcPr>
          <w:p w14:paraId="773DB6CB"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17.1</w:t>
            </w:r>
          </w:p>
        </w:tc>
      </w:tr>
      <w:tr w:rsidR="00255917" w14:paraId="71C692D1" w14:textId="77777777">
        <w:tc>
          <w:tcPr>
            <w:tcW w:w="2600" w:type="dxa"/>
            <w:shd w:val="clear" w:color="auto" w:fill="F2F4F7"/>
          </w:tcPr>
          <w:p w14:paraId="61F64044"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Payable days - broad proxy</w:t>
            </w:r>
          </w:p>
        </w:tc>
        <w:tc>
          <w:tcPr>
            <w:tcW w:w="4550" w:type="dxa"/>
            <w:shd w:val="clear" w:color="auto" w:fill="F2F4F7"/>
          </w:tcPr>
          <w:p w14:paraId="3F0C53C2"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Payables / operating costs x 365</w:t>
            </w:r>
          </w:p>
        </w:tc>
        <w:tc>
          <w:tcPr>
            <w:tcW w:w="1366" w:type="dxa"/>
            <w:shd w:val="clear" w:color="auto" w:fill="F2F4F7"/>
          </w:tcPr>
          <w:p w14:paraId="56F61843"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129.7</w:t>
            </w:r>
          </w:p>
        </w:tc>
        <w:tc>
          <w:tcPr>
            <w:tcW w:w="1366" w:type="dxa"/>
            <w:shd w:val="clear" w:color="auto" w:fill="F2F4F7"/>
          </w:tcPr>
          <w:p w14:paraId="3A0D939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115.8</w:t>
            </w:r>
          </w:p>
        </w:tc>
        <w:tc>
          <w:tcPr>
            <w:tcW w:w="1366" w:type="dxa"/>
            <w:shd w:val="clear" w:color="auto" w:fill="F2F4F7"/>
          </w:tcPr>
          <w:p w14:paraId="35E2D142"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101.1</w:t>
            </w:r>
          </w:p>
        </w:tc>
        <w:tc>
          <w:tcPr>
            <w:tcW w:w="1366" w:type="dxa"/>
            <w:shd w:val="clear" w:color="auto" w:fill="F2F4F7"/>
          </w:tcPr>
          <w:p w14:paraId="5982919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99.7</w:t>
            </w:r>
          </w:p>
        </w:tc>
        <w:tc>
          <w:tcPr>
            <w:tcW w:w="1366" w:type="dxa"/>
            <w:shd w:val="clear" w:color="auto" w:fill="F2F4F7"/>
          </w:tcPr>
          <w:p w14:paraId="0117312F"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101.9</w:t>
            </w:r>
          </w:p>
        </w:tc>
      </w:tr>
      <w:tr w:rsidR="00255917" w14:paraId="596FEA6E" w14:textId="77777777">
        <w:tc>
          <w:tcPr>
            <w:tcW w:w="2600" w:type="dxa"/>
          </w:tcPr>
          <w:p w14:paraId="69FB455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Cash cycle - broad proxy</w:t>
            </w:r>
          </w:p>
        </w:tc>
        <w:tc>
          <w:tcPr>
            <w:tcW w:w="4550" w:type="dxa"/>
          </w:tcPr>
          <w:p w14:paraId="67A0629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Inventory + receivable - payable days</w:t>
            </w:r>
          </w:p>
        </w:tc>
        <w:tc>
          <w:tcPr>
            <w:tcW w:w="1366" w:type="dxa"/>
          </w:tcPr>
          <w:p w14:paraId="0EF30CFB"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-100.4</w:t>
            </w:r>
          </w:p>
        </w:tc>
        <w:tc>
          <w:tcPr>
            <w:tcW w:w="1366" w:type="dxa"/>
          </w:tcPr>
          <w:p w14:paraId="1D45AFA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-92.3</w:t>
            </w:r>
          </w:p>
        </w:tc>
        <w:tc>
          <w:tcPr>
            <w:tcW w:w="1366" w:type="dxa"/>
          </w:tcPr>
          <w:p w14:paraId="15709BE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-83.2</w:t>
            </w:r>
          </w:p>
        </w:tc>
        <w:tc>
          <w:tcPr>
            <w:tcW w:w="1366" w:type="dxa"/>
          </w:tcPr>
          <w:p w14:paraId="1C196E32"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-81.2</w:t>
            </w:r>
          </w:p>
        </w:tc>
        <w:tc>
          <w:tcPr>
            <w:tcW w:w="1366" w:type="dxa"/>
          </w:tcPr>
          <w:p w14:paraId="16A52B04"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-83.2</w:t>
            </w:r>
          </w:p>
        </w:tc>
      </w:tr>
      <w:tr w:rsidR="00255917" w14:paraId="698AB4DF" w14:textId="77777777">
        <w:tc>
          <w:tcPr>
            <w:tcW w:w="2600" w:type="dxa"/>
            <w:shd w:val="clear" w:color="auto" w:fill="F2F4F7"/>
          </w:tcPr>
          <w:p w14:paraId="35815DB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Debt-to-assets</w:t>
            </w:r>
          </w:p>
        </w:tc>
        <w:tc>
          <w:tcPr>
            <w:tcW w:w="4550" w:type="dxa"/>
            <w:shd w:val="clear" w:color="auto" w:fill="F2F4F7"/>
          </w:tcPr>
          <w:p w14:paraId="3EF53AE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Borrowings + lease liabilities / assets</w:t>
            </w:r>
          </w:p>
        </w:tc>
        <w:tc>
          <w:tcPr>
            <w:tcW w:w="1366" w:type="dxa"/>
            <w:shd w:val="clear" w:color="auto" w:fill="F2F4F7"/>
          </w:tcPr>
          <w:p w14:paraId="60E2833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49.1%</w:t>
            </w:r>
          </w:p>
        </w:tc>
        <w:tc>
          <w:tcPr>
            <w:tcW w:w="1366" w:type="dxa"/>
            <w:shd w:val="clear" w:color="auto" w:fill="F2F4F7"/>
          </w:tcPr>
          <w:p w14:paraId="6CCFDA9F"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49.8%</w:t>
            </w:r>
          </w:p>
        </w:tc>
        <w:tc>
          <w:tcPr>
            <w:tcW w:w="1366" w:type="dxa"/>
            <w:shd w:val="clear" w:color="auto" w:fill="F2F4F7"/>
          </w:tcPr>
          <w:p w14:paraId="7D02EE3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53.5%</w:t>
            </w:r>
          </w:p>
        </w:tc>
        <w:tc>
          <w:tcPr>
            <w:tcW w:w="1366" w:type="dxa"/>
            <w:shd w:val="clear" w:color="auto" w:fill="F2F4F7"/>
          </w:tcPr>
          <w:p w14:paraId="74796F8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56.8%</w:t>
            </w:r>
          </w:p>
        </w:tc>
        <w:tc>
          <w:tcPr>
            <w:tcW w:w="1366" w:type="dxa"/>
            <w:shd w:val="clear" w:color="auto" w:fill="F2F4F7"/>
          </w:tcPr>
          <w:p w14:paraId="71B9374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57.1%</w:t>
            </w:r>
          </w:p>
        </w:tc>
      </w:tr>
      <w:tr w:rsidR="00255917" w14:paraId="07AD8C0F" w14:textId="77777777">
        <w:tc>
          <w:tcPr>
            <w:tcW w:w="2600" w:type="dxa"/>
          </w:tcPr>
          <w:p w14:paraId="0949C8A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Debt-to-equity</w:t>
            </w:r>
          </w:p>
        </w:tc>
        <w:tc>
          <w:tcPr>
            <w:tcW w:w="4550" w:type="dxa"/>
          </w:tcPr>
          <w:p w14:paraId="6EA24E0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Borrowings + lease liabilities / equity</w:t>
            </w:r>
          </w:p>
        </w:tc>
        <w:tc>
          <w:tcPr>
            <w:tcW w:w="1366" w:type="dxa"/>
          </w:tcPr>
          <w:p w14:paraId="639873A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1.14x</w:t>
            </w:r>
          </w:p>
        </w:tc>
        <w:tc>
          <w:tcPr>
            <w:tcW w:w="1366" w:type="dxa"/>
          </w:tcPr>
          <w:p w14:paraId="6A9AADE7"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1.20x</w:t>
            </w:r>
          </w:p>
        </w:tc>
        <w:tc>
          <w:tcPr>
            <w:tcW w:w="1366" w:type="dxa"/>
          </w:tcPr>
          <w:p w14:paraId="4B0E730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1.45x</w:t>
            </w:r>
          </w:p>
        </w:tc>
        <w:tc>
          <w:tcPr>
            <w:tcW w:w="1366" w:type="dxa"/>
          </w:tcPr>
          <w:p w14:paraId="045E990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1.69x</w:t>
            </w:r>
          </w:p>
        </w:tc>
        <w:tc>
          <w:tcPr>
            <w:tcW w:w="1366" w:type="dxa"/>
          </w:tcPr>
          <w:p w14:paraId="3C22373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1.74x</w:t>
            </w:r>
          </w:p>
        </w:tc>
      </w:tr>
      <w:tr w:rsidR="00255917" w14:paraId="3DEB2F62" w14:textId="77777777">
        <w:tc>
          <w:tcPr>
            <w:tcW w:w="2600" w:type="dxa"/>
            <w:shd w:val="clear" w:color="auto" w:fill="F2F4F7"/>
          </w:tcPr>
          <w:p w14:paraId="27E2C2B7"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Interest coverage</w:t>
            </w:r>
          </w:p>
        </w:tc>
        <w:tc>
          <w:tcPr>
            <w:tcW w:w="4550" w:type="dxa"/>
            <w:shd w:val="clear" w:color="auto" w:fill="F2F4F7"/>
          </w:tcPr>
          <w:p w14:paraId="4154A0D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Operating profit / finance costs</w:t>
            </w:r>
          </w:p>
        </w:tc>
        <w:tc>
          <w:tcPr>
            <w:tcW w:w="1366" w:type="dxa"/>
            <w:shd w:val="clear" w:color="auto" w:fill="F2F4F7"/>
          </w:tcPr>
          <w:p w14:paraId="66AB91C7"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1.31x</w:t>
            </w:r>
          </w:p>
        </w:tc>
        <w:tc>
          <w:tcPr>
            <w:tcW w:w="1366" w:type="dxa"/>
            <w:shd w:val="clear" w:color="auto" w:fill="F2F4F7"/>
          </w:tcPr>
          <w:p w14:paraId="5F045D2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3.03x</w:t>
            </w:r>
          </w:p>
        </w:tc>
        <w:tc>
          <w:tcPr>
            <w:tcW w:w="1366" w:type="dxa"/>
            <w:shd w:val="clear" w:color="auto" w:fill="F2F4F7"/>
          </w:tcPr>
          <w:p w14:paraId="4577780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3.15x</w:t>
            </w:r>
          </w:p>
        </w:tc>
        <w:tc>
          <w:tcPr>
            <w:tcW w:w="1366" w:type="dxa"/>
            <w:shd w:val="clear" w:color="auto" w:fill="F2F4F7"/>
          </w:tcPr>
          <w:p w14:paraId="1344F8AB"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2.73x</w:t>
            </w:r>
          </w:p>
        </w:tc>
        <w:tc>
          <w:tcPr>
            <w:tcW w:w="1366" w:type="dxa"/>
            <w:shd w:val="clear" w:color="auto" w:fill="F2F4F7"/>
          </w:tcPr>
          <w:p w14:paraId="5804743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2.32x</w:t>
            </w:r>
          </w:p>
        </w:tc>
      </w:tr>
      <w:tr w:rsidR="00255917" w14:paraId="3A219714" w14:textId="77777777">
        <w:tc>
          <w:tcPr>
            <w:tcW w:w="2600" w:type="dxa"/>
          </w:tcPr>
          <w:p w14:paraId="02858E6F"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lastRenderedPageBreak/>
              <w:t>Diluted EPS</w:t>
            </w:r>
          </w:p>
        </w:tc>
        <w:tc>
          <w:tcPr>
            <w:tcW w:w="4550" w:type="dxa"/>
          </w:tcPr>
          <w:p w14:paraId="58B5E4E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Reported statutory diluted EPS</w:t>
            </w:r>
          </w:p>
        </w:tc>
        <w:tc>
          <w:tcPr>
            <w:tcW w:w="1366" w:type="dxa"/>
          </w:tcPr>
          <w:p w14:paraId="551B750B"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20.9p</w:t>
            </w:r>
          </w:p>
        </w:tc>
        <w:tc>
          <w:tcPr>
            <w:tcW w:w="1366" w:type="dxa"/>
          </w:tcPr>
          <w:p w14:paraId="196612E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137.5p</w:t>
            </w:r>
          </w:p>
        </w:tc>
        <w:tc>
          <w:tcPr>
            <w:tcW w:w="1366" w:type="dxa"/>
          </w:tcPr>
          <w:p w14:paraId="7BEFA43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159.9p</w:t>
            </w:r>
          </w:p>
        </w:tc>
        <w:tc>
          <w:tcPr>
            <w:tcW w:w="1366" w:type="dxa"/>
          </w:tcPr>
          <w:p w14:paraId="337CE28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140.6p</w:t>
            </w:r>
          </w:p>
        </w:tc>
        <w:tc>
          <w:tcPr>
            <w:tcW w:w="1366" w:type="dxa"/>
          </w:tcPr>
          <w:p w14:paraId="590BF0C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122.4p</w:t>
            </w:r>
          </w:p>
        </w:tc>
      </w:tr>
      <w:tr w:rsidR="00255917" w14:paraId="4DA78764" w14:textId="77777777">
        <w:tc>
          <w:tcPr>
            <w:tcW w:w="2600" w:type="dxa"/>
            <w:shd w:val="clear" w:color="auto" w:fill="F2F4F7"/>
          </w:tcPr>
          <w:p w14:paraId="35ADB35B"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Price/earnings</w:t>
            </w:r>
          </w:p>
        </w:tc>
        <w:tc>
          <w:tcPr>
            <w:tcW w:w="4550" w:type="dxa"/>
            <w:shd w:val="clear" w:color="auto" w:fill="F2F4F7"/>
          </w:tcPr>
          <w:p w14:paraId="63C682C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Year-end price / diluted EPS</w:t>
            </w:r>
          </w:p>
        </w:tc>
        <w:tc>
          <w:tcPr>
            <w:tcW w:w="1366" w:type="dxa"/>
            <w:shd w:val="clear" w:color="auto" w:fill="F2F4F7"/>
          </w:tcPr>
          <w:p w14:paraId="5193C22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129.33x</w:t>
            </w:r>
          </w:p>
        </w:tc>
        <w:tc>
          <w:tcPr>
            <w:tcW w:w="1366" w:type="dxa"/>
            <w:shd w:val="clear" w:color="auto" w:fill="F2F4F7"/>
          </w:tcPr>
          <w:p w14:paraId="2C8CB61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22.36x</w:t>
            </w:r>
          </w:p>
        </w:tc>
        <w:tc>
          <w:tcPr>
            <w:tcW w:w="1366" w:type="dxa"/>
            <w:shd w:val="clear" w:color="auto" w:fill="F2F4F7"/>
          </w:tcPr>
          <w:p w14:paraId="2D32CC0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20.66x</w:t>
            </w:r>
          </w:p>
        </w:tc>
        <w:tc>
          <w:tcPr>
            <w:tcW w:w="1366" w:type="dxa"/>
            <w:shd w:val="clear" w:color="auto" w:fill="F2F4F7"/>
          </w:tcPr>
          <w:p w14:paraId="10CAE8F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19.06x</w:t>
            </w:r>
          </w:p>
        </w:tc>
        <w:tc>
          <w:tcPr>
            <w:tcW w:w="1366" w:type="dxa"/>
            <w:shd w:val="clear" w:color="auto" w:fill="F2F4F7"/>
          </w:tcPr>
          <w:p w14:paraId="53570D5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21.41x</w:t>
            </w:r>
          </w:p>
        </w:tc>
      </w:tr>
      <w:tr w:rsidR="00255917" w14:paraId="2E0B4281" w14:textId="77777777">
        <w:tc>
          <w:tcPr>
            <w:tcW w:w="2600" w:type="dxa"/>
          </w:tcPr>
          <w:p w14:paraId="2F01D76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Dividend yield</w:t>
            </w:r>
          </w:p>
        </w:tc>
        <w:tc>
          <w:tcPr>
            <w:tcW w:w="4550" w:type="dxa"/>
          </w:tcPr>
          <w:p w14:paraId="74B2511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DPS / year-end price</w:t>
            </w:r>
          </w:p>
        </w:tc>
        <w:tc>
          <w:tcPr>
            <w:tcW w:w="1366" w:type="dxa"/>
          </w:tcPr>
          <w:p w14:paraId="77DE50D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1.3%</w:t>
            </w:r>
          </w:p>
        </w:tc>
        <w:tc>
          <w:tcPr>
            <w:tcW w:w="1366" w:type="dxa"/>
          </w:tcPr>
          <w:p w14:paraId="26D07F2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2.4%</w:t>
            </w:r>
          </w:p>
        </w:tc>
        <w:tc>
          <w:tcPr>
            <w:tcW w:w="1366" w:type="dxa"/>
          </w:tcPr>
          <w:p w14:paraId="27AAF1C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2.9%</w:t>
            </w:r>
          </w:p>
        </w:tc>
        <w:tc>
          <w:tcPr>
            <w:tcW w:w="1366" w:type="dxa"/>
          </w:tcPr>
          <w:p w14:paraId="640A4DB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3.6%</w:t>
            </w:r>
          </w:p>
        </w:tc>
        <w:tc>
          <w:tcPr>
            <w:tcW w:w="1366" w:type="dxa"/>
          </w:tcPr>
          <w:p w14:paraId="7A551B7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3.7%</w:t>
            </w:r>
          </w:p>
        </w:tc>
      </w:tr>
      <w:tr w:rsidR="00255917" w14:paraId="72CB02AA" w14:textId="77777777">
        <w:tc>
          <w:tcPr>
            <w:tcW w:w="2600" w:type="dxa"/>
            <w:shd w:val="clear" w:color="auto" w:fill="F2F4F7"/>
          </w:tcPr>
          <w:p w14:paraId="01031107"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Operating cash-flow ratio</w:t>
            </w:r>
          </w:p>
        </w:tc>
        <w:tc>
          <w:tcPr>
            <w:tcW w:w="4550" w:type="dxa"/>
            <w:shd w:val="clear" w:color="auto" w:fill="F2F4F7"/>
          </w:tcPr>
          <w:p w14:paraId="6DB0FBE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Net CFO / current liabilities</w:t>
            </w:r>
          </w:p>
        </w:tc>
        <w:tc>
          <w:tcPr>
            <w:tcW w:w="1366" w:type="dxa"/>
            <w:shd w:val="clear" w:color="auto" w:fill="F2F4F7"/>
          </w:tcPr>
          <w:p w14:paraId="39BDB0C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0.71x</w:t>
            </w:r>
          </w:p>
        </w:tc>
        <w:tc>
          <w:tcPr>
            <w:tcW w:w="1366" w:type="dxa"/>
            <w:shd w:val="clear" w:color="auto" w:fill="F2F4F7"/>
          </w:tcPr>
          <w:p w14:paraId="3D32B2A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0.95x</w:t>
            </w:r>
          </w:p>
        </w:tc>
        <w:tc>
          <w:tcPr>
            <w:tcW w:w="1366" w:type="dxa"/>
            <w:shd w:val="clear" w:color="auto" w:fill="F2F4F7"/>
          </w:tcPr>
          <w:p w14:paraId="5CFCA90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1.01x</w:t>
            </w:r>
          </w:p>
        </w:tc>
        <w:tc>
          <w:tcPr>
            <w:tcW w:w="1366" w:type="dxa"/>
            <w:shd w:val="clear" w:color="auto" w:fill="F2F4F7"/>
          </w:tcPr>
          <w:p w14:paraId="63EC5A43"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0.58x</w:t>
            </w:r>
          </w:p>
        </w:tc>
        <w:tc>
          <w:tcPr>
            <w:tcW w:w="1366" w:type="dxa"/>
            <w:shd w:val="clear" w:color="auto" w:fill="F2F4F7"/>
          </w:tcPr>
          <w:p w14:paraId="7D4FA07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0.85x</w:t>
            </w:r>
          </w:p>
        </w:tc>
      </w:tr>
      <w:tr w:rsidR="00255917" w14:paraId="32CB1641" w14:textId="77777777">
        <w:tc>
          <w:tcPr>
            <w:tcW w:w="2600" w:type="dxa"/>
          </w:tcPr>
          <w:p w14:paraId="7132181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Operating cash-flow margin</w:t>
            </w:r>
          </w:p>
        </w:tc>
        <w:tc>
          <w:tcPr>
            <w:tcW w:w="4550" w:type="dxa"/>
          </w:tcPr>
          <w:p w14:paraId="29D2E63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Net CFO / revenue</w:t>
            </w:r>
          </w:p>
        </w:tc>
        <w:tc>
          <w:tcPr>
            <w:tcW w:w="1366" w:type="dxa"/>
          </w:tcPr>
          <w:p w14:paraId="1AD6F7A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29.9%</w:t>
            </w:r>
          </w:p>
        </w:tc>
        <w:tc>
          <w:tcPr>
            <w:tcW w:w="1366" w:type="dxa"/>
          </w:tcPr>
          <w:p w14:paraId="43E72DB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30.5%</w:t>
            </w:r>
          </w:p>
        </w:tc>
        <w:tc>
          <w:tcPr>
            <w:tcW w:w="1366" w:type="dxa"/>
          </w:tcPr>
          <w:p w14:paraId="16D2795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29.7%</w:t>
            </w:r>
          </w:p>
        </w:tc>
        <w:tc>
          <w:tcPr>
            <w:tcW w:w="1366" w:type="dxa"/>
          </w:tcPr>
          <w:p w14:paraId="2386A62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26.1%</w:t>
            </w:r>
          </w:p>
        </w:tc>
        <w:tc>
          <w:tcPr>
            <w:tcW w:w="1366" w:type="dxa"/>
          </w:tcPr>
          <w:p w14:paraId="7F9FDC1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25.8%</w:t>
            </w:r>
          </w:p>
        </w:tc>
      </w:tr>
      <w:tr w:rsidR="00255917" w14:paraId="56AB4D0F" w14:textId="77777777">
        <w:tc>
          <w:tcPr>
            <w:tcW w:w="2600" w:type="dxa"/>
            <w:shd w:val="clear" w:color="auto" w:fill="F2F4F7"/>
          </w:tcPr>
          <w:p w14:paraId="34218292"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Free-cash-flow margin</w:t>
            </w:r>
          </w:p>
        </w:tc>
        <w:tc>
          <w:tcPr>
            <w:tcW w:w="4550" w:type="dxa"/>
            <w:shd w:val="clear" w:color="auto" w:fill="F2F4F7"/>
          </w:tcPr>
          <w:p w14:paraId="049AF56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(Net CFO - capital investment) / revenue</w:t>
            </w:r>
          </w:p>
        </w:tc>
        <w:tc>
          <w:tcPr>
            <w:tcW w:w="1366" w:type="dxa"/>
            <w:shd w:val="clear" w:color="auto" w:fill="F2F4F7"/>
          </w:tcPr>
          <w:p w14:paraId="47C54C8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18.1%</w:t>
            </w:r>
          </w:p>
        </w:tc>
        <w:tc>
          <w:tcPr>
            <w:tcW w:w="1366" w:type="dxa"/>
            <w:shd w:val="clear" w:color="auto" w:fill="F2F4F7"/>
          </w:tcPr>
          <w:p w14:paraId="7714D3C4"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12.1%</w:t>
            </w:r>
          </w:p>
        </w:tc>
        <w:tc>
          <w:tcPr>
            <w:tcW w:w="1366" w:type="dxa"/>
            <w:shd w:val="clear" w:color="auto" w:fill="F2F4F7"/>
          </w:tcPr>
          <w:p w14:paraId="750CFD6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13.4%</w:t>
            </w:r>
          </w:p>
        </w:tc>
        <w:tc>
          <w:tcPr>
            <w:tcW w:w="1366" w:type="dxa"/>
            <w:shd w:val="clear" w:color="auto" w:fill="F2F4F7"/>
          </w:tcPr>
          <w:p w14:paraId="0E62A50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9.7%</w:t>
            </w:r>
          </w:p>
        </w:tc>
        <w:tc>
          <w:tcPr>
            <w:tcW w:w="1366" w:type="dxa"/>
            <w:shd w:val="clear" w:color="auto" w:fill="F2F4F7"/>
          </w:tcPr>
          <w:p w14:paraId="7962999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2.6%</w:t>
            </w:r>
          </w:p>
        </w:tc>
      </w:tr>
    </w:tbl>
    <w:p w14:paraId="04B82792" w14:textId="77777777" w:rsidR="00255917" w:rsidRDefault="00C312C7">
      <w:pPr>
        <w:pBdr>
          <w:top w:val="nil"/>
          <w:left w:val="nil"/>
          <w:bottom w:val="nil"/>
          <w:right w:val="nil"/>
          <w:between w:val="nil"/>
        </w:pBdr>
        <w:spacing w:before="80" w:after="14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 xml:space="preserve">Source: Whitbread annual reports and official results; </w:t>
      </w:r>
      <w:proofErr w:type="spellStart"/>
      <w:r>
        <w:rPr>
          <w:rFonts w:ascii="Times New Roman" w:eastAsia="Times New Roman" w:hAnsi="Times New Roman" w:cs="Times New Roman"/>
          <w:color w:val="000000"/>
        </w:rPr>
        <w:t>StockAnalysis</w:t>
      </w:r>
      <w:proofErr w:type="spellEnd"/>
      <w:r>
        <w:rPr>
          <w:rFonts w:ascii="Times New Roman" w:eastAsia="Times New Roman" w:hAnsi="Times New Roman" w:cs="Times New Roman"/>
          <w:color w:val="000000"/>
        </w:rPr>
        <w:t xml:space="preserve"> year-end </w:t>
      </w:r>
      <w:proofErr w:type="gramStart"/>
      <w:r>
        <w:rPr>
          <w:rFonts w:ascii="Times New Roman" w:eastAsia="Times New Roman" w:hAnsi="Times New Roman" w:cs="Times New Roman"/>
          <w:color w:val="000000"/>
        </w:rPr>
        <w:t>prices;  calculations</w:t>
      </w:r>
      <w:proofErr w:type="gramEnd"/>
      <w:r>
        <w:rPr>
          <w:rFonts w:ascii="Times New Roman" w:eastAsia="Times New Roman" w:hAnsi="Times New Roman" w:cs="Times New Roman"/>
          <w:color w:val="000000"/>
        </w:rPr>
        <w:t xml:space="preserve"> (2026).</w:t>
      </w:r>
    </w:p>
    <w:p w14:paraId="27D2CDD4" w14:textId="77777777" w:rsidR="00255917" w:rsidRDefault="00255917">
      <w:pPr>
        <w:pStyle w:val="Heading3"/>
        <w:spacing w:line="276" w:lineRule="auto"/>
        <w:rPr>
          <w:rFonts w:ascii="Times New Roman" w:eastAsia="Times New Roman" w:hAnsi="Times New Roman" w:cs="Times New Roman"/>
          <w:color w:val="000000"/>
          <w:sz w:val="24"/>
          <w:szCs w:val="24"/>
        </w:rPr>
      </w:pPr>
      <w:bookmarkStart w:id="33" w:name="_p2aiyhp0rg4f" w:colFirst="0" w:colLast="0"/>
      <w:bookmarkEnd w:id="33"/>
    </w:p>
    <w:p w14:paraId="5D2F03EC" w14:textId="77777777" w:rsidR="00255917" w:rsidRDefault="00255917">
      <w:pPr>
        <w:pStyle w:val="Heading3"/>
        <w:spacing w:line="276" w:lineRule="auto"/>
        <w:rPr>
          <w:rFonts w:ascii="Times New Roman" w:eastAsia="Times New Roman" w:hAnsi="Times New Roman" w:cs="Times New Roman"/>
          <w:color w:val="000000"/>
          <w:sz w:val="24"/>
          <w:szCs w:val="24"/>
        </w:rPr>
      </w:pPr>
      <w:bookmarkStart w:id="34" w:name="_oxjgbfohfsy" w:colFirst="0" w:colLast="0"/>
      <w:bookmarkEnd w:id="34"/>
    </w:p>
    <w:p w14:paraId="6FB660A1" w14:textId="77777777" w:rsidR="00255917" w:rsidRDefault="00255917">
      <w:pPr>
        <w:rPr>
          <w:color w:val="000000"/>
        </w:rPr>
      </w:pPr>
    </w:p>
    <w:p w14:paraId="42A5EFE8" w14:textId="77777777" w:rsidR="00255917" w:rsidRDefault="00255917">
      <w:pPr>
        <w:rPr>
          <w:color w:val="000000"/>
        </w:rPr>
      </w:pPr>
    </w:p>
    <w:p w14:paraId="72F17504" w14:textId="77777777" w:rsidR="00255917" w:rsidRDefault="00255917">
      <w:pPr>
        <w:rPr>
          <w:color w:val="000000"/>
        </w:rPr>
      </w:pPr>
    </w:p>
    <w:p w14:paraId="3422FD36" w14:textId="77777777" w:rsidR="00255917" w:rsidRDefault="00255917">
      <w:pPr>
        <w:rPr>
          <w:color w:val="000000"/>
        </w:rPr>
      </w:pPr>
    </w:p>
    <w:p w14:paraId="3D58C3AE" w14:textId="77777777" w:rsidR="00255917" w:rsidRDefault="00255917">
      <w:pPr>
        <w:rPr>
          <w:color w:val="000000"/>
        </w:rPr>
      </w:pPr>
    </w:p>
    <w:p w14:paraId="1157B37E" w14:textId="77777777" w:rsidR="00255917" w:rsidRDefault="00255917">
      <w:pPr>
        <w:rPr>
          <w:color w:val="000000"/>
        </w:rPr>
      </w:pPr>
    </w:p>
    <w:p w14:paraId="6C8DB4F9" w14:textId="77777777" w:rsidR="00255917" w:rsidRDefault="00255917">
      <w:pPr>
        <w:rPr>
          <w:color w:val="000000"/>
        </w:rPr>
      </w:pPr>
    </w:p>
    <w:p w14:paraId="1364AA3F" w14:textId="77777777" w:rsidR="00255917" w:rsidRDefault="00255917">
      <w:pPr>
        <w:pStyle w:val="Heading3"/>
        <w:spacing w:line="276" w:lineRule="auto"/>
        <w:rPr>
          <w:rFonts w:ascii="Times New Roman" w:eastAsia="Times New Roman" w:hAnsi="Times New Roman" w:cs="Times New Roman"/>
          <w:color w:val="000000"/>
          <w:sz w:val="24"/>
          <w:szCs w:val="24"/>
        </w:rPr>
      </w:pPr>
      <w:bookmarkStart w:id="35" w:name="_9bt5oxw7rq1c" w:colFirst="0" w:colLast="0"/>
      <w:bookmarkEnd w:id="35"/>
    </w:p>
    <w:p w14:paraId="17E3FB0C" w14:textId="77777777" w:rsidR="00255917" w:rsidRDefault="00C312C7">
      <w:pPr>
        <w:pStyle w:val="Heading3"/>
        <w:spacing w:line="276" w:lineRule="auto"/>
        <w:rPr>
          <w:rFonts w:ascii="Times New Roman" w:eastAsia="Times New Roman" w:hAnsi="Times New Roman" w:cs="Times New Roman"/>
          <w:color w:val="000000"/>
          <w:sz w:val="24"/>
          <w:szCs w:val="24"/>
        </w:rPr>
      </w:pPr>
      <w:bookmarkStart w:id="36" w:name="_8rm96bfa1uqj" w:colFirst="0" w:colLast="0"/>
      <w:bookmarkEnd w:id="36"/>
      <w:r>
        <w:rPr>
          <w:rFonts w:ascii="Times New Roman" w:eastAsia="Times New Roman" w:hAnsi="Times New Roman" w:cs="Times New Roman"/>
          <w:color w:val="000000"/>
          <w:sz w:val="24"/>
          <w:szCs w:val="24"/>
        </w:rPr>
        <w:t>Appendix B: Investment appraisal calculations</w:t>
      </w:r>
    </w:p>
    <w:p w14:paraId="2022ABC4"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Discount factors are calculated as 1</w:t>
      </w:r>
      <w:proofErr w:type="gramStart"/>
      <w:r>
        <w:rPr>
          <w:rFonts w:ascii="Times New Roman" w:eastAsia="Times New Roman" w:hAnsi="Times New Roman" w:cs="Times New Roman"/>
          <w:color w:val="000000"/>
        </w:rPr>
        <w:t>/(</w:t>
      </w:r>
      <w:proofErr w:type="gramEnd"/>
      <w:r>
        <w:rPr>
          <w:rFonts w:ascii="Times New Roman" w:eastAsia="Times New Roman" w:hAnsi="Times New Roman" w:cs="Times New Roman"/>
          <w:color w:val="000000"/>
        </w:rPr>
        <w:t xml:space="preserve">1 + </w:t>
      </w:r>
      <w:proofErr w:type="gramStart"/>
      <w:r>
        <w:rPr>
          <w:rFonts w:ascii="Times New Roman" w:eastAsia="Times New Roman" w:hAnsi="Times New Roman" w:cs="Times New Roman"/>
          <w:color w:val="000000"/>
        </w:rPr>
        <w:t>0.08)^</w:t>
      </w:r>
      <w:proofErr w:type="gramEnd"/>
      <w:r>
        <w:rPr>
          <w:rFonts w:ascii="Times New Roman" w:eastAsia="Times New Roman" w:hAnsi="Times New Roman" w:cs="Times New Roman"/>
          <w:color w:val="000000"/>
        </w:rPr>
        <w:t>t. Cash flows occur at each year-end. Amounts are £m.</w:t>
      </w:r>
    </w:p>
    <w:p w14:paraId="6D243EB7" w14:textId="77777777" w:rsidR="00255917" w:rsidRDefault="00C312C7">
      <w:pPr>
        <w:keepNext/>
        <w:pBdr>
          <w:top w:val="nil"/>
          <w:left w:val="nil"/>
          <w:bottom w:val="nil"/>
          <w:right w:val="nil"/>
          <w:between w:val="nil"/>
        </w:pBdr>
        <w:spacing w:before="80" w:after="8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Table 9. Discounted cash-flow calculation</w:t>
      </w:r>
    </w:p>
    <w:tbl>
      <w:tblPr>
        <w:tblStyle w:val="a9"/>
        <w:tblW w:w="12980" w:type="dxa"/>
        <w:tblInd w:w="5" w:type="dxa"/>
        <w:tblBorders>
          <w:top w:val="single" w:sz="6" w:space="0" w:color="B8C4CE"/>
          <w:left w:val="single" w:sz="6" w:space="0" w:color="B8C4CE"/>
          <w:bottom w:val="single" w:sz="6" w:space="0" w:color="B8C4CE"/>
          <w:right w:val="single" w:sz="6" w:space="0" w:color="B8C4CE"/>
          <w:insideH w:val="single" w:sz="6" w:space="0" w:color="B8C4CE"/>
          <w:insideV w:val="single" w:sz="6" w:space="0" w:color="B8C4CE"/>
        </w:tblBorders>
        <w:tblLayout w:type="fixed"/>
        <w:tblLook w:val="0400" w:firstRow="0" w:lastRow="0" w:firstColumn="0" w:lastColumn="0" w:noHBand="0" w:noVBand="1"/>
      </w:tblPr>
      <w:tblGrid>
        <w:gridCol w:w="1100"/>
        <w:gridCol w:w="1400"/>
        <w:gridCol w:w="1700"/>
        <w:gridCol w:w="1800"/>
        <w:gridCol w:w="1700"/>
        <w:gridCol w:w="1800"/>
        <w:gridCol w:w="1700"/>
        <w:gridCol w:w="1780"/>
      </w:tblGrid>
      <w:tr w:rsidR="00255917" w14:paraId="78A8E15B" w14:textId="77777777">
        <w:trPr>
          <w:tblHeader/>
        </w:trPr>
        <w:tc>
          <w:tcPr>
            <w:tcW w:w="1100" w:type="dxa"/>
            <w:shd w:val="clear" w:color="auto" w:fill="2F6F7E"/>
            <w:tcMar>
              <w:top w:w="90" w:type="dxa"/>
              <w:bottom w:w="90" w:type="dxa"/>
            </w:tcMar>
            <w:vAlign w:val="center"/>
          </w:tcPr>
          <w:p w14:paraId="2286DB62"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Year</w:t>
            </w:r>
          </w:p>
        </w:tc>
        <w:tc>
          <w:tcPr>
            <w:tcW w:w="1400" w:type="dxa"/>
            <w:shd w:val="clear" w:color="auto" w:fill="2F6F7E"/>
            <w:tcMar>
              <w:top w:w="90" w:type="dxa"/>
              <w:bottom w:w="90" w:type="dxa"/>
            </w:tcMar>
            <w:vAlign w:val="center"/>
          </w:tcPr>
          <w:p w14:paraId="2A9AFD7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DF 8%</w:t>
            </w:r>
          </w:p>
        </w:tc>
        <w:tc>
          <w:tcPr>
            <w:tcW w:w="1700" w:type="dxa"/>
            <w:shd w:val="clear" w:color="auto" w:fill="2F6F7E"/>
            <w:tcMar>
              <w:top w:w="90" w:type="dxa"/>
              <w:bottom w:w="90" w:type="dxa"/>
            </w:tcMar>
            <w:vAlign w:val="center"/>
          </w:tcPr>
          <w:p w14:paraId="16FAA74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A CF</w:t>
            </w:r>
          </w:p>
        </w:tc>
        <w:tc>
          <w:tcPr>
            <w:tcW w:w="1800" w:type="dxa"/>
            <w:shd w:val="clear" w:color="auto" w:fill="2F6F7E"/>
            <w:tcMar>
              <w:top w:w="90" w:type="dxa"/>
              <w:bottom w:w="90" w:type="dxa"/>
            </w:tcMar>
            <w:vAlign w:val="center"/>
          </w:tcPr>
          <w:p w14:paraId="28F041F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A PV</w:t>
            </w:r>
          </w:p>
        </w:tc>
        <w:tc>
          <w:tcPr>
            <w:tcW w:w="1700" w:type="dxa"/>
            <w:shd w:val="clear" w:color="auto" w:fill="2F6F7E"/>
            <w:tcMar>
              <w:top w:w="90" w:type="dxa"/>
              <w:bottom w:w="90" w:type="dxa"/>
            </w:tcMar>
            <w:vAlign w:val="center"/>
          </w:tcPr>
          <w:p w14:paraId="241F34D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B CF</w:t>
            </w:r>
          </w:p>
        </w:tc>
        <w:tc>
          <w:tcPr>
            <w:tcW w:w="1800" w:type="dxa"/>
            <w:shd w:val="clear" w:color="auto" w:fill="2F6F7E"/>
            <w:tcMar>
              <w:top w:w="90" w:type="dxa"/>
              <w:bottom w:w="90" w:type="dxa"/>
            </w:tcMar>
            <w:vAlign w:val="center"/>
          </w:tcPr>
          <w:p w14:paraId="5C39DD1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B PV</w:t>
            </w:r>
          </w:p>
        </w:tc>
        <w:tc>
          <w:tcPr>
            <w:tcW w:w="1700" w:type="dxa"/>
            <w:shd w:val="clear" w:color="auto" w:fill="2F6F7E"/>
            <w:tcMar>
              <w:top w:w="90" w:type="dxa"/>
              <w:bottom w:w="90" w:type="dxa"/>
            </w:tcMar>
            <w:vAlign w:val="center"/>
          </w:tcPr>
          <w:p w14:paraId="32E47B4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C CF</w:t>
            </w:r>
          </w:p>
        </w:tc>
        <w:tc>
          <w:tcPr>
            <w:tcW w:w="1780" w:type="dxa"/>
            <w:shd w:val="clear" w:color="auto" w:fill="2F6F7E"/>
            <w:tcMar>
              <w:top w:w="90" w:type="dxa"/>
              <w:bottom w:w="90" w:type="dxa"/>
            </w:tcMar>
            <w:vAlign w:val="center"/>
          </w:tcPr>
          <w:p w14:paraId="025B03AE"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t>C PV</w:t>
            </w:r>
          </w:p>
        </w:tc>
      </w:tr>
      <w:tr w:rsidR="00255917" w14:paraId="0A43D295" w14:textId="77777777">
        <w:tc>
          <w:tcPr>
            <w:tcW w:w="1100" w:type="dxa"/>
          </w:tcPr>
          <w:p w14:paraId="01DA5447"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w:t>
            </w:r>
          </w:p>
        </w:tc>
        <w:tc>
          <w:tcPr>
            <w:tcW w:w="1400" w:type="dxa"/>
          </w:tcPr>
          <w:p w14:paraId="2FDFE7B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0.9259</w:t>
            </w:r>
          </w:p>
        </w:tc>
        <w:tc>
          <w:tcPr>
            <w:tcW w:w="1700" w:type="dxa"/>
          </w:tcPr>
          <w:p w14:paraId="3BC8E24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10.0</w:t>
            </w:r>
          </w:p>
        </w:tc>
        <w:tc>
          <w:tcPr>
            <w:tcW w:w="1800" w:type="dxa"/>
          </w:tcPr>
          <w:p w14:paraId="249D67E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9.259</w:t>
            </w:r>
          </w:p>
        </w:tc>
        <w:tc>
          <w:tcPr>
            <w:tcW w:w="1700" w:type="dxa"/>
          </w:tcPr>
          <w:p w14:paraId="45A7E5E7"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11.0</w:t>
            </w:r>
          </w:p>
        </w:tc>
        <w:tc>
          <w:tcPr>
            <w:tcW w:w="1800" w:type="dxa"/>
          </w:tcPr>
          <w:p w14:paraId="552BB8B7"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10.185</w:t>
            </w:r>
          </w:p>
        </w:tc>
        <w:tc>
          <w:tcPr>
            <w:tcW w:w="1700" w:type="dxa"/>
          </w:tcPr>
          <w:p w14:paraId="095A309B"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5.0</w:t>
            </w:r>
          </w:p>
        </w:tc>
        <w:tc>
          <w:tcPr>
            <w:tcW w:w="1780" w:type="dxa"/>
          </w:tcPr>
          <w:p w14:paraId="640761E7"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4.630</w:t>
            </w:r>
          </w:p>
        </w:tc>
      </w:tr>
      <w:tr w:rsidR="00255917" w14:paraId="3CDB326E" w14:textId="77777777">
        <w:tc>
          <w:tcPr>
            <w:tcW w:w="1100" w:type="dxa"/>
            <w:shd w:val="clear" w:color="auto" w:fill="F2F4F7"/>
          </w:tcPr>
          <w:p w14:paraId="66F254A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w:t>
            </w:r>
          </w:p>
        </w:tc>
        <w:tc>
          <w:tcPr>
            <w:tcW w:w="1400" w:type="dxa"/>
            <w:shd w:val="clear" w:color="auto" w:fill="F2F4F7"/>
          </w:tcPr>
          <w:p w14:paraId="79A753A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0.8573</w:t>
            </w:r>
          </w:p>
        </w:tc>
        <w:tc>
          <w:tcPr>
            <w:tcW w:w="1700" w:type="dxa"/>
            <w:shd w:val="clear" w:color="auto" w:fill="F2F4F7"/>
          </w:tcPr>
          <w:p w14:paraId="2342041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12.0</w:t>
            </w:r>
          </w:p>
        </w:tc>
        <w:tc>
          <w:tcPr>
            <w:tcW w:w="1800" w:type="dxa"/>
            <w:shd w:val="clear" w:color="auto" w:fill="F2F4F7"/>
          </w:tcPr>
          <w:p w14:paraId="36A3C417"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10.288</w:t>
            </w:r>
          </w:p>
        </w:tc>
        <w:tc>
          <w:tcPr>
            <w:tcW w:w="1700" w:type="dxa"/>
            <w:shd w:val="clear" w:color="auto" w:fill="F2F4F7"/>
          </w:tcPr>
          <w:p w14:paraId="43A6891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11.0</w:t>
            </w:r>
          </w:p>
        </w:tc>
        <w:tc>
          <w:tcPr>
            <w:tcW w:w="1800" w:type="dxa"/>
            <w:shd w:val="clear" w:color="auto" w:fill="F2F4F7"/>
          </w:tcPr>
          <w:p w14:paraId="66E6E072"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9.431</w:t>
            </w:r>
          </w:p>
        </w:tc>
        <w:tc>
          <w:tcPr>
            <w:tcW w:w="1700" w:type="dxa"/>
            <w:shd w:val="clear" w:color="auto" w:fill="F2F4F7"/>
          </w:tcPr>
          <w:p w14:paraId="423D571F"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10.0</w:t>
            </w:r>
          </w:p>
        </w:tc>
        <w:tc>
          <w:tcPr>
            <w:tcW w:w="1780" w:type="dxa"/>
            <w:shd w:val="clear" w:color="auto" w:fill="F2F4F7"/>
          </w:tcPr>
          <w:p w14:paraId="464414B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8.573</w:t>
            </w:r>
          </w:p>
        </w:tc>
      </w:tr>
      <w:tr w:rsidR="00255917" w14:paraId="6257A535" w14:textId="77777777">
        <w:tc>
          <w:tcPr>
            <w:tcW w:w="1100" w:type="dxa"/>
          </w:tcPr>
          <w:p w14:paraId="402A752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3</w:t>
            </w:r>
          </w:p>
        </w:tc>
        <w:tc>
          <w:tcPr>
            <w:tcW w:w="1400" w:type="dxa"/>
          </w:tcPr>
          <w:p w14:paraId="37DD7F82"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0.7938</w:t>
            </w:r>
          </w:p>
        </w:tc>
        <w:tc>
          <w:tcPr>
            <w:tcW w:w="1700" w:type="dxa"/>
          </w:tcPr>
          <w:p w14:paraId="4771815B"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14.0</w:t>
            </w:r>
          </w:p>
        </w:tc>
        <w:tc>
          <w:tcPr>
            <w:tcW w:w="1800" w:type="dxa"/>
          </w:tcPr>
          <w:p w14:paraId="687C65CF"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11.114</w:t>
            </w:r>
          </w:p>
        </w:tc>
        <w:tc>
          <w:tcPr>
            <w:tcW w:w="1700" w:type="dxa"/>
          </w:tcPr>
          <w:p w14:paraId="075AA9AB"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11.0</w:t>
            </w:r>
          </w:p>
        </w:tc>
        <w:tc>
          <w:tcPr>
            <w:tcW w:w="1800" w:type="dxa"/>
          </w:tcPr>
          <w:p w14:paraId="3C2BB513"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8.732</w:t>
            </w:r>
          </w:p>
        </w:tc>
        <w:tc>
          <w:tcPr>
            <w:tcW w:w="1700" w:type="dxa"/>
          </w:tcPr>
          <w:p w14:paraId="73CE7D54"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20.0</w:t>
            </w:r>
          </w:p>
        </w:tc>
        <w:tc>
          <w:tcPr>
            <w:tcW w:w="1780" w:type="dxa"/>
          </w:tcPr>
          <w:p w14:paraId="53AB0124"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15.877</w:t>
            </w:r>
          </w:p>
        </w:tc>
      </w:tr>
      <w:tr w:rsidR="00255917" w14:paraId="7A8F7343" w14:textId="77777777">
        <w:tc>
          <w:tcPr>
            <w:tcW w:w="1100" w:type="dxa"/>
            <w:shd w:val="clear" w:color="auto" w:fill="F2F4F7"/>
          </w:tcPr>
          <w:p w14:paraId="5769C80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4</w:t>
            </w:r>
          </w:p>
        </w:tc>
        <w:tc>
          <w:tcPr>
            <w:tcW w:w="1400" w:type="dxa"/>
            <w:shd w:val="clear" w:color="auto" w:fill="F2F4F7"/>
          </w:tcPr>
          <w:p w14:paraId="102AC1D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0.7350</w:t>
            </w:r>
          </w:p>
        </w:tc>
        <w:tc>
          <w:tcPr>
            <w:tcW w:w="1700" w:type="dxa"/>
            <w:shd w:val="clear" w:color="auto" w:fill="F2F4F7"/>
          </w:tcPr>
          <w:p w14:paraId="535AB85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10.0</w:t>
            </w:r>
          </w:p>
        </w:tc>
        <w:tc>
          <w:tcPr>
            <w:tcW w:w="1800" w:type="dxa"/>
            <w:shd w:val="clear" w:color="auto" w:fill="F2F4F7"/>
          </w:tcPr>
          <w:p w14:paraId="5A5E784F"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7.350</w:t>
            </w:r>
          </w:p>
        </w:tc>
        <w:tc>
          <w:tcPr>
            <w:tcW w:w="1700" w:type="dxa"/>
            <w:shd w:val="clear" w:color="auto" w:fill="F2F4F7"/>
          </w:tcPr>
          <w:p w14:paraId="753A49F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11.0</w:t>
            </w:r>
          </w:p>
        </w:tc>
        <w:tc>
          <w:tcPr>
            <w:tcW w:w="1800" w:type="dxa"/>
            <w:shd w:val="clear" w:color="auto" w:fill="F2F4F7"/>
          </w:tcPr>
          <w:p w14:paraId="5834455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8.085</w:t>
            </w:r>
          </w:p>
        </w:tc>
        <w:tc>
          <w:tcPr>
            <w:tcW w:w="1700" w:type="dxa"/>
            <w:shd w:val="clear" w:color="auto" w:fill="F2F4F7"/>
          </w:tcPr>
          <w:p w14:paraId="68553F39"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25.0</w:t>
            </w:r>
          </w:p>
        </w:tc>
        <w:tc>
          <w:tcPr>
            <w:tcW w:w="1780" w:type="dxa"/>
            <w:shd w:val="clear" w:color="auto" w:fill="F2F4F7"/>
          </w:tcPr>
          <w:p w14:paraId="29674A05"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18.376</w:t>
            </w:r>
          </w:p>
        </w:tc>
      </w:tr>
      <w:tr w:rsidR="00255917" w14:paraId="0EDC1A77" w14:textId="77777777">
        <w:tc>
          <w:tcPr>
            <w:tcW w:w="1100" w:type="dxa"/>
          </w:tcPr>
          <w:p w14:paraId="6C45BC2F"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w:t>
            </w:r>
          </w:p>
        </w:tc>
        <w:tc>
          <w:tcPr>
            <w:tcW w:w="1400" w:type="dxa"/>
          </w:tcPr>
          <w:p w14:paraId="4A51582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0.6806</w:t>
            </w:r>
          </w:p>
        </w:tc>
        <w:tc>
          <w:tcPr>
            <w:tcW w:w="1700" w:type="dxa"/>
          </w:tcPr>
          <w:p w14:paraId="2DB08EF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8.0</w:t>
            </w:r>
          </w:p>
        </w:tc>
        <w:tc>
          <w:tcPr>
            <w:tcW w:w="1800" w:type="dxa"/>
          </w:tcPr>
          <w:p w14:paraId="696A552D"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5.445</w:t>
            </w:r>
          </w:p>
        </w:tc>
        <w:tc>
          <w:tcPr>
            <w:tcW w:w="1700" w:type="dxa"/>
          </w:tcPr>
          <w:p w14:paraId="2F52945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11.0</w:t>
            </w:r>
          </w:p>
        </w:tc>
        <w:tc>
          <w:tcPr>
            <w:tcW w:w="1800" w:type="dxa"/>
          </w:tcPr>
          <w:p w14:paraId="0E10894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7.486</w:t>
            </w:r>
          </w:p>
        </w:tc>
        <w:tc>
          <w:tcPr>
            <w:tcW w:w="1700" w:type="dxa"/>
          </w:tcPr>
          <w:p w14:paraId="2B6FDFFC"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5.0</w:t>
            </w:r>
          </w:p>
        </w:tc>
        <w:tc>
          <w:tcPr>
            <w:tcW w:w="1780" w:type="dxa"/>
          </w:tcPr>
          <w:p w14:paraId="7DF082F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3.403</w:t>
            </w:r>
          </w:p>
        </w:tc>
      </w:tr>
      <w:tr w:rsidR="00255917" w14:paraId="56E44EFA" w14:textId="77777777">
        <w:tc>
          <w:tcPr>
            <w:tcW w:w="1100" w:type="dxa"/>
            <w:shd w:val="clear" w:color="auto" w:fill="F2F4F7"/>
          </w:tcPr>
          <w:p w14:paraId="2CF002A6"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Total PV</w:t>
            </w:r>
          </w:p>
        </w:tc>
        <w:tc>
          <w:tcPr>
            <w:tcW w:w="1400" w:type="dxa"/>
            <w:shd w:val="clear" w:color="auto" w:fill="F2F4F7"/>
          </w:tcPr>
          <w:p w14:paraId="0EA275B8" w14:textId="77777777" w:rsidR="00255917" w:rsidRDefault="00255917">
            <w:pPr>
              <w:spacing w:after="0" w:line="276" w:lineRule="auto"/>
              <w:jc w:val="center"/>
              <w:rPr>
                <w:rFonts w:ascii="Times New Roman" w:eastAsia="Times New Roman" w:hAnsi="Times New Roman" w:cs="Times New Roman"/>
                <w:color w:val="000000"/>
              </w:rPr>
            </w:pPr>
          </w:p>
        </w:tc>
        <w:tc>
          <w:tcPr>
            <w:tcW w:w="1700" w:type="dxa"/>
            <w:shd w:val="clear" w:color="auto" w:fill="F2F4F7"/>
          </w:tcPr>
          <w:p w14:paraId="098ADE67" w14:textId="77777777" w:rsidR="00255917" w:rsidRDefault="00255917">
            <w:pPr>
              <w:spacing w:after="0" w:line="276" w:lineRule="auto"/>
              <w:jc w:val="center"/>
              <w:rPr>
                <w:rFonts w:ascii="Times New Roman" w:eastAsia="Times New Roman" w:hAnsi="Times New Roman" w:cs="Times New Roman"/>
                <w:color w:val="000000"/>
              </w:rPr>
            </w:pPr>
          </w:p>
        </w:tc>
        <w:tc>
          <w:tcPr>
            <w:tcW w:w="1800" w:type="dxa"/>
            <w:shd w:val="clear" w:color="auto" w:fill="F2F4F7"/>
          </w:tcPr>
          <w:p w14:paraId="2F82BEA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43.456</w:t>
            </w:r>
          </w:p>
        </w:tc>
        <w:tc>
          <w:tcPr>
            <w:tcW w:w="1700" w:type="dxa"/>
            <w:shd w:val="clear" w:color="auto" w:fill="F2F4F7"/>
          </w:tcPr>
          <w:p w14:paraId="45D7FC95" w14:textId="77777777" w:rsidR="00255917" w:rsidRDefault="00255917">
            <w:pPr>
              <w:spacing w:after="0" w:line="276" w:lineRule="auto"/>
              <w:jc w:val="center"/>
              <w:rPr>
                <w:rFonts w:ascii="Times New Roman" w:eastAsia="Times New Roman" w:hAnsi="Times New Roman" w:cs="Times New Roman"/>
                <w:color w:val="000000"/>
              </w:rPr>
            </w:pPr>
          </w:p>
        </w:tc>
        <w:tc>
          <w:tcPr>
            <w:tcW w:w="1800" w:type="dxa"/>
            <w:shd w:val="clear" w:color="auto" w:fill="F2F4F7"/>
          </w:tcPr>
          <w:p w14:paraId="0A01AEA8"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43.920</w:t>
            </w:r>
          </w:p>
        </w:tc>
        <w:tc>
          <w:tcPr>
            <w:tcW w:w="1700" w:type="dxa"/>
            <w:shd w:val="clear" w:color="auto" w:fill="F2F4F7"/>
          </w:tcPr>
          <w:p w14:paraId="7D96244A" w14:textId="77777777" w:rsidR="00255917" w:rsidRDefault="00255917">
            <w:pPr>
              <w:spacing w:after="0" w:line="276" w:lineRule="auto"/>
              <w:jc w:val="center"/>
              <w:rPr>
                <w:rFonts w:ascii="Times New Roman" w:eastAsia="Times New Roman" w:hAnsi="Times New Roman" w:cs="Times New Roman"/>
                <w:color w:val="000000"/>
              </w:rPr>
            </w:pPr>
          </w:p>
        </w:tc>
        <w:tc>
          <w:tcPr>
            <w:tcW w:w="1780" w:type="dxa"/>
            <w:shd w:val="clear" w:color="auto" w:fill="F2F4F7"/>
          </w:tcPr>
          <w:p w14:paraId="03FB331B"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50.858</w:t>
            </w:r>
          </w:p>
        </w:tc>
      </w:tr>
      <w:tr w:rsidR="00255917" w14:paraId="61CBA577" w14:textId="77777777">
        <w:tc>
          <w:tcPr>
            <w:tcW w:w="1100" w:type="dxa"/>
          </w:tcPr>
          <w:p w14:paraId="0FB6A13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Less initial</w:t>
            </w:r>
          </w:p>
        </w:tc>
        <w:tc>
          <w:tcPr>
            <w:tcW w:w="1400" w:type="dxa"/>
          </w:tcPr>
          <w:p w14:paraId="6C529C81" w14:textId="77777777" w:rsidR="00255917" w:rsidRDefault="00255917">
            <w:pPr>
              <w:spacing w:after="0" w:line="276" w:lineRule="auto"/>
              <w:jc w:val="center"/>
              <w:rPr>
                <w:rFonts w:ascii="Times New Roman" w:eastAsia="Times New Roman" w:hAnsi="Times New Roman" w:cs="Times New Roman"/>
                <w:color w:val="000000"/>
              </w:rPr>
            </w:pPr>
          </w:p>
        </w:tc>
        <w:tc>
          <w:tcPr>
            <w:tcW w:w="1700" w:type="dxa"/>
          </w:tcPr>
          <w:p w14:paraId="384AFA8C" w14:textId="77777777" w:rsidR="00255917" w:rsidRDefault="00255917">
            <w:pPr>
              <w:spacing w:after="0" w:line="276" w:lineRule="auto"/>
              <w:jc w:val="center"/>
              <w:rPr>
                <w:rFonts w:ascii="Times New Roman" w:eastAsia="Times New Roman" w:hAnsi="Times New Roman" w:cs="Times New Roman"/>
                <w:color w:val="000000"/>
              </w:rPr>
            </w:pPr>
          </w:p>
        </w:tc>
        <w:tc>
          <w:tcPr>
            <w:tcW w:w="1800" w:type="dxa"/>
          </w:tcPr>
          <w:p w14:paraId="2F7AA61A"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(50.000)</w:t>
            </w:r>
          </w:p>
        </w:tc>
        <w:tc>
          <w:tcPr>
            <w:tcW w:w="1700" w:type="dxa"/>
          </w:tcPr>
          <w:p w14:paraId="0F42F3BD" w14:textId="77777777" w:rsidR="00255917" w:rsidRDefault="00255917">
            <w:pPr>
              <w:spacing w:after="0" w:line="276" w:lineRule="auto"/>
              <w:jc w:val="center"/>
              <w:rPr>
                <w:rFonts w:ascii="Times New Roman" w:eastAsia="Times New Roman" w:hAnsi="Times New Roman" w:cs="Times New Roman"/>
                <w:color w:val="000000"/>
              </w:rPr>
            </w:pPr>
          </w:p>
        </w:tc>
        <w:tc>
          <w:tcPr>
            <w:tcW w:w="1800" w:type="dxa"/>
          </w:tcPr>
          <w:p w14:paraId="168D474B"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(50.000)</w:t>
            </w:r>
          </w:p>
        </w:tc>
        <w:tc>
          <w:tcPr>
            <w:tcW w:w="1700" w:type="dxa"/>
          </w:tcPr>
          <w:p w14:paraId="44F4D379" w14:textId="77777777" w:rsidR="00255917" w:rsidRDefault="00255917">
            <w:pPr>
              <w:spacing w:after="0" w:line="276" w:lineRule="auto"/>
              <w:jc w:val="center"/>
              <w:rPr>
                <w:rFonts w:ascii="Times New Roman" w:eastAsia="Times New Roman" w:hAnsi="Times New Roman" w:cs="Times New Roman"/>
                <w:color w:val="000000"/>
              </w:rPr>
            </w:pPr>
          </w:p>
        </w:tc>
        <w:tc>
          <w:tcPr>
            <w:tcW w:w="1780" w:type="dxa"/>
          </w:tcPr>
          <w:p w14:paraId="7F61B0E1"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(50.000)</w:t>
            </w:r>
          </w:p>
        </w:tc>
      </w:tr>
      <w:tr w:rsidR="00255917" w14:paraId="354A0B82" w14:textId="77777777">
        <w:tc>
          <w:tcPr>
            <w:tcW w:w="1100" w:type="dxa"/>
            <w:shd w:val="clear" w:color="auto" w:fill="F2F4F7"/>
          </w:tcPr>
          <w:p w14:paraId="5C97BEA4"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NPV</w:t>
            </w:r>
          </w:p>
        </w:tc>
        <w:tc>
          <w:tcPr>
            <w:tcW w:w="1400" w:type="dxa"/>
            <w:shd w:val="clear" w:color="auto" w:fill="F2F4F7"/>
          </w:tcPr>
          <w:p w14:paraId="44796F72" w14:textId="77777777" w:rsidR="00255917" w:rsidRDefault="00255917">
            <w:pPr>
              <w:spacing w:after="0" w:line="276" w:lineRule="auto"/>
              <w:jc w:val="center"/>
              <w:rPr>
                <w:rFonts w:ascii="Times New Roman" w:eastAsia="Times New Roman" w:hAnsi="Times New Roman" w:cs="Times New Roman"/>
                <w:color w:val="000000"/>
              </w:rPr>
            </w:pPr>
          </w:p>
        </w:tc>
        <w:tc>
          <w:tcPr>
            <w:tcW w:w="1700" w:type="dxa"/>
            <w:shd w:val="clear" w:color="auto" w:fill="F2F4F7"/>
          </w:tcPr>
          <w:p w14:paraId="01B54867" w14:textId="77777777" w:rsidR="00255917" w:rsidRDefault="00255917">
            <w:pPr>
              <w:spacing w:after="0" w:line="276" w:lineRule="auto"/>
              <w:jc w:val="center"/>
              <w:rPr>
                <w:rFonts w:ascii="Times New Roman" w:eastAsia="Times New Roman" w:hAnsi="Times New Roman" w:cs="Times New Roman"/>
                <w:color w:val="000000"/>
              </w:rPr>
            </w:pPr>
          </w:p>
        </w:tc>
        <w:tc>
          <w:tcPr>
            <w:tcW w:w="1800" w:type="dxa"/>
            <w:shd w:val="clear" w:color="auto" w:fill="F2F4F7"/>
          </w:tcPr>
          <w:p w14:paraId="22A73EAF"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-6.544</w:t>
            </w:r>
          </w:p>
        </w:tc>
        <w:tc>
          <w:tcPr>
            <w:tcW w:w="1700" w:type="dxa"/>
            <w:shd w:val="clear" w:color="auto" w:fill="F2F4F7"/>
          </w:tcPr>
          <w:p w14:paraId="051C79F3" w14:textId="77777777" w:rsidR="00255917" w:rsidRDefault="00255917">
            <w:pPr>
              <w:spacing w:after="0" w:line="276" w:lineRule="auto"/>
              <w:jc w:val="center"/>
              <w:rPr>
                <w:rFonts w:ascii="Times New Roman" w:eastAsia="Times New Roman" w:hAnsi="Times New Roman" w:cs="Times New Roman"/>
                <w:color w:val="000000"/>
              </w:rPr>
            </w:pPr>
          </w:p>
        </w:tc>
        <w:tc>
          <w:tcPr>
            <w:tcW w:w="1800" w:type="dxa"/>
            <w:shd w:val="clear" w:color="auto" w:fill="F2F4F7"/>
          </w:tcPr>
          <w:p w14:paraId="307F1680"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-6.080</w:t>
            </w:r>
          </w:p>
        </w:tc>
        <w:tc>
          <w:tcPr>
            <w:tcW w:w="1700" w:type="dxa"/>
            <w:shd w:val="clear" w:color="auto" w:fill="F2F4F7"/>
          </w:tcPr>
          <w:p w14:paraId="168F0152" w14:textId="77777777" w:rsidR="00255917" w:rsidRDefault="00255917">
            <w:pPr>
              <w:spacing w:after="0" w:line="276" w:lineRule="auto"/>
              <w:jc w:val="center"/>
              <w:rPr>
                <w:rFonts w:ascii="Times New Roman" w:eastAsia="Times New Roman" w:hAnsi="Times New Roman" w:cs="Times New Roman"/>
                <w:color w:val="000000"/>
              </w:rPr>
            </w:pPr>
          </w:p>
        </w:tc>
        <w:tc>
          <w:tcPr>
            <w:tcW w:w="1780" w:type="dxa"/>
            <w:shd w:val="clear" w:color="auto" w:fill="F2F4F7"/>
          </w:tcPr>
          <w:p w14:paraId="073271F2" w14:textId="77777777" w:rsidR="00255917" w:rsidRDefault="00C312C7">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0.858</w:t>
            </w:r>
          </w:p>
        </w:tc>
      </w:tr>
    </w:tbl>
    <w:p w14:paraId="74A855B6" w14:textId="77777777" w:rsidR="00255917" w:rsidRDefault="00C312C7">
      <w:pPr>
        <w:pBdr>
          <w:top w:val="nil"/>
          <w:left w:val="nil"/>
          <w:bottom w:val="nil"/>
          <w:right w:val="nil"/>
          <w:between w:val="nil"/>
        </w:pBdr>
        <w:spacing w:before="80" w:after="14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 xml:space="preserve">Source: UWTSD assessment cash </w:t>
      </w:r>
      <w:proofErr w:type="gramStart"/>
      <w:r>
        <w:rPr>
          <w:rFonts w:ascii="Times New Roman" w:eastAsia="Times New Roman" w:hAnsi="Times New Roman" w:cs="Times New Roman"/>
          <w:color w:val="000000"/>
        </w:rPr>
        <w:t>flows;  Excel</w:t>
      </w:r>
      <w:proofErr w:type="gramEnd"/>
      <w:r>
        <w:rPr>
          <w:rFonts w:ascii="Times New Roman" w:eastAsia="Times New Roman" w:hAnsi="Times New Roman" w:cs="Times New Roman"/>
          <w:color w:val="000000"/>
        </w:rPr>
        <w:t xml:space="preserve"> calculations (2026).</w:t>
      </w:r>
    </w:p>
    <w:p w14:paraId="78ED1F00"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Payback: A = 4 + (4/8) = 4.50 years; B = 4 + (6/11) = 4.55 years; C = 3 + (15/25) = 3.60 years. ARR on average investment: annual straight-line depreciation = £50m/5 = £10m; average investment = (£50m + £0m)/2 = £25m. Average annual accounting profit is £0.8m, £1.0m and £3.0m, producing ARR of 3.2%, 4.0% and 12.0%. PI = PV of inflows / £50m. IRR was calculated as the discount rate that sets NPV equal to zero.</w:t>
      </w:r>
    </w:p>
    <w:p w14:paraId="3BCB34D1" w14:textId="77777777" w:rsidR="00255917" w:rsidRDefault="00C312C7">
      <w:pPr>
        <w:pStyle w:val="Heading3"/>
        <w:pageBreakBefore/>
        <w:spacing w:line="276" w:lineRule="auto"/>
        <w:rPr>
          <w:rFonts w:ascii="Times New Roman" w:eastAsia="Times New Roman" w:hAnsi="Times New Roman" w:cs="Times New Roman"/>
          <w:color w:val="000000"/>
          <w:sz w:val="24"/>
          <w:szCs w:val="24"/>
        </w:rPr>
      </w:pPr>
      <w:bookmarkStart w:id="37" w:name="_mtt6mtiyeftl" w:colFirst="0" w:colLast="0"/>
      <w:bookmarkEnd w:id="37"/>
      <w:r>
        <w:rPr>
          <w:rFonts w:ascii="Times New Roman" w:eastAsia="Times New Roman" w:hAnsi="Times New Roman" w:cs="Times New Roman"/>
          <w:color w:val="000000"/>
          <w:sz w:val="24"/>
          <w:szCs w:val="24"/>
        </w:rPr>
        <w:lastRenderedPageBreak/>
        <w:t>Appendix C: Embedded Excel calculation evidence</w:t>
      </w:r>
    </w:p>
    <w:p w14:paraId="7DB60C77" w14:textId="77777777" w:rsidR="00255917" w:rsidRDefault="00C312C7">
      <w:pPr>
        <w:spacing w:line="276" w:lineRule="auto"/>
        <w:rPr>
          <w:rFonts w:ascii="Times New Roman" w:eastAsia="Times New Roman" w:hAnsi="Times New Roman" w:cs="Times New Roman"/>
          <w:color w:val="000000"/>
        </w:rPr>
      </w:pPr>
      <w:r>
        <w:rPr>
          <w:rFonts w:ascii="Times New Roman" w:eastAsia="Times New Roman" w:hAnsi="Times New Roman" w:cs="Times New Roman"/>
          <w:color w:val="000000"/>
        </w:rPr>
        <w:t>The following screenshots produce the formula-linked Excel outputs used in the analysis. Together with Appendices A and B, they provide the visible audit trail required for ratio analysis and investment appraisal within this Word document.</w:t>
      </w:r>
    </w:p>
    <w:p w14:paraId="4C092991" w14:textId="77777777" w:rsidR="00255917" w:rsidRDefault="00C312C7">
      <w:pPr>
        <w:keepNext/>
        <w:pBdr>
          <w:top w:val="nil"/>
          <w:left w:val="nil"/>
          <w:bottom w:val="nil"/>
          <w:right w:val="nil"/>
          <w:between w:val="nil"/>
        </w:pBdr>
        <w:spacing w:before="80" w:after="80" w:line="276" w:lineRule="auto"/>
        <w:jc w:val="center"/>
        <w:rPr>
          <w:rFonts w:ascii="Times New Roman" w:eastAsia="Times New Roman" w:hAnsi="Times New Roman" w:cs="Times New Roman"/>
          <w:b/>
          <w:bCs/>
          <w:color w:val="000000"/>
        </w:rPr>
      </w:pPr>
      <w:r>
        <w:t>Figure 7. Excel ratio calculations: profitability, liquidity and efficiency</w:t>
      </w:r>
    </w:p>
    <w:p w14:paraId="168C6EBA" w14:textId="77777777" w:rsidR="00255917" w:rsidRDefault="00C312C7">
      <w:pPr>
        <w:keepNext/>
        <w:spacing w:line="276" w:lineRule="auto"/>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114300" distR="114300" wp14:anchorId="6D96B478" wp14:editId="499644BF">
            <wp:extent cx="8640000" cy="3453326"/>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6"/>
                    <a:srcRect/>
                    <a:stretch>
                      <a:fillRect/>
                    </a:stretch>
                  </pic:blipFill>
                  <pic:spPr>
                    <a:xfrm>
                      <a:off x="0" y="0"/>
                      <a:ext cx="8640000" cy="3453326"/>
                    </a:xfrm>
                    <a:prstGeom prst="rect">
                      <a:avLst/>
                    </a:prstGeom>
                    <a:ln/>
                  </pic:spPr>
                </pic:pic>
              </a:graphicData>
            </a:graphic>
          </wp:inline>
        </w:drawing>
      </w:r>
    </w:p>
    <w:p w14:paraId="2480A140" w14:textId="77777777" w:rsidR="00255917" w:rsidRDefault="00C312C7">
      <w:pPr>
        <w:pBdr>
          <w:top w:val="nil"/>
          <w:left w:val="nil"/>
          <w:bottom w:val="nil"/>
          <w:right w:val="nil"/>
          <w:between w:val="nil"/>
        </w:pBdr>
        <w:spacing w:before="80" w:after="14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Source: Screenshot of the formula-linked Excel calculation model prepared for this report (2026).</w:t>
      </w:r>
    </w:p>
    <w:p w14:paraId="75B6D942" w14:textId="77777777" w:rsidR="00255917" w:rsidRDefault="00C312C7">
      <w:pPr>
        <w:spacing w:line="276" w:lineRule="auto"/>
        <w:jc w:val="center"/>
        <w:rPr>
          <w:rFonts w:ascii="Times New Roman" w:eastAsia="Times New Roman" w:hAnsi="Times New Roman" w:cs="Times New Roman"/>
          <w:color w:val="000000"/>
        </w:rPr>
      </w:pPr>
      <w:r>
        <w:br w:type="page"/>
      </w:r>
    </w:p>
    <w:p w14:paraId="02B99DFC" w14:textId="77777777" w:rsidR="00255917" w:rsidRDefault="00C312C7">
      <w:pPr>
        <w:keepNext/>
        <w:pBdr>
          <w:top w:val="nil"/>
          <w:left w:val="nil"/>
          <w:bottom w:val="nil"/>
          <w:right w:val="nil"/>
          <w:between w:val="nil"/>
        </w:pBdr>
        <w:spacing w:before="80" w:after="80" w:line="276" w:lineRule="auto"/>
        <w:jc w:val="center"/>
        <w:rPr>
          <w:rFonts w:ascii="Times New Roman" w:eastAsia="Times New Roman" w:hAnsi="Times New Roman" w:cs="Times New Roman"/>
          <w:b/>
          <w:bCs/>
          <w:color w:val="000000"/>
        </w:rPr>
      </w:pPr>
      <w:r>
        <w:lastRenderedPageBreak/>
        <w:t>Figure 8. Excel ratio calculations: gearing, market and cash flow</w:t>
      </w:r>
    </w:p>
    <w:p w14:paraId="25EE7A54" w14:textId="77777777" w:rsidR="00255917" w:rsidRDefault="00C312C7">
      <w:pPr>
        <w:keepNext/>
        <w:spacing w:line="276" w:lineRule="auto"/>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114300" distR="114300" wp14:anchorId="24D8359F" wp14:editId="158DCD43">
            <wp:extent cx="8640000" cy="307903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7"/>
                    <a:srcRect/>
                    <a:stretch>
                      <a:fillRect/>
                    </a:stretch>
                  </pic:blipFill>
                  <pic:spPr>
                    <a:xfrm>
                      <a:off x="0" y="0"/>
                      <a:ext cx="8640000" cy="3079030"/>
                    </a:xfrm>
                    <a:prstGeom prst="rect">
                      <a:avLst/>
                    </a:prstGeom>
                    <a:ln/>
                  </pic:spPr>
                </pic:pic>
              </a:graphicData>
            </a:graphic>
          </wp:inline>
        </w:drawing>
      </w:r>
    </w:p>
    <w:p w14:paraId="48D7C1AF" w14:textId="77777777" w:rsidR="00255917" w:rsidRDefault="00C312C7">
      <w:pPr>
        <w:pBdr>
          <w:top w:val="nil"/>
          <w:left w:val="nil"/>
          <w:bottom w:val="nil"/>
          <w:right w:val="nil"/>
          <w:between w:val="nil"/>
        </w:pBdr>
        <w:spacing w:before="80" w:after="14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Source: Screenshot of the formula-linked Excel calculation model prepared for this report (2026).</w:t>
      </w:r>
    </w:p>
    <w:p w14:paraId="182E26E6" w14:textId="77777777" w:rsidR="00255917" w:rsidRDefault="00C312C7">
      <w:pPr>
        <w:spacing w:line="276" w:lineRule="auto"/>
        <w:jc w:val="center"/>
        <w:rPr>
          <w:rFonts w:ascii="Times New Roman" w:eastAsia="Times New Roman" w:hAnsi="Times New Roman" w:cs="Times New Roman"/>
          <w:color w:val="000000"/>
        </w:rPr>
      </w:pPr>
      <w:r>
        <w:br w:type="page"/>
      </w:r>
    </w:p>
    <w:p w14:paraId="3D97149B" w14:textId="77777777" w:rsidR="00255917" w:rsidRDefault="00C312C7">
      <w:pPr>
        <w:keepNext/>
        <w:pBdr>
          <w:top w:val="nil"/>
          <w:left w:val="nil"/>
          <w:bottom w:val="nil"/>
          <w:right w:val="nil"/>
          <w:between w:val="nil"/>
        </w:pBdr>
        <w:spacing w:before="80" w:after="80" w:line="276" w:lineRule="auto"/>
        <w:jc w:val="center"/>
        <w:rPr>
          <w:rFonts w:ascii="Times New Roman" w:eastAsia="Times New Roman" w:hAnsi="Times New Roman" w:cs="Times New Roman"/>
          <w:b/>
          <w:bCs/>
          <w:color w:val="000000"/>
        </w:rPr>
      </w:pPr>
      <w:r>
        <w:lastRenderedPageBreak/>
        <w:t>Figure 9. Excel working-capital and cash-cycle calculations</w:t>
      </w:r>
    </w:p>
    <w:p w14:paraId="67FE49FC" w14:textId="77777777" w:rsidR="00255917" w:rsidRDefault="00C312C7">
      <w:pPr>
        <w:keepNext/>
        <w:spacing w:line="276" w:lineRule="auto"/>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114300" distR="114300" wp14:anchorId="7C08352A" wp14:editId="61EC8471">
            <wp:extent cx="8640000" cy="4294106"/>
            <wp:effectExtent l="0" t="0" r="0" b="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8"/>
                    <a:srcRect/>
                    <a:stretch>
                      <a:fillRect/>
                    </a:stretch>
                  </pic:blipFill>
                  <pic:spPr>
                    <a:xfrm>
                      <a:off x="0" y="0"/>
                      <a:ext cx="8640000" cy="4294106"/>
                    </a:xfrm>
                    <a:prstGeom prst="rect">
                      <a:avLst/>
                    </a:prstGeom>
                    <a:ln/>
                  </pic:spPr>
                </pic:pic>
              </a:graphicData>
            </a:graphic>
          </wp:inline>
        </w:drawing>
      </w:r>
    </w:p>
    <w:p w14:paraId="216933EC" w14:textId="77777777" w:rsidR="00255917" w:rsidRDefault="00C312C7">
      <w:pPr>
        <w:pBdr>
          <w:top w:val="nil"/>
          <w:left w:val="nil"/>
          <w:bottom w:val="nil"/>
          <w:right w:val="nil"/>
          <w:between w:val="nil"/>
        </w:pBdr>
        <w:spacing w:before="80" w:after="14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Source: Screenshot of the formula-linked Excel calculation model prepared for this report (2026).</w:t>
      </w:r>
    </w:p>
    <w:p w14:paraId="5BF9A360" w14:textId="77777777" w:rsidR="00255917" w:rsidRDefault="00C312C7">
      <w:pPr>
        <w:spacing w:line="276" w:lineRule="auto"/>
        <w:jc w:val="center"/>
        <w:rPr>
          <w:rFonts w:ascii="Times New Roman" w:eastAsia="Times New Roman" w:hAnsi="Times New Roman" w:cs="Times New Roman"/>
          <w:color w:val="000000"/>
        </w:rPr>
      </w:pPr>
      <w:r>
        <w:br w:type="page"/>
      </w:r>
    </w:p>
    <w:p w14:paraId="12FD6E06" w14:textId="77777777" w:rsidR="00255917" w:rsidRDefault="00C312C7">
      <w:pPr>
        <w:keepNext/>
        <w:pBdr>
          <w:top w:val="nil"/>
          <w:left w:val="nil"/>
          <w:bottom w:val="nil"/>
          <w:right w:val="nil"/>
          <w:between w:val="nil"/>
        </w:pBdr>
        <w:spacing w:before="80" w:after="80" w:line="276" w:lineRule="auto"/>
        <w:jc w:val="center"/>
        <w:rPr>
          <w:rFonts w:ascii="Times New Roman" w:eastAsia="Times New Roman" w:hAnsi="Times New Roman" w:cs="Times New Roman"/>
          <w:b/>
          <w:bCs/>
          <w:color w:val="000000"/>
        </w:rPr>
      </w:pPr>
      <w:r>
        <w:lastRenderedPageBreak/>
        <w:t>Figure 10. Excel investment appraisal and capital-rationing calculations</w:t>
      </w:r>
    </w:p>
    <w:p w14:paraId="1F728EFC" w14:textId="77777777" w:rsidR="00255917" w:rsidRDefault="00C312C7">
      <w:pPr>
        <w:keepNext/>
        <w:spacing w:line="276" w:lineRule="auto"/>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114300" distR="114300" wp14:anchorId="49A1CA60" wp14:editId="5EDDB138">
            <wp:extent cx="8640000" cy="4336322"/>
            <wp:effectExtent l="0" t="0" r="0" b="0"/>
            <wp:docPr id="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9"/>
                    <a:srcRect/>
                    <a:stretch>
                      <a:fillRect/>
                    </a:stretch>
                  </pic:blipFill>
                  <pic:spPr>
                    <a:xfrm>
                      <a:off x="0" y="0"/>
                      <a:ext cx="8640000" cy="4336322"/>
                    </a:xfrm>
                    <a:prstGeom prst="rect">
                      <a:avLst/>
                    </a:prstGeom>
                    <a:ln/>
                  </pic:spPr>
                </pic:pic>
              </a:graphicData>
            </a:graphic>
          </wp:inline>
        </w:drawing>
      </w:r>
    </w:p>
    <w:p w14:paraId="08E412DF" w14:textId="77777777" w:rsidR="00255917" w:rsidRDefault="00C312C7">
      <w:pPr>
        <w:pBdr>
          <w:top w:val="nil"/>
          <w:left w:val="nil"/>
          <w:bottom w:val="nil"/>
          <w:right w:val="nil"/>
          <w:between w:val="nil"/>
        </w:pBdr>
        <w:spacing w:before="80" w:after="14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Source: Screenshot of the formula-linked Excel calculation model prepared for this report (2026).</w:t>
      </w:r>
    </w:p>
    <w:sectPr w:rsidR="00255917">
      <w:headerReference w:type="even" r:id="rId30"/>
      <w:headerReference w:type="default" r:id="rId31"/>
      <w:footerReference w:type="even" r:id="rId32"/>
      <w:footerReference w:type="default" r:id="rId33"/>
      <w:headerReference w:type="first" r:id="rId34"/>
      <w:footerReference w:type="first" r:id="rId35"/>
      <w:pgSz w:w="16838" w:h="11906" w:orient="landscape"/>
      <w:pgMar w:top="1440" w:right="1440" w:bottom="1440" w:left="1440" w:header="709" w:footer="709" w:gutter="0"/>
      <w:pgNumType w:start="25"/>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8391E2" w14:textId="77777777" w:rsidR="00C312C7" w:rsidRDefault="00C312C7">
      <w:pPr>
        <w:spacing w:after="0" w:line="240" w:lineRule="auto"/>
      </w:pPr>
      <w:r>
        <w:separator/>
      </w:r>
    </w:p>
  </w:endnote>
  <w:endnote w:type="continuationSeparator" w:id="0">
    <w:p w14:paraId="71376886" w14:textId="77777777" w:rsidR="00C312C7" w:rsidRDefault="00C31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CA9AB9B-01F2-4E2C-B7D2-B0FA9DAD5FA1}"/>
    <w:embedBold r:id="rId2" w:fontKey="{583027FB-9FF6-418D-9A32-472999A91BE2}"/>
    <w:embedItalic r:id="rId3" w:fontKey="{B0F91B57-C6C3-44BE-B62A-AF17FD9FBF80}"/>
    <w:embedBoldItalic r:id="rId4" w:fontKey="{853A087F-BB07-4D7A-BC2F-81C57D8580FD}"/>
  </w:font>
  <w:font w:name="Mangal">
    <w:panose1 w:val="00000400000000000000"/>
    <w:charset w:val="00"/>
    <w:family w:val="roman"/>
    <w:pitch w:val="variable"/>
    <w:sig w:usb0="00008003" w:usb1="00000000" w:usb2="00000000" w:usb3="00000000" w:csb0="00000001" w:csb1="00000000"/>
    <w:embedRegular r:id="rId5" w:fontKey="{112A24C1-408D-46A1-8BF0-59BDC2990723}"/>
  </w:font>
  <w:font w:name="Cambria">
    <w:panose1 w:val="02040503050406030204"/>
    <w:charset w:val="00"/>
    <w:family w:val="roman"/>
    <w:pitch w:val="variable"/>
    <w:sig w:usb0="E00006FF" w:usb1="420024FF" w:usb2="02000000" w:usb3="00000000" w:csb0="0000019F" w:csb1="00000000"/>
    <w:embedRegular r:id="rId6" w:fontKey="{6B2D9E12-2A68-4DB3-B6D6-DEF2921CBFE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1A4C2D" w14:textId="77777777" w:rsidR="00255917" w:rsidRDefault="00255917">
    <w:pPr>
      <w:pBdr>
        <w:top w:val="nil"/>
        <w:left w:val="nil"/>
        <w:bottom w:val="nil"/>
        <w:right w:val="nil"/>
        <w:between w:val="nil"/>
      </w:pBdr>
      <w:tabs>
        <w:tab w:val="center" w:pos="4680"/>
        <w:tab w:val="right" w:pos="9360"/>
      </w:tabs>
      <w:spacing w:after="0" w:line="240" w:lineRule="auto"/>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5C2B73" w14:textId="77777777" w:rsidR="00255917" w:rsidRDefault="00255917">
    <w:pPr>
      <w:pBdr>
        <w:top w:val="nil"/>
        <w:left w:val="nil"/>
        <w:bottom w:val="nil"/>
        <w:right w:val="nil"/>
        <w:between w:val="nil"/>
      </w:pBdr>
      <w:tabs>
        <w:tab w:val="center" w:pos="4680"/>
        <w:tab w:val="right" w:pos="9360"/>
      </w:tabs>
      <w:spacing w:after="0" w:line="240" w:lineRule="auto"/>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F514BB" w14:textId="77777777" w:rsidR="00255917" w:rsidRDefault="00255917">
    <w:pPr>
      <w:pBdr>
        <w:top w:val="nil"/>
        <w:left w:val="nil"/>
        <w:bottom w:val="nil"/>
        <w:right w:val="nil"/>
        <w:between w:val="nil"/>
      </w:pBdr>
      <w:tabs>
        <w:tab w:val="center" w:pos="4680"/>
        <w:tab w:val="right" w:pos="9360"/>
      </w:tabs>
      <w:spacing w:after="0" w:line="240" w:lineRule="auto"/>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FA4C15" w14:textId="77777777" w:rsidR="00255917" w:rsidRDefault="00255917">
    <w:pPr>
      <w:pBdr>
        <w:top w:val="nil"/>
        <w:left w:val="nil"/>
        <w:bottom w:val="nil"/>
        <w:right w:val="nil"/>
        <w:between w:val="nil"/>
      </w:pBdr>
      <w:tabs>
        <w:tab w:val="center" w:pos="4680"/>
        <w:tab w:val="right" w:pos="9360"/>
      </w:tabs>
      <w:spacing w:after="0" w:line="240" w:lineRule="auto"/>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700785" w14:textId="77777777" w:rsidR="00255917" w:rsidRDefault="00C312C7">
    <w:pPr>
      <w:pBdr>
        <w:top w:val="nil"/>
        <w:left w:val="nil"/>
        <w:bottom w:val="nil"/>
        <w:right w:val="nil"/>
        <w:between w:val="nil"/>
      </w:pBdr>
      <w:tabs>
        <w:tab w:val="center" w:pos="4680"/>
        <w:tab w:val="right" w:pos="9360"/>
      </w:tabs>
      <w:spacing w:after="0" w:line="240" w:lineRule="auto"/>
      <w:jc w:val="right"/>
    </w:pPr>
    <w:r>
      <w:rPr>
        <w:color w:val="6B7280"/>
        <w:sz w:val="18"/>
        <w:szCs w:val="18"/>
      </w:rPr>
      <w:t xml:space="preserve">Page </w:t>
    </w:r>
    <w:r>
      <w:rPr>
        <w:color w:val="6B7280"/>
        <w:sz w:val="18"/>
        <w:szCs w:val="18"/>
      </w:rPr>
      <w:fldChar w:fldCharType="begin"/>
    </w:r>
    <w:r>
      <w:rPr>
        <w:color w:val="6B7280"/>
        <w:sz w:val="18"/>
        <w:szCs w:val="18"/>
      </w:rPr>
      <w:instrText>PAGE</w:instrText>
    </w:r>
    <w:r>
      <w:rPr>
        <w:color w:val="6B7280"/>
        <w:sz w:val="18"/>
        <w:szCs w:val="18"/>
      </w:rPr>
      <w:fldChar w:fldCharType="separate"/>
    </w:r>
    <w:r w:rsidR="007D077B">
      <w:rPr>
        <w:noProof/>
        <w:color w:val="6B7280"/>
        <w:sz w:val="18"/>
        <w:szCs w:val="18"/>
      </w:rPr>
      <w:t>1</w:t>
    </w:r>
    <w:r>
      <w:rPr>
        <w:color w:val="6B7280"/>
        <w:sz w:val="18"/>
        <w:szCs w:val="18"/>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C8463E" w14:textId="77777777" w:rsidR="00255917" w:rsidRDefault="00255917">
    <w:pPr>
      <w:pBdr>
        <w:top w:val="nil"/>
        <w:left w:val="nil"/>
        <w:bottom w:val="nil"/>
        <w:right w:val="nil"/>
        <w:between w:val="nil"/>
      </w:pBdr>
      <w:tabs>
        <w:tab w:val="center" w:pos="4680"/>
        <w:tab w:val="right" w:pos="9360"/>
      </w:tabs>
      <w:spacing w:after="0" w:line="240" w:lineRule="auto"/>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8330F7" w14:textId="77777777" w:rsidR="00255917" w:rsidRDefault="00255917">
    <w:pPr>
      <w:pBdr>
        <w:top w:val="nil"/>
        <w:left w:val="nil"/>
        <w:bottom w:val="nil"/>
        <w:right w:val="nil"/>
        <w:between w:val="nil"/>
      </w:pBdr>
      <w:tabs>
        <w:tab w:val="center" w:pos="4680"/>
        <w:tab w:val="right" w:pos="9360"/>
      </w:tabs>
      <w:spacing w:after="0" w:line="240" w:lineRule="auto"/>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6B0F25" w14:textId="620A7DC1" w:rsidR="00255917" w:rsidRDefault="00C312C7">
    <w:pPr>
      <w:pBdr>
        <w:top w:val="nil"/>
        <w:left w:val="nil"/>
        <w:bottom w:val="nil"/>
        <w:right w:val="nil"/>
        <w:between w:val="nil"/>
      </w:pBdr>
      <w:tabs>
        <w:tab w:val="center" w:pos="4680"/>
        <w:tab w:val="right" w:pos="9360"/>
      </w:tabs>
      <w:spacing w:after="0" w:line="240" w:lineRule="auto"/>
      <w:jc w:val="right"/>
    </w:pPr>
    <w:r>
      <w:rPr>
        <w:color w:val="6B7280"/>
        <w:sz w:val="18"/>
        <w:szCs w:val="18"/>
      </w:rPr>
      <w:t xml:space="preserve">Page </w:t>
    </w:r>
    <w:r>
      <w:rPr>
        <w:color w:val="6B7280"/>
        <w:sz w:val="18"/>
        <w:szCs w:val="18"/>
      </w:rPr>
      <w:fldChar w:fldCharType="begin"/>
    </w:r>
    <w:r>
      <w:rPr>
        <w:color w:val="6B7280"/>
        <w:sz w:val="18"/>
        <w:szCs w:val="18"/>
      </w:rPr>
      <w:instrText>PAGE</w:instrText>
    </w:r>
    <w:r>
      <w:rPr>
        <w:color w:val="6B7280"/>
        <w:sz w:val="18"/>
        <w:szCs w:val="18"/>
      </w:rPr>
      <w:fldChar w:fldCharType="separate"/>
    </w:r>
    <w:r w:rsidR="007D077B">
      <w:rPr>
        <w:noProof/>
        <w:color w:val="6B7280"/>
        <w:sz w:val="18"/>
        <w:szCs w:val="18"/>
      </w:rPr>
      <w:t>25</w:t>
    </w:r>
    <w:r>
      <w:rPr>
        <w:color w:val="6B7280"/>
        <w:sz w:val="18"/>
        <w:szCs w:val="18"/>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DB209F" w14:textId="77777777" w:rsidR="00255917" w:rsidRDefault="00255917">
    <w:pPr>
      <w:pBdr>
        <w:top w:val="nil"/>
        <w:left w:val="nil"/>
        <w:bottom w:val="nil"/>
        <w:right w:val="nil"/>
        <w:between w:val="nil"/>
      </w:pBdr>
      <w:tabs>
        <w:tab w:val="center" w:pos="4680"/>
        <w:tab w:val="right" w:pos="9360"/>
      </w:tabs>
      <w:spacing w:after="0"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3588F3" w14:textId="77777777" w:rsidR="00C312C7" w:rsidRDefault="00C312C7">
      <w:pPr>
        <w:spacing w:after="0" w:line="240" w:lineRule="auto"/>
      </w:pPr>
      <w:r>
        <w:separator/>
      </w:r>
    </w:p>
  </w:footnote>
  <w:footnote w:type="continuationSeparator" w:id="0">
    <w:p w14:paraId="6DB643A9" w14:textId="77777777" w:rsidR="00C312C7" w:rsidRDefault="00C312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04D0C9" w14:textId="77777777" w:rsidR="00255917" w:rsidRDefault="00255917">
    <w:pPr>
      <w:pBdr>
        <w:top w:val="nil"/>
        <w:left w:val="nil"/>
        <w:bottom w:val="nil"/>
        <w:right w:val="nil"/>
        <w:between w:val="nil"/>
      </w:pBdr>
      <w:tabs>
        <w:tab w:val="center" w:pos="4680"/>
        <w:tab w:val="right" w:pos="9360"/>
      </w:tabs>
      <w:spacing w:after="0" w:line="240" w:lineRule="aut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FAD643" w14:textId="77777777" w:rsidR="00255917" w:rsidRDefault="00255917">
    <w:pPr>
      <w:pBdr>
        <w:top w:val="nil"/>
        <w:left w:val="nil"/>
        <w:bottom w:val="nil"/>
        <w:right w:val="nil"/>
        <w:between w:val="nil"/>
      </w:pBdr>
      <w:tabs>
        <w:tab w:val="center" w:pos="4680"/>
        <w:tab w:val="right" w:pos="9360"/>
      </w:tabs>
      <w:spacing w:after="0" w:line="240" w:lineRule="auto"/>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4CB78F" w14:textId="77777777" w:rsidR="00255917" w:rsidRDefault="00255917">
    <w:pPr>
      <w:pBdr>
        <w:top w:val="nil"/>
        <w:left w:val="nil"/>
        <w:bottom w:val="nil"/>
        <w:right w:val="nil"/>
        <w:between w:val="nil"/>
      </w:pBdr>
      <w:tabs>
        <w:tab w:val="center" w:pos="4680"/>
        <w:tab w:val="right" w:pos="9360"/>
      </w:tabs>
      <w:spacing w:after="0" w:line="240" w:lineRule="auto"/>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75F3" w14:textId="77777777" w:rsidR="00255917" w:rsidRDefault="00255917">
    <w:pPr>
      <w:pBdr>
        <w:top w:val="nil"/>
        <w:left w:val="nil"/>
        <w:bottom w:val="nil"/>
        <w:right w:val="nil"/>
        <w:between w:val="nil"/>
      </w:pBdr>
      <w:tabs>
        <w:tab w:val="center" w:pos="4680"/>
        <w:tab w:val="right" w:pos="9360"/>
      </w:tabs>
      <w:spacing w:after="0" w:line="240" w:lineRule="auto"/>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C5DE85" w14:textId="77777777" w:rsidR="00255917" w:rsidRDefault="00255917">
    <w:pPr>
      <w:pBdr>
        <w:top w:val="nil"/>
        <w:left w:val="nil"/>
        <w:bottom w:val="single" w:sz="6" w:space="4" w:color="CBD5E1"/>
        <w:right w:val="nil"/>
        <w:between w:val="nil"/>
      </w:pBdr>
      <w:tabs>
        <w:tab w:val="center" w:pos="4680"/>
        <w:tab w:val="right" w:pos="9360"/>
      </w:tabs>
      <w:spacing w:after="0" w:line="240" w:lineRule="auto"/>
      <w:jc w:val="left"/>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F7C34E" w14:textId="77777777" w:rsidR="00255917" w:rsidRDefault="00255917">
    <w:pPr>
      <w:pBdr>
        <w:top w:val="nil"/>
        <w:left w:val="nil"/>
        <w:bottom w:val="nil"/>
        <w:right w:val="nil"/>
        <w:between w:val="nil"/>
      </w:pBdr>
      <w:tabs>
        <w:tab w:val="center" w:pos="4680"/>
        <w:tab w:val="right" w:pos="9360"/>
      </w:tabs>
      <w:spacing w:after="0" w:line="240" w:lineRule="auto"/>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4C31F1" w14:textId="77777777" w:rsidR="00255917" w:rsidRDefault="00255917">
    <w:pPr>
      <w:pBdr>
        <w:top w:val="nil"/>
        <w:left w:val="nil"/>
        <w:bottom w:val="nil"/>
        <w:right w:val="nil"/>
        <w:between w:val="nil"/>
      </w:pBdr>
      <w:tabs>
        <w:tab w:val="center" w:pos="4680"/>
        <w:tab w:val="right" w:pos="9360"/>
      </w:tabs>
      <w:spacing w:after="0" w:line="240" w:lineRule="auto"/>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E000E8" w14:textId="77777777" w:rsidR="00255917" w:rsidRDefault="00C312C7">
    <w:pPr>
      <w:pBdr>
        <w:top w:val="nil"/>
        <w:left w:val="nil"/>
        <w:bottom w:val="single" w:sz="6" w:space="4" w:color="CBD5E1"/>
        <w:right w:val="nil"/>
        <w:between w:val="nil"/>
      </w:pBdr>
      <w:tabs>
        <w:tab w:val="center" w:pos="4680"/>
        <w:tab w:val="right" w:pos="9360"/>
      </w:tabs>
      <w:spacing w:after="0" w:line="240" w:lineRule="auto"/>
      <w:jc w:val="left"/>
    </w:pPr>
    <w:r>
      <w:rPr>
        <w:b/>
        <w:bCs/>
        <w:color w:val="6B7280"/>
        <w:sz w:val="17"/>
        <w:szCs w:val="17"/>
      </w:rPr>
      <w:t>WHITBREAD PLC | FINANCIAL PERFORMANCE AND MANAGEMENT</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52F7E4" w14:textId="77777777" w:rsidR="00255917" w:rsidRDefault="00255917">
    <w:pPr>
      <w:pBdr>
        <w:top w:val="nil"/>
        <w:left w:val="nil"/>
        <w:bottom w:val="nil"/>
        <w:right w:val="nil"/>
        <w:between w:val="nil"/>
      </w:pBdr>
      <w:tabs>
        <w:tab w:val="center" w:pos="4680"/>
        <w:tab w:val="right" w:pos="9360"/>
      </w:tabs>
      <w:spacing w:after="0" w:line="24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C4E71"/>
    <w:multiLevelType w:val="multilevel"/>
    <w:tmpl w:val="B8285E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90105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5917"/>
    <w:rsid w:val="00255917"/>
    <w:rsid w:val="00601D51"/>
    <w:rsid w:val="007D077B"/>
    <w:rsid w:val="00C312C7"/>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767E2"/>
  <w15:docId w15:val="{8D232AAF-06DF-45D2-A0C1-6F2C07D7D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color w:val="1F2937"/>
        <w:sz w:val="24"/>
        <w:szCs w:val="24"/>
        <w:lang w:val="en" w:eastAsia="en-US" w:bidi="hi-IN"/>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00" w:after="140"/>
      <w:outlineLvl w:val="0"/>
    </w:pPr>
    <w:rPr>
      <w:b/>
      <w:bCs/>
      <w:color w:val="0B2545"/>
      <w:sz w:val="34"/>
      <w:szCs w:val="34"/>
    </w:rPr>
  </w:style>
  <w:style w:type="paragraph" w:styleId="Heading2">
    <w:name w:val="heading 2"/>
    <w:basedOn w:val="Normal"/>
    <w:next w:val="Normal"/>
    <w:uiPriority w:val="9"/>
    <w:unhideWhenUsed/>
    <w:qFormat/>
    <w:pPr>
      <w:keepNext/>
      <w:keepLines/>
      <w:spacing w:before="240" w:after="100"/>
      <w:outlineLvl w:val="1"/>
    </w:pPr>
    <w:rPr>
      <w:b/>
      <w:bCs/>
      <w:color w:val="2F6F7E"/>
      <w:sz w:val="28"/>
      <w:szCs w:val="28"/>
    </w:rPr>
  </w:style>
  <w:style w:type="paragraph" w:styleId="Heading3">
    <w:name w:val="heading 3"/>
    <w:basedOn w:val="Normal"/>
    <w:next w:val="Normal"/>
    <w:uiPriority w:val="9"/>
    <w:unhideWhenUsed/>
    <w:qFormat/>
    <w:pPr>
      <w:keepNext/>
      <w:keepLines/>
      <w:spacing w:before="160" w:after="60"/>
      <w:outlineLvl w:val="2"/>
    </w:pPr>
    <w:rPr>
      <w:b/>
      <w:bCs/>
      <w:color w:val="0B2545"/>
      <w:sz w:val="25"/>
      <w:szCs w:val="25"/>
    </w:rPr>
  </w:style>
  <w:style w:type="paragraph" w:styleId="Heading4">
    <w:name w:val="heading 4"/>
    <w:basedOn w:val="Normal"/>
    <w:next w:val="Normal"/>
    <w:uiPriority w:val="9"/>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rFonts w:ascii="Calibri" w:eastAsia="Calibri" w:hAnsi="Calibri" w:cs="Calibri"/>
      <w:color w:val="17365D"/>
      <w:sz w:val="52"/>
      <w:szCs w:val="52"/>
    </w:rPr>
  </w:style>
  <w:style w:type="paragraph" w:styleId="Subtitle">
    <w:name w:val="Subtitle"/>
    <w:basedOn w:val="Normal"/>
    <w:next w:val="Normal"/>
    <w:uiPriority w:val="11"/>
    <w:qFormat/>
    <w:rPr>
      <w:rFonts w:ascii="Calibri" w:eastAsia="Calibri" w:hAnsi="Calibri" w:cs="Calibri"/>
      <w:i/>
      <w:iCs/>
      <w:color w:val="4F81BD"/>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tblPr>
      <w:tblStyleRowBandSize w:val="1"/>
      <w:tblStyleColBandSize w:val="1"/>
      <w:tblCellMar>
        <w:top w:w="0" w:type="dxa"/>
        <w:left w:w="115" w:type="dxa"/>
        <w:bottom w:w="0" w:type="dxa"/>
        <w:right w:w="115" w:type="dxa"/>
      </w:tblCellMar>
    </w:tblPr>
  </w:style>
  <w:style w:type="table" w:customStyle="1" w:styleId="a6">
    <w:basedOn w:val="TableNormal0"/>
    <w:tblPr>
      <w:tblStyleRowBandSize w:val="1"/>
      <w:tblStyleColBandSize w:val="1"/>
      <w:tblCellMar>
        <w:top w:w="0" w:type="dxa"/>
        <w:left w:w="115" w:type="dxa"/>
        <w:bottom w:w="0" w:type="dxa"/>
        <w:right w:w="115"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6.png"/><Relationship Id="rId26" Type="http://schemas.openxmlformats.org/officeDocument/2006/relationships/image" Target="media/image8.png"/><Relationship Id="rId21" Type="http://schemas.openxmlformats.org/officeDocument/2006/relationships/header" Target="header5.xml"/><Relationship Id="rId34" Type="http://schemas.openxmlformats.org/officeDocument/2006/relationships/header" Target="header9.xml"/><Relationship Id="rId7" Type="http://schemas.openxmlformats.org/officeDocument/2006/relationships/image" Target="media/image1.jpg"/><Relationship Id="rId12" Type="http://schemas.openxmlformats.org/officeDocument/2006/relationships/header" Target="header3.xml"/><Relationship Id="rId17" Type="http://schemas.openxmlformats.org/officeDocument/2006/relationships/image" Target="media/image5.png"/><Relationship Id="rId25" Type="http://schemas.openxmlformats.org/officeDocument/2006/relationships/footer" Target="footer6.xml"/><Relationship Id="rId33" Type="http://schemas.openxmlformats.org/officeDocument/2006/relationships/footer" Target="footer8.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eader" Target="header4.xml"/><Relationship Id="rId29"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header" Target="header6.xml"/><Relationship Id="rId32" Type="http://schemas.openxmlformats.org/officeDocument/2006/relationships/footer" Target="footer7.xm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footer" Target="footer5.xml"/><Relationship Id="rId28" Type="http://schemas.openxmlformats.org/officeDocument/2006/relationships/image" Target="media/image10.png"/><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7.png"/><Relationship Id="rId31" Type="http://schemas.openxmlformats.org/officeDocument/2006/relationships/header" Target="header8.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 Id="rId22" Type="http://schemas.openxmlformats.org/officeDocument/2006/relationships/footer" Target="footer4.xml"/><Relationship Id="rId27" Type="http://schemas.openxmlformats.org/officeDocument/2006/relationships/image" Target="media/image9.png"/><Relationship Id="rId30" Type="http://schemas.openxmlformats.org/officeDocument/2006/relationships/header" Target="header7.xml"/><Relationship Id="rId35" Type="http://schemas.openxmlformats.org/officeDocument/2006/relationships/footer" Target="footer9.xml"/><Relationship Id="rId8" Type="http://schemas.openxmlformats.org/officeDocument/2006/relationships/header" Target="header1.xml"/><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26</Pages>
  <Words>6594</Words>
  <Characters>37588</Characters>
  <Application>Microsoft Office Word</Application>
  <DocSecurity>0</DocSecurity>
  <Lines>313</Lines>
  <Paragraphs>88</Paragraphs>
  <ScaleCrop>false</ScaleCrop>
  <Company/>
  <LinksUpToDate>false</LinksUpToDate>
  <CharactersWithSpaces>44094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Mann Patel</dc:creator>
  <cp:lastModifiedBy>Mann Patel</cp:lastModifiedBy>
  <cp:revision>2</cp:revision>
  <dcterms:created xsi:type="dcterms:W3CDTF">2026-08-12T10:23:00Z</dcterms:created>
  <dcterms:modified xsi:type="dcterms:W3CDTF">2026-08-12T10:23:00Z</dcterms:modified>
</cp:coreProperties>
</file>