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2366F" w14:textId="3001B138" w:rsidR="00382B71" w:rsidRDefault="00E74B28" w:rsidP="007331B4">
      <w:pPr>
        <w:spacing w:line="360" w:lineRule="auto"/>
        <w:jc w:val="center"/>
        <w:rPr>
          <w:rFonts w:ascii="Times New Roman" w:hAnsi="Times New Roman" w:cs="Times New Roman"/>
          <w:b/>
          <w:bCs/>
        </w:rPr>
      </w:pPr>
      <w:r>
        <w:rPr>
          <w:noProof/>
        </w:rPr>
        <w:drawing>
          <wp:anchor distT="0" distB="0" distL="114300" distR="114300" simplePos="0" relativeHeight="251659264" behindDoc="0" locked="0" layoutInCell="1" allowOverlap="1" wp14:anchorId="22D05047" wp14:editId="7B286449">
            <wp:simplePos x="0" y="0"/>
            <wp:positionH relativeFrom="column">
              <wp:posOffset>-363855</wp:posOffset>
            </wp:positionH>
            <wp:positionV relativeFrom="paragraph">
              <wp:posOffset>0</wp:posOffset>
            </wp:positionV>
            <wp:extent cx="2847340" cy="1093470"/>
            <wp:effectExtent l="0" t="0" r="0" b="0"/>
            <wp:wrapTopAndBottom/>
            <wp:docPr id="1975504789" name="Picture 197550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7340" cy="1093470"/>
                    </a:xfrm>
                    <a:prstGeom prst="rect">
                      <a:avLst/>
                    </a:prstGeom>
                  </pic:spPr>
                </pic:pic>
              </a:graphicData>
            </a:graphic>
            <wp14:sizeRelH relativeFrom="margin">
              <wp14:pctWidth>0</wp14:pctWidth>
            </wp14:sizeRelH>
            <wp14:sizeRelV relativeFrom="margin">
              <wp14:pctHeight>0</wp14:pctHeight>
            </wp14:sizeRelV>
          </wp:anchor>
        </w:drawing>
      </w:r>
    </w:p>
    <w:p w14:paraId="14C78C60" w14:textId="77777777" w:rsidR="007331B4" w:rsidRPr="004D68C8" w:rsidRDefault="007331B4" w:rsidP="007331B4">
      <w:pPr>
        <w:spacing w:line="360" w:lineRule="auto"/>
        <w:jc w:val="center"/>
        <w:rPr>
          <w:rFonts w:ascii="Times New Roman" w:hAnsi="Times New Roman" w:cs="Times New Roman"/>
          <w:b/>
          <w:bCs/>
        </w:rPr>
      </w:pPr>
    </w:p>
    <w:p w14:paraId="14CA1B43" w14:textId="52D43CAE"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 xml:space="preserve">Student Name; Kiran </w:t>
      </w:r>
      <w:proofErr w:type="spellStart"/>
      <w:r w:rsidRPr="00742117">
        <w:rPr>
          <w:rFonts w:ascii="Arial" w:hAnsi="Arial" w:cs="Arial"/>
          <w:sz w:val="22"/>
          <w:szCs w:val="22"/>
        </w:rPr>
        <w:t>Naaz</w:t>
      </w:r>
      <w:proofErr w:type="spellEnd"/>
    </w:p>
    <w:p w14:paraId="03F7D31D" w14:textId="260CF9CC"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Student Number: 2309152</w:t>
      </w:r>
    </w:p>
    <w:p w14:paraId="7996096E" w14:textId="65AA86F5"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 xml:space="preserve">Assignment </w:t>
      </w:r>
      <w:r w:rsidR="00382B71">
        <w:rPr>
          <w:rFonts w:ascii="Arial" w:hAnsi="Arial" w:cs="Arial"/>
          <w:sz w:val="22"/>
          <w:szCs w:val="22"/>
        </w:rPr>
        <w:t>Tittle</w:t>
      </w:r>
      <w:r w:rsidRPr="00742117">
        <w:rPr>
          <w:rFonts w:ascii="Arial" w:hAnsi="Arial" w:cs="Arial"/>
          <w:sz w:val="22"/>
          <w:szCs w:val="22"/>
        </w:rPr>
        <w:t xml:space="preserve">: </w:t>
      </w:r>
      <w:r w:rsidR="005E7137" w:rsidRPr="00742117">
        <w:rPr>
          <w:rFonts w:ascii="Arial" w:hAnsi="Arial" w:cs="Arial"/>
          <w:sz w:val="22"/>
          <w:szCs w:val="22"/>
        </w:rPr>
        <w:t>Written Assignment (Report)</w:t>
      </w:r>
    </w:p>
    <w:p w14:paraId="47F3B662" w14:textId="4AF35BBE"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 xml:space="preserve">Module Code: </w:t>
      </w:r>
      <w:r w:rsidR="00554192" w:rsidRPr="00742117">
        <w:rPr>
          <w:rFonts w:ascii="Arial" w:hAnsi="Arial" w:cs="Arial"/>
          <w:sz w:val="22"/>
          <w:szCs w:val="22"/>
        </w:rPr>
        <w:t>BMHP6030</w:t>
      </w:r>
    </w:p>
    <w:p w14:paraId="411B00FD" w14:textId="47B99099"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 xml:space="preserve">Module: </w:t>
      </w:r>
      <w:r w:rsidR="006724BB" w:rsidRPr="00742117">
        <w:rPr>
          <w:rFonts w:ascii="Arial" w:hAnsi="Arial" w:cs="Arial"/>
          <w:sz w:val="22"/>
          <w:szCs w:val="22"/>
        </w:rPr>
        <w:t>Health, Wellbeing and Sustainable Development</w:t>
      </w:r>
    </w:p>
    <w:p w14:paraId="4401C699" w14:textId="2301F181" w:rsidR="00BA484D" w:rsidRPr="00742117" w:rsidRDefault="00BA484D" w:rsidP="00742117">
      <w:pPr>
        <w:spacing w:after="0" w:line="360" w:lineRule="auto"/>
        <w:jc w:val="both"/>
        <w:rPr>
          <w:rFonts w:ascii="Arial" w:hAnsi="Arial" w:cs="Arial"/>
          <w:sz w:val="22"/>
          <w:szCs w:val="22"/>
        </w:rPr>
      </w:pPr>
      <w:r w:rsidRPr="00742117">
        <w:rPr>
          <w:rFonts w:ascii="Arial" w:hAnsi="Arial" w:cs="Arial"/>
          <w:sz w:val="22"/>
          <w:szCs w:val="22"/>
        </w:rPr>
        <w:t xml:space="preserve">Lecture; </w:t>
      </w:r>
      <w:r w:rsidR="008409C9" w:rsidRPr="00742117">
        <w:rPr>
          <w:rFonts w:ascii="Arial" w:hAnsi="Arial" w:cs="Arial"/>
          <w:sz w:val="22"/>
          <w:szCs w:val="22"/>
        </w:rPr>
        <w:t>Philip Jones</w:t>
      </w:r>
    </w:p>
    <w:p w14:paraId="132CA983" w14:textId="77777777" w:rsidR="00BA484D" w:rsidRDefault="00BA484D" w:rsidP="004D68C8">
      <w:pPr>
        <w:spacing w:line="360" w:lineRule="auto"/>
        <w:jc w:val="center"/>
        <w:rPr>
          <w:rFonts w:ascii="Times New Roman" w:hAnsi="Times New Roman" w:cs="Times New Roman"/>
          <w:b/>
          <w:bCs/>
        </w:rPr>
      </w:pPr>
    </w:p>
    <w:p w14:paraId="336FB678" w14:textId="77777777" w:rsidR="00BA484D" w:rsidRDefault="00BA484D" w:rsidP="004D68C8">
      <w:pPr>
        <w:spacing w:line="360" w:lineRule="auto"/>
        <w:jc w:val="center"/>
        <w:rPr>
          <w:rFonts w:ascii="Times New Roman" w:hAnsi="Times New Roman" w:cs="Times New Roman"/>
          <w:b/>
          <w:bCs/>
        </w:rPr>
      </w:pPr>
      <w:r>
        <w:rPr>
          <w:rFonts w:ascii="Times New Roman" w:hAnsi="Times New Roman" w:cs="Times New Roman"/>
          <w:b/>
          <w:bCs/>
        </w:rPr>
        <w:t xml:space="preserve"> </w:t>
      </w:r>
    </w:p>
    <w:p w14:paraId="5FB7F60E" w14:textId="77777777" w:rsidR="00BA484D" w:rsidRDefault="00BA484D" w:rsidP="004D68C8">
      <w:pPr>
        <w:spacing w:line="360" w:lineRule="auto"/>
        <w:jc w:val="center"/>
        <w:rPr>
          <w:rFonts w:ascii="Times New Roman" w:hAnsi="Times New Roman" w:cs="Times New Roman"/>
          <w:b/>
          <w:bCs/>
        </w:rPr>
      </w:pPr>
    </w:p>
    <w:p w14:paraId="2F675679" w14:textId="77777777" w:rsidR="00BA484D" w:rsidRPr="004D68C8" w:rsidRDefault="00BA484D" w:rsidP="004D68C8">
      <w:pPr>
        <w:spacing w:line="360" w:lineRule="auto"/>
        <w:jc w:val="center"/>
        <w:rPr>
          <w:rFonts w:ascii="Times New Roman" w:hAnsi="Times New Roman" w:cs="Times New Roman"/>
          <w:b/>
          <w:bCs/>
        </w:rPr>
      </w:pPr>
    </w:p>
    <w:p w14:paraId="2E5B6AAA" w14:textId="77777777" w:rsidR="004D68C8" w:rsidRPr="004D68C8" w:rsidRDefault="004D68C8" w:rsidP="004D68C8">
      <w:pPr>
        <w:spacing w:line="360" w:lineRule="auto"/>
        <w:jc w:val="center"/>
        <w:rPr>
          <w:rFonts w:ascii="Times New Roman" w:hAnsi="Times New Roman" w:cs="Times New Roman"/>
          <w:b/>
          <w:bCs/>
        </w:rPr>
      </w:pPr>
    </w:p>
    <w:p w14:paraId="2068DBD5" w14:textId="77777777" w:rsidR="004D68C8" w:rsidRPr="004D68C8" w:rsidRDefault="004D68C8" w:rsidP="004D68C8">
      <w:pPr>
        <w:spacing w:line="360" w:lineRule="auto"/>
        <w:jc w:val="center"/>
        <w:rPr>
          <w:rFonts w:ascii="Times New Roman" w:hAnsi="Times New Roman" w:cs="Times New Roman"/>
          <w:b/>
          <w:bCs/>
        </w:rPr>
      </w:pPr>
    </w:p>
    <w:p w14:paraId="5B70E571" w14:textId="77777777" w:rsidR="004D68C8" w:rsidRPr="004D68C8" w:rsidRDefault="004D68C8" w:rsidP="004D68C8">
      <w:pPr>
        <w:spacing w:line="360" w:lineRule="auto"/>
        <w:jc w:val="center"/>
        <w:rPr>
          <w:rFonts w:ascii="Times New Roman" w:hAnsi="Times New Roman" w:cs="Times New Roman"/>
          <w:b/>
          <w:bCs/>
        </w:rPr>
      </w:pPr>
    </w:p>
    <w:p w14:paraId="3600C79F" w14:textId="368E9E47" w:rsidR="004D68C8" w:rsidRPr="004D68C8" w:rsidRDefault="004D68C8" w:rsidP="004D68C8">
      <w:pPr>
        <w:spacing w:line="360" w:lineRule="auto"/>
        <w:jc w:val="center"/>
        <w:rPr>
          <w:rFonts w:ascii="Times New Roman" w:hAnsi="Times New Roman" w:cs="Times New Roman"/>
          <w:b/>
          <w:bCs/>
        </w:rPr>
      </w:pPr>
    </w:p>
    <w:p w14:paraId="3A6B1D58" w14:textId="7159C0EC" w:rsidR="004D68C8" w:rsidRPr="004D68C8" w:rsidRDefault="004D68C8">
      <w:pPr>
        <w:rPr>
          <w:rFonts w:ascii="Times New Roman" w:hAnsi="Times New Roman" w:cs="Times New Roman"/>
        </w:rPr>
      </w:pPr>
      <w:r w:rsidRPr="004D68C8">
        <w:rPr>
          <w:rFonts w:ascii="Times New Roman" w:hAnsi="Times New Roman" w:cs="Times New Roman"/>
        </w:rPr>
        <w:br w:type="page"/>
      </w:r>
    </w:p>
    <w:sdt>
      <w:sdtPr>
        <w:rPr>
          <w:rFonts w:ascii="Times New Roman" w:hAnsi="Times New Roman" w:cs="Times New Roman"/>
        </w:rPr>
        <w:id w:val="-1584515741"/>
        <w:docPartObj>
          <w:docPartGallery w:val="Table of Contents"/>
          <w:docPartUnique/>
        </w:docPartObj>
      </w:sdtPr>
      <w:sdtEndPr>
        <w:rPr>
          <w:b/>
          <w:bCs/>
          <w:noProof/>
        </w:rPr>
      </w:sdtEndPr>
      <w:sdtContent>
        <w:p w14:paraId="3A51961B" w14:textId="5ACEF632" w:rsidR="004D68C8" w:rsidRPr="00FE653F" w:rsidRDefault="004D68C8" w:rsidP="00634C23">
          <w:pPr>
            <w:rPr>
              <w:rFonts w:ascii="Arial" w:hAnsi="Arial" w:cs="Arial"/>
              <w:b/>
              <w:bCs/>
            </w:rPr>
          </w:pPr>
          <w:r w:rsidRPr="00FE653F">
            <w:rPr>
              <w:rFonts w:ascii="Arial" w:hAnsi="Arial" w:cs="Arial"/>
              <w:b/>
              <w:bCs/>
            </w:rPr>
            <w:t>Contents</w:t>
          </w:r>
        </w:p>
        <w:p w14:paraId="4876F7A1" w14:textId="2B2639E3" w:rsidR="004D68C8" w:rsidRPr="00FE653F" w:rsidRDefault="004D68C8" w:rsidP="00634C23">
          <w:pPr>
            <w:rPr>
              <w:rFonts w:ascii="Arial" w:hAnsi="Arial" w:cs="Arial"/>
              <w:noProof/>
            </w:rPr>
          </w:pPr>
          <w:r w:rsidRPr="00FE653F">
            <w:rPr>
              <w:rFonts w:ascii="Arial" w:hAnsi="Arial" w:cs="Arial"/>
            </w:rPr>
            <w:fldChar w:fldCharType="begin"/>
          </w:r>
          <w:r w:rsidRPr="00FE653F">
            <w:rPr>
              <w:rFonts w:ascii="Arial" w:hAnsi="Arial" w:cs="Arial"/>
            </w:rPr>
            <w:instrText xml:space="preserve"> TOC \o "1-3" \h \z \u </w:instrText>
          </w:r>
          <w:r w:rsidRPr="00FE653F">
            <w:rPr>
              <w:rFonts w:ascii="Arial" w:hAnsi="Arial" w:cs="Arial"/>
            </w:rPr>
            <w:fldChar w:fldCharType="separate"/>
          </w:r>
          <w:r w:rsidR="00DC2A05" w:rsidRPr="00FE653F">
            <w:rPr>
              <w:rFonts w:ascii="Arial" w:hAnsi="Arial" w:cs="Arial"/>
            </w:rPr>
            <w:t xml:space="preserve">1. Introduction </w:t>
          </w:r>
        </w:p>
        <w:p w14:paraId="15DEE7D4" w14:textId="77777777" w:rsidR="0037193A" w:rsidRPr="00FE653F" w:rsidRDefault="00A238DF" w:rsidP="00634C23">
          <w:pPr>
            <w:rPr>
              <w:rFonts w:ascii="Arial" w:hAnsi="Arial" w:cs="Arial"/>
            </w:rPr>
          </w:pPr>
          <w:r w:rsidRPr="00FE653F">
            <w:rPr>
              <w:rFonts w:ascii="Arial" w:hAnsi="Arial" w:cs="Arial"/>
            </w:rPr>
            <w:t>2. Relationship</w:t>
          </w:r>
          <w:r w:rsidRPr="00FE653F">
            <w:rPr>
              <w:rFonts w:ascii="Arial" w:hAnsi="Arial" w:cs="Arial"/>
              <w:noProof/>
            </w:rPr>
            <w:t xml:space="preserve"> </w:t>
          </w:r>
          <w:r w:rsidR="00BA5C51" w:rsidRPr="00FE653F">
            <w:rPr>
              <w:rFonts w:ascii="Arial" w:hAnsi="Arial" w:cs="Arial"/>
              <w:noProof/>
            </w:rPr>
            <w:t xml:space="preserve">Between Health, Wellbein an Sustainabl </w:t>
          </w:r>
        </w:p>
        <w:p w14:paraId="7855BE73" w14:textId="25D274FD" w:rsidR="004D68C8" w:rsidRPr="00FE653F" w:rsidRDefault="00E01ADD" w:rsidP="00634C23">
          <w:pPr>
            <w:rPr>
              <w:rFonts w:ascii="Arial" w:hAnsi="Arial" w:cs="Arial"/>
            </w:rPr>
          </w:pPr>
          <w:r w:rsidRPr="00FE653F">
            <w:rPr>
              <w:rFonts w:ascii="Arial" w:hAnsi="Arial" w:cs="Arial"/>
            </w:rPr>
            <w:t>3. Analysis of SDG 3</w:t>
          </w:r>
          <w:r w:rsidR="0037193A" w:rsidRPr="00FE653F">
            <w:rPr>
              <w:rFonts w:ascii="Arial" w:hAnsi="Arial" w:cs="Arial"/>
            </w:rPr>
            <w:t xml:space="preserve">: Good Health and Well-being </w:t>
          </w:r>
        </w:p>
        <w:p w14:paraId="2977AC84" w14:textId="513F4064" w:rsidR="0037193A" w:rsidRPr="00FE653F" w:rsidRDefault="0037193A" w:rsidP="00634C23">
          <w:pPr>
            <w:rPr>
              <w:rFonts w:ascii="Arial" w:hAnsi="Arial" w:cs="Arial"/>
            </w:rPr>
          </w:pPr>
          <w:r w:rsidRPr="00FE653F">
            <w:rPr>
              <w:rFonts w:ascii="Arial" w:hAnsi="Arial" w:cs="Arial"/>
            </w:rPr>
            <w:t>4. Analysis of SDG 11</w:t>
          </w:r>
          <w:r w:rsidR="00671A7E" w:rsidRPr="00FE653F">
            <w:rPr>
              <w:rFonts w:ascii="Arial" w:hAnsi="Arial" w:cs="Arial"/>
            </w:rPr>
            <w:t xml:space="preserve">: Sustainable Cities and Communities </w:t>
          </w:r>
        </w:p>
        <w:p w14:paraId="518CF06C" w14:textId="2138CFAE" w:rsidR="00671A7E" w:rsidRPr="00FE653F" w:rsidRDefault="00671A7E" w:rsidP="00634C23">
          <w:pPr>
            <w:rPr>
              <w:rFonts w:ascii="Arial" w:hAnsi="Arial" w:cs="Arial"/>
              <w:noProof/>
            </w:rPr>
          </w:pPr>
          <w:r w:rsidRPr="00FE653F">
            <w:rPr>
              <w:rFonts w:ascii="Arial" w:hAnsi="Arial" w:cs="Arial"/>
            </w:rPr>
            <w:t>5.</w:t>
          </w:r>
          <w:r w:rsidR="00384283" w:rsidRPr="00FE653F">
            <w:rPr>
              <w:rFonts w:ascii="Arial" w:hAnsi="Arial" w:cs="Arial"/>
            </w:rPr>
            <w:t xml:space="preserve"> Evaluation of National and Local Initiatives in Wales </w:t>
          </w:r>
        </w:p>
        <w:p w14:paraId="7A68F7E6" w14:textId="2997770F" w:rsidR="004D68C8" w:rsidRPr="00FE653F" w:rsidRDefault="00384283" w:rsidP="00634C23">
          <w:pPr>
            <w:rPr>
              <w:rFonts w:ascii="Arial" w:hAnsi="Arial" w:cs="Arial"/>
              <w:noProof/>
            </w:rPr>
          </w:pPr>
          <w:r w:rsidRPr="00FE653F">
            <w:rPr>
              <w:rFonts w:ascii="Arial" w:hAnsi="Arial" w:cs="Arial"/>
              <w:noProof/>
            </w:rPr>
            <w:t xml:space="preserve">6. Recommendations for Policy Improvement </w:t>
          </w:r>
        </w:p>
        <w:p w14:paraId="27FB3528" w14:textId="14BD6F17" w:rsidR="004D68C8" w:rsidRPr="00FE653F" w:rsidRDefault="00D44BC5" w:rsidP="00634C23">
          <w:pPr>
            <w:rPr>
              <w:rFonts w:ascii="Arial" w:hAnsi="Arial" w:cs="Arial"/>
            </w:rPr>
          </w:pPr>
          <w:r w:rsidRPr="00FE653F">
            <w:rPr>
              <w:rFonts w:ascii="Arial" w:hAnsi="Arial" w:cs="Arial"/>
              <w:noProof/>
            </w:rPr>
            <w:t xml:space="preserve">7. Conclusion </w:t>
          </w:r>
        </w:p>
        <w:p w14:paraId="49FDD7A3" w14:textId="74EF2301" w:rsidR="00D44BC5" w:rsidRPr="00FE653F" w:rsidRDefault="00D44BC5" w:rsidP="00634C23">
          <w:pPr>
            <w:rPr>
              <w:rFonts w:ascii="Arial" w:hAnsi="Arial" w:cs="Arial"/>
            </w:rPr>
          </w:pPr>
          <w:r w:rsidRPr="00FE653F">
            <w:rPr>
              <w:rFonts w:ascii="Arial" w:hAnsi="Arial" w:cs="Arial"/>
            </w:rPr>
            <w:t xml:space="preserve">8. References </w:t>
          </w:r>
        </w:p>
        <w:p w14:paraId="6B330A15" w14:textId="151EE596" w:rsidR="004D68C8" w:rsidRPr="00FE653F" w:rsidRDefault="004D68C8" w:rsidP="00634C23">
          <w:pPr>
            <w:rPr>
              <w:rFonts w:ascii="Arial" w:hAnsi="Arial" w:cs="Arial"/>
              <w:noProof/>
            </w:rPr>
          </w:pPr>
        </w:p>
        <w:p w14:paraId="66F85B2E" w14:textId="6665648A" w:rsidR="004D68C8" w:rsidRPr="004D68C8" w:rsidRDefault="004D68C8" w:rsidP="00634C23">
          <w:pPr>
            <w:rPr>
              <w:rFonts w:ascii="Times New Roman" w:hAnsi="Times New Roman" w:cs="Times New Roman"/>
            </w:rPr>
          </w:pPr>
          <w:r w:rsidRPr="00FE653F">
            <w:rPr>
              <w:rFonts w:ascii="Arial" w:hAnsi="Arial" w:cs="Arial"/>
              <w:noProof/>
            </w:rPr>
            <w:fldChar w:fldCharType="end"/>
          </w:r>
        </w:p>
      </w:sdtContent>
    </w:sdt>
    <w:p w14:paraId="59625A8D" w14:textId="10EEF64A" w:rsidR="004D68C8" w:rsidRPr="004D68C8" w:rsidRDefault="004D68C8">
      <w:pPr>
        <w:rPr>
          <w:rFonts w:ascii="Times New Roman" w:hAnsi="Times New Roman" w:cs="Times New Roman"/>
        </w:rPr>
      </w:pPr>
    </w:p>
    <w:p w14:paraId="6928E031" w14:textId="77777777" w:rsidR="004D68C8" w:rsidRPr="004D68C8" w:rsidRDefault="004D68C8">
      <w:pPr>
        <w:rPr>
          <w:rFonts w:ascii="Times New Roman" w:hAnsi="Times New Roman" w:cs="Times New Roman"/>
          <w:b/>
          <w:bCs/>
        </w:rPr>
      </w:pPr>
    </w:p>
    <w:p w14:paraId="613D8721" w14:textId="77777777" w:rsidR="004D68C8" w:rsidRPr="004D68C8" w:rsidRDefault="004D68C8">
      <w:pPr>
        <w:rPr>
          <w:rFonts w:ascii="Times New Roman" w:hAnsi="Times New Roman" w:cs="Times New Roman"/>
          <w:b/>
          <w:bCs/>
        </w:rPr>
      </w:pPr>
      <w:bookmarkStart w:id="0" w:name="_Toc232480320"/>
      <w:r w:rsidRPr="004D68C8">
        <w:rPr>
          <w:rFonts w:ascii="Times New Roman" w:hAnsi="Times New Roman" w:cs="Times New Roman"/>
        </w:rPr>
        <w:br w:type="page"/>
      </w:r>
    </w:p>
    <w:p w14:paraId="257424EB" w14:textId="34A2B66F" w:rsidR="00E75979" w:rsidRPr="00C60E78" w:rsidRDefault="00E75979" w:rsidP="00C60E78">
      <w:pPr>
        <w:pStyle w:val="Heading1"/>
        <w:spacing w:line="360" w:lineRule="auto"/>
        <w:rPr>
          <w:rFonts w:ascii="Arial" w:hAnsi="Arial" w:cs="Arial"/>
          <w:sz w:val="22"/>
          <w:szCs w:val="22"/>
        </w:rPr>
      </w:pPr>
      <w:r w:rsidRPr="00C60E78">
        <w:rPr>
          <w:rFonts w:ascii="Arial" w:hAnsi="Arial" w:cs="Arial"/>
          <w:sz w:val="22"/>
          <w:szCs w:val="22"/>
        </w:rPr>
        <w:t>Introduction</w:t>
      </w:r>
      <w:bookmarkEnd w:id="0"/>
    </w:p>
    <w:p w14:paraId="1BBC5501" w14:textId="39A928C6"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Governments across the world have become particularly concerned with the issue of sustainable development as there has been a growing appreciation among policy makers about the close connection amongst social wellbeing, environmental sustainability and economic prosperity. In 2015, the United Nations adopted Sustainable Development Goals (SDGs), which presents a holistic set of directions in tackling global issues and focuses on enhancing the development of humanity on a long-term basis and supporting the ecological preservation (Wallace, 2018). One of these targets, SDG 3, emphasi</w:t>
      </w:r>
      <w:r w:rsidR="00A92A91" w:rsidRPr="00C60E78">
        <w:rPr>
          <w:rFonts w:ascii="Arial" w:hAnsi="Arial" w:cs="Arial"/>
          <w:sz w:val="22"/>
          <w:szCs w:val="22"/>
        </w:rPr>
        <w:t>s</w:t>
      </w:r>
      <w:r w:rsidRPr="00C60E78">
        <w:rPr>
          <w:rFonts w:ascii="Arial" w:hAnsi="Arial" w:cs="Arial"/>
          <w:sz w:val="22"/>
          <w:szCs w:val="22"/>
        </w:rPr>
        <w:t>ing on Good Health and Well-being, is especially significant since health is both a consequence and a contributor to sustainable development. People are able to improve their economic output, social cohesion, and community resilience when healthy populations (Das et al., 2021).</w:t>
      </w:r>
    </w:p>
    <w:p w14:paraId="1808E99A" w14:textId="48C47AF9"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Well-being of Future Generations (Wales) Act 2015 has seen Wales become an international model of adopting sustainability and wellbeing in the public policy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 This law illustrates the role of governments in instilling the ideas of sustainable development in making decisions and focusing on the long-term wellbeing of the people (Cummings et al., 2024). In addition to SDG 3, SDG 11, Sustainable Cities and Communities is also instrumental in those environments where individuals eat, work, and sociali</w:t>
      </w:r>
      <w:r w:rsidR="00A92A91" w:rsidRPr="00C60E78">
        <w:rPr>
          <w:rFonts w:ascii="Arial" w:hAnsi="Arial" w:cs="Arial"/>
          <w:sz w:val="22"/>
          <w:szCs w:val="22"/>
        </w:rPr>
        <w:t>s</w:t>
      </w:r>
      <w:r w:rsidRPr="00C60E78">
        <w:rPr>
          <w:rFonts w:ascii="Arial" w:hAnsi="Arial" w:cs="Arial"/>
          <w:sz w:val="22"/>
          <w:szCs w:val="22"/>
        </w:rPr>
        <w:t>e, thus impacting physical and mental health outcomes (Sharp et al., 2022a).</w:t>
      </w:r>
    </w:p>
    <w:p w14:paraId="28F67843" w14:textId="77777777"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present report critically examines how SDG 3 and SDG 11 have affected health and wellbeing in Wales. It also assesses effectiveness of national and local efforts to aid such objectives and comes up with evidence-based recommendations on how to enhance future policy and practice.</w:t>
      </w:r>
    </w:p>
    <w:p w14:paraId="1DCF39C0" w14:textId="4E8A1810" w:rsidR="00E75979" w:rsidRPr="00C60E78" w:rsidRDefault="00E75979" w:rsidP="00C60E78">
      <w:pPr>
        <w:pStyle w:val="Heading1"/>
        <w:spacing w:line="360" w:lineRule="auto"/>
        <w:rPr>
          <w:rFonts w:ascii="Arial" w:hAnsi="Arial" w:cs="Arial"/>
          <w:sz w:val="22"/>
          <w:szCs w:val="22"/>
        </w:rPr>
      </w:pPr>
      <w:bookmarkStart w:id="1" w:name="_Toc232480321"/>
      <w:r w:rsidRPr="00C60E78">
        <w:rPr>
          <w:rFonts w:ascii="Arial" w:hAnsi="Arial" w:cs="Arial"/>
          <w:sz w:val="22"/>
          <w:szCs w:val="22"/>
        </w:rPr>
        <w:t>Relationship Between Health, Wellbeing and Sustainable Development</w:t>
      </w:r>
      <w:bookmarkEnd w:id="1"/>
    </w:p>
    <w:p w14:paraId="0DA8AFF4" w14:textId="22C9EA51"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Health and wellbeing are part of sustainable development due to their relation to social participation, economic productivity, and quality of life at any life course stage (Sindall et al., 2021). Sustainable development goes beyond environmental protection and involves the establishment of a setting where individuals and communities are able to flourish physically, mentally, and socially (Wallace, 2018). Health outcomes are therefore influenced by not only healthcare services, but more broad social, economic and environmental factors.</w:t>
      </w:r>
    </w:p>
    <w:p w14:paraId="1DE1C086" w14:textId="2456679F"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social determinants of health paradigm emphasise that education, housing, employment, income, and community environment can greatly influence population health outcomes (</w:t>
      </w:r>
      <w:proofErr w:type="spellStart"/>
      <w:r w:rsidRPr="00C60E78">
        <w:rPr>
          <w:rFonts w:ascii="Arial" w:hAnsi="Arial" w:cs="Arial"/>
          <w:sz w:val="22"/>
          <w:szCs w:val="22"/>
        </w:rPr>
        <w:t>Guégan</w:t>
      </w:r>
      <w:proofErr w:type="spellEnd"/>
      <w:r w:rsidRPr="00C60E78">
        <w:rPr>
          <w:rFonts w:ascii="Arial" w:hAnsi="Arial" w:cs="Arial"/>
          <w:sz w:val="22"/>
          <w:szCs w:val="22"/>
        </w:rPr>
        <w:t xml:space="preserve"> et al., </w:t>
      </w:r>
      <w:proofErr w:type="spellStart"/>
      <w:r w:rsidRPr="00C60E78">
        <w:rPr>
          <w:rFonts w:ascii="Arial" w:hAnsi="Arial" w:cs="Arial"/>
          <w:sz w:val="22"/>
          <w:szCs w:val="22"/>
        </w:rPr>
        <w:t>n.d.</w:t>
      </w:r>
      <w:proofErr w:type="spellEnd"/>
      <w:r w:rsidRPr="00C60E78">
        <w:rPr>
          <w:rFonts w:ascii="Arial" w:hAnsi="Arial" w:cs="Arial"/>
          <w:sz w:val="22"/>
          <w:szCs w:val="22"/>
        </w:rPr>
        <w:t>). Poorer health outcomes are common among people that live in impoverished communities because of a lack of resources, inability to avoid environmental risks, and experiencing elevated social inequalities (Das et al., 2021). Sustainable development policies should therefore take action on these underlying determinants in the event that governments would want to reali</w:t>
      </w:r>
      <w:r w:rsidR="00A92A91" w:rsidRPr="00C60E78">
        <w:rPr>
          <w:rFonts w:ascii="Arial" w:hAnsi="Arial" w:cs="Arial"/>
          <w:sz w:val="22"/>
          <w:szCs w:val="22"/>
        </w:rPr>
        <w:t>s</w:t>
      </w:r>
      <w:r w:rsidRPr="00C60E78">
        <w:rPr>
          <w:rFonts w:ascii="Arial" w:hAnsi="Arial" w:cs="Arial"/>
          <w:sz w:val="22"/>
          <w:szCs w:val="22"/>
        </w:rPr>
        <w:t>e sustainable changes in the wellbeing of the population.</w:t>
      </w:r>
    </w:p>
    <w:p w14:paraId="36EA1E57" w14:textId="1DE1A976"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It has taken a unique case on sustainable development with the Well-being of Future Generations Act that stipulates that all public bodies must assess the long-term environmental effects of their decisions on future generations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 Cooperation, prevention, integration, engagement, and long-term thinking are some of the defining characteristics of governance that are being encouraged by the legislation (</w:t>
      </w:r>
      <w:proofErr w:type="spellStart"/>
      <w:r w:rsidRPr="00C60E78">
        <w:rPr>
          <w:rFonts w:ascii="Arial" w:hAnsi="Arial" w:cs="Arial"/>
          <w:sz w:val="22"/>
          <w:szCs w:val="22"/>
        </w:rPr>
        <w:t>Nesom</w:t>
      </w:r>
      <w:proofErr w:type="spellEnd"/>
      <w:r w:rsidRPr="00C60E78">
        <w:rPr>
          <w:rFonts w:ascii="Arial" w:hAnsi="Arial" w:cs="Arial"/>
          <w:sz w:val="22"/>
          <w:szCs w:val="22"/>
        </w:rPr>
        <w:t xml:space="preserve"> and </w:t>
      </w:r>
      <w:proofErr w:type="spellStart"/>
      <w:r w:rsidRPr="00C60E78">
        <w:rPr>
          <w:rFonts w:ascii="Arial" w:hAnsi="Arial" w:cs="Arial"/>
          <w:sz w:val="22"/>
          <w:szCs w:val="22"/>
        </w:rPr>
        <w:t>MacKillop</w:t>
      </w:r>
      <w:proofErr w:type="spellEnd"/>
      <w:r w:rsidRPr="00C60E78">
        <w:rPr>
          <w:rFonts w:ascii="Arial" w:hAnsi="Arial" w:cs="Arial"/>
          <w:sz w:val="22"/>
          <w:szCs w:val="22"/>
        </w:rPr>
        <w:t>, 2020). This practice is indicative of a more universal interpretation of health and wellbeing in interdependence with social equity, environmental sustainability and community resilience.</w:t>
      </w:r>
    </w:p>
    <w:p w14:paraId="4E9AB690" w14:textId="789BBA68"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Wales has been identified by the World Health Organi</w:t>
      </w:r>
      <w:r w:rsidR="00A92A91" w:rsidRPr="00C60E78">
        <w:rPr>
          <w:rFonts w:ascii="Arial" w:hAnsi="Arial" w:cs="Arial"/>
          <w:sz w:val="22"/>
          <w:szCs w:val="22"/>
        </w:rPr>
        <w:t>s</w:t>
      </w:r>
      <w:r w:rsidRPr="00C60E78">
        <w:rPr>
          <w:rFonts w:ascii="Arial" w:hAnsi="Arial" w:cs="Arial"/>
          <w:sz w:val="22"/>
          <w:szCs w:val="22"/>
        </w:rPr>
        <w:t>ation as a model of a wellbeing economy, with policy decisions assessed based on their health, sustainability and quality of life impacts, instead of a narrow focus on indicators of economic growth alone (World Health Organi</w:t>
      </w:r>
      <w:r w:rsidR="00A92A91" w:rsidRPr="00C60E78">
        <w:rPr>
          <w:rFonts w:ascii="Arial" w:hAnsi="Arial" w:cs="Arial"/>
          <w:sz w:val="22"/>
          <w:szCs w:val="22"/>
        </w:rPr>
        <w:t>s</w:t>
      </w:r>
      <w:r w:rsidRPr="00C60E78">
        <w:rPr>
          <w:rFonts w:ascii="Arial" w:hAnsi="Arial" w:cs="Arial"/>
          <w:sz w:val="22"/>
          <w:szCs w:val="22"/>
        </w:rPr>
        <w:t>ation, 2024). This practice shows how sustainable development is realisable via legislation and policy-making frameworks which prioriti</w:t>
      </w:r>
      <w:r w:rsidR="00A92A91" w:rsidRPr="00C60E78">
        <w:rPr>
          <w:rFonts w:ascii="Arial" w:hAnsi="Arial" w:cs="Arial"/>
          <w:sz w:val="22"/>
          <w:szCs w:val="22"/>
        </w:rPr>
        <w:t>s</w:t>
      </w:r>
      <w:r w:rsidRPr="00C60E78">
        <w:rPr>
          <w:rFonts w:ascii="Arial" w:hAnsi="Arial" w:cs="Arial"/>
          <w:sz w:val="22"/>
          <w:szCs w:val="22"/>
        </w:rPr>
        <w:t>e the well-being of the citizens in governance.</w:t>
      </w:r>
    </w:p>
    <w:p w14:paraId="6E6B47BA" w14:textId="374CE8CB" w:rsidR="00E75979" w:rsidRPr="00C60E78" w:rsidRDefault="00E75979" w:rsidP="00C60E78">
      <w:pPr>
        <w:pStyle w:val="Heading1"/>
        <w:spacing w:line="360" w:lineRule="auto"/>
        <w:rPr>
          <w:rFonts w:ascii="Arial" w:hAnsi="Arial" w:cs="Arial"/>
          <w:sz w:val="22"/>
          <w:szCs w:val="22"/>
        </w:rPr>
      </w:pPr>
      <w:bookmarkStart w:id="2" w:name="_Toc232480322"/>
      <w:r w:rsidRPr="00C60E78">
        <w:rPr>
          <w:rFonts w:ascii="Arial" w:hAnsi="Arial" w:cs="Arial"/>
          <w:sz w:val="22"/>
          <w:szCs w:val="22"/>
        </w:rPr>
        <w:t>Analysis of SDG 3: Good Health and Well-being</w:t>
      </w:r>
      <w:bookmarkEnd w:id="2"/>
    </w:p>
    <w:p w14:paraId="676A4F32" w14:textId="41FC4143"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SDG 3 is aimed at making sure that healthy livelihoods and wellbeing of all people of all ages are provided based on disease prevention, access to healthcare services, maternal and child health, mental health, and universal health coverage targets (Das et al., 2021). The objective is based on the reali</w:t>
      </w:r>
      <w:r w:rsidR="00A92A91" w:rsidRPr="00C60E78">
        <w:rPr>
          <w:rFonts w:ascii="Arial" w:hAnsi="Arial" w:cs="Arial"/>
          <w:sz w:val="22"/>
          <w:szCs w:val="22"/>
        </w:rPr>
        <w:t>s</w:t>
      </w:r>
      <w:r w:rsidRPr="00C60E78">
        <w:rPr>
          <w:rFonts w:ascii="Arial" w:hAnsi="Arial" w:cs="Arial"/>
          <w:sz w:val="22"/>
          <w:szCs w:val="22"/>
        </w:rPr>
        <w:t>ation that health is necessary to achieve sustainable development and that disparities on health results undermine social and economic development (</w:t>
      </w:r>
      <w:proofErr w:type="spellStart"/>
      <w:r w:rsidRPr="00C60E78">
        <w:rPr>
          <w:rFonts w:ascii="Arial" w:hAnsi="Arial" w:cs="Arial"/>
          <w:sz w:val="22"/>
          <w:szCs w:val="22"/>
        </w:rPr>
        <w:t>Guégan</w:t>
      </w:r>
      <w:proofErr w:type="spellEnd"/>
      <w:r w:rsidRPr="00C60E78">
        <w:rPr>
          <w:rFonts w:ascii="Arial" w:hAnsi="Arial" w:cs="Arial"/>
          <w:sz w:val="22"/>
          <w:szCs w:val="22"/>
        </w:rPr>
        <w:t xml:space="preserve"> et al., </w:t>
      </w:r>
      <w:proofErr w:type="spellStart"/>
      <w:r w:rsidRPr="00C60E78">
        <w:rPr>
          <w:rFonts w:ascii="Arial" w:hAnsi="Arial" w:cs="Arial"/>
          <w:sz w:val="22"/>
          <w:szCs w:val="22"/>
        </w:rPr>
        <w:t>n.d.</w:t>
      </w:r>
      <w:proofErr w:type="spellEnd"/>
      <w:r w:rsidRPr="00C60E78">
        <w:rPr>
          <w:rFonts w:ascii="Arial" w:hAnsi="Arial" w:cs="Arial"/>
          <w:sz w:val="22"/>
          <w:szCs w:val="22"/>
        </w:rPr>
        <w:t>).</w:t>
      </w:r>
    </w:p>
    <w:p w14:paraId="16A51307" w14:textId="311CA128"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 xml:space="preserve">On the international scale, SDG 3 has helped bring a greater international focus on the need to </w:t>
      </w:r>
      <w:proofErr w:type="spellStart"/>
      <w:r w:rsidRPr="00C60E78">
        <w:rPr>
          <w:rFonts w:ascii="Arial" w:hAnsi="Arial" w:cs="Arial"/>
          <w:sz w:val="22"/>
          <w:szCs w:val="22"/>
        </w:rPr>
        <w:t>curbable</w:t>
      </w:r>
      <w:proofErr w:type="spellEnd"/>
      <w:r w:rsidRPr="00C60E78">
        <w:rPr>
          <w:rFonts w:ascii="Arial" w:hAnsi="Arial" w:cs="Arial"/>
          <w:sz w:val="22"/>
          <w:szCs w:val="22"/>
        </w:rPr>
        <w:t xml:space="preserve"> deaths and the practice of improving health systems (Das et al., 2021). Much progress has been achieved in terms of childhood immunisation, managing infectious diseases, and maternal healthcare services in most of the nations (</w:t>
      </w:r>
      <w:proofErr w:type="spellStart"/>
      <w:r w:rsidRPr="00C60E78">
        <w:rPr>
          <w:rFonts w:ascii="Arial" w:hAnsi="Arial" w:cs="Arial"/>
          <w:sz w:val="22"/>
          <w:szCs w:val="22"/>
        </w:rPr>
        <w:t>Guégan</w:t>
      </w:r>
      <w:proofErr w:type="spellEnd"/>
      <w:r w:rsidRPr="00C60E78">
        <w:rPr>
          <w:rFonts w:ascii="Arial" w:hAnsi="Arial" w:cs="Arial"/>
          <w:sz w:val="22"/>
          <w:szCs w:val="22"/>
        </w:rPr>
        <w:t xml:space="preserve"> et al., </w:t>
      </w:r>
      <w:proofErr w:type="spellStart"/>
      <w:r w:rsidRPr="00C60E78">
        <w:rPr>
          <w:rFonts w:ascii="Arial" w:hAnsi="Arial" w:cs="Arial"/>
          <w:sz w:val="22"/>
          <w:szCs w:val="22"/>
        </w:rPr>
        <w:t>n.d.</w:t>
      </w:r>
      <w:proofErr w:type="spellEnd"/>
      <w:r w:rsidRPr="00C60E78">
        <w:rPr>
          <w:rFonts w:ascii="Arial" w:hAnsi="Arial" w:cs="Arial"/>
          <w:sz w:val="22"/>
          <w:szCs w:val="22"/>
        </w:rPr>
        <w:t>). Moreover, the goal promotes governments to pursue interdisciplinary strategies that acknowledge the relationships among the health, environmental sustainability, and social wellbeing (</w:t>
      </w:r>
      <w:proofErr w:type="spellStart"/>
      <w:r w:rsidRPr="00C60E78">
        <w:rPr>
          <w:rFonts w:ascii="Arial" w:hAnsi="Arial" w:cs="Arial"/>
          <w:sz w:val="22"/>
          <w:szCs w:val="22"/>
        </w:rPr>
        <w:t>Guégan</w:t>
      </w:r>
      <w:proofErr w:type="spellEnd"/>
      <w:r w:rsidRPr="00C60E78">
        <w:rPr>
          <w:rFonts w:ascii="Arial" w:hAnsi="Arial" w:cs="Arial"/>
          <w:sz w:val="22"/>
          <w:szCs w:val="22"/>
        </w:rPr>
        <w:t xml:space="preserve"> et al., </w:t>
      </w:r>
      <w:proofErr w:type="spellStart"/>
      <w:r w:rsidRPr="00C60E78">
        <w:rPr>
          <w:rFonts w:ascii="Arial" w:hAnsi="Arial" w:cs="Arial"/>
          <w:sz w:val="22"/>
          <w:szCs w:val="22"/>
        </w:rPr>
        <w:t>n.d.</w:t>
      </w:r>
      <w:proofErr w:type="spellEnd"/>
      <w:r w:rsidRPr="00C60E78">
        <w:rPr>
          <w:rFonts w:ascii="Arial" w:hAnsi="Arial" w:cs="Arial"/>
          <w:sz w:val="22"/>
          <w:szCs w:val="22"/>
        </w:rPr>
        <w:t>).</w:t>
      </w:r>
    </w:p>
    <w:p w14:paraId="50FAD0C7" w14:textId="7BDFBA9B"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In the United Kingdom, SDG 3 is more aligned with the goal of the National Health Service (NHS), which aims to make socioeconomic status irrelevant in the availability of equitable access to healthcare (World Health Organi</w:t>
      </w:r>
      <w:r w:rsidR="00A92A91" w:rsidRPr="00C60E78">
        <w:rPr>
          <w:rFonts w:ascii="Arial" w:hAnsi="Arial" w:cs="Arial"/>
          <w:sz w:val="22"/>
          <w:szCs w:val="22"/>
        </w:rPr>
        <w:t>s</w:t>
      </w:r>
      <w:r w:rsidRPr="00C60E78">
        <w:rPr>
          <w:rFonts w:ascii="Arial" w:hAnsi="Arial" w:cs="Arial"/>
          <w:sz w:val="22"/>
          <w:szCs w:val="22"/>
        </w:rPr>
        <w:t>ation, 2024). Prevention, health promotion and reducing health inequalities by community-based interventions and targeted support programmes are becoming the core of public health approaches (World Health Organi</w:t>
      </w:r>
      <w:r w:rsidR="00A92A91" w:rsidRPr="00C60E78">
        <w:rPr>
          <w:rFonts w:ascii="Arial" w:hAnsi="Arial" w:cs="Arial"/>
          <w:sz w:val="22"/>
          <w:szCs w:val="22"/>
        </w:rPr>
        <w:t>s</w:t>
      </w:r>
      <w:r w:rsidRPr="00C60E78">
        <w:rPr>
          <w:rFonts w:ascii="Arial" w:hAnsi="Arial" w:cs="Arial"/>
          <w:sz w:val="22"/>
          <w:szCs w:val="22"/>
        </w:rPr>
        <w:t>ation, 2026). These efforts are consistent with the larger reali</w:t>
      </w:r>
      <w:r w:rsidR="00A92A91" w:rsidRPr="00C60E78">
        <w:rPr>
          <w:rFonts w:ascii="Arial" w:hAnsi="Arial" w:cs="Arial"/>
          <w:sz w:val="22"/>
          <w:szCs w:val="22"/>
        </w:rPr>
        <w:t>s</w:t>
      </w:r>
      <w:r w:rsidRPr="00C60E78">
        <w:rPr>
          <w:rFonts w:ascii="Arial" w:hAnsi="Arial" w:cs="Arial"/>
          <w:sz w:val="22"/>
          <w:szCs w:val="22"/>
        </w:rPr>
        <w:t>ation that the effectiveness of addressing population health means more than clinical care alone is necessary.</w:t>
      </w:r>
    </w:p>
    <w:p w14:paraId="3DC04B3C" w14:textId="0C63E5D2"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actualisation of SDG 3 in Wales has been heavily impacted by the Well-being of Future Generations Act, as well as by the activity of Public Health Wales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 Preventative methods have been embraced by policy makers in Wales which aim to deal with underlying causes of poor health and support healthier lifestyles and environments (Green et al., 2019). Health Impact Assessments are emerging as a valuable instrument of assessing the possible health impacts of policy actions in all sectors (housing, transport, and urban planning, etc.) (Green et al., 2019).</w:t>
      </w:r>
    </w:p>
    <w:p w14:paraId="16139703" w14:textId="0A232EE5"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There is evidence that Wales has seen significant shifts in incorporating health into broader policy-making (World Health Organi</w:t>
      </w:r>
      <w:r w:rsidR="00A92A91" w:rsidRPr="00C60E78">
        <w:rPr>
          <w:rFonts w:ascii="Arial" w:hAnsi="Arial" w:cs="Arial"/>
          <w:sz w:val="22"/>
          <w:szCs w:val="22"/>
        </w:rPr>
        <w:t>s</w:t>
      </w:r>
      <w:r w:rsidRPr="00C60E78">
        <w:rPr>
          <w:rFonts w:ascii="Arial" w:hAnsi="Arial" w:cs="Arial"/>
          <w:sz w:val="22"/>
          <w:szCs w:val="22"/>
        </w:rPr>
        <w:t>ation, 2024). As a nation, there has been a growing awareness of the role of mental wellbeing, physical activity, healthy environments, and social inclusion as health outcomes determinants (Sharp et al., 2022b). Programs to enhance the frequency of engagement in physical activity and improve health disparity outcomes reflect the efforts to improve the short-term health aspect and the sustainability goals long-term in scope (Sharp et al., 2022b).</w:t>
      </w:r>
    </w:p>
    <w:p w14:paraId="5B5DBBD3" w14:textId="03B04C82"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Although these successes are reali</w:t>
      </w:r>
      <w:r w:rsidR="00A92A91" w:rsidRPr="00C60E78">
        <w:rPr>
          <w:rFonts w:ascii="Arial" w:hAnsi="Arial" w:cs="Arial"/>
          <w:sz w:val="22"/>
          <w:szCs w:val="22"/>
        </w:rPr>
        <w:t>s</w:t>
      </w:r>
      <w:r w:rsidRPr="00C60E78">
        <w:rPr>
          <w:rFonts w:ascii="Arial" w:hAnsi="Arial" w:cs="Arial"/>
          <w:sz w:val="22"/>
          <w:szCs w:val="22"/>
        </w:rPr>
        <w:t>ed, there are still lots of challenges. The problem of health inequalities still persists in disadvantaged groups, where members of the lower socioeconomic status group have worse health outcomes and a lower life expectancy (World Health Organi</w:t>
      </w:r>
      <w:r w:rsidR="00A92A91" w:rsidRPr="00C60E78">
        <w:rPr>
          <w:rFonts w:ascii="Arial" w:hAnsi="Arial" w:cs="Arial"/>
          <w:sz w:val="22"/>
          <w:szCs w:val="22"/>
        </w:rPr>
        <w:t>s</w:t>
      </w:r>
      <w:r w:rsidRPr="00C60E78">
        <w:rPr>
          <w:rFonts w:ascii="Arial" w:hAnsi="Arial" w:cs="Arial"/>
          <w:sz w:val="22"/>
          <w:szCs w:val="22"/>
        </w:rPr>
        <w:t>ation, 2026). The ageing population also exerts more and more burdens on healthcare and social care systems, necessitating the large-scale investment and the development of new policies (World Health Organi</w:t>
      </w:r>
      <w:r w:rsidR="00A92A91" w:rsidRPr="00C60E78">
        <w:rPr>
          <w:rFonts w:ascii="Arial" w:hAnsi="Arial" w:cs="Arial"/>
          <w:sz w:val="22"/>
          <w:szCs w:val="22"/>
        </w:rPr>
        <w:t>s</w:t>
      </w:r>
      <w:r w:rsidRPr="00C60E78">
        <w:rPr>
          <w:rFonts w:ascii="Arial" w:hAnsi="Arial" w:cs="Arial"/>
          <w:sz w:val="22"/>
          <w:szCs w:val="22"/>
        </w:rPr>
        <w:t>ation, 2024). Moreover, the increasing rates of obesity, chronic illness, and mental health issues are current hindrances on the way to the accomplishment of SDG 3 (Sharp et al., 2022a).</w:t>
      </w:r>
    </w:p>
    <w:p w14:paraId="09C0D2CF" w14:textId="54E08535"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Therefore, as much as Wales has shown a lot of dedication to SDG 3 by carrying out progressive laws and integration policies, more needs to be done so that health and wellbeing deliverables are experienced fairly in all the communities.</w:t>
      </w:r>
    </w:p>
    <w:p w14:paraId="2A9EE350" w14:textId="1BF60CC0" w:rsidR="00E75979" w:rsidRPr="00C60E78" w:rsidRDefault="00E75979" w:rsidP="00C60E78">
      <w:pPr>
        <w:pStyle w:val="Heading1"/>
        <w:spacing w:line="360" w:lineRule="auto"/>
        <w:rPr>
          <w:rFonts w:ascii="Arial" w:hAnsi="Arial" w:cs="Arial"/>
          <w:sz w:val="22"/>
          <w:szCs w:val="22"/>
        </w:rPr>
      </w:pPr>
      <w:bookmarkStart w:id="3" w:name="_Toc232480323"/>
      <w:r w:rsidRPr="00C60E78">
        <w:rPr>
          <w:rFonts w:ascii="Arial" w:hAnsi="Arial" w:cs="Arial"/>
          <w:sz w:val="22"/>
          <w:szCs w:val="22"/>
        </w:rPr>
        <w:t>Analysis of SDG 11: Sustainable Cities and Communities</w:t>
      </w:r>
      <w:bookmarkEnd w:id="3"/>
    </w:p>
    <w:p w14:paraId="40B2D23C" w14:textId="31D1509A"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SDG 11 works to transform the cities and communities to be inclusive, safe, resilient, sustainable by enhancing housing, transport systems, and urban planning, environmental quality, and involvement of the communities (Sharp et al., 2022a). In spite of the fact that SDG 11 usually relates to urban development, the goals of this topic have profound impacts on public health as the environments where individuals live have a strong impact on physical, mental, and social wellbeing (Sindall et al., 2021). The state of housing, the proximity of social services, access to green space and possibilities of active transportation all have beneficial impacts to health and quality of life</w:t>
      </w:r>
    </w:p>
    <w:p w14:paraId="2D0257D3" w14:textId="7C7F40B7"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SDG 11 is especially significant in relation to health since the unhealthy environment can lead to chronic conditions, mental illnesses, and social disparities (Green et al., 2019). Social environments with safe walking routes, cycling paths, access to public transportation, and recreational amenities promote physical activity and social interaction, which are related to a better health outcome (Sharp et al., 2022b). On the same note, green spaces have been associated with lower stress, enhanced mental health, and better communal integration (World Health Organi</w:t>
      </w:r>
      <w:r w:rsidR="00A92A91" w:rsidRPr="00C60E78">
        <w:rPr>
          <w:rFonts w:ascii="Arial" w:hAnsi="Arial" w:cs="Arial"/>
          <w:sz w:val="22"/>
          <w:szCs w:val="22"/>
        </w:rPr>
        <w:t>s</w:t>
      </w:r>
      <w:r w:rsidRPr="00C60E78">
        <w:rPr>
          <w:rFonts w:ascii="Arial" w:hAnsi="Arial" w:cs="Arial"/>
          <w:sz w:val="22"/>
          <w:szCs w:val="22"/>
        </w:rPr>
        <w:t>ation, 2024).</w:t>
      </w:r>
    </w:p>
    <w:p w14:paraId="09828FFD" w14:textId="6CD9325E"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 xml:space="preserve">In Wales, SDG 11 was facilitated by policies of sustainable transport, environmental protection, and development </w:t>
      </w:r>
      <w:proofErr w:type="spellStart"/>
      <w:r w:rsidRPr="00C60E78">
        <w:rPr>
          <w:rFonts w:ascii="Arial" w:hAnsi="Arial" w:cs="Arial"/>
          <w:sz w:val="22"/>
          <w:szCs w:val="22"/>
        </w:rPr>
        <w:t>centered</w:t>
      </w:r>
      <w:proofErr w:type="spellEnd"/>
      <w:r w:rsidRPr="00C60E78">
        <w:rPr>
          <w:rFonts w:ascii="Arial" w:hAnsi="Arial" w:cs="Arial"/>
          <w:sz w:val="22"/>
          <w:szCs w:val="22"/>
        </w:rPr>
        <w:t xml:space="preserve"> on communities (Sharp et al., 2022a). A key one is the Active Travel (Wales) Act that promotes the use of alternatives to cars, namely walking and cycling, and, at the same time, enhances the health of the population and minimi</w:t>
      </w:r>
      <w:r w:rsidR="00A92A91" w:rsidRPr="00C60E78">
        <w:rPr>
          <w:rFonts w:ascii="Arial" w:hAnsi="Arial" w:cs="Arial"/>
          <w:sz w:val="22"/>
          <w:szCs w:val="22"/>
        </w:rPr>
        <w:t>s</w:t>
      </w:r>
      <w:r w:rsidRPr="00C60E78">
        <w:rPr>
          <w:rFonts w:ascii="Arial" w:hAnsi="Arial" w:cs="Arial"/>
          <w:sz w:val="22"/>
          <w:szCs w:val="22"/>
        </w:rPr>
        <w:t xml:space="preserve">es environmental effects (Sharp et al., 2022b). This law evidences the manner in which sustainability and health goals can be achieved by using coordinated policies that will </w:t>
      </w:r>
      <w:proofErr w:type="spellStart"/>
      <w:r w:rsidRPr="00C60E78">
        <w:rPr>
          <w:rFonts w:ascii="Arial" w:hAnsi="Arial" w:cs="Arial"/>
          <w:sz w:val="22"/>
          <w:szCs w:val="22"/>
        </w:rPr>
        <w:t>fulfill</w:t>
      </w:r>
      <w:proofErr w:type="spellEnd"/>
      <w:r w:rsidRPr="00C60E78">
        <w:rPr>
          <w:rFonts w:ascii="Arial" w:hAnsi="Arial" w:cs="Arial"/>
          <w:sz w:val="22"/>
          <w:szCs w:val="22"/>
        </w:rPr>
        <w:t xml:space="preserve"> several SDGs at the same time.</w:t>
      </w:r>
    </w:p>
    <w:p w14:paraId="0E88591E" w14:textId="41CC3BA9"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Sustainable development principles have also been integrated into the local planning frameworks of the Welsh Government that aim to build healthier and more resilient communities (Cummings et al., 2024). It is advised that the long-term effects of development choices on future generations are taken into account by the public bodies, making sure that the wellbeing of the community is a key point of the urban planning processes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 These policies encourage increased access to open spaces, community facilities and sustainable infrastructure that have positive health outcomes.</w:t>
      </w:r>
    </w:p>
    <w:p w14:paraId="7B381520" w14:textId="16517DC3"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 xml:space="preserve">Nonetheless, despite these successes, there are still a number of limitations that impact SDG implementation in Wales. Regional disparities imply that certain groups of people get greater advantages concerning sustainable infrastructure investments than others, especially in urban </w:t>
      </w:r>
      <w:proofErr w:type="spellStart"/>
      <w:r w:rsidRPr="00C60E78">
        <w:rPr>
          <w:rFonts w:ascii="Arial" w:hAnsi="Arial" w:cs="Arial"/>
          <w:sz w:val="22"/>
          <w:szCs w:val="22"/>
        </w:rPr>
        <w:t>centers</w:t>
      </w:r>
      <w:proofErr w:type="spellEnd"/>
      <w:r w:rsidRPr="00C60E78">
        <w:rPr>
          <w:rFonts w:ascii="Arial" w:hAnsi="Arial" w:cs="Arial"/>
          <w:sz w:val="22"/>
          <w:szCs w:val="22"/>
        </w:rPr>
        <w:t xml:space="preserve"> as opposed to rural territories (World Health Organi</w:t>
      </w:r>
      <w:r w:rsidR="00A92A91" w:rsidRPr="00C60E78">
        <w:rPr>
          <w:rFonts w:ascii="Arial" w:hAnsi="Arial" w:cs="Arial"/>
          <w:sz w:val="22"/>
          <w:szCs w:val="22"/>
        </w:rPr>
        <w:t>s</w:t>
      </w:r>
      <w:r w:rsidRPr="00C60E78">
        <w:rPr>
          <w:rFonts w:ascii="Arial" w:hAnsi="Arial" w:cs="Arial"/>
          <w:sz w:val="22"/>
          <w:szCs w:val="22"/>
        </w:rPr>
        <w:t>ation, 2026). The implementation of the long-term sustainability projects may also be slowed down by the lack of funds and rival policy priorities (</w:t>
      </w:r>
      <w:proofErr w:type="spellStart"/>
      <w:r w:rsidRPr="00C60E78">
        <w:rPr>
          <w:rFonts w:ascii="Arial" w:hAnsi="Arial" w:cs="Arial"/>
          <w:sz w:val="22"/>
          <w:szCs w:val="22"/>
        </w:rPr>
        <w:t>Nesom</w:t>
      </w:r>
      <w:proofErr w:type="spellEnd"/>
      <w:r w:rsidRPr="00C60E78">
        <w:rPr>
          <w:rFonts w:ascii="Arial" w:hAnsi="Arial" w:cs="Arial"/>
          <w:sz w:val="22"/>
          <w:szCs w:val="22"/>
        </w:rPr>
        <w:t xml:space="preserve"> and </w:t>
      </w:r>
      <w:proofErr w:type="spellStart"/>
      <w:r w:rsidRPr="00C60E78">
        <w:rPr>
          <w:rFonts w:ascii="Arial" w:hAnsi="Arial" w:cs="Arial"/>
          <w:sz w:val="22"/>
          <w:szCs w:val="22"/>
        </w:rPr>
        <w:t>MacKillop</w:t>
      </w:r>
      <w:proofErr w:type="spellEnd"/>
      <w:r w:rsidRPr="00C60E78">
        <w:rPr>
          <w:rFonts w:ascii="Arial" w:hAnsi="Arial" w:cs="Arial"/>
          <w:sz w:val="22"/>
          <w:szCs w:val="22"/>
        </w:rPr>
        <w:t>, 2020). Moreover, behavioural change is also a challenge since better infrastructure does not necessarily result in more people engaging in healthy and sustainable activities (Sharp et al., 2022b).</w:t>
      </w:r>
    </w:p>
    <w:p w14:paraId="64E4A30E" w14:textId="196311C6"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All in all, SDG 11 will promote health and wellbeing because of its contribution to environmental and social determinants of health. Nonetheless, there is a need to continue investment and to undertake specific measures which guarantee that all the Welsh communities reap equally out of the sustainable development programs.</w:t>
      </w:r>
    </w:p>
    <w:p w14:paraId="4C72EC15" w14:textId="61EDDE02" w:rsidR="00E75979" w:rsidRPr="00C60E78" w:rsidRDefault="00E75979" w:rsidP="00C60E78">
      <w:pPr>
        <w:pStyle w:val="Heading1"/>
        <w:spacing w:line="360" w:lineRule="auto"/>
        <w:rPr>
          <w:rFonts w:ascii="Arial" w:hAnsi="Arial" w:cs="Arial"/>
          <w:sz w:val="22"/>
          <w:szCs w:val="22"/>
        </w:rPr>
      </w:pPr>
      <w:bookmarkStart w:id="4" w:name="_Toc232480324"/>
      <w:r w:rsidRPr="00C60E78">
        <w:rPr>
          <w:rFonts w:ascii="Arial" w:hAnsi="Arial" w:cs="Arial"/>
          <w:sz w:val="22"/>
          <w:szCs w:val="22"/>
        </w:rPr>
        <w:t>Evaluation of National and Local Initiatives in Wales</w:t>
      </w:r>
      <w:bookmarkEnd w:id="4"/>
    </w:p>
    <w:p w14:paraId="43734E6E" w14:textId="7D6ADE18"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One of the national policies that contribute to SDG 3 as well as SDG 11 is the Well-being of Future Generations (Wales) Act 2015, which is considered to be one of the most progressive sustainable development policies in the world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 The Act also expects the considerations of long-term wellbeing outcomes in the decision-making of public organisations and encourages cross-sector collaboration to solve complex social and environmental issues (</w:t>
      </w:r>
      <w:proofErr w:type="spellStart"/>
      <w:r w:rsidRPr="00C60E78">
        <w:rPr>
          <w:rFonts w:ascii="Arial" w:hAnsi="Arial" w:cs="Arial"/>
          <w:sz w:val="22"/>
          <w:szCs w:val="22"/>
        </w:rPr>
        <w:t>Nesom</w:t>
      </w:r>
      <w:proofErr w:type="spellEnd"/>
      <w:r w:rsidRPr="00C60E78">
        <w:rPr>
          <w:rFonts w:ascii="Arial" w:hAnsi="Arial" w:cs="Arial"/>
          <w:sz w:val="22"/>
          <w:szCs w:val="22"/>
        </w:rPr>
        <w:t xml:space="preserve"> and </w:t>
      </w:r>
      <w:proofErr w:type="spellStart"/>
      <w:r w:rsidRPr="00C60E78">
        <w:rPr>
          <w:rFonts w:ascii="Arial" w:hAnsi="Arial" w:cs="Arial"/>
          <w:sz w:val="22"/>
          <w:szCs w:val="22"/>
        </w:rPr>
        <w:t>MacKillop</w:t>
      </w:r>
      <w:proofErr w:type="spellEnd"/>
      <w:r w:rsidRPr="00C60E78">
        <w:rPr>
          <w:rFonts w:ascii="Arial" w:hAnsi="Arial" w:cs="Arial"/>
          <w:sz w:val="22"/>
          <w:szCs w:val="22"/>
        </w:rPr>
        <w:t>, 2020). Its focus on both preventing and being sustainable is equated to the overall goals of the SDGs and promotes a holistic focus in policymaking (Cummings et al., 2024).</w:t>
      </w:r>
    </w:p>
    <w:p w14:paraId="14AA0A83" w14:textId="234F853B"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There is evidence that the Act has been effective in affecting the practices of governance by instilling wellbeing considerations into the policy formulation processes and public service services (Cummings et al., 2024). The legislation has promoted more health, environmental, and economic policies integration and a culture of long-term thinking in the public institutions (World Health Organi</w:t>
      </w:r>
      <w:r w:rsidR="00A92A91" w:rsidRPr="00C60E78">
        <w:rPr>
          <w:rFonts w:ascii="Arial" w:hAnsi="Arial" w:cs="Arial"/>
          <w:sz w:val="22"/>
          <w:szCs w:val="22"/>
        </w:rPr>
        <w:t>s</w:t>
      </w:r>
      <w:r w:rsidRPr="00C60E78">
        <w:rPr>
          <w:rFonts w:ascii="Arial" w:hAnsi="Arial" w:cs="Arial"/>
          <w:sz w:val="22"/>
          <w:szCs w:val="22"/>
        </w:rPr>
        <w:t>ation, 2024). The developments are significant milestones in the development of more sustainable and healthy communities.</w:t>
      </w:r>
    </w:p>
    <w:p w14:paraId="7F5AEA49" w14:textId="69420222"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other significant initiative is the application of Health Impact Assessments (HIAs), which determine the possible health impacts of policies and development projects that might occur before their implementation (Green et al., 2019). HIAs have ensured the evidence-based decision-making in Wales and prevented being limited to health implications in a narrow range of domains, such as housing, transport, and environment planning (Green et al., 2019). This approach helps in preventive management and encourages low chances of unforeseen unfortunate health consequences.</w:t>
      </w:r>
    </w:p>
    <w:p w14:paraId="35702001" w14:textId="2458D1E2"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Physical activity programs have contributed greatly to health and wellbeing. A study that outlines the reaction of Wales to the SDGs reveals that active traveling policies must be implemented to promote healthy lifestyles and assist in reaching the environmental sustainability objectives (Sharp et al., 2022a). More walking and cycling opportunities help in improving physical health, decreasing obesity, and increasing mental wellbeing (Sharp et al., 2022b).</w:t>
      </w:r>
    </w:p>
    <w:p w14:paraId="2988974A" w14:textId="77777777"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However, there are still issues of implementation consistency and quantifiable results. Most policies reflect good intentions, yet their effectiveness might depend on local resources, capacity, and local priorities among different regions and organisations (</w:t>
      </w:r>
      <w:proofErr w:type="spellStart"/>
      <w:r w:rsidRPr="00C60E78">
        <w:rPr>
          <w:rFonts w:ascii="Arial" w:hAnsi="Arial" w:cs="Arial"/>
          <w:sz w:val="22"/>
          <w:szCs w:val="22"/>
        </w:rPr>
        <w:t>Nesom</w:t>
      </w:r>
      <w:proofErr w:type="spellEnd"/>
      <w:r w:rsidRPr="00C60E78">
        <w:rPr>
          <w:rFonts w:ascii="Arial" w:hAnsi="Arial" w:cs="Arial"/>
          <w:sz w:val="22"/>
          <w:szCs w:val="22"/>
        </w:rPr>
        <w:t xml:space="preserve"> and </w:t>
      </w:r>
      <w:proofErr w:type="spellStart"/>
      <w:r w:rsidRPr="00C60E78">
        <w:rPr>
          <w:rFonts w:ascii="Arial" w:hAnsi="Arial" w:cs="Arial"/>
          <w:sz w:val="22"/>
          <w:szCs w:val="22"/>
        </w:rPr>
        <w:t>MacKillop</w:t>
      </w:r>
      <w:proofErr w:type="spellEnd"/>
      <w:r w:rsidRPr="00C60E78">
        <w:rPr>
          <w:rFonts w:ascii="Arial" w:hAnsi="Arial" w:cs="Arial"/>
          <w:sz w:val="22"/>
          <w:szCs w:val="22"/>
        </w:rPr>
        <w:t>, 2020). This means that continuous monitoring and evaluation is required to make sure that policy objectives are translated to significant gains on the wellbeing of the citizens.</w:t>
      </w:r>
    </w:p>
    <w:p w14:paraId="5563B4A3" w14:textId="74232EA8" w:rsidR="00E75979" w:rsidRPr="00C60E78" w:rsidRDefault="00E75979" w:rsidP="00C60E78">
      <w:pPr>
        <w:pStyle w:val="Heading1"/>
        <w:spacing w:line="360" w:lineRule="auto"/>
        <w:rPr>
          <w:rFonts w:ascii="Arial" w:hAnsi="Arial" w:cs="Arial"/>
          <w:sz w:val="22"/>
          <w:szCs w:val="22"/>
        </w:rPr>
      </w:pPr>
      <w:bookmarkStart w:id="5" w:name="_Toc232480325"/>
      <w:r w:rsidRPr="00C60E78">
        <w:rPr>
          <w:rFonts w:ascii="Arial" w:hAnsi="Arial" w:cs="Arial"/>
          <w:sz w:val="22"/>
          <w:szCs w:val="22"/>
        </w:rPr>
        <w:t>Recommendations for Policy Improvement</w:t>
      </w:r>
      <w:bookmarkEnd w:id="5"/>
    </w:p>
    <w:p w14:paraId="72DA2F0F" w14:textId="46F693FC"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initial suggestion is to reinforce prevention-premeditative medical measures that can be taken to mitigate health hazards before transformation into severe diseases. Increasing investment in community-based prevention programmes would lead to lower long-term costs in health care and enhance population health outcomes (World Health Organi</w:t>
      </w:r>
      <w:r w:rsidR="00A92A91" w:rsidRPr="00C60E78">
        <w:rPr>
          <w:rFonts w:ascii="Arial" w:hAnsi="Arial" w:cs="Arial"/>
          <w:sz w:val="22"/>
          <w:szCs w:val="22"/>
        </w:rPr>
        <w:t>s</w:t>
      </w:r>
      <w:r w:rsidRPr="00C60E78">
        <w:rPr>
          <w:rFonts w:ascii="Arial" w:hAnsi="Arial" w:cs="Arial"/>
          <w:sz w:val="22"/>
          <w:szCs w:val="22"/>
        </w:rPr>
        <w:t>ation, 2024).</w:t>
      </w:r>
    </w:p>
    <w:p w14:paraId="02908A83" w14:textId="70B62712"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second suggestion is that there should be greater empowerment of the disadvantaged and vulnerable groups that face chronic inequalities in health. More focused interventions where deprived populations would be prioriti</w:t>
      </w:r>
      <w:r w:rsidR="00A92A91" w:rsidRPr="00C60E78">
        <w:rPr>
          <w:rFonts w:ascii="Arial" w:hAnsi="Arial" w:cs="Arial"/>
          <w:sz w:val="22"/>
          <w:szCs w:val="22"/>
        </w:rPr>
        <w:t>s</w:t>
      </w:r>
      <w:r w:rsidRPr="00C60E78">
        <w:rPr>
          <w:rFonts w:ascii="Arial" w:hAnsi="Arial" w:cs="Arial"/>
          <w:sz w:val="22"/>
          <w:szCs w:val="22"/>
        </w:rPr>
        <w:t>ed would assist in addressing the fact that the benefits of SDG implementation are more fairly distributed throughout Wales (World Health Organi</w:t>
      </w:r>
      <w:r w:rsidR="00A92A91" w:rsidRPr="00C60E78">
        <w:rPr>
          <w:rFonts w:ascii="Arial" w:hAnsi="Arial" w:cs="Arial"/>
          <w:sz w:val="22"/>
          <w:szCs w:val="22"/>
        </w:rPr>
        <w:t>s</w:t>
      </w:r>
      <w:r w:rsidRPr="00C60E78">
        <w:rPr>
          <w:rFonts w:ascii="Arial" w:hAnsi="Arial" w:cs="Arial"/>
          <w:sz w:val="22"/>
          <w:szCs w:val="22"/>
        </w:rPr>
        <w:t>ation, 2026).</w:t>
      </w:r>
    </w:p>
    <w:p w14:paraId="6EBF9BE5" w14:textId="3D7F640A"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third suggestion is on increased sustainable urban planning by investing more in green infrastructure, open spaces, and active travelling infrastructure. These advances would serve the interests of environmental sustainability as well as those of the citizens in health (Sharp et al., 2022b).</w:t>
      </w:r>
    </w:p>
    <w:p w14:paraId="0E77685C" w14:textId="5B2DA4A1"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Use of wellbeing outcomes that have clearer performance indicators is the fourth recommendation to increase the monitoring and evaluation systems. Enhanced data gathering would help policymakers perceive implementing effective interventions and clarify which areas should be improved more (Cummings et al., 2024).</w:t>
      </w:r>
    </w:p>
    <w:p w14:paraId="15EB39E3" w14:textId="77777777"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Lastly, increased cooperation among healthcare organisations and local authorities, community organisations and environmental management should be fuelled. The cross-sector partnerships play a critical role in fulfilling the aim of pursuing sustainable development and targets through ensuring the complex determinants of health are addressed (Sindall et al., 2021).</w:t>
      </w:r>
    </w:p>
    <w:p w14:paraId="3E593670" w14:textId="2DDA939E" w:rsidR="00E75979" w:rsidRPr="00C60E78" w:rsidRDefault="00E75979" w:rsidP="00C60E78">
      <w:pPr>
        <w:pStyle w:val="Heading1"/>
        <w:spacing w:line="360" w:lineRule="auto"/>
        <w:rPr>
          <w:rFonts w:ascii="Arial" w:hAnsi="Arial" w:cs="Arial"/>
          <w:sz w:val="22"/>
          <w:szCs w:val="22"/>
        </w:rPr>
      </w:pPr>
      <w:bookmarkStart w:id="6" w:name="_Toc232480326"/>
      <w:r w:rsidRPr="00C60E78">
        <w:rPr>
          <w:rFonts w:ascii="Arial" w:hAnsi="Arial" w:cs="Arial"/>
          <w:sz w:val="22"/>
          <w:szCs w:val="22"/>
        </w:rPr>
        <w:t>Conclusion</w:t>
      </w:r>
      <w:bookmarkEnd w:id="6"/>
    </w:p>
    <w:p w14:paraId="72EC0E77" w14:textId="355DD24A" w:rsidR="00E75979" w:rsidRPr="00C60E78" w:rsidRDefault="00E75979" w:rsidP="00C60E78">
      <w:pPr>
        <w:spacing w:line="360" w:lineRule="auto"/>
        <w:jc w:val="both"/>
        <w:rPr>
          <w:rFonts w:ascii="Arial" w:hAnsi="Arial" w:cs="Arial"/>
          <w:sz w:val="22"/>
          <w:szCs w:val="22"/>
        </w:rPr>
      </w:pPr>
      <w:r w:rsidRPr="00C60E78">
        <w:rPr>
          <w:rFonts w:ascii="Arial" w:hAnsi="Arial" w:cs="Arial"/>
          <w:sz w:val="22"/>
          <w:szCs w:val="22"/>
        </w:rPr>
        <w:t>The discussion shows that SDG 3 and SDG 11 are highly related to each other and can mutually work to enhance the outcomes of health, wellbeing, and sustainability. SDG 3 is concerned with the promotion of healthy lives and wellbeing, whereas SDG 11 is concerned with environmental and community factors, which have an impact on health outcomes (Das et al., 2021). The Well-being of Future Generations Act and policy projects have put Wales at the forefront of the global focus of governance grounded in wellbeing (</w:t>
      </w:r>
      <w:proofErr w:type="spellStart"/>
      <w:r w:rsidRPr="00C60E78">
        <w:rPr>
          <w:rFonts w:ascii="Arial" w:hAnsi="Arial" w:cs="Arial"/>
          <w:sz w:val="22"/>
          <w:szCs w:val="22"/>
        </w:rPr>
        <w:t>Messham</w:t>
      </w:r>
      <w:proofErr w:type="spellEnd"/>
      <w:r w:rsidRPr="00C60E78">
        <w:rPr>
          <w:rFonts w:ascii="Arial" w:hAnsi="Arial" w:cs="Arial"/>
          <w:sz w:val="22"/>
          <w:szCs w:val="22"/>
        </w:rPr>
        <w:t xml:space="preserve"> and </w:t>
      </w:r>
      <w:proofErr w:type="spellStart"/>
      <w:r w:rsidRPr="00C60E78">
        <w:rPr>
          <w:rFonts w:ascii="Arial" w:hAnsi="Arial" w:cs="Arial"/>
          <w:sz w:val="22"/>
          <w:szCs w:val="22"/>
        </w:rPr>
        <w:t>Sheard</w:t>
      </w:r>
      <w:proofErr w:type="spellEnd"/>
      <w:r w:rsidRPr="00C60E78">
        <w:rPr>
          <w:rFonts w:ascii="Arial" w:hAnsi="Arial" w:cs="Arial"/>
          <w:sz w:val="22"/>
          <w:szCs w:val="22"/>
        </w:rPr>
        <w:t>, 2020).</w:t>
      </w:r>
    </w:p>
    <w:p w14:paraId="62089BA0" w14:textId="76069793" w:rsidR="00E75979" w:rsidRPr="00C60E78" w:rsidRDefault="00E75979" w:rsidP="00C60E78">
      <w:pPr>
        <w:spacing w:line="360" w:lineRule="auto"/>
        <w:jc w:val="both"/>
        <w:rPr>
          <w:rFonts w:ascii="Arial" w:hAnsi="Arial" w:cs="Arial"/>
          <w:b/>
          <w:bCs/>
          <w:sz w:val="22"/>
          <w:szCs w:val="22"/>
        </w:rPr>
      </w:pPr>
      <w:r w:rsidRPr="00C60E78">
        <w:rPr>
          <w:rFonts w:ascii="Arial" w:hAnsi="Arial" w:cs="Arial"/>
          <w:sz w:val="22"/>
          <w:szCs w:val="22"/>
        </w:rPr>
        <w:t>There have been significant gains made through national and local actions towards merging the health and sustainability goals into the public policy and practice (World Health Organi</w:t>
      </w:r>
      <w:r w:rsidR="00A92A91" w:rsidRPr="00C60E78">
        <w:rPr>
          <w:rFonts w:ascii="Arial" w:hAnsi="Arial" w:cs="Arial"/>
          <w:sz w:val="22"/>
          <w:szCs w:val="22"/>
        </w:rPr>
        <w:t>s</w:t>
      </w:r>
      <w:r w:rsidRPr="00C60E78">
        <w:rPr>
          <w:rFonts w:ascii="Arial" w:hAnsi="Arial" w:cs="Arial"/>
          <w:sz w:val="22"/>
          <w:szCs w:val="22"/>
        </w:rPr>
        <w:t>ation, 2024). Nevertheless, issues such as health inequity, regional differences, and barriers to implementation have remained an obstacle to the reali</w:t>
      </w:r>
      <w:r w:rsidR="00A92A91" w:rsidRPr="00C60E78">
        <w:rPr>
          <w:rFonts w:ascii="Arial" w:hAnsi="Arial" w:cs="Arial"/>
          <w:sz w:val="22"/>
          <w:szCs w:val="22"/>
        </w:rPr>
        <w:t>s</w:t>
      </w:r>
      <w:r w:rsidRPr="00C60E78">
        <w:rPr>
          <w:rFonts w:ascii="Arial" w:hAnsi="Arial" w:cs="Arial"/>
          <w:sz w:val="22"/>
          <w:szCs w:val="22"/>
        </w:rPr>
        <w:t>ation of the desired results (World Health Organi</w:t>
      </w:r>
      <w:r w:rsidR="00A92A91" w:rsidRPr="00C60E78">
        <w:rPr>
          <w:rFonts w:ascii="Arial" w:hAnsi="Arial" w:cs="Arial"/>
          <w:sz w:val="22"/>
          <w:szCs w:val="22"/>
        </w:rPr>
        <w:t>s</w:t>
      </w:r>
      <w:r w:rsidRPr="00C60E78">
        <w:rPr>
          <w:rFonts w:ascii="Arial" w:hAnsi="Arial" w:cs="Arial"/>
          <w:sz w:val="22"/>
          <w:szCs w:val="22"/>
        </w:rPr>
        <w:t>ation, 2026). Further investment, better collaboration and evaluation systems will be required to ensure that the future generations will have healthier, more sustainable and stronger communities throughout Wales.</w:t>
      </w:r>
      <w:r w:rsidRPr="00C60E78">
        <w:rPr>
          <w:rFonts w:ascii="Arial" w:hAnsi="Arial" w:cs="Arial"/>
          <w:sz w:val="22"/>
          <w:szCs w:val="22"/>
        </w:rPr>
        <w:br w:type="page"/>
      </w:r>
    </w:p>
    <w:p w14:paraId="6E5681BF" w14:textId="3ED08EF1" w:rsidR="00C55D67" w:rsidRPr="00C60E78" w:rsidRDefault="00C55D67" w:rsidP="00C60E78">
      <w:pPr>
        <w:pStyle w:val="Heading1"/>
        <w:spacing w:line="360" w:lineRule="auto"/>
        <w:rPr>
          <w:rFonts w:ascii="Arial" w:hAnsi="Arial" w:cs="Arial"/>
          <w:sz w:val="22"/>
          <w:szCs w:val="22"/>
        </w:rPr>
      </w:pPr>
      <w:bookmarkStart w:id="7" w:name="_Toc232480327"/>
      <w:r w:rsidRPr="00C60E78">
        <w:rPr>
          <w:rFonts w:ascii="Arial" w:hAnsi="Arial" w:cs="Arial"/>
          <w:sz w:val="22"/>
          <w:szCs w:val="22"/>
        </w:rPr>
        <w:t>References</w:t>
      </w:r>
      <w:bookmarkEnd w:id="7"/>
    </w:p>
    <w:p w14:paraId="07BC6597" w14:textId="77777777"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Cummings, B., </w:t>
      </w:r>
      <w:proofErr w:type="spellStart"/>
      <w:r w:rsidRPr="00C60E78">
        <w:rPr>
          <w:rFonts w:ascii="Arial" w:hAnsi="Arial" w:cs="Arial"/>
          <w:sz w:val="22"/>
          <w:szCs w:val="22"/>
        </w:rPr>
        <w:t>Burvill</w:t>
      </w:r>
      <w:proofErr w:type="spellEnd"/>
      <w:r w:rsidRPr="00C60E78">
        <w:rPr>
          <w:rFonts w:ascii="Arial" w:hAnsi="Arial" w:cs="Arial"/>
          <w:sz w:val="22"/>
          <w:szCs w:val="22"/>
        </w:rPr>
        <w:t xml:space="preserve">, S. and Bowen, R. (2024). The Well-Being of Future Generations Act (Wales, 2015): towards an ecosystem perspective. </w:t>
      </w:r>
      <w:r w:rsidRPr="00C60E78">
        <w:rPr>
          <w:rFonts w:ascii="Arial" w:hAnsi="Arial" w:cs="Arial"/>
          <w:i/>
          <w:iCs/>
          <w:sz w:val="22"/>
          <w:szCs w:val="22"/>
        </w:rPr>
        <w:t>Journal of Entrepreneurship and Public Policy</w:t>
      </w:r>
      <w:r w:rsidRPr="00C60E78">
        <w:rPr>
          <w:rFonts w:ascii="Arial" w:hAnsi="Arial" w:cs="Arial"/>
          <w:sz w:val="22"/>
          <w:szCs w:val="22"/>
        </w:rPr>
        <w:t xml:space="preserve">. </w:t>
      </w:r>
      <w:proofErr w:type="spellStart"/>
      <w:r w:rsidRPr="00C60E78">
        <w:rPr>
          <w:rFonts w:ascii="Arial" w:hAnsi="Arial" w:cs="Arial"/>
          <w:sz w:val="22"/>
          <w:szCs w:val="22"/>
        </w:rPr>
        <w:t>doi:https</w:t>
      </w:r>
      <w:proofErr w:type="spellEnd"/>
      <w:r w:rsidRPr="00C60E78">
        <w:rPr>
          <w:rFonts w:ascii="Arial" w:hAnsi="Arial" w:cs="Arial"/>
          <w:sz w:val="22"/>
          <w:szCs w:val="22"/>
        </w:rPr>
        <w:t>://doi.org/10.1108/jepp-04-2024-0064.</w:t>
      </w:r>
    </w:p>
    <w:p w14:paraId="6192063B" w14:textId="77777777"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Das, T., Holland, P., Ahmed, M. and Husain, L. (2021). Sustainable Development Goal 3: Good Health and Well-being. </w:t>
      </w:r>
      <w:r w:rsidRPr="00C60E78">
        <w:rPr>
          <w:rFonts w:ascii="Arial" w:hAnsi="Arial" w:cs="Arial"/>
          <w:i/>
          <w:iCs/>
          <w:sz w:val="22"/>
          <w:szCs w:val="22"/>
        </w:rPr>
        <w:t>South-East Asia Eye Health</w:t>
      </w:r>
      <w:r w:rsidRPr="00C60E78">
        <w:rPr>
          <w:rFonts w:ascii="Arial" w:hAnsi="Arial" w:cs="Arial"/>
          <w:sz w:val="22"/>
          <w:szCs w:val="22"/>
        </w:rPr>
        <w:t xml:space="preserve">, pp.61–78. </w:t>
      </w:r>
      <w:proofErr w:type="spellStart"/>
      <w:r w:rsidRPr="00C60E78">
        <w:rPr>
          <w:rFonts w:ascii="Arial" w:hAnsi="Arial" w:cs="Arial"/>
          <w:sz w:val="22"/>
          <w:szCs w:val="22"/>
        </w:rPr>
        <w:t>doi:https</w:t>
      </w:r>
      <w:proofErr w:type="spellEnd"/>
      <w:r w:rsidRPr="00C60E78">
        <w:rPr>
          <w:rFonts w:ascii="Arial" w:hAnsi="Arial" w:cs="Arial"/>
          <w:sz w:val="22"/>
          <w:szCs w:val="22"/>
        </w:rPr>
        <w:t>://doi.org/10.1007/978-981-16-3787-2_4.</w:t>
      </w:r>
    </w:p>
    <w:p w14:paraId="3A05DE00" w14:textId="77777777"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Green, L., </w:t>
      </w:r>
      <w:proofErr w:type="spellStart"/>
      <w:r w:rsidRPr="00C60E78">
        <w:rPr>
          <w:rFonts w:ascii="Arial" w:hAnsi="Arial" w:cs="Arial"/>
          <w:sz w:val="22"/>
          <w:szCs w:val="22"/>
        </w:rPr>
        <w:t>Gray</w:t>
      </w:r>
      <w:proofErr w:type="spellEnd"/>
      <w:r w:rsidRPr="00C60E78">
        <w:rPr>
          <w:rFonts w:ascii="Arial" w:hAnsi="Arial" w:cs="Arial"/>
          <w:sz w:val="22"/>
          <w:szCs w:val="22"/>
        </w:rPr>
        <w:t xml:space="preserve">, B.J. and Ashton, K. (2019). Using health impact assessments to implement the sustainable development goals in practice: a case study in Wales. </w:t>
      </w:r>
      <w:r w:rsidRPr="00C60E78">
        <w:rPr>
          <w:rFonts w:ascii="Arial" w:hAnsi="Arial" w:cs="Arial"/>
          <w:i/>
          <w:iCs/>
          <w:sz w:val="22"/>
          <w:szCs w:val="22"/>
        </w:rPr>
        <w:t>Impact Assessment and Project Appraisal</w:t>
      </w:r>
      <w:r w:rsidRPr="00C60E78">
        <w:rPr>
          <w:rFonts w:ascii="Arial" w:hAnsi="Arial" w:cs="Arial"/>
          <w:sz w:val="22"/>
          <w:szCs w:val="22"/>
        </w:rPr>
        <w:t xml:space="preserve">, 38(3), pp.214–224. </w:t>
      </w:r>
      <w:proofErr w:type="spellStart"/>
      <w:r w:rsidRPr="00C60E78">
        <w:rPr>
          <w:rFonts w:ascii="Arial" w:hAnsi="Arial" w:cs="Arial"/>
          <w:sz w:val="22"/>
          <w:szCs w:val="22"/>
        </w:rPr>
        <w:t>doi:https</w:t>
      </w:r>
      <w:proofErr w:type="spellEnd"/>
      <w:r w:rsidRPr="00C60E78">
        <w:rPr>
          <w:rFonts w:ascii="Arial" w:hAnsi="Arial" w:cs="Arial"/>
          <w:sz w:val="22"/>
          <w:szCs w:val="22"/>
        </w:rPr>
        <w:t>://doi.org/10.1080/14615517.2019.1678968.</w:t>
      </w:r>
    </w:p>
    <w:p w14:paraId="0E22744E" w14:textId="77777777" w:rsidR="00C55D67" w:rsidRPr="00C60E78" w:rsidRDefault="00C55D67" w:rsidP="00B035C9">
      <w:pPr>
        <w:spacing w:after="0" w:line="360" w:lineRule="auto"/>
        <w:ind w:left="720" w:hanging="720"/>
        <w:jc w:val="both"/>
        <w:rPr>
          <w:rFonts w:ascii="Arial" w:hAnsi="Arial" w:cs="Arial"/>
          <w:sz w:val="22"/>
          <w:szCs w:val="22"/>
        </w:rPr>
      </w:pPr>
      <w:proofErr w:type="spellStart"/>
      <w:r w:rsidRPr="00C60E78">
        <w:rPr>
          <w:rFonts w:ascii="Arial" w:hAnsi="Arial" w:cs="Arial"/>
          <w:sz w:val="22"/>
          <w:szCs w:val="22"/>
        </w:rPr>
        <w:t>Guégan</w:t>
      </w:r>
      <w:proofErr w:type="spellEnd"/>
      <w:r w:rsidRPr="00C60E78">
        <w:rPr>
          <w:rFonts w:ascii="Arial" w:hAnsi="Arial" w:cs="Arial"/>
          <w:sz w:val="22"/>
          <w:szCs w:val="22"/>
        </w:rPr>
        <w:t xml:space="preserve">, J.-F., </w:t>
      </w:r>
      <w:proofErr w:type="spellStart"/>
      <w:r w:rsidRPr="00C60E78">
        <w:rPr>
          <w:rFonts w:ascii="Arial" w:hAnsi="Arial" w:cs="Arial"/>
          <w:sz w:val="22"/>
          <w:szCs w:val="22"/>
        </w:rPr>
        <w:t>Suzán</w:t>
      </w:r>
      <w:proofErr w:type="spellEnd"/>
      <w:r w:rsidRPr="00C60E78">
        <w:rPr>
          <w:rFonts w:ascii="Arial" w:hAnsi="Arial" w:cs="Arial"/>
          <w:sz w:val="22"/>
          <w:szCs w:val="22"/>
        </w:rPr>
        <w:t>, G., Kati-</w:t>
      </w:r>
      <w:proofErr w:type="spellStart"/>
      <w:r w:rsidRPr="00C60E78">
        <w:rPr>
          <w:rFonts w:ascii="Arial" w:hAnsi="Arial" w:cs="Arial"/>
          <w:sz w:val="22"/>
          <w:szCs w:val="22"/>
        </w:rPr>
        <w:t>Coulibaly</w:t>
      </w:r>
      <w:proofErr w:type="spellEnd"/>
      <w:r w:rsidRPr="00C60E78">
        <w:rPr>
          <w:rFonts w:ascii="Arial" w:hAnsi="Arial" w:cs="Arial"/>
          <w:sz w:val="22"/>
          <w:szCs w:val="22"/>
        </w:rPr>
        <w:t xml:space="preserve">, S., </w:t>
      </w:r>
      <w:proofErr w:type="spellStart"/>
      <w:r w:rsidRPr="00C60E78">
        <w:rPr>
          <w:rFonts w:ascii="Arial" w:hAnsi="Arial" w:cs="Arial"/>
          <w:sz w:val="22"/>
          <w:szCs w:val="22"/>
        </w:rPr>
        <w:t>Bonpamgue</w:t>
      </w:r>
      <w:proofErr w:type="spellEnd"/>
      <w:r w:rsidRPr="00C60E78">
        <w:rPr>
          <w:rFonts w:ascii="Arial" w:hAnsi="Arial" w:cs="Arial"/>
          <w:sz w:val="22"/>
          <w:szCs w:val="22"/>
        </w:rPr>
        <w:t xml:space="preserve">, D.N., </w:t>
      </w:r>
      <w:proofErr w:type="spellStart"/>
      <w:r w:rsidRPr="00C60E78">
        <w:rPr>
          <w:rFonts w:ascii="Arial" w:hAnsi="Arial" w:cs="Arial"/>
          <w:sz w:val="22"/>
          <w:szCs w:val="22"/>
        </w:rPr>
        <w:t>Moatti</w:t>
      </w:r>
      <w:proofErr w:type="spellEnd"/>
      <w:r w:rsidRPr="00C60E78">
        <w:rPr>
          <w:rFonts w:ascii="Arial" w:hAnsi="Arial" w:cs="Arial"/>
          <w:sz w:val="22"/>
          <w:szCs w:val="22"/>
        </w:rPr>
        <w:t xml:space="preserve">, J.-P., </w:t>
      </w:r>
      <w:proofErr w:type="spellStart"/>
      <w:r w:rsidRPr="00C60E78">
        <w:rPr>
          <w:rFonts w:ascii="Arial" w:hAnsi="Arial" w:cs="Arial"/>
          <w:sz w:val="22"/>
          <w:szCs w:val="22"/>
        </w:rPr>
        <w:t>Guégan</w:t>
      </w:r>
      <w:proofErr w:type="spellEnd"/>
      <w:r w:rsidRPr="00C60E78">
        <w:rPr>
          <w:rFonts w:ascii="Arial" w:hAnsi="Arial" w:cs="Arial"/>
          <w:sz w:val="22"/>
          <w:szCs w:val="22"/>
        </w:rPr>
        <w:t xml:space="preserve">, J.-F., </w:t>
      </w:r>
      <w:proofErr w:type="spellStart"/>
      <w:r w:rsidRPr="00C60E78">
        <w:rPr>
          <w:rFonts w:ascii="Arial" w:hAnsi="Arial" w:cs="Arial"/>
          <w:sz w:val="22"/>
          <w:szCs w:val="22"/>
        </w:rPr>
        <w:t>Suzán</w:t>
      </w:r>
      <w:proofErr w:type="spellEnd"/>
      <w:r w:rsidRPr="00C60E78">
        <w:rPr>
          <w:rFonts w:ascii="Arial" w:hAnsi="Arial" w:cs="Arial"/>
          <w:sz w:val="22"/>
          <w:szCs w:val="22"/>
        </w:rPr>
        <w:t>, G., Kati-</w:t>
      </w:r>
      <w:proofErr w:type="spellStart"/>
      <w:r w:rsidRPr="00C60E78">
        <w:rPr>
          <w:rFonts w:ascii="Arial" w:hAnsi="Arial" w:cs="Arial"/>
          <w:sz w:val="22"/>
          <w:szCs w:val="22"/>
        </w:rPr>
        <w:t>Coulibaly</w:t>
      </w:r>
      <w:proofErr w:type="spellEnd"/>
      <w:r w:rsidRPr="00C60E78">
        <w:rPr>
          <w:rFonts w:ascii="Arial" w:hAnsi="Arial" w:cs="Arial"/>
          <w:sz w:val="22"/>
          <w:szCs w:val="22"/>
        </w:rPr>
        <w:t xml:space="preserve">, S., </w:t>
      </w:r>
      <w:proofErr w:type="spellStart"/>
      <w:r w:rsidRPr="00C60E78">
        <w:rPr>
          <w:rFonts w:ascii="Arial" w:hAnsi="Arial" w:cs="Arial"/>
          <w:sz w:val="22"/>
          <w:szCs w:val="22"/>
        </w:rPr>
        <w:t>Bonpamgue</w:t>
      </w:r>
      <w:proofErr w:type="spellEnd"/>
      <w:r w:rsidRPr="00C60E78">
        <w:rPr>
          <w:rFonts w:ascii="Arial" w:hAnsi="Arial" w:cs="Arial"/>
          <w:sz w:val="22"/>
          <w:szCs w:val="22"/>
        </w:rPr>
        <w:t xml:space="preserve">, D.N. and </w:t>
      </w:r>
      <w:proofErr w:type="spellStart"/>
      <w:r w:rsidRPr="00C60E78">
        <w:rPr>
          <w:rFonts w:ascii="Arial" w:hAnsi="Arial" w:cs="Arial"/>
          <w:sz w:val="22"/>
          <w:szCs w:val="22"/>
        </w:rPr>
        <w:t>Moatti</w:t>
      </w:r>
      <w:proofErr w:type="spellEnd"/>
      <w:r w:rsidRPr="00C60E78">
        <w:rPr>
          <w:rFonts w:ascii="Arial" w:hAnsi="Arial" w:cs="Arial"/>
          <w:sz w:val="22"/>
          <w:szCs w:val="22"/>
        </w:rPr>
        <w:t xml:space="preserve">, J.-P. (no date) “Sustainable Development Goal #3, ‘health and well-being’, and the need for more integrative thinking,” </w:t>
      </w:r>
      <w:proofErr w:type="spellStart"/>
      <w:r w:rsidRPr="00C60E78">
        <w:rPr>
          <w:rFonts w:ascii="Arial" w:hAnsi="Arial" w:cs="Arial"/>
          <w:i/>
          <w:iCs/>
          <w:sz w:val="22"/>
          <w:szCs w:val="22"/>
        </w:rPr>
        <w:t>www.scielo.org.mx</w:t>
      </w:r>
      <w:proofErr w:type="spellEnd"/>
      <w:r w:rsidRPr="00C60E78">
        <w:rPr>
          <w:rFonts w:ascii="Arial" w:hAnsi="Arial" w:cs="Arial"/>
          <w:sz w:val="22"/>
          <w:szCs w:val="22"/>
        </w:rPr>
        <w:t xml:space="preserve"> [Preprint]. Available at: https://doi.org/10.21753/vmoa.5.2.443.</w:t>
      </w:r>
    </w:p>
    <w:p w14:paraId="5AD480B1" w14:textId="77777777" w:rsidR="00C55D67" w:rsidRPr="00C60E78" w:rsidRDefault="00C55D67" w:rsidP="00B035C9">
      <w:pPr>
        <w:spacing w:after="0" w:line="360" w:lineRule="auto"/>
        <w:ind w:left="720" w:hanging="720"/>
        <w:jc w:val="both"/>
        <w:rPr>
          <w:rFonts w:ascii="Arial" w:hAnsi="Arial" w:cs="Arial"/>
          <w:sz w:val="22"/>
          <w:szCs w:val="22"/>
        </w:rPr>
      </w:pPr>
      <w:proofErr w:type="spellStart"/>
      <w:r w:rsidRPr="00C60E78">
        <w:rPr>
          <w:rFonts w:ascii="Arial" w:hAnsi="Arial" w:cs="Arial"/>
          <w:sz w:val="22"/>
          <w:szCs w:val="22"/>
        </w:rPr>
        <w:t>Messham</w:t>
      </w:r>
      <w:proofErr w:type="spellEnd"/>
      <w:r w:rsidRPr="00C60E78">
        <w:rPr>
          <w:rFonts w:ascii="Arial" w:hAnsi="Arial" w:cs="Arial"/>
          <w:sz w:val="22"/>
          <w:szCs w:val="22"/>
        </w:rPr>
        <w:t xml:space="preserve">, E. and </w:t>
      </w:r>
      <w:proofErr w:type="spellStart"/>
      <w:r w:rsidRPr="00C60E78">
        <w:rPr>
          <w:rFonts w:ascii="Arial" w:hAnsi="Arial" w:cs="Arial"/>
          <w:sz w:val="22"/>
          <w:szCs w:val="22"/>
        </w:rPr>
        <w:t>Sheard</w:t>
      </w:r>
      <w:proofErr w:type="spellEnd"/>
      <w:r w:rsidRPr="00C60E78">
        <w:rPr>
          <w:rFonts w:ascii="Arial" w:hAnsi="Arial" w:cs="Arial"/>
          <w:sz w:val="22"/>
          <w:szCs w:val="22"/>
        </w:rPr>
        <w:t xml:space="preserve">, S. (2020). Taking the long view: the development of the Well-being of Future Generations (Wales) Act. </w:t>
      </w:r>
      <w:r w:rsidRPr="00C60E78">
        <w:rPr>
          <w:rFonts w:ascii="Arial" w:hAnsi="Arial" w:cs="Arial"/>
          <w:i/>
          <w:iCs/>
          <w:sz w:val="22"/>
          <w:szCs w:val="22"/>
        </w:rPr>
        <w:t>Health Research Policy and Systems</w:t>
      </w:r>
      <w:r w:rsidRPr="00C60E78">
        <w:rPr>
          <w:rFonts w:ascii="Arial" w:hAnsi="Arial" w:cs="Arial"/>
          <w:sz w:val="22"/>
          <w:szCs w:val="22"/>
        </w:rPr>
        <w:t xml:space="preserve">, 18(1). </w:t>
      </w:r>
      <w:proofErr w:type="spellStart"/>
      <w:r w:rsidRPr="00C60E78">
        <w:rPr>
          <w:rFonts w:ascii="Arial" w:hAnsi="Arial" w:cs="Arial"/>
          <w:sz w:val="22"/>
          <w:szCs w:val="22"/>
        </w:rPr>
        <w:t>doi:https</w:t>
      </w:r>
      <w:proofErr w:type="spellEnd"/>
      <w:r w:rsidRPr="00C60E78">
        <w:rPr>
          <w:rFonts w:ascii="Arial" w:hAnsi="Arial" w:cs="Arial"/>
          <w:sz w:val="22"/>
          <w:szCs w:val="22"/>
        </w:rPr>
        <w:t>://doi.org/10.1186/s12961-020-0534-y.</w:t>
      </w:r>
    </w:p>
    <w:p w14:paraId="2559F486" w14:textId="77777777" w:rsidR="00C55D67" w:rsidRPr="00C60E78" w:rsidRDefault="00C55D67" w:rsidP="00B035C9">
      <w:pPr>
        <w:spacing w:after="0" w:line="360" w:lineRule="auto"/>
        <w:ind w:left="720" w:hanging="720"/>
        <w:jc w:val="both"/>
        <w:rPr>
          <w:rFonts w:ascii="Arial" w:hAnsi="Arial" w:cs="Arial"/>
          <w:sz w:val="22"/>
          <w:szCs w:val="22"/>
        </w:rPr>
      </w:pPr>
      <w:proofErr w:type="spellStart"/>
      <w:r w:rsidRPr="00C60E78">
        <w:rPr>
          <w:rFonts w:ascii="Arial" w:hAnsi="Arial" w:cs="Arial"/>
          <w:sz w:val="22"/>
          <w:szCs w:val="22"/>
        </w:rPr>
        <w:t>Nesom</w:t>
      </w:r>
      <w:proofErr w:type="spellEnd"/>
      <w:r w:rsidRPr="00C60E78">
        <w:rPr>
          <w:rFonts w:ascii="Arial" w:hAnsi="Arial" w:cs="Arial"/>
          <w:sz w:val="22"/>
          <w:szCs w:val="22"/>
        </w:rPr>
        <w:t xml:space="preserve">, S. and </w:t>
      </w:r>
      <w:proofErr w:type="spellStart"/>
      <w:r w:rsidRPr="00C60E78">
        <w:rPr>
          <w:rFonts w:ascii="Arial" w:hAnsi="Arial" w:cs="Arial"/>
          <w:sz w:val="22"/>
          <w:szCs w:val="22"/>
        </w:rPr>
        <w:t>MacKillop</w:t>
      </w:r>
      <w:proofErr w:type="spellEnd"/>
      <w:r w:rsidRPr="00C60E78">
        <w:rPr>
          <w:rFonts w:ascii="Arial" w:hAnsi="Arial" w:cs="Arial"/>
          <w:sz w:val="22"/>
          <w:szCs w:val="22"/>
        </w:rPr>
        <w:t xml:space="preserve">, E. (2020). What matters in the implementation of sustainable development policies? Findings from the Well-Being of Future Generations (Wales) Act, 2015. </w:t>
      </w:r>
      <w:r w:rsidRPr="00C60E78">
        <w:rPr>
          <w:rFonts w:ascii="Arial" w:hAnsi="Arial" w:cs="Arial"/>
          <w:i/>
          <w:iCs/>
          <w:sz w:val="22"/>
          <w:szCs w:val="22"/>
        </w:rPr>
        <w:t>Journal of Environmental Policy &amp; Planning</w:t>
      </w:r>
      <w:r w:rsidRPr="00C60E78">
        <w:rPr>
          <w:rFonts w:ascii="Arial" w:hAnsi="Arial" w:cs="Arial"/>
          <w:sz w:val="22"/>
          <w:szCs w:val="22"/>
        </w:rPr>
        <w:t xml:space="preserve">, 23(4), pp.1–14. </w:t>
      </w:r>
      <w:proofErr w:type="spellStart"/>
      <w:r w:rsidRPr="00C60E78">
        <w:rPr>
          <w:rFonts w:ascii="Arial" w:hAnsi="Arial" w:cs="Arial"/>
          <w:sz w:val="22"/>
          <w:szCs w:val="22"/>
        </w:rPr>
        <w:t>doi:https</w:t>
      </w:r>
      <w:proofErr w:type="spellEnd"/>
      <w:r w:rsidRPr="00C60E78">
        <w:rPr>
          <w:rFonts w:ascii="Arial" w:hAnsi="Arial" w:cs="Arial"/>
          <w:sz w:val="22"/>
          <w:szCs w:val="22"/>
        </w:rPr>
        <w:t>://doi.org/10.1080/1523908x.2020.1858768.</w:t>
      </w:r>
    </w:p>
    <w:p w14:paraId="07067394" w14:textId="77777777"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Sharp, C., Mackintosh, K., </w:t>
      </w:r>
      <w:proofErr w:type="spellStart"/>
      <w:r w:rsidRPr="00C60E78">
        <w:rPr>
          <w:rFonts w:ascii="Arial" w:hAnsi="Arial" w:cs="Arial"/>
          <w:sz w:val="22"/>
          <w:szCs w:val="22"/>
        </w:rPr>
        <w:t>Willmot</w:t>
      </w:r>
      <w:proofErr w:type="spellEnd"/>
      <w:r w:rsidRPr="00C60E78">
        <w:rPr>
          <w:rFonts w:ascii="Arial" w:hAnsi="Arial" w:cs="Arial"/>
          <w:sz w:val="22"/>
          <w:szCs w:val="22"/>
        </w:rPr>
        <w:t xml:space="preserve">, R., Hughes, R., </w:t>
      </w:r>
      <w:proofErr w:type="spellStart"/>
      <w:r w:rsidRPr="00C60E78">
        <w:rPr>
          <w:rFonts w:ascii="Arial" w:hAnsi="Arial" w:cs="Arial"/>
          <w:sz w:val="22"/>
          <w:szCs w:val="22"/>
        </w:rPr>
        <w:t>McNarry</w:t>
      </w:r>
      <w:proofErr w:type="spellEnd"/>
      <w:r w:rsidRPr="00C60E78">
        <w:rPr>
          <w:rFonts w:ascii="Arial" w:hAnsi="Arial" w:cs="Arial"/>
          <w:sz w:val="22"/>
          <w:szCs w:val="22"/>
        </w:rPr>
        <w:t>, M. and Milton, K. (2022) “P01-14</w:t>
      </w:r>
      <w:r w:rsidRPr="00C60E78">
        <w:rPr>
          <w:rFonts w:ascii="Arial" w:hAnsi="Arial" w:cs="Arial"/>
          <w:sz w:val="22"/>
          <w:szCs w:val="22"/>
        </w:rPr>
        <w:t> </w:t>
      </w:r>
      <w:r w:rsidRPr="00C60E78">
        <w:rPr>
          <w:rFonts w:ascii="Arial" w:hAnsi="Arial" w:cs="Arial"/>
          <w:sz w:val="22"/>
          <w:szCs w:val="22"/>
        </w:rPr>
        <w:t xml:space="preserve">National policy response to the Sustainable Development Goals: a physical activity case study of Wales,” </w:t>
      </w:r>
      <w:r w:rsidRPr="00C60E78">
        <w:rPr>
          <w:rFonts w:ascii="Arial" w:hAnsi="Arial" w:cs="Arial"/>
          <w:i/>
          <w:iCs/>
          <w:sz w:val="22"/>
          <w:szCs w:val="22"/>
        </w:rPr>
        <w:t>European Journal of Public Health</w:t>
      </w:r>
      <w:r w:rsidRPr="00C60E78">
        <w:rPr>
          <w:rFonts w:ascii="Arial" w:hAnsi="Arial" w:cs="Arial"/>
          <w:sz w:val="22"/>
          <w:szCs w:val="22"/>
        </w:rPr>
        <w:t>, 32(Supplement_2). Available at: https://doi.org/10.1093/eurpub/ckac095.014.</w:t>
      </w:r>
    </w:p>
    <w:p w14:paraId="36E13ADC" w14:textId="77777777" w:rsidR="00C66097"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Sharp, C.A., Mackintosh, K.A., </w:t>
      </w:r>
      <w:proofErr w:type="spellStart"/>
      <w:r w:rsidRPr="00C60E78">
        <w:rPr>
          <w:rFonts w:ascii="Arial" w:hAnsi="Arial" w:cs="Arial"/>
          <w:sz w:val="22"/>
          <w:szCs w:val="22"/>
        </w:rPr>
        <w:t>Willmot</w:t>
      </w:r>
      <w:proofErr w:type="spellEnd"/>
      <w:r w:rsidRPr="00C60E78">
        <w:rPr>
          <w:rFonts w:ascii="Arial" w:hAnsi="Arial" w:cs="Arial"/>
          <w:sz w:val="22"/>
          <w:szCs w:val="22"/>
        </w:rPr>
        <w:t xml:space="preserve">, R., Hughes, R., </w:t>
      </w:r>
      <w:proofErr w:type="spellStart"/>
      <w:r w:rsidRPr="00C60E78">
        <w:rPr>
          <w:rFonts w:ascii="Arial" w:hAnsi="Arial" w:cs="Arial"/>
          <w:sz w:val="22"/>
          <w:szCs w:val="22"/>
        </w:rPr>
        <w:t>McNarry</w:t>
      </w:r>
      <w:proofErr w:type="spellEnd"/>
      <w:r w:rsidRPr="00C60E78">
        <w:rPr>
          <w:rFonts w:ascii="Arial" w:hAnsi="Arial" w:cs="Arial"/>
          <w:sz w:val="22"/>
          <w:szCs w:val="22"/>
        </w:rPr>
        <w:t xml:space="preserve">, M.A. and Milton, K. (2022). National Policy Response to the United Nations Sustainable Development Goals: A Physical Activity Case Study of Wales. </w:t>
      </w:r>
      <w:r w:rsidRPr="00C60E78">
        <w:rPr>
          <w:rFonts w:ascii="Arial" w:hAnsi="Arial" w:cs="Arial"/>
          <w:i/>
          <w:iCs/>
          <w:sz w:val="22"/>
          <w:szCs w:val="22"/>
        </w:rPr>
        <w:t>Journal of Physical Activity and Health</w:t>
      </w:r>
      <w:r w:rsidRPr="00C60E78">
        <w:rPr>
          <w:rFonts w:ascii="Arial" w:hAnsi="Arial" w:cs="Arial"/>
          <w:sz w:val="22"/>
          <w:szCs w:val="22"/>
        </w:rPr>
        <w:t xml:space="preserve">,[online] </w:t>
      </w:r>
    </w:p>
    <w:p w14:paraId="1D8C9F67" w14:textId="501E564A"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19(4), pp.316–326. </w:t>
      </w:r>
      <w:proofErr w:type="spellStart"/>
      <w:r w:rsidRPr="00C60E78">
        <w:rPr>
          <w:rFonts w:ascii="Arial" w:hAnsi="Arial" w:cs="Arial"/>
          <w:sz w:val="22"/>
          <w:szCs w:val="22"/>
        </w:rPr>
        <w:t>doi:https</w:t>
      </w:r>
      <w:proofErr w:type="spellEnd"/>
      <w:r w:rsidRPr="00C60E78">
        <w:rPr>
          <w:rFonts w:ascii="Arial" w:hAnsi="Arial" w:cs="Arial"/>
          <w:sz w:val="22"/>
          <w:szCs w:val="22"/>
        </w:rPr>
        <w:t>://doi.org/10.1123/jpah.2021-0491.</w:t>
      </w:r>
    </w:p>
    <w:p w14:paraId="36CBF375" w14:textId="341A9E74"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Sindall, C., Lo, S. and Capon, T. (2021). Governance for the well</w:t>
      </w:r>
      <w:r w:rsidRPr="00C60E78">
        <w:rPr>
          <w:rFonts w:ascii="Roboto" w:hAnsi="Roboto" w:cs="Roboto"/>
          <w:sz w:val="22"/>
          <w:szCs w:val="22"/>
        </w:rPr>
        <w:t>‐</w:t>
      </w:r>
      <w:r w:rsidRPr="00C60E78">
        <w:rPr>
          <w:rFonts w:ascii="Arial" w:hAnsi="Arial" w:cs="Arial"/>
          <w:sz w:val="22"/>
          <w:szCs w:val="22"/>
        </w:rPr>
        <w:t xml:space="preserve">being of future generations. </w:t>
      </w:r>
      <w:r w:rsidRPr="00C60E78">
        <w:rPr>
          <w:rFonts w:ascii="Arial" w:hAnsi="Arial" w:cs="Arial"/>
          <w:i/>
          <w:iCs/>
          <w:sz w:val="22"/>
          <w:szCs w:val="22"/>
        </w:rPr>
        <w:t>Journal of Paediatrics and Child Health</w:t>
      </w:r>
      <w:r w:rsidRPr="00C60E78">
        <w:rPr>
          <w:rFonts w:ascii="Arial" w:hAnsi="Arial" w:cs="Arial"/>
          <w:sz w:val="22"/>
          <w:szCs w:val="22"/>
        </w:rPr>
        <w:t xml:space="preserve">,[online]57(11),pp.1749–1753. </w:t>
      </w:r>
      <w:proofErr w:type="spellStart"/>
      <w:r w:rsidRPr="00C60E78">
        <w:rPr>
          <w:rFonts w:ascii="Arial" w:hAnsi="Arial" w:cs="Arial"/>
          <w:sz w:val="22"/>
          <w:szCs w:val="22"/>
        </w:rPr>
        <w:t>doi:https</w:t>
      </w:r>
      <w:proofErr w:type="spellEnd"/>
      <w:r w:rsidRPr="00C60E78">
        <w:rPr>
          <w:rFonts w:ascii="Arial" w:hAnsi="Arial" w:cs="Arial"/>
          <w:sz w:val="22"/>
          <w:szCs w:val="22"/>
        </w:rPr>
        <w:t>://doi.org/10.1111/jpc.15813.</w:t>
      </w:r>
    </w:p>
    <w:p w14:paraId="49479C74" w14:textId="4ECA1FC9"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 xml:space="preserve">Wallace, J. (2018). Wales: Wellbeing as Sustainable Development. </w:t>
      </w:r>
      <w:proofErr w:type="spellStart"/>
      <w:r w:rsidRPr="00C60E78">
        <w:rPr>
          <w:rFonts w:ascii="Arial" w:hAnsi="Arial" w:cs="Arial"/>
          <w:i/>
          <w:iCs/>
          <w:sz w:val="22"/>
          <w:szCs w:val="22"/>
        </w:rPr>
        <w:t>Wellbein</w:t>
      </w:r>
      <w:proofErr w:type="spellEnd"/>
      <w:r w:rsidR="00B035C9">
        <w:rPr>
          <w:rFonts w:ascii="Arial" w:hAnsi="Arial" w:cs="Arial"/>
          <w:i/>
          <w:iCs/>
          <w:sz w:val="22"/>
          <w:szCs w:val="22"/>
        </w:rPr>
        <w:t xml:space="preserve"> </w:t>
      </w:r>
      <w:r w:rsidRPr="00C60E78">
        <w:rPr>
          <w:rFonts w:ascii="Arial" w:hAnsi="Arial" w:cs="Arial"/>
          <w:i/>
          <w:iCs/>
          <w:sz w:val="22"/>
          <w:szCs w:val="22"/>
        </w:rPr>
        <w:t>and Devolution</w:t>
      </w:r>
      <w:r w:rsidRPr="00C60E78">
        <w:rPr>
          <w:rFonts w:ascii="Arial" w:hAnsi="Arial" w:cs="Arial"/>
          <w:sz w:val="22"/>
          <w:szCs w:val="22"/>
        </w:rPr>
        <w:t xml:space="preserve">, pp.73–101. </w:t>
      </w:r>
      <w:proofErr w:type="spellStart"/>
      <w:r w:rsidRPr="00C60E78">
        <w:rPr>
          <w:rFonts w:ascii="Arial" w:hAnsi="Arial" w:cs="Arial"/>
          <w:sz w:val="22"/>
          <w:szCs w:val="22"/>
        </w:rPr>
        <w:t>doi:https</w:t>
      </w:r>
      <w:proofErr w:type="spellEnd"/>
      <w:r w:rsidRPr="00C60E78">
        <w:rPr>
          <w:rFonts w:ascii="Arial" w:hAnsi="Arial" w:cs="Arial"/>
          <w:sz w:val="22"/>
          <w:szCs w:val="22"/>
        </w:rPr>
        <w:t>://doi.org/10.1007/978-3-030-02230-3_4.</w:t>
      </w:r>
    </w:p>
    <w:p w14:paraId="5B49FCE2" w14:textId="088B256A"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World Health Organi</w:t>
      </w:r>
      <w:r w:rsidR="00A92A91" w:rsidRPr="00C60E78">
        <w:rPr>
          <w:rFonts w:ascii="Arial" w:hAnsi="Arial" w:cs="Arial"/>
          <w:sz w:val="22"/>
          <w:szCs w:val="22"/>
        </w:rPr>
        <w:t>s</w:t>
      </w:r>
      <w:r w:rsidRPr="00C60E78">
        <w:rPr>
          <w:rFonts w:ascii="Arial" w:hAnsi="Arial" w:cs="Arial"/>
          <w:sz w:val="22"/>
          <w:szCs w:val="22"/>
        </w:rPr>
        <w:t xml:space="preserve">ation. Regional Office for Europe (2024). </w:t>
      </w:r>
      <w:r w:rsidRPr="00C60E78">
        <w:rPr>
          <w:rFonts w:ascii="Arial" w:hAnsi="Arial" w:cs="Arial"/>
          <w:i/>
          <w:iCs/>
          <w:sz w:val="22"/>
          <w:szCs w:val="22"/>
        </w:rPr>
        <w:t>Country deep dive on the well-being economy: Wales.. World Health Organi</w:t>
      </w:r>
      <w:r w:rsidR="00A92A91" w:rsidRPr="00C60E78">
        <w:rPr>
          <w:rFonts w:ascii="Arial" w:hAnsi="Arial" w:cs="Arial"/>
          <w:i/>
          <w:iCs/>
          <w:sz w:val="22"/>
          <w:szCs w:val="22"/>
        </w:rPr>
        <w:t>s</w:t>
      </w:r>
      <w:r w:rsidRPr="00C60E78">
        <w:rPr>
          <w:rFonts w:ascii="Arial" w:hAnsi="Arial" w:cs="Arial"/>
          <w:i/>
          <w:iCs/>
          <w:sz w:val="22"/>
          <w:szCs w:val="22"/>
        </w:rPr>
        <w:t>ation</w:t>
      </w:r>
      <w:r w:rsidRPr="00C60E78">
        <w:rPr>
          <w:rFonts w:ascii="Arial" w:hAnsi="Arial" w:cs="Arial"/>
          <w:sz w:val="22"/>
          <w:szCs w:val="22"/>
        </w:rPr>
        <w:t>. [online] Regional Office for Europe. Available at: https://iris.who.int/items/bd748fcf-abed-4274-a7ce-343907fb7cbb.</w:t>
      </w:r>
    </w:p>
    <w:p w14:paraId="407755C6" w14:textId="3E7A3540" w:rsidR="00C55D67" w:rsidRPr="00C60E78" w:rsidRDefault="00C55D67" w:rsidP="00B035C9">
      <w:pPr>
        <w:spacing w:after="0" w:line="360" w:lineRule="auto"/>
        <w:ind w:left="720" w:hanging="720"/>
        <w:jc w:val="both"/>
        <w:rPr>
          <w:rFonts w:ascii="Arial" w:hAnsi="Arial" w:cs="Arial"/>
          <w:sz w:val="22"/>
          <w:szCs w:val="22"/>
        </w:rPr>
      </w:pPr>
      <w:r w:rsidRPr="00C60E78">
        <w:rPr>
          <w:rFonts w:ascii="Arial" w:hAnsi="Arial" w:cs="Arial"/>
          <w:sz w:val="22"/>
          <w:szCs w:val="22"/>
        </w:rPr>
        <w:t>World Health Organi</w:t>
      </w:r>
      <w:r w:rsidR="00A92A91" w:rsidRPr="00C60E78">
        <w:rPr>
          <w:rFonts w:ascii="Arial" w:hAnsi="Arial" w:cs="Arial"/>
          <w:sz w:val="22"/>
          <w:szCs w:val="22"/>
        </w:rPr>
        <w:t>s</w:t>
      </w:r>
      <w:r w:rsidRPr="00C60E78">
        <w:rPr>
          <w:rFonts w:ascii="Arial" w:hAnsi="Arial" w:cs="Arial"/>
          <w:sz w:val="22"/>
          <w:szCs w:val="22"/>
        </w:rPr>
        <w:t xml:space="preserve">ation. Regional Office for Europe, </w:t>
      </w:r>
      <w:proofErr w:type="spellStart"/>
      <w:r w:rsidRPr="00C60E78">
        <w:rPr>
          <w:rFonts w:ascii="Arial" w:hAnsi="Arial" w:cs="Arial"/>
          <w:sz w:val="22"/>
          <w:szCs w:val="22"/>
        </w:rPr>
        <w:t>Lechyd</w:t>
      </w:r>
      <w:proofErr w:type="spellEnd"/>
      <w:r w:rsidRPr="00C60E78">
        <w:rPr>
          <w:rFonts w:ascii="Arial" w:hAnsi="Arial" w:cs="Arial"/>
          <w:sz w:val="22"/>
          <w:szCs w:val="22"/>
        </w:rPr>
        <w:t xml:space="preserve"> </w:t>
      </w:r>
      <w:proofErr w:type="spellStart"/>
      <w:r w:rsidRPr="00C60E78">
        <w:rPr>
          <w:rFonts w:ascii="Arial" w:hAnsi="Arial" w:cs="Arial"/>
          <w:sz w:val="22"/>
          <w:szCs w:val="22"/>
        </w:rPr>
        <w:t>Cyhoeddus</w:t>
      </w:r>
      <w:proofErr w:type="spellEnd"/>
      <w:r w:rsidRPr="00C60E78">
        <w:rPr>
          <w:rFonts w:ascii="Arial" w:hAnsi="Arial" w:cs="Arial"/>
          <w:sz w:val="22"/>
          <w:szCs w:val="22"/>
        </w:rPr>
        <w:t xml:space="preserve"> </w:t>
      </w:r>
      <w:proofErr w:type="spellStart"/>
      <w:r w:rsidRPr="00C60E78">
        <w:rPr>
          <w:rFonts w:ascii="Arial" w:hAnsi="Arial" w:cs="Arial"/>
          <w:sz w:val="22"/>
          <w:szCs w:val="22"/>
        </w:rPr>
        <w:t>Cymru</w:t>
      </w:r>
      <w:proofErr w:type="spellEnd"/>
      <w:r w:rsidRPr="00C60E78">
        <w:rPr>
          <w:rFonts w:ascii="Arial" w:hAnsi="Arial" w:cs="Arial"/>
          <w:sz w:val="22"/>
          <w:szCs w:val="22"/>
        </w:rPr>
        <w:t xml:space="preserve"> / Public Health Wales &amp; </w:t>
      </w:r>
      <w:proofErr w:type="spellStart"/>
      <w:r w:rsidRPr="00C60E78">
        <w:rPr>
          <w:rFonts w:ascii="Arial" w:hAnsi="Arial" w:cs="Arial"/>
          <w:sz w:val="22"/>
          <w:szCs w:val="22"/>
        </w:rPr>
        <w:t>Llywodraeth</w:t>
      </w:r>
      <w:proofErr w:type="spellEnd"/>
      <w:r w:rsidRPr="00C60E78">
        <w:rPr>
          <w:rFonts w:ascii="Arial" w:hAnsi="Arial" w:cs="Arial"/>
          <w:sz w:val="22"/>
          <w:szCs w:val="22"/>
        </w:rPr>
        <w:t xml:space="preserve"> </w:t>
      </w:r>
      <w:proofErr w:type="spellStart"/>
      <w:r w:rsidRPr="00C60E78">
        <w:rPr>
          <w:rFonts w:ascii="Arial" w:hAnsi="Arial" w:cs="Arial"/>
          <w:sz w:val="22"/>
          <w:szCs w:val="22"/>
        </w:rPr>
        <w:t>Cymru</w:t>
      </w:r>
      <w:proofErr w:type="spellEnd"/>
      <w:r w:rsidRPr="00C60E78">
        <w:rPr>
          <w:rFonts w:ascii="Arial" w:hAnsi="Arial" w:cs="Arial"/>
          <w:sz w:val="22"/>
          <w:szCs w:val="22"/>
        </w:rPr>
        <w:t xml:space="preserve"> / Welsh Government (2026). </w:t>
      </w:r>
      <w:proofErr w:type="spellStart"/>
      <w:r w:rsidRPr="00C60E78">
        <w:rPr>
          <w:rFonts w:ascii="Arial" w:hAnsi="Arial" w:cs="Arial"/>
          <w:i/>
          <w:iCs/>
          <w:sz w:val="22"/>
          <w:szCs w:val="22"/>
        </w:rPr>
        <w:t>DSpace</w:t>
      </w:r>
      <w:proofErr w:type="spellEnd"/>
      <w:r w:rsidRPr="00C60E78">
        <w:rPr>
          <w:rFonts w:ascii="Arial" w:hAnsi="Arial" w:cs="Arial"/>
          <w:sz w:val="22"/>
          <w:szCs w:val="22"/>
        </w:rPr>
        <w:t xml:space="preserve">. [online] </w:t>
      </w:r>
      <w:proofErr w:type="spellStart"/>
      <w:r w:rsidRPr="00C60E78">
        <w:rPr>
          <w:rFonts w:ascii="Arial" w:hAnsi="Arial" w:cs="Arial"/>
          <w:sz w:val="22"/>
          <w:szCs w:val="22"/>
        </w:rPr>
        <w:t>Who.int</w:t>
      </w:r>
      <w:proofErr w:type="spellEnd"/>
      <w:r w:rsidRPr="00C60E78">
        <w:rPr>
          <w:rFonts w:ascii="Arial" w:hAnsi="Arial" w:cs="Arial"/>
          <w:sz w:val="22"/>
          <w:szCs w:val="22"/>
        </w:rPr>
        <w:t>. Available at: https://iris.who.int/items/123e4886-cb69-400e-a445-7670ff3922e9 [Accessed 15 Jun. 2026].</w:t>
      </w:r>
    </w:p>
    <w:sectPr w:rsidR="00C55D67" w:rsidRPr="00C60E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20B0004020202020204"/>
    <w:charset w:val="00"/>
    <w:family w:val="swiss"/>
    <w:pitch w:val="variable"/>
    <w:sig w:usb0="20000287" w:usb1="00000003" w:usb2="00000000"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96841"/>
    <w:multiLevelType w:val="hybridMultilevel"/>
    <w:tmpl w:val="4238B2C6"/>
    <w:lvl w:ilvl="0" w:tplc="D97289A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14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D67"/>
    <w:rsid w:val="00295A93"/>
    <w:rsid w:val="002D7168"/>
    <w:rsid w:val="002E03A2"/>
    <w:rsid w:val="00331F1E"/>
    <w:rsid w:val="0037193A"/>
    <w:rsid w:val="00382B71"/>
    <w:rsid w:val="00384283"/>
    <w:rsid w:val="004D68C8"/>
    <w:rsid w:val="00554192"/>
    <w:rsid w:val="005E7137"/>
    <w:rsid w:val="00634C23"/>
    <w:rsid w:val="00671A7E"/>
    <w:rsid w:val="006724BB"/>
    <w:rsid w:val="007331B4"/>
    <w:rsid w:val="00742117"/>
    <w:rsid w:val="008409C9"/>
    <w:rsid w:val="00952CAE"/>
    <w:rsid w:val="00A238DF"/>
    <w:rsid w:val="00A92A91"/>
    <w:rsid w:val="00B035C9"/>
    <w:rsid w:val="00BA484D"/>
    <w:rsid w:val="00BA5C51"/>
    <w:rsid w:val="00BC3F2E"/>
    <w:rsid w:val="00C55D67"/>
    <w:rsid w:val="00C5723E"/>
    <w:rsid w:val="00C60E78"/>
    <w:rsid w:val="00C66097"/>
    <w:rsid w:val="00D35FF6"/>
    <w:rsid w:val="00D44BC5"/>
    <w:rsid w:val="00DC2A05"/>
    <w:rsid w:val="00E01ADD"/>
    <w:rsid w:val="00E74B28"/>
    <w:rsid w:val="00E75979"/>
    <w:rsid w:val="00FD2894"/>
    <w:rsid w:val="00FE6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97165"/>
  <w15:chartTrackingRefBased/>
  <w15:docId w15:val="{280C5940-502B-4242-A9A5-1F7664887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C55D67"/>
    <w:pPr>
      <w:numPr>
        <w:numId w:val="1"/>
      </w:numPr>
      <w:jc w:val="both"/>
      <w:outlineLvl w:val="0"/>
    </w:pPr>
    <w:rPr>
      <w:rFonts w:ascii="Times New Roman" w:hAnsi="Times New Roman" w:cs="Times New Roman"/>
      <w:b/>
      <w:bCs/>
    </w:rPr>
  </w:style>
  <w:style w:type="paragraph" w:styleId="Heading2">
    <w:name w:val="heading 2"/>
    <w:basedOn w:val="Normal"/>
    <w:next w:val="Normal"/>
    <w:link w:val="Heading2Char"/>
    <w:uiPriority w:val="9"/>
    <w:semiHidden/>
    <w:unhideWhenUsed/>
    <w:qFormat/>
    <w:rsid w:val="00C55D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D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D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D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D67"/>
    <w:rPr>
      <w:rFonts w:ascii="Times New Roman" w:hAnsi="Times New Roman" w:cs="Times New Roman"/>
      <w:b/>
      <w:bCs/>
    </w:rPr>
  </w:style>
  <w:style w:type="character" w:customStyle="1" w:styleId="Heading2Char">
    <w:name w:val="Heading 2 Char"/>
    <w:basedOn w:val="DefaultParagraphFont"/>
    <w:link w:val="Heading2"/>
    <w:uiPriority w:val="9"/>
    <w:semiHidden/>
    <w:rsid w:val="00C55D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D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D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D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D67"/>
    <w:rPr>
      <w:rFonts w:eastAsiaTheme="majorEastAsia" w:cstheme="majorBidi"/>
      <w:color w:val="272727" w:themeColor="text1" w:themeTint="D8"/>
    </w:rPr>
  </w:style>
  <w:style w:type="paragraph" w:styleId="Title">
    <w:name w:val="Title"/>
    <w:basedOn w:val="Normal"/>
    <w:next w:val="Normal"/>
    <w:link w:val="TitleChar"/>
    <w:uiPriority w:val="10"/>
    <w:qFormat/>
    <w:rsid w:val="00C55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D67"/>
    <w:pPr>
      <w:spacing w:before="160"/>
      <w:jc w:val="center"/>
    </w:pPr>
    <w:rPr>
      <w:i/>
      <w:iCs/>
      <w:color w:val="404040" w:themeColor="text1" w:themeTint="BF"/>
    </w:rPr>
  </w:style>
  <w:style w:type="character" w:customStyle="1" w:styleId="QuoteChar">
    <w:name w:val="Quote Char"/>
    <w:basedOn w:val="DefaultParagraphFont"/>
    <w:link w:val="Quote"/>
    <w:uiPriority w:val="29"/>
    <w:rsid w:val="00C55D67"/>
    <w:rPr>
      <w:i/>
      <w:iCs/>
      <w:color w:val="404040" w:themeColor="text1" w:themeTint="BF"/>
    </w:rPr>
  </w:style>
  <w:style w:type="paragraph" w:styleId="ListParagraph">
    <w:name w:val="List Paragraph"/>
    <w:basedOn w:val="Normal"/>
    <w:uiPriority w:val="34"/>
    <w:qFormat/>
    <w:rsid w:val="00C55D67"/>
    <w:pPr>
      <w:ind w:left="720"/>
      <w:contextualSpacing/>
    </w:pPr>
  </w:style>
  <w:style w:type="character" w:styleId="IntenseEmphasis">
    <w:name w:val="Intense Emphasis"/>
    <w:basedOn w:val="DefaultParagraphFont"/>
    <w:uiPriority w:val="21"/>
    <w:qFormat/>
    <w:rsid w:val="00C55D67"/>
    <w:rPr>
      <w:i/>
      <w:iCs/>
      <w:color w:val="0F4761" w:themeColor="accent1" w:themeShade="BF"/>
    </w:rPr>
  </w:style>
  <w:style w:type="paragraph" w:styleId="IntenseQuote">
    <w:name w:val="Intense Quote"/>
    <w:basedOn w:val="Normal"/>
    <w:next w:val="Normal"/>
    <w:link w:val="IntenseQuoteChar"/>
    <w:uiPriority w:val="30"/>
    <w:qFormat/>
    <w:rsid w:val="00C55D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D67"/>
    <w:rPr>
      <w:i/>
      <w:iCs/>
      <w:color w:val="0F4761" w:themeColor="accent1" w:themeShade="BF"/>
    </w:rPr>
  </w:style>
  <w:style w:type="character" w:styleId="IntenseReference">
    <w:name w:val="Intense Reference"/>
    <w:basedOn w:val="DefaultParagraphFont"/>
    <w:uiPriority w:val="32"/>
    <w:qFormat/>
    <w:rsid w:val="00C55D67"/>
    <w:rPr>
      <w:b/>
      <w:bCs/>
      <w:smallCaps/>
      <w:color w:val="0F4761" w:themeColor="accent1" w:themeShade="BF"/>
      <w:spacing w:val="5"/>
    </w:rPr>
  </w:style>
  <w:style w:type="paragraph" w:styleId="TOCHeading">
    <w:name w:val="TOC Heading"/>
    <w:basedOn w:val="Heading1"/>
    <w:next w:val="Normal"/>
    <w:uiPriority w:val="39"/>
    <w:unhideWhenUsed/>
    <w:qFormat/>
    <w:rsid w:val="004D68C8"/>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D68C8"/>
    <w:pPr>
      <w:spacing w:after="100"/>
    </w:pPr>
  </w:style>
  <w:style w:type="character" w:styleId="Hyperlink">
    <w:name w:val="Hyperlink"/>
    <w:basedOn w:val="DefaultParagraphFont"/>
    <w:uiPriority w:val="99"/>
    <w:unhideWhenUsed/>
    <w:rsid w:val="004D68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935FE-A487-4C09-BBCF-657B857BA1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3088</Words>
  <Characters>17607</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Introduction</vt:lpstr>
      <vt:lpstr>References</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dc</dc:creator>
  <cp:keywords/>
  <dc:description/>
  <cp:lastModifiedBy>kiran naaz</cp:lastModifiedBy>
  <cp:revision>26</cp:revision>
  <dcterms:created xsi:type="dcterms:W3CDTF">2026-06-17T00:25:00Z</dcterms:created>
  <dcterms:modified xsi:type="dcterms:W3CDTF">2026-06-17T00:42:00Z</dcterms:modified>
</cp:coreProperties>
</file>