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0679E" w14:textId="77777777" w:rsidR="007F25EA" w:rsidRPr="00546C7E" w:rsidRDefault="007F25EA">
      <w:pPr>
        <w:jc w:val="center"/>
        <w:rPr>
          <w:b/>
          <w:bCs/>
          <w:color w:val="000000" w:themeColor="text1"/>
          <w:sz w:val="32"/>
          <w:szCs w:val="32"/>
        </w:rPr>
      </w:pPr>
    </w:p>
    <w:p w14:paraId="135427D0" w14:textId="77777777" w:rsidR="007F25EA" w:rsidRPr="00546C7E" w:rsidRDefault="007F25EA">
      <w:pPr>
        <w:jc w:val="center"/>
        <w:rPr>
          <w:b/>
          <w:bCs/>
          <w:color w:val="000000" w:themeColor="text1"/>
          <w:sz w:val="32"/>
          <w:szCs w:val="32"/>
        </w:rPr>
      </w:pPr>
    </w:p>
    <w:p w14:paraId="1E882384" w14:textId="77777777" w:rsidR="007F25EA" w:rsidRPr="00546C7E" w:rsidRDefault="007F25EA">
      <w:pPr>
        <w:jc w:val="center"/>
        <w:rPr>
          <w:b/>
          <w:bCs/>
          <w:color w:val="000000" w:themeColor="text1"/>
          <w:sz w:val="32"/>
          <w:szCs w:val="32"/>
        </w:rPr>
      </w:pPr>
    </w:p>
    <w:p w14:paraId="67C74755" w14:textId="77777777" w:rsidR="007F25EA" w:rsidRPr="00546C7E" w:rsidRDefault="007F25EA">
      <w:pPr>
        <w:jc w:val="center"/>
        <w:rPr>
          <w:b/>
          <w:bCs/>
          <w:color w:val="000000" w:themeColor="text1"/>
          <w:sz w:val="32"/>
          <w:szCs w:val="32"/>
        </w:rPr>
      </w:pPr>
    </w:p>
    <w:p w14:paraId="6308738D" w14:textId="77777777" w:rsidR="007F25EA" w:rsidRPr="00546C7E" w:rsidRDefault="007F25EA">
      <w:pPr>
        <w:jc w:val="center"/>
        <w:rPr>
          <w:b/>
          <w:bCs/>
          <w:color w:val="000000" w:themeColor="text1"/>
          <w:sz w:val="32"/>
          <w:szCs w:val="32"/>
        </w:rPr>
      </w:pPr>
    </w:p>
    <w:p w14:paraId="5645C2BC" w14:textId="57FB7087" w:rsidR="007F25EA" w:rsidRPr="00546C7E" w:rsidRDefault="00AD477A">
      <w:pPr>
        <w:jc w:val="center"/>
        <w:rPr>
          <w:b/>
          <w:bCs/>
          <w:color w:val="000000" w:themeColor="text1"/>
          <w:sz w:val="32"/>
          <w:szCs w:val="32"/>
        </w:rPr>
      </w:pPr>
      <w:r>
        <w:rPr>
          <w:noProof/>
        </w:rPr>
        <w:drawing>
          <wp:inline distT="0" distB="0" distL="0" distR="0" wp14:anchorId="6418DE0E" wp14:editId="290BB852">
            <wp:extent cx="4152900" cy="1328420"/>
            <wp:effectExtent l="0" t="0" r="0" b="0"/>
            <wp:docPr id="344128096" name="image1.png" descr="SCVO | Sandwell Council of Voluntary Organisations."/>
            <wp:cNvGraphicFramePr/>
            <a:graphic xmlns:a="http://schemas.openxmlformats.org/drawingml/2006/main">
              <a:graphicData uri="http://schemas.openxmlformats.org/drawingml/2006/picture">
                <pic:pic xmlns:pic="http://schemas.openxmlformats.org/drawingml/2006/picture">
                  <pic:nvPicPr>
                    <pic:cNvPr id="2" name="image1.png" descr="SCVO | Sandwell Council of Voluntary Organisations."/>
                    <pic:cNvPicPr/>
                  </pic:nvPicPr>
                  <pic:blipFill>
                    <a:blip r:embed="rId7"/>
                    <a:srcRect r="23643"/>
                    <a:stretch>
                      <a:fillRect/>
                    </a:stretch>
                  </pic:blipFill>
                  <pic:spPr>
                    <a:xfrm>
                      <a:off x="0" y="0"/>
                      <a:ext cx="4152900" cy="1328420"/>
                    </a:xfrm>
                    <a:prstGeom prst="rect">
                      <a:avLst/>
                    </a:prstGeom>
                    <a:ln/>
                  </pic:spPr>
                </pic:pic>
              </a:graphicData>
            </a:graphic>
          </wp:inline>
        </w:drawing>
      </w:r>
    </w:p>
    <w:p w14:paraId="4D4C9052" w14:textId="77777777" w:rsidR="007F25EA" w:rsidRPr="00546C7E" w:rsidRDefault="007F25EA">
      <w:pPr>
        <w:jc w:val="center"/>
        <w:rPr>
          <w:b/>
          <w:bCs/>
          <w:color w:val="000000" w:themeColor="text1"/>
          <w:sz w:val="32"/>
          <w:szCs w:val="32"/>
        </w:rPr>
      </w:pPr>
    </w:p>
    <w:p w14:paraId="0D497475" w14:textId="77777777" w:rsidR="007F25EA" w:rsidRPr="00546C7E" w:rsidRDefault="007F25EA">
      <w:pPr>
        <w:jc w:val="center"/>
        <w:rPr>
          <w:b/>
          <w:bCs/>
          <w:color w:val="000000" w:themeColor="text1"/>
          <w:sz w:val="32"/>
          <w:szCs w:val="32"/>
        </w:rPr>
      </w:pPr>
    </w:p>
    <w:p w14:paraId="560557BD" w14:textId="77777777" w:rsidR="007F25EA" w:rsidRPr="00546C7E" w:rsidRDefault="00000000">
      <w:pPr>
        <w:jc w:val="center"/>
        <w:rPr>
          <w:b/>
          <w:bCs/>
          <w:color w:val="000000" w:themeColor="text1"/>
          <w:sz w:val="32"/>
          <w:szCs w:val="32"/>
        </w:rPr>
      </w:pPr>
      <w:r w:rsidRPr="00546C7E">
        <w:rPr>
          <w:b/>
          <w:bCs/>
          <w:color w:val="000000" w:themeColor="text1"/>
          <w:sz w:val="32"/>
          <w:szCs w:val="32"/>
        </w:rPr>
        <w:t>MODULE: HEALTH, WELLBEING AND SUSTAINABLE DEVELOPMENT</w:t>
      </w:r>
    </w:p>
    <w:p w14:paraId="2603C015" w14:textId="77777777" w:rsidR="007F25EA" w:rsidRDefault="00000000">
      <w:pPr>
        <w:jc w:val="center"/>
        <w:rPr>
          <w:b/>
          <w:bCs/>
          <w:color w:val="000000" w:themeColor="text1"/>
          <w:sz w:val="32"/>
          <w:szCs w:val="32"/>
        </w:rPr>
      </w:pPr>
      <w:r w:rsidRPr="00546C7E">
        <w:rPr>
          <w:b/>
          <w:bCs/>
          <w:color w:val="000000" w:themeColor="text1"/>
          <w:sz w:val="32"/>
          <w:szCs w:val="32"/>
        </w:rPr>
        <w:t>MODULE CODE: BMHP6030</w:t>
      </w:r>
    </w:p>
    <w:p w14:paraId="00631DA1" w14:textId="77777777" w:rsidR="00AD477A" w:rsidRDefault="00AD477A">
      <w:pPr>
        <w:jc w:val="center"/>
        <w:rPr>
          <w:b/>
          <w:bCs/>
          <w:color w:val="000000" w:themeColor="text1"/>
          <w:sz w:val="32"/>
          <w:szCs w:val="32"/>
        </w:rPr>
      </w:pPr>
      <w:r>
        <w:rPr>
          <w:b/>
          <w:bCs/>
          <w:color w:val="000000" w:themeColor="text1"/>
          <w:sz w:val="32"/>
          <w:szCs w:val="32"/>
        </w:rPr>
        <w:t xml:space="preserve">Student Name: </w:t>
      </w:r>
      <w:r w:rsidRPr="00AD477A">
        <w:rPr>
          <w:b/>
          <w:bCs/>
          <w:color w:val="000000" w:themeColor="text1"/>
          <w:sz w:val="32"/>
          <w:szCs w:val="32"/>
        </w:rPr>
        <w:t xml:space="preserve">Maricela Moraru </w:t>
      </w:r>
    </w:p>
    <w:p w14:paraId="7574565E" w14:textId="77777777" w:rsidR="00AD477A" w:rsidRDefault="00AD477A" w:rsidP="00AD477A">
      <w:pPr>
        <w:jc w:val="center"/>
        <w:rPr>
          <w:b/>
          <w:bCs/>
          <w:color w:val="000000" w:themeColor="text1"/>
          <w:sz w:val="32"/>
          <w:szCs w:val="32"/>
        </w:rPr>
      </w:pPr>
      <w:r>
        <w:rPr>
          <w:b/>
          <w:bCs/>
          <w:color w:val="000000" w:themeColor="text1"/>
          <w:sz w:val="32"/>
          <w:szCs w:val="32"/>
        </w:rPr>
        <w:t xml:space="preserve">Student ID: </w:t>
      </w:r>
      <w:r w:rsidRPr="00AD477A">
        <w:rPr>
          <w:b/>
          <w:bCs/>
          <w:color w:val="000000" w:themeColor="text1"/>
          <w:sz w:val="32"/>
          <w:szCs w:val="32"/>
        </w:rPr>
        <w:t>2238835</w:t>
      </w:r>
    </w:p>
    <w:p w14:paraId="4E776AAA" w14:textId="0B224CCA" w:rsidR="00AD477A" w:rsidRPr="00546C7E" w:rsidRDefault="00AD477A">
      <w:pPr>
        <w:jc w:val="center"/>
        <w:rPr>
          <w:b/>
          <w:bCs/>
          <w:color w:val="000000" w:themeColor="text1"/>
          <w:sz w:val="32"/>
          <w:szCs w:val="32"/>
        </w:rPr>
      </w:pPr>
    </w:p>
    <w:p w14:paraId="78ECB7F9" w14:textId="77777777" w:rsidR="007F25EA" w:rsidRPr="00546C7E" w:rsidRDefault="00000000">
      <w:pPr>
        <w:rPr>
          <w:b/>
          <w:bCs/>
          <w:color w:val="000000" w:themeColor="text1"/>
        </w:rPr>
      </w:pPr>
      <w:r w:rsidRPr="00546C7E">
        <w:rPr>
          <w:color w:val="000000" w:themeColor="text1"/>
        </w:rPr>
        <w:br w:type="page"/>
      </w:r>
    </w:p>
    <w:p w14:paraId="2C5ABD33" w14:textId="77777777" w:rsidR="007F25EA" w:rsidRPr="00546C7E" w:rsidRDefault="00000000" w:rsidP="00A14F9F">
      <w:pPr>
        <w:jc w:val="center"/>
        <w:rPr>
          <w:b/>
          <w:bCs/>
          <w:color w:val="000000" w:themeColor="text1"/>
        </w:rPr>
      </w:pPr>
      <w:r w:rsidRPr="00546C7E">
        <w:rPr>
          <w:b/>
          <w:bCs/>
          <w:color w:val="000000" w:themeColor="text1"/>
        </w:rPr>
        <w:lastRenderedPageBreak/>
        <w:t>Executive Summary</w:t>
      </w:r>
    </w:p>
    <w:p w14:paraId="30191D2D" w14:textId="77777777" w:rsidR="007F25EA" w:rsidRPr="00546C7E" w:rsidRDefault="00000000">
      <w:pPr>
        <w:rPr>
          <w:b/>
          <w:bCs/>
          <w:color w:val="000000" w:themeColor="text1"/>
        </w:rPr>
      </w:pPr>
      <w:r w:rsidRPr="00546C7E">
        <w:rPr>
          <w:b/>
          <w:bCs/>
          <w:color w:val="000000" w:themeColor="text1"/>
        </w:rPr>
        <w:t>Scope</w:t>
      </w:r>
    </w:p>
    <w:p w14:paraId="4E812468" w14:textId="77777777" w:rsidR="007F25EA" w:rsidRPr="00546C7E" w:rsidRDefault="00000000">
      <w:pPr>
        <w:rPr>
          <w:color w:val="000000" w:themeColor="text1"/>
        </w:rPr>
      </w:pPr>
      <w:r w:rsidRPr="00546C7E">
        <w:rPr>
          <w:color w:val="000000" w:themeColor="text1"/>
        </w:rPr>
        <w:t xml:space="preserve">The report highlights SDG 3 and another SDG to demonstrate their application in developing international and national policies that are theoretically aligned. </w:t>
      </w:r>
    </w:p>
    <w:p w14:paraId="4B5E9A8C" w14:textId="77777777" w:rsidR="007F25EA" w:rsidRPr="00546C7E" w:rsidRDefault="00000000">
      <w:pPr>
        <w:rPr>
          <w:b/>
          <w:bCs/>
          <w:color w:val="000000" w:themeColor="text1"/>
        </w:rPr>
      </w:pPr>
      <w:r w:rsidRPr="00546C7E">
        <w:rPr>
          <w:b/>
          <w:bCs/>
          <w:color w:val="000000" w:themeColor="text1"/>
        </w:rPr>
        <w:t>Findings</w:t>
      </w:r>
    </w:p>
    <w:p w14:paraId="075BD4DD" w14:textId="77777777" w:rsidR="007F25EA" w:rsidRPr="00546C7E" w:rsidRDefault="00000000">
      <w:pPr>
        <w:rPr>
          <w:b/>
          <w:bCs/>
          <w:color w:val="000000" w:themeColor="text1"/>
        </w:rPr>
      </w:pPr>
      <w:r w:rsidRPr="00546C7E">
        <w:rPr>
          <w:color w:val="000000" w:themeColor="text1"/>
        </w:rPr>
        <w:t>SDG 3 focuses on equity in healthcare access, while SDG 12 focuses on waste reduction and ethical consumption. These could be exemplified by international policies such as the WHO Universal Health Coverage and the 10-year framework for sustainable development. This has been aligned with theories such as social determinants of health, the biopsychosocial model and the social ecological model. The presence of the SDGs can be crucial for considering various health determinants of individual behaviour, thereby helping frame national and local health policies.</w:t>
      </w:r>
    </w:p>
    <w:p w14:paraId="6901DA41" w14:textId="77777777" w:rsidR="007F25EA" w:rsidRPr="00546C7E" w:rsidRDefault="00000000">
      <w:pPr>
        <w:rPr>
          <w:b/>
          <w:bCs/>
          <w:color w:val="000000" w:themeColor="text1"/>
        </w:rPr>
      </w:pPr>
      <w:r w:rsidRPr="00546C7E">
        <w:rPr>
          <w:b/>
          <w:bCs/>
          <w:color w:val="000000" w:themeColor="text1"/>
        </w:rPr>
        <w:t xml:space="preserve">Conclusion </w:t>
      </w:r>
    </w:p>
    <w:p w14:paraId="071EE3C2" w14:textId="77777777" w:rsidR="007F25EA" w:rsidRPr="00546C7E" w:rsidRDefault="00000000">
      <w:pPr>
        <w:rPr>
          <w:color w:val="000000" w:themeColor="text1"/>
        </w:rPr>
      </w:pPr>
      <w:r w:rsidRPr="00546C7E">
        <w:rPr>
          <w:color w:val="000000" w:themeColor="text1"/>
        </w:rPr>
        <w:t xml:space="preserve">SDG 3 and 12 </w:t>
      </w:r>
      <w:r w:rsidR="00A14F9F" w:rsidRPr="00546C7E">
        <w:rPr>
          <w:color w:val="000000" w:themeColor="text1"/>
        </w:rPr>
        <w:t>implementations</w:t>
      </w:r>
      <w:r w:rsidRPr="00546C7E">
        <w:rPr>
          <w:color w:val="000000" w:themeColor="text1"/>
        </w:rPr>
        <w:t xml:space="preserve"> could be made better with the help of stakeholder participation and strategic investment. </w:t>
      </w:r>
    </w:p>
    <w:p w14:paraId="47142B6B" w14:textId="77777777" w:rsidR="007F25EA" w:rsidRPr="00546C7E" w:rsidRDefault="00000000">
      <w:pPr>
        <w:rPr>
          <w:b/>
          <w:bCs/>
          <w:color w:val="000000" w:themeColor="text1"/>
          <w:sz w:val="28"/>
          <w:szCs w:val="28"/>
        </w:rPr>
      </w:pPr>
      <w:bookmarkStart w:id="0" w:name="_heading=h.3prflljpd9u3" w:colFirst="0" w:colLast="0"/>
      <w:bookmarkEnd w:id="0"/>
      <w:r w:rsidRPr="00546C7E">
        <w:rPr>
          <w:color w:val="000000" w:themeColor="text1"/>
        </w:rPr>
        <w:br w:type="page"/>
      </w:r>
    </w:p>
    <w:p w14:paraId="6BD28C93" w14:textId="77777777" w:rsidR="007F25EA" w:rsidRPr="00546C7E" w:rsidRDefault="00000000">
      <w:pPr>
        <w:jc w:val="center"/>
        <w:rPr>
          <w:b/>
          <w:bCs/>
          <w:color w:val="000000" w:themeColor="text1"/>
        </w:rPr>
      </w:pPr>
      <w:r w:rsidRPr="00546C7E">
        <w:rPr>
          <w:b/>
          <w:bCs/>
          <w:color w:val="000000" w:themeColor="text1"/>
        </w:rPr>
        <w:lastRenderedPageBreak/>
        <w:t>Table of contents</w:t>
      </w:r>
    </w:p>
    <w:sdt>
      <w:sdtPr>
        <w:rPr>
          <w:color w:val="000000" w:themeColor="text1"/>
        </w:rPr>
        <w:id w:val="955059341"/>
        <w:docPartObj>
          <w:docPartGallery w:val="Table of Contents"/>
          <w:docPartUnique/>
        </w:docPartObj>
      </w:sdtPr>
      <w:sdtContent>
        <w:p w14:paraId="041C7B80" w14:textId="1611F683" w:rsidR="007E48F0" w:rsidRDefault="00000000">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r w:rsidRPr="00546C7E">
            <w:rPr>
              <w:color w:val="000000" w:themeColor="text1"/>
            </w:rPr>
            <w:fldChar w:fldCharType="begin"/>
          </w:r>
          <w:r w:rsidRPr="00546C7E">
            <w:rPr>
              <w:color w:val="000000" w:themeColor="text1"/>
            </w:rPr>
            <w:instrText xml:space="preserve"> TOC \h \u \z \t "Heading 1,1,Heading 2,2,Heading 3,3,"</w:instrText>
          </w:r>
          <w:r w:rsidRPr="00546C7E">
            <w:rPr>
              <w:color w:val="000000" w:themeColor="text1"/>
            </w:rPr>
            <w:fldChar w:fldCharType="separate"/>
          </w:r>
          <w:hyperlink w:anchor="_Toc224722624" w:history="1">
            <w:r w:rsidR="007E48F0" w:rsidRPr="001479AB">
              <w:rPr>
                <w:rStyle w:val="Hyperlink"/>
                <w:noProof/>
              </w:rPr>
              <w:t>Introduction</w:t>
            </w:r>
            <w:r w:rsidR="007E48F0">
              <w:rPr>
                <w:noProof/>
                <w:webHidden/>
              </w:rPr>
              <w:tab/>
            </w:r>
            <w:r w:rsidR="007E48F0">
              <w:rPr>
                <w:noProof/>
                <w:webHidden/>
              </w:rPr>
              <w:fldChar w:fldCharType="begin"/>
            </w:r>
            <w:r w:rsidR="007E48F0">
              <w:rPr>
                <w:noProof/>
                <w:webHidden/>
              </w:rPr>
              <w:instrText xml:space="preserve"> PAGEREF _Toc224722624 \h </w:instrText>
            </w:r>
            <w:r w:rsidR="007E48F0">
              <w:rPr>
                <w:noProof/>
                <w:webHidden/>
              </w:rPr>
            </w:r>
            <w:r w:rsidR="007E48F0">
              <w:rPr>
                <w:noProof/>
                <w:webHidden/>
              </w:rPr>
              <w:fldChar w:fldCharType="separate"/>
            </w:r>
            <w:r w:rsidR="007E48F0">
              <w:rPr>
                <w:noProof/>
                <w:webHidden/>
              </w:rPr>
              <w:t>4</w:t>
            </w:r>
            <w:r w:rsidR="007E48F0">
              <w:rPr>
                <w:noProof/>
                <w:webHidden/>
              </w:rPr>
              <w:fldChar w:fldCharType="end"/>
            </w:r>
          </w:hyperlink>
        </w:p>
        <w:p w14:paraId="53BA9193" w14:textId="624CCE8C"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25" w:history="1">
            <w:r w:rsidRPr="001479AB">
              <w:rPr>
                <w:rStyle w:val="Hyperlink"/>
                <w:noProof/>
              </w:rPr>
              <w:t>Introduction to the report</w:t>
            </w:r>
            <w:r>
              <w:rPr>
                <w:noProof/>
                <w:webHidden/>
              </w:rPr>
              <w:tab/>
            </w:r>
            <w:r>
              <w:rPr>
                <w:noProof/>
                <w:webHidden/>
              </w:rPr>
              <w:fldChar w:fldCharType="begin"/>
            </w:r>
            <w:r>
              <w:rPr>
                <w:noProof/>
                <w:webHidden/>
              </w:rPr>
              <w:instrText xml:space="preserve"> PAGEREF _Toc224722625 \h </w:instrText>
            </w:r>
            <w:r>
              <w:rPr>
                <w:noProof/>
                <w:webHidden/>
              </w:rPr>
            </w:r>
            <w:r>
              <w:rPr>
                <w:noProof/>
                <w:webHidden/>
              </w:rPr>
              <w:fldChar w:fldCharType="separate"/>
            </w:r>
            <w:r>
              <w:rPr>
                <w:noProof/>
                <w:webHidden/>
              </w:rPr>
              <w:t>4</w:t>
            </w:r>
            <w:r>
              <w:rPr>
                <w:noProof/>
                <w:webHidden/>
              </w:rPr>
              <w:fldChar w:fldCharType="end"/>
            </w:r>
          </w:hyperlink>
        </w:p>
        <w:p w14:paraId="376F9775" w14:textId="108F83BA"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26" w:history="1">
            <w:r w:rsidRPr="001479AB">
              <w:rPr>
                <w:rStyle w:val="Hyperlink"/>
                <w:noProof/>
              </w:rPr>
              <w:t>Focus and importance of SDGs</w:t>
            </w:r>
            <w:r>
              <w:rPr>
                <w:noProof/>
                <w:webHidden/>
              </w:rPr>
              <w:tab/>
            </w:r>
            <w:r>
              <w:rPr>
                <w:noProof/>
                <w:webHidden/>
              </w:rPr>
              <w:fldChar w:fldCharType="begin"/>
            </w:r>
            <w:r>
              <w:rPr>
                <w:noProof/>
                <w:webHidden/>
              </w:rPr>
              <w:instrText xml:space="preserve"> PAGEREF _Toc224722626 \h </w:instrText>
            </w:r>
            <w:r>
              <w:rPr>
                <w:noProof/>
                <w:webHidden/>
              </w:rPr>
            </w:r>
            <w:r>
              <w:rPr>
                <w:noProof/>
                <w:webHidden/>
              </w:rPr>
              <w:fldChar w:fldCharType="separate"/>
            </w:r>
            <w:r>
              <w:rPr>
                <w:noProof/>
                <w:webHidden/>
              </w:rPr>
              <w:t>4</w:t>
            </w:r>
            <w:r>
              <w:rPr>
                <w:noProof/>
                <w:webHidden/>
              </w:rPr>
              <w:fldChar w:fldCharType="end"/>
            </w:r>
          </w:hyperlink>
        </w:p>
        <w:p w14:paraId="4F12424A" w14:textId="32FC9DC3"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27" w:history="1">
            <w:r w:rsidRPr="001479AB">
              <w:rPr>
                <w:rStyle w:val="Hyperlink"/>
                <w:noProof/>
              </w:rPr>
              <w:t>Structure of the report</w:t>
            </w:r>
            <w:r>
              <w:rPr>
                <w:noProof/>
                <w:webHidden/>
              </w:rPr>
              <w:tab/>
            </w:r>
            <w:r>
              <w:rPr>
                <w:noProof/>
                <w:webHidden/>
              </w:rPr>
              <w:fldChar w:fldCharType="begin"/>
            </w:r>
            <w:r>
              <w:rPr>
                <w:noProof/>
                <w:webHidden/>
              </w:rPr>
              <w:instrText xml:space="preserve"> PAGEREF _Toc224722627 \h </w:instrText>
            </w:r>
            <w:r>
              <w:rPr>
                <w:noProof/>
                <w:webHidden/>
              </w:rPr>
            </w:r>
            <w:r>
              <w:rPr>
                <w:noProof/>
                <w:webHidden/>
              </w:rPr>
              <w:fldChar w:fldCharType="separate"/>
            </w:r>
            <w:r>
              <w:rPr>
                <w:noProof/>
                <w:webHidden/>
              </w:rPr>
              <w:t>4</w:t>
            </w:r>
            <w:r>
              <w:rPr>
                <w:noProof/>
                <w:webHidden/>
              </w:rPr>
              <w:fldChar w:fldCharType="end"/>
            </w:r>
          </w:hyperlink>
        </w:p>
        <w:p w14:paraId="0A85E21C" w14:textId="609E5370" w:rsidR="007E48F0" w:rsidRDefault="007E48F0">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28" w:history="1">
            <w:r w:rsidRPr="001479AB">
              <w:rPr>
                <w:rStyle w:val="Hyperlink"/>
                <w:noProof/>
              </w:rPr>
              <w:t>Section 1: SDG 3 - Good Health and Well-being</w:t>
            </w:r>
            <w:r>
              <w:rPr>
                <w:noProof/>
                <w:webHidden/>
              </w:rPr>
              <w:tab/>
            </w:r>
            <w:r>
              <w:rPr>
                <w:noProof/>
                <w:webHidden/>
              </w:rPr>
              <w:fldChar w:fldCharType="begin"/>
            </w:r>
            <w:r>
              <w:rPr>
                <w:noProof/>
                <w:webHidden/>
              </w:rPr>
              <w:instrText xml:space="preserve"> PAGEREF _Toc224722628 \h </w:instrText>
            </w:r>
            <w:r>
              <w:rPr>
                <w:noProof/>
                <w:webHidden/>
              </w:rPr>
            </w:r>
            <w:r>
              <w:rPr>
                <w:noProof/>
                <w:webHidden/>
              </w:rPr>
              <w:fldChar w:fldCharType="separate"/>
            </w:r>
            <w:r>
              <w:rPr>
                <w:noProof/>
                <w:webHidden/>
              </w:rPr>
              <w:t>4</w:t>
            </w:r>
            <w:r>
              <w:rPr>
                <w:noProof/>
                <w:webHidden/>
              </w:rPr>
              <w:fldChar w:fldCharType="end"/>
            </w:r>
          </w:hyperlink>
        </w:p>
        <w:p w14:paraId="4D3FFBC0" w14:textId="08AC4487"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29" w:history="1">
            <w:r w:rsidRPr="001479AB">
              <w:rPr>
                <w:rStyle w:val="Hyperlink"/>
                <w:noProof/>
              </w:rPr>
              <w:t>Overview of the SDG 3</w:t>
            </w:r>
            <w:r>
              <w:rPr>
                <w:noProof/>
                <w:webHidden/>
              </w:rPr>
              <w:tab/>
            </w:r>
            <w:r>
              <w:rPr>
                <w:noProof/>
                <w:webHidden/>
              </w:rPr>
              <w:fldChar w:fldCharType="begin"/>
            </w:r>
            <w:r>
              <w:rPr>
                <w:noProof/>
                <w:webHidden/>
              </w:rPr>
              <w:instrText xml:space="preserve"> PAGEREF _Toc224722629 \h </w:instrText>
            </w:r>
            <w:r>
              <w:rPr>
                <w:noProof/>
                <w:webHidden/>
              </w:rPr>
            </w:r>
            <w:r>
              <w:rPr>
                <w:noProof/>
                <w:webHidden/>
              </w:rPr>
              <w:fldChar w:fldCharType="separate"/>
            </w:r>
            <w:r>
              <w:rPr>
                <w:noProof/>
                <w:webHidden/>
              </w:rPr>
              <w:t>4</w:t>
            </w:r>
            <w:r>
              <w:rPr>
                <w:noProof/>
                <w:webHidden/>
              </w:rPr>
              <w:fldChar w:fldCharType="end"/>
            </w:r>
          </w:hyperlink>
        </w:p>
        <w:p w14:paraId="2AA9DBB4" w14:textId="130E97EC"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0" w:history="1">
            <w:r w:rsidRPr="001479AB">
              <w:rPr>
                <w:rStyle w:val="Hyperlink"/>
                <w:noProof/>
              </w:rPr>
              <w:t>Critical evaluation of global policies</w:t>
            </w:r>
            <w:r>
              <w:rPr>
                <w:noProof/>
                <w:webHidden/>
              </w:rPr>
              <w:tab/>
            </w:r>
            <w:r>
              <w:rPr>
                <w:noProof/>
                <w:webHidden/>
              </w:rPr>
              <w:fldChar w:fldCharType="begin"/>
            </w:r>
            <w:r>
              <w:rPr>
                <w:noProof/>
                <w:webHidden/>
              </w:rPr>
              <w:instrText xml:space="preserve"> PAGEREF _Toc224722630 \h </w:instrText>
            </w:r>
            <w:r>
              <w:rPr>
                <w:noProof/>
                <w:webHidden/>
              </w:rPr>
            </w:r>
            <w:r>
              <w:rPr>
                <w:noProof/>
                <w:webHidden/>
              </w:rPr>
              <w:fldChar w:fldCharType="separate"/>
            </w:r>
            <w:r>
              <w:rPr>
                <w:noProof/>
                <w:webHidden/>
              </w:rPr>
              <w:t>5</w:t>
            </w:r>
            <w:r>
              <w:rPr>
                <w:noProof/>
                <w:webHidden/>
              </w:rPr>
              <w:fldChar w:fldCharType="end"/>
            </w:r>
          </w:hyperlink>
        </w:p>
        <w:p w14:paraId="515E51E5" w14:textId="048D5372"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1" w:history="1">
            <w:r w:rsidRPr="001479AB">
              <w:rPr>
                <w:rStyle w:val="Hyperlink"/>
                <w:noProof/>
              </w:rPr>
              <w:t>National and local examples</w:t>
            </w:r>
            <w:r>
              <w:rPr>
                <w:noProof/>
                <w:webHidden/>
              </w:rPr>
              <w:tab/>
            </w:r>
            <w:r>
              <w:rPr>
                <w:noProof/>
                <w:webHidden/>
              </w:rPr>
              <w:fldChar w:fldCharType="begin"/>
            </w:r>
            <w:r>
              <w:rPr>
                <w:noProof/>
                <w:webHidden/>
              </w:rPr>
              <w:instrText xml:space="preserve"> PAGEREF _Toc224722631 \h </w:instrText>
            </w:r>
            <w:r>
              <w:rPr>
                <w:noProof/>
                <w:webHidden/>
              </w:rPr>
            </w:r>
            <w:r>
              <w:rPr>
                <w:noProof/>
                <w:webHidden/>
              </w:rPr>
              <w:fldChar w:fldCharType="separate"/>
            </w:r>
            <w:r>
              <w:rPr>
                <w:noProof/>
                <w:webHidden/>
              </w:rPr>
              <w:t>5</w:t>
            </w:r>
            <w:r>
              <w:rPr>
                <w:noProof/>
                <w:webHidden/>
              </w:rPr>
              <w:fldChar w:fldCharType="end"/>
            </w:r>
          </w:hyperlink>
        </w:p>
        <w:p w14:paraId="2A789F4D" w14:textId="37DF44A3"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2" w:history="1">
            <w:r w:rsidRPr="001479AB">
              <w:rPr>
                <w:rStyle w:val="Hyperlink"/>
                <w:noProof/>
              </w:rPr>
              <w:t>Theoretical underpinnings</w:t>
            </w:r>
            <w:r>
              <w:rPr>
                <w:noProof/>
                <w:webHidden/>
              </w:rPr>
              <w:tab/>
            </w:r>
            <w:r>
              <w:rPr>
                <w:noProof/>
                <w:webHidden/>
              </w:rPr>
              <w:fldChar w:fldCharType="begin"/>
            </w:r>
            <w:r>
              <w:rPr>
                <w:noProof/>
                <w:webHidden/>
              </w:rPr>
              <w:instrText xml:space="preserve"> PAGEREF _Toc224722632 \h </w:instrText>
            </w:r>
            <w:r>
              <w:rPr>
                <w:noProof/>
                <w:webHidden/>
              </w:rPr>
            </w:r>
            <w:r>
              <w:rPr>
                <w:noProof/>
                <w:webHidden/>
              </w:rPr>
              <w:fldChar w:fldCharType="separate"/>
            </w:r>
            <w:r>
              <w:rPr>
                <w:noProof/>
                <w:webHidden/>
              </w:rPr>
              <w:t>5</w:t>
            </w:r>
            <w:r>
              <w:rPr>
                <w:noProof/>
                <w:webHidden/>
              </w:rPr>
              <w:fldChar w:fldCharType="end"/>
            </w:r>
          </w:hyperlink>
        </w:p>
        <w:p w14:paraId="70841008" w14:textId="6F705C15"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3" w:history="1">
            <w:r w:rsidRPr="001479AB">
              <w:rPr>
                <w:rStyle w:val="Hyperlink"/>
                <w:noProof/>
              </w:rPr>
              <w:t>Recommendations</w:t>
            </w:r>
            <w:r>
              <w:rPr>
                <w:noProof/>
                <w:webHidden/>
              </w:rPr>
              <w:tab/>
            </w:r>
            <w:r>
              <w:rPr>
                <w:noProof/>
                <w:webHidden/>
              </w:rPr>
              <w:fldChar w:fldCharType="begin"/>
            </w:r>
            <w:r>
              <w:rPr>
                <w:noProof/>
                <w:webHidden/>
              </w:rPr>
              <w:instrText xml:space="preserve"> PAGEREF _Toc224722633 \h </w:instrText>
            </w:r>
            <w:r>
              <w:rPr>
                <w:noProof/>
                <w:webHidden/>
              </w:rPr>
            </w:r>
            <w:r>
              <w:rPr>
                <w:noProof/>
                <w:webHidden/>
              </w:rPr>
              <w:fldChar w:fldCharType="separate"/>
            </w:r>
            <w:r>
              <w:rPr>
                <w:noProof/>
                <w:webHidden/>
              </w:rPr>
              <w:t>6</w:t>
            </w:r>
            <w:r>
              <w:rPr>
                <w:noProof/>
                <w:webHidden/>
              </w:rPr>
              <w:fldChar w:fldCharType="end"/>
            </w:r>
          </w:hyperlink>
        </w:p>
        <w:p w14:paraId="1567F28D" w14:textId="6C396F4C" w:rsidR="007E48F0" w:rsidRDefault="007E48F0">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4" w:history="1">
            <w:r w:rsidRPr="001479AB">
              <w:rPr>
                <w:rStyle w:val="Hyperlink"/>
                <w:noProof/>
              </w:rPr>
              <w:t>Section 2: Chosen SDG</w:t>
            </w:r>
            <w:r>
              <w:rPr>
                <w:noProof/>
                <w:webHidden/>
              </w:rPr>
              <w:tab/>
            </w:r>
            <w:r>
              <w:rPr>
                <w:noProof/>
                <w:webHidden/>
              </w:rPr>
              <w:fldChar w:fldCharType="begin"/>
            </w:r>
            <w:r>
              <w:rPr>
                <w:noProof/>
                <w:webHidden/>
              </w:rPr>
              <w:instrText xml:space="preserve"> PAGEREF _Toc224722634 \h </w:instrText>
            </w:r>
            <w:r>
              <w:rPr>
                <w:noProof/>
                <w:webHidden/>
              </w:rPr>
            </w:r>
            <w:r>
              <w:rPr>
                <w:noProof/>
                <w:webHidden/>
              </w:rPr>
              <w:fldChar w:fldCharType="separate"/>
            </w:r>
            <w:r>
              <w:rPr>
                <w:noProof/>
                <w:webHidden/>
              </w:rPr>
              <w:t>6</w:t>
            </w:r>
            <w:r>
              <w:rPr>
                <w:noProof/>
                <w:webHidden/>
              </w:rPr>
              <w:fldChar w:fldCharType="end"/>
            </w:r>
          </w:hyperlink>
        </w:p>
        <w:p w14:paraId="4FD0D793" w14:textId="3FB45EB1"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5" w:history="1">
            <w:r w:rsidRPr="001479AB">
              <w:rPr>
                <w:rStyle w:val="Hyperlink"/>
                <w:noProof/>
              </w:rPr>
              <w:t>Overview of SDG 12</w:t>
            </w:r>
            <w:r>
              <w:rPr>
                <w:noProof/>
                <w:webHidden/>
              </w:rPr>
              <w:tab/>
            </w:r>
            <w:r>
              <w:rPr>
                <w:noProof/>
                <w:webHidden/>
              </w:rPr>
              <w:fldChar w:fldCharType="begin"/>
            </w:r>
            <w:r>
              <w:rPr>
                <w:noProof/>
                <w:webHidden/>
              </w:rPr>
              <w:instrText xml:space="preserve"> PAGEREF _Toc224722635 \h </w:instrText>
            </w:r>
            <w:r>
              <w:rPr>
                <w:noProof/>
                <w:webHidden/>
              </w:rPr>
            </w:r>
            <w:r>
              <w:rPr>
                <w:noProof/>
                <w:webHidden/>
              </w:rPr>
              <w:fldChar w:fldCharType="separate"/>
            </w:r>
            <w:r>
              <w:rPr>
                <w:noProof/>
                <w:webHidden/>
              </w:rPr>
              <w:t>6</w:t>
            </w:r>
            <w:r>
              <w:rPr>
                <w:noProof/>
                <w:webHidden/>
              </w:rPr>
              <w:fldChar w:fldCharType="end"/>
            </w:r>
          </w:hyperlink>
        </w:p>
        <w:p w14:paraId="19EAFFC4" w14:textId="1ECC79F6"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6" w:history="1">
            <w:r w:rsidRPr="001479AB">
              <w:rPr>
                <w:rStyle w:val="Hyperlink"/>
                <w:noProof/>
              </w:rPr>
              <w:t>Global policies</w:t>
            </w:r>
            <w:r>
              <w:rPr>
                <w:noProof/>
                <w:webHidden/>
              </w:rPr>
              <w:tab/>
            </w:r>
            <w:r>
              <w:rPr>
                <w:noProof/>
                <w:webHidden/>
              </w:rPr>
              <w:fldChar w:fldCharType="begin"/>
            </w:r>
            <w:r>
              <w:rPr>
                <w:noProof/>
                <w:webHidden/>
              </w:rPr>
              <w:instrText xml:space="preserve"> PAGEREF _Toc224722636 \h </w:instrText>
            </w:r>
            <w:r>
              <w:rPr>
                <w:noProof/>
                <w:webHidden/>
              </w:rPr>
            </w:r>
            <w:r>
              <w:rPr>
                <w:noProof/>
                <w:webHidden/>
              </w:rPr>
              <w:fldChar w:fldCharType="separate"/>
            </w:r>
            <w:r>
              <w:rPr>
                <w:noProof/>
                <w:webHidden/>
              </w:rPr>
              <w:t>7</w:t>
            </w:r>
            <w:r>
              <w:rPr>
                <w:noProof/>
                <w:webHidden/>
              </w:rPr>
              <w:fldChar w:fldCharType="end"/>
            </w:r>
          </w:hyperlink>
        </w:p>
        <w:p w14:paraId="6762C21D" w14:textId="45E9990D"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7" w:history="1">
            <w:r w:rsidRPr="001479AB">
              <w:rPr>
                <w:rStyle w:val="Hyperlink"/>
                <w:noProof/>
              </w:rPr>
              <w:t>National and local policies</w:t>
            </w:r>
            <w:r>
              <w:rPr>
                <w:noProof/>
                <w:webHidden/>
              </w:rPr>
              <w:tab/>
            </w:r>
            <w:r>
              <w:rPr>
                <w:noProof/>
                <w:webHidden/>
              </w:rPr>
              <w:fldChar w:fldCharType="begin"/>
            </w:r>
            <w:r>
              <w:rPr>
                <w:noProof/>
                <w:webHidden/>
              </w:rPr>
              <w:instrText xml:space="preserve"> PAGEREF _Toc224722637 \h </w:instrText>
            </w:r>
            <w:r>
              <w:rPr>
                <w:noProof/>
                <w:webHidden/>
              </w:rPr>
            </w:r>
            <w:r>
              <w:rPr>
                <w:noProof/>
                <w:webHidden/>
              </w:rPr>
              <w:fldChar w:fldCharType="separate"/>
            </w:r>
            <w:r>
              <w:rPr>
                <w:noProof/>
                <w:webHidden/>
              </w:rPr>
              <w:t>8</w:t>
            </w:r>
            <w:r>
              <w:rPr>
                <w:noProof/>
                <w:webHidden/>
              </w:rPr>
              <w:fldChar w:fldCharType="end"/>
            </w:r>
          </w:hyperlink>
        </w:p>
        <w:p w14:paraId="52BDD06A" w14:textId="215CB7AE"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8" w:history="1">
            <w:r w:rsidRPr="001479AB">
              <w:rPr>
                <w:rStyle w:val="Hyperlink"/>
                <w:noProof/>
              </w:rPr>
              <w:t>Theoretical underpinnings</w:t>
            </w:r>
            <w:r>
              <w:rPr>
                <w:noProof/>
                <w:webHidden/>
              </w:rPr>
              <w:tab/>
            </w:r>
            <w:r>
              <w:rPr>
                <w:noProof/>
                <w:webHidden/>
              </w:rPr>
              <w:fldChar w:fldCharType="begin"/>
            </w:r>
            <w:r>
              <w:rPr>
                <w:noProof/>
                <w:webHidden/>
              </w:rPr>
              <w:instrText xml:space="preserve"> PAGEREF _Toc224722638 \h </w:instrText>
            </w:r>
            <w:r>
              <w:rPr>
                <w:noProof/>
                <w:webHidden/>
              </w:rPr>
            </w:r>
            <w:r>
              <w:rPr>
                <w:noProof/>
                <w:webHidden/>
              </w:rPr>
              <w:fldChar w:fldCharType="separate"/>
            </w:r>
            <w:r>
              <w:rPr>
                <w:noProof/>
                <w:webHidden/>
              </w:rPr>
              <w:t>8</w:t>
            </w:r>
            <w:r>
              <w:rPr>
                <w:noProof/>
                <w:webHidden/>
              </w:rPr>
              <w:fldChar w:fldCharType="end"/>
            </w:r>
          </w:hyperlink>
        </w:p>
        <w:p w14:paraId="56F15257" w14:textId="688A82F8"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39" w:history="1">
            <w:r w:rsidRPr="001479AB">
              <w:rPr>
                <w:rStyle w:val="Hyperlink"/>
                <w:noProof/>
              </w:rPr>
              <w:t>Recommendations</w:t>
            </w:r>
            <w:r>
              <w:rPr>
                <w:noProof/>
                <w:webHidden/>
              </w:rPr>
              <w:tab/>
            </w:r>
            <w:r>
              <w:rPr>
                <w:noProof/>
                <w:webHidden/>
              </w:rPr>
              <w:fldChar w:fldCharType="begin"/>
            </w:r>
            <w:r>
              <w:rPr>
                <w:noProof/>
                <w:webHidden/>
              </w:rPr>
              <w:instrText xml:space="preserve"> PAGEREF _Toc224722639 \h </w:instrText>
            </w:r>
            <w:r>
              <w:rPr>
                <w:noProof/>
                <w:webHidden/>
              </w:rPr>
            </w:r>
            <w:r>
              <w:rPr>
                <w:noProof/>
                <w:webHidden/>
              </w:rPr>
              <w:fldChar w:fldCharType="separate"/>
            </w:r>
            <w:r>
              <w:rPr>
                <w:noProof/>
                <w:webHidden/>
              </w:rPr>
              <w:t>8</w:t>
            </w:r>
            <w:r>
              <w:rPr>
                <w:noProof/>
                <w:webHidden/>
              </w:rPr>
              <w:fldChar w:fldCharType="end"/>
            </w:r>
          </w:hyperlink>
        </w:p>
        <w:p w14:paraId="02F0B9A9" w14:textId="3F5F3649" w:rsidR="007E48F0" w:rsidRDefault="007E48F0">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40" w:history="1">
            <w:r w:rsidRPr="001479AB">
              <w:rPr>
                <w:rStyle w:val="Hyperlink"/>
                <w:noProof/>
              </w:rPr>
              <w:t>Conclusion</w:t>
            </w:r>
            <w:r>
              <w:rPr>
                <w:noProof/>
                <w:webHidden/>
              </w:rPr>
              <w:tab/>
            </w:r>
            <w:r>
              <w:rPr>
                <w:noProof/>
                <w:webHidden/>
              </w:rPr>
              <w:fldChar w:fldCharType="begin"/>
            </w:r>
            <w:r>
              <w:rPr>
                <w:noProof/>
                <w:webHidden/>
              </w:rPr>
              <w:instrText xml:space="preserve"> PAGEREF _Toc224722640 \h </w:instrText>
            </w:r>
            <w:r>
              <w:rPr>
                <w:noProof/>
                <w:webHidden/>
              </w:rPr>
            </w:r>
            <w:r>
              <w:rPr>
                <w:noProof/>
                <w:webHidden/>
              </w:rPr>
              <w:fldChar w:fldCharType="separate"/>
            </w:r>
            <w:r>
              <w:rPr>
                <w:noProof/>
                <w:webHidden/>
              </w:rPr>
              <w:t>8</w:t>
            </w:r>
            <w:r>
              <w:rPr>
                <w:noProof/>
                <w:webHidden/>
              </w:rPr>
              <w:fldChar w:fldCharType="end"/>
            </w:r>
          </w:hyperlink>
        </w:p>
        <w:p w14:paraId="680F4B01" w14:textId="537C8A85"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41" w:history="1">
            <w:r w:rsidRPr="001479AB">
              <w:rPr>
                <w:rStyle w:val="Hyperlink"/>
                <w:noProof/>
              </w:rPr>
              <w:t>Key findings</w:t>
            </w:r>
            <w:r>
              <w:rPr>
                <w:noProof/>
                <w:webHidden/>
              </w:rPr>
              <w:tab/>
            </w:r>
            <w:r>
              <w:rPr>
                <w:noProof/>
                <w:webHidden/>
              </w:rPr>
              <w:fldChar w:fldCharType="begin"/>
            </w:r>
            <w:r>
              <w:rPr>
                <w:noProof/>
                <w:webHidden/>
              </w:rPr>
              <w:instrText xml:space="preserve"> PAGEREF _Toc224722641 \h </w:instrText>
            </w:r>
            <w:r>
              <w:rPr>
                <w:noProof/>
                <w:webHidden/>
              </w:rPr>
            </w:r>
            <w:r>
              <w:rPr>
                <w:noProof/>
                <w:webHidden/>
              </w:rPr>
              <w:fldChar w:fldCharType="separate"/>
            </w:r>
            <w:r>
              <w:rPr>
                <w:noProof/>
                <w:webHidden/>
              </w:rPr>
              <w:t>8</w:t>
            </w:r>
            <w:r>
              <w:rPr>
                <w:noProof/>
                <w:webHidden/>
              </w:rPr>
              <w:fldChar w:fldCharType="end"/>
            </w:r>
          </w:hyperlink>
        </w:p>
        <w:p w14:paraId="2DBD5190" w14:textId="4BA8ABEC"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42" w:history="1">
            <w:r w:rsidRPr="001479AB">
              <w:rPr>
                <w:rStyle w:val="Hyperlink"/>
                <w:noProof/>
              </w:rPr>
              <w:t>Reflection of SDGs</w:t>
            </w:r>
            <w:r>
              <w:rPr>
                <w:noProof/>
                <w:webHidden/>
              </w:rPr>
              <w:tab/>
            </w:r>
            <w:r>
              <w:rPr>
                <w:noProof/>
                <w:webHidden/>
              </w:rPr>
              <w:fldChar w:fldCharType="begin"/>
            </w:r>
            <w:r>
              <w:rPr>
                <w:noProof/>
                <w:webHidden/>
              </w:rPr>
              <w:instrText xml:space="preserve"> PAGEREF _Toc224722642 \h </w:instrText>
            </w:r>
            <w:r>
              <w:rPr>
                <w:noProof/>
                <w:webHidden/>
              </w:rPr>
            </w:r>
            <w:r>
              <w:rPr>
                <w:noProof/>
                <w:webHidden/>
              </w:rPr>
              <w:fldChar w:fldCharType="separate"/>
            </w:r>
            <w:r>
              <w:rPr>
                <w:noProof/>
                <w:webHidden/>
              </w:rPr>
              <w:t>9</w:t>
            </w:r>
            <w:r>
              <w:rPr>
                <w:noProof/>
                <w:webHidden/>
              </w:rPr>
              <w:fldChar w:fldCharType="end"/>
            </w:r>
          </w:hyperlink>
        </w:p>
        <w:p w14:paraId="52EED6E1" w14:textId="279D8A25" w:rsidR="007E48F0" w:rsidRDefault="007E48F0">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43" w:history="1">
            <w:r w:rsidRPr="001479AB">
              <w:rPr>
                <w:rStyle w:val="Hyperlink"/>
                <w:noProof/>
              </w:rPr>
              <w:t>Broader implications</w:t>
            </w:r>
            <w:r>
              <w:rPr>
                <w:noProof/>
                <w:webHidden/>
              </w:rPr>
              <w:tab/>
            </w:r>
            <w:r>
              <w:rPr>
                <w:noProof/>
                <w:webHidden/>
              </w:rPr>
              <w:fldChar w:fldCharType="begin"/>
            </w:r>
            <w:r>
              <w:rPr>
                <w:noProof/>
                <w:webHidden/>
              </w:rPr>
              <w:instrText xml:space="preserve"> PAGEREF _Toc224722643 \h </w:instrText>
            </w:r>
            <w:r>
              <w:rPr>
                <w:noProof/>
                <w:webHidden/>
              </w:rPr>
            </w:r>
            <w:r>
              <w:rPr>
                <w:noProof/>
                <w:webHidden/>
              </w:rPr>
              <w:fldChar w:fldCharType="separate"/>
            </w:r>
            <w:r>
              <w:rPr>
                <w:noProof/>
                <w:webHidden/>
              </w:rPr>
              <w:t>9</w:t>
            </w:r>
            <w:r>
              <w:rPr>
                <w:noProof/>
                <w:webHidden/>
              </w:rPr>
              <w:fldChar w:fldCharType="end"/>
            </w:r>
          </w:hyperlink>
        </w:p>
        <w:p w14:paraId="2FB66036" w14:textId="070218C0" w:rsidR="007E48F0" w:rsidRDefault="007E48F0">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4722644" w:history="1">
            <w:r w:rsidRPr="001479AB">
              <w:rPr>
                <w:rStyle w:val="Hyperlink"/>
                <w:noProof/>
              </w:rPr>
              <w:t>Reference List</w:t>
            </w:r>
            <w:r>
              <w:rPr>
                <w:noProof/>
                <w:webHidden/>
              </w:rPr>
              <w:tab/>
            </w:r>
            <w:r>
              <w:rPr>
                <w:noProof/>
                <w:webHidden/>
              </w:rPr>
              <w:fldChar w:fldCharType="begin"/>
            </w:r>
            <w:r>
              <w:rPr>
                <w:noProof/>
                <w:webHidden/>
              </w:rPr>
              <w:instrText xml:space="preserve"> PAGEREF _Toc224722644 \h </w:instrText>
            </w:r>
            <w:r>
              <w:rPr>
                <w:noProof/>
                <w:webHidden/>
              </w:rPr>
            </w:r>
            <w:r>
              <w:rPr>
                <w:noProof/>
                <w:webHidden/>
              </w:rPr>
              <w:fldChar w:fldCharType="separate"/>
            </w:r>
            <w:r>
              <w:rPr>
                <w:noProof/>
                <w:webHidden/>
              </w:rPr>
              <w:t>10</w:t>
            </w:r>
            <w:r>
              <w:rPr>
                <w:noProof/>
                <w:webHidden/>
              </w:rPr>
              <w:fldChar w:fldCharType="end"/>
            </w:r>
          </w:hyperlink>
        </w:p>
        <w:p w14:paraId="68BA9EA4" w14:textId="0295D5BB" w:rsidR="007F25EA" w:rsidRPr="00546C7E" w:rsidRDefault="00000000">
          <w:pPr>
            <w:rPr>
              <w:color w:val="000000" w:themeColor="text1"/>
            </w:rPr>
          </w:pPr>
          <w:r w:rsidRPr="00546C7E">
            <w:rPr>
              <w:color w:val="000000" w:themeColor="text1"/>
            </w:rPr>
            <w:fldChar w:fldCharType="end"/>
          </w:r>
        </w:p>
      </w:sdtContent>
    </w:sdt>
    <w:p w14:paraId="5A64EDDE" w14:textId="77777777" w:rsidR="007F25EA" w:rsidRPr="00546C7E" w:rsidRDefault="007F25EA">
      <w:pPr>
        <w:jc w:val="center"/>
        <w:rPr>
          <w:b/>
          <w:bCs/>
          <w:color w:val="000000" w:themeColor="text1"/>
          <w:sz w:val="28"/>
          <w:szCs w:val="28"/>
        </w:rPr>
      </w:pPr>
    </w:p>
    <w:p w14:paraId="6D0633E3" w14:textId="77777777" w:rsidR="007F25EA" w:rsidRPr="00546C7E" w:rsidRDefault="00000000">
      <w:pPr>
        <w:rPr>
          <w:b/>
          <w:bCs/>
          <w:color w:val="000000" w:themeColor="text1"/>
          <w:sz w:val="28"/>
          <w:szCs w:val="28"/>
        </w:rPr>
      </w:pPr>
      <w:r w:rsidRPr="00546C7E">
        <w:rPr>
          <w:color w:val="000000" w:themeColor="text1"/>
        </w:rPr>
        <w:br w:type="page"/>
      </w:r>
    </w:p>
    <w:p w14:paraId="22018E4B" w14:textId="77777777" w:rsidR="007F25EA" w:rsidRPr="00546C7E" w:rsidRDefault="00000000">
      <w:pPr>
        <w:pStyle w:val="Heading1"/>
        <w:rPr>
          <w:color w:val="000000" w:themeColor="text1"/>
        </w:rPr>
      </w:pPr>
      <w:bookmarkStart w:id="1" w:name="_Toc224722624"/>
      <w:r w:rsidRPr="00546C7E">
        <w:rPr>
          <w:color w:val="000000" w:themeColor="text1"/>
        </w:rPr>
        <w:lastRenderedPageBreak/>
        <w:t>Introduction</w:t>
      </w:r>
      <w:bookmarkEnd w:id="1"/>
    </w:p>
    <w:p w14:paraId="30BC8C6B" w14:textId="77777777" w:rsidR="007F25EA" w:rsidRPr="00546C7E" w:rsidRDefault="00000000">
      <w:pPr>
        <w:pStyle w:val="Heading2"/>
        <w:rPr>
          <w:color w:val="000000" w:themeColor="text1"/>
        </w:rPr>
      </w:pPr>
      <w:bookmarkStart w:id="2" w:name="_Toc224722625"/>
      <w:r w:rsidRPr="00546C7E">
        <w:rPr>
          <w:color w:val="000000" w:themeColor="text1"/>
        </w:rPr>
        <w:t>Introduction to the report</w:t>
      </w:r>
      <w:bookmarkEnd w:id="2"/>
      <w:r w:rsidRPr="00546C7E">
        <w:rPr>
          <w:color w:val="000000" w:themeColor="text1"/>
        </w:rPr>
        <w:t xml:space="preserve"> </w:t>
      </w:r>
    </w:p>
    <w:p w14:paraId="4C63AF0D" w14:textId="77777777" w:rsidR="007F25EA" w:rsidRPr="00546C7E" w:rsidRDefault="00000000">
      <w:pPr>
        <w:rPr>
          <w:color w:val="000000" w:themeColor="text1"/>
        </w:rPr>
      </w:pPr>
      <w:r w:rsidRPr="00546C7E">
        <w:rPr>
          <w:color w:val="000000" w:themeColor="text1"/>
        </w:rPr>
        <w:t xml:space="preserve">The report provides a critical examination of current health, well-being, and sustainability policies at various levels. The focus is on the United Nations Sustainable Development Goals (UNSDGs) in SDG 3 and is related to health and well-being. Besides this, the report would focus on SDG12, which aims to minimise waste. This has been aligned with theoretical concepts such as the biopsychosocial model and social determinants of health. </w:t>
      </w:r>
    </w:p>
    <w:p w14:paraId="273F58D2" w14:textId="77777777" w:rsidR="007F25EA" w:rsidRPr="00546C7E" w:rsidRDefault="00000000">
      <w:pPr>
        <w:pStyle w:val="Heading2"/>
        <w:rPr>
          <w:color w:val="000000" w:themeColor="text1"/>
        </w:rPr>
      </w:pPr>
      <w:bookmarkStart w:id="3" w:name="_Toc224722626"/>
      <w:r w:rsidRPr="00546C7E">
        <w:rPr>
          <w:color w:val="000000" w:themeColor="text1"/>
        </w:rPr>
        <w:t>Focus and importance of SDGs</w:t>
      </w:r>
      <w:bookmarkEnd w:id="3"/>
    </w:p>
    <w:p w14:paraId="443F34A0" w14:textId="77777777" w:rsidR="007F25EA" w:rsidRPr="00546C7E" w:rsidRDefault="00000000">
      <w:pPr>
        <w:rPr>
          <w:color w:val="000000" w:themeColor="text1"/>
        </w:rPr>
      </w:pPr>
      <w:r w:rsidRPr="00546C7E">
        <w:rPr>
          <w:color w:val="000000" w:themeColor="text1"/>
        </w:rPr>
        <w:t xml:space="preserve">SDG 3 focuses on healthy lives and well-being across all ages and integrates the concept of care, promoting sustainable and equitable healthcare access. This enables indiscriminate access to healthcare that could achieve the long-term objective of promoting health equity. On the other hand, SDG 12 is focused on responsible production and consumption, which helps minimise waste. This SDG separates economic growth from environmental degradation. </w:t>
      </w:r>
    </w:p>
    <w:p w14:paraId="47D2AAC7" w14:textId="77777777" w:rsidR="007F25EA" w:rsidRPr="00546C7E" w:rsidRDefault="00000000">
      <w:pPr>
        <w:pStyle w:val="Heading2"/>
        <w:rPr>
          <w:color w:val="000000" w:themeColor="text1"/>
        </w:rPr>
      </w:pPr>
      <w:bookmarkStart w:id="4" w:name="_Toc224722627"/>
      <w:r w:rsidRPr="00546C7E">
        <w:rPr>
          <w:color w:val="000000" w:themeColor="text1"/>
        </w:rPr>
        <w:t>Structure of the report</w:t>
      </w:r>
      <w:bookmarkEnd w:id="4"/>
    </w:p>
    <w:p w14:paraId="77EE6729" w14:textId="77777777" w:rsidR="007F25EA" w:rsidRPr="00546C7E" w:rsidRDefault="00000000">
      <w:pPr>
        <w:rPr>
          <w:color w:val="000000" w:themeColor="text1"/>
        </w:rPr>
      </w:pPr>
      <w:r w:rsidRPr="00546C7E">
        <w:rPr>
          <w:color w:val="000000" w:themeColor="text1"/>
        </w:rPr>
        <w:t xml:space="preserve">The report is divided into two main sections that include sections 1 and 2. The first section would provide an overview of SDG 3, along with national interest, local policies and initiatives that align with the previously mentioned SDG. This would be followed by theoretical alignment and recommendations based on evaluation. The second section would address SDG 12 under the same contextual discussion. </w:t>
      </w:r>
    </w:p>
    <w:p w14:paraId="0FF88C0E" w14:textId="77777777" w:rsidR="007F25EA" w:rsidRPr="00546C7E" w:rsidRDefault="00000000">
      <w:pPr>
        <w:pStyle w:val="Heading1"/>
        <w:rPr>
          <w:color w:val="000000" w:themeColor="text1"/>
        </w:rPr>
      </w:pPr>
      <w:bookmarkStart w:id="5" w:name="_Toc224722628"/>
      <w:r w:rsidRPr="56CE906E">
        <w:rPr>
          <w:color w:val="000000" w:themeColor="text1"/>
        </w:rPr>
        <w:t>Section 1: SDG 3 - Good Health and Well-being</w:t>
      </w:r>
      <w:bookmarkEnd w:id="5"/>
    </w:p>
    <w:p w14:paraId="4D21A7D0" w14:textId="77777777" w:rsidR="007F25EA" w:rsidRPr="00546C7E" w:rsidRDefault="00000000">
      <w:pPr>
        <w:pStyle w:val="Heading2"/>
        <w:rPr>
          <w:color w:val="000000" w:themeColor="text1"/>
        </w:rPr>
      </w:pPr>
      <w:bookmarkStart w:id="6" w:name="_Toc224722629"/>
      <w:r w:rsidRPr="00546C7E">
        <w:rPr>
          <w:color w:val="000000" w:themeColor="text1"/>
        </w:rPr>
        <w:t>Overview of the SDG 3</w:t>
      </w:r>
      <w:bookmarkEnd w:id="6"/>
    </w:p>
    <w:p w14:paraId="1F2FAF48" w14:textId="28E1FF06" w:rsidR="007F25EA" w:rsidRPr="00546C7E" w:rsidRDefault="00000000">
      <w:pPr>
        <w:rPr>
          <w:color w:val="000000" w:themeColor="text1"/>
        </w:rPr>
      </w:pPr>
      <w:r w:rsidRPr="00546C7E">
        <w:rPr>
          <w:color w:val="000000" w:themeColor="text1"/>
        </w:rPr>
        <w:t xml:space="preserve">SDG 3 focuses on eliminating healthcare-based inequality and ensuring equal access to healthcare for everyone. This includes reducing child mortality rate, combating non-communicable diseases such as mental health issues, eliminating communicable diseases such as malaria and improving universal health coverage. This also expands to provide access to vaccinations and medications. The SDGs are guided by the 2030 Agenda for Sustainable Development and aim to promote the prosperity of people and the planet (UN Org, 2026). SDG 3 also addresses a wide range of social issues that may be contributing to worsening health conditions among individuals through addressing inequalities in health. Additionally, the SDG identifies how social issues, such as drug consumption and accidental incidents, such as road accidents, contribute towards the degradation of health (WHO, 2026). In contrast, the integration of SDG 3 is limited to maintaining equitable and sustainable health systems and does not address the funding considerations associated with these policies. For </w:t>
      </w:r>
      <w:r w:rsidR="00A14F9F" w:rsidRPr="00546C7E">
        <w:rPr>
          <w:color w:val="000000" w:themeColor="text1"/>
        </w:rPr>
        <w:t>instance,</w:t>
      </w:r>
      <w:r w:rsidRPr="00546C7E">
        <w:rPr>
          <w:color w:val="000000" w:themeColor="text1"/>
        </w:rPr>
        <w:t xml:space="preserve"> education and poverty are also considered in this case, along with their impact on the health conditions of various individuals. </w:t>
      </w:r>
    </w:p>
    <w:p w14:paraId="03641309" w14:textId="77777777" w:rsidR="007F25EA" w:rsidRPr="00546C7E" w:rsidRDefault="00000000">
      <w:pPr>
        <w:pStyle w:val="Heading2"/>
        <w:rPr>
          <w:color w:val="000000" w:themeColor="text1"/>
        </w:rPr>
      </w:pPr>
      <w:bookmarkStart w:id="7" w:name="_Toc224722630"/>
      <w:r w:rsidRPr="00546C7E">
        <w:rPr>
          <w:color w:val="000000" w:themeColor="text1"/>
        </w:rPr>
        <w:lastRenderedPageBreak/>
        <w:t>Critical evaluation of global policies</w:t>
      </w:r>
      <w:bookmarkEnd w:id="7"/>
    </w:p>
    <w:p w14:paraId="313AE463" w14:textId="010153F6" w:rsidR="007F25EA" w:rsidRPr="00546C7E" w:rsidRDefault="00000000">
      <w:pPr>
        <w:rPr>
          <w:color w:val="000000" w:themeColor="text1"/>
        </w:rPr>
      </w:pPr>
      <w:r w:rsidRPr="00546C7E">
        <w:rPr>
          <w:color w:val="000000" w:themeColor="text1"/>
        </w:rPr>
        <w:t xml:space="preserve">The global policies associated with maintaining equitable access towards healthcare facilities include the development of Agenda 2030. There is scope for missing targets, and execution effectiveness could be hampered by financial constraints as well. Another example could include COVAX, which was a multilateral effort led by Gavi, the Vaccine Alliance, the Coalition for Epidemic Preparedness Innovations (CEPI), the World Health Organisation (WHO) and UNICEF from 2020 to 2023. On the other hand, the Universal Health Coverage (UHC) is a program developed by the World Health Organisation (WHO) that includes a decrease in the health inequalities by 20% within 2000 and 2023 (WHO Int, 2025). However, the program fails to account for differences among Lower-Middle-Income Countries (LMICs) and High-Income Countries (HICs). For example, the childhood cancer survival rate is about 90% in HICs, while the survival rate is about 5-60% LMICs (Farrag </w:t>
      </w:r>
      <w:r w:rsidRPr="00546C7E">
        <w:rPr>
          <w:i/>
          <w:iCs/>
          <w:color w:val="000000" w:themeColor="text1"/>
        </w:rPr>
        <w:t xml:space="preserve">et al., </w:t>
      </w:r>
      <w:r w:rsidRPr="00546C7E">
        <w:rPr>
          <w:color w:val="000000" w:themeColor="text1"/>
        </w:rPr>
        <w:t xml:space="preserve">2023). This is a significant drawback associated with the policy. This aligns with the biopsychosocial model, which determines the social influence on health outcomes. </w:t>
      </w:r>
    </w:p>
    <w:p w14:paraId="3B587292" w14:textId="77777777" w:rsidR="007F25EA" w:rsidRPr="00546C7E" w:rsidRDefault="00000000">
      <w:pPr>
        <w:pStyle w:val="Heading2"/>
        <w:rPr>
          <w:color w:val="000000" w:themeColor="text1"/>
        </w:rPr>
      </w:pPr>
      <w:bookmarkStart w:id="8" w:name="_Toc224722631"/>
      <w:r w:rsidRPr="00546C7E">
        <w:rPr>
          <w:color w:val="000000" w:themeColor="text1"/>
        </w:rPr>
        <w:t>National and local examples</w:t>
      </w:r>
      <w:bookmarkEnd w:id="8"/>
    </w:p>
    <w:p w14:paraId="4B302541" w14:textId="2AFEC27C" w:rsidR="007F25EA" w:rsidRPr="00546C7E" w:rsidRDefault="00000000">
      <w:pPr>
        <w:rPr>
          <w:color w:val="000000" w:themeColor="text1"/>
        </w:rPr>
      </w:pPr>
      <w:bookmarkStart w:id="9" w:name="_heading=h.zh5yj75qpvlr" w:colFirst="0" w:colLast="0"/>
      <w:bookmarkEnd w:id="9"/>
      <w:r w:rsidRPr="00546C7E">
        <w:rPr>
          <w:color w:val="000000" w:themeColor="text1"/>
        </w:rPr>
        <w:t xml:space="preserve">The NHS long-term plan could be a feasible policy within the UK that aligns with offering personalised care irrespective of the background of the patient. It focuses on preventive care </w:t>
      </w:r>
      <w:r w:rsidR="00A14F9F" w:rsidRPr="00546C7E">
        <w:rPr>
          <w:color w:val="000000" w:themeColor="text1"/>
        </w:rPr>
        <w:t>and</w:t>
      </w:r>
      <w:r w:rsidRPr="00546C7E">
        <w:rPr>
          <w:color w:val="000000" w:themeColor="text1"/>
        </w:rPr>
        <w:t xml:space="preserve"> offers mental health support (National Archives, 2025). In contrast, ensuring equal access to healthcare for all could pose significant challenges. This includes locally based policies as well, such as the Making Every Contact Count (MECC) initiative (NICE, 2026). This helps in reducing individual diet and behavioural changes, such as smoking or alcohol consumption, </w:t>
      </w:r>
      <w:r w:rsidR="00A14F9F" w:rsidRPr="00546C7E">
        <w:rPr>
          <w:color w:val="000000" w:themeColor="text1"/>
        </w:rPr>
        <w:t>which</w:t>
      </w:r>
      <w:r w:rsidRPr="00546C7E">
        <w:rPr>
          <w:color w:val="000000" w:themeColor="text1"/>
        </w:rPr>
        <w:t xml:space="preserve"> affect health. </w:t>
      </w:r>
    </w:p>
    <w:p w14:paraId="6CDE4D02" w14:textId="32C42572" w:rsidR="007F25EA" w:rsidRPr="00546C7E" w:rsidRDefault="00000000">
      <w:pPr>
        <w:rPr>
          <w:color w:val="000000" w:themeColor="text1"/>
        </w:rPr>
      </w:pPr>
      <w:r w:rsidRPr="00546C7E">
        <w:rPr>
          <w:color w:val="000000" w:themeColor="text1"/>
        </w:rPr>
        <w:t xml:space="preserve">Post the COVID-19 pandemic, there has been considerable pressure on the healthcare system. The average wait time of the patients has been found to be under 18 weeks for </w:t>
      </w:r>
      <w:r w:rsidR="00A14F9F" w:rsidRPr="00546C7E">
        <w:rPr>
          <w:color w:val="000000" w:themeColor="text1"/>
        </w:rPr>
        <w:t>most of</w:t>
      </w:r>
      <w:r w:rsidRPr="00546C7E">
        <w:rPr>
          <w:color w:val="000000" w:themeColor="text1"/>
        </w:rPr>
        <w:t xml:space="preserve"> the patients (Wood </w:t>
      </w:r>
      <w:r w:rsidRPr="00546C7E">
        <w:rPr>
          <w:i/>
          <w:iCs/>
          <w:color w:val="000000" w:themeColor="text1"/>
        </w:rPr>
        <w:t xml:space="preserve">et al., </w:t>
      </w:r>
      <w:r w:rsidRPr="00546C7E">
        <w:rPr>
          <w:color w:val="000000" w:themeColor="text1"/>
        </w:rPr>
        <w:t xml:space="preserve">2025). </w:t>
      </w:r>
      <w:r w:rsidR="00A14F9F" w:rsidRPr="00546C7E">
        <w:rPr>
          <w:color w:val="000000" w:themeColor="text1"/>
        </w:rPr>
        <w:t>Additionally,</w:t>
      </w:r>
      <w:r w:rsidRPr="00546C7E">
        <w:rPr>
          <w:color w:val="000000" w:themeColor="text1"/>
        </w:rPr>
        <w:t xml:space="preserve"> the presence of a digital skills gap results in a lack of access to healthcare for the underprivileged community members. </w:t>
      </w:r>
    </w:p>
    <w:p w14:paraId="273D2650" w14:textId="77777777" w:rsidR="007F25EA" w:rsidRPr="00546C7E" w:rsidRDefault="00000000">
      <w:pPr>
        <w:rPr>
          <w:color w:val="000000" w:themeColor="text1"/>
        </w:rPr>
      </w:pPr>
      <w:bookmarkStart w:id="10" w:name="_heading=h.79622y4hop73" w:colFirst="0" w:colLast="0"/>
      <w:bookmarkEnd w:id="10"/>
      <w:r w:rsidRPr="00546C7E">
        <w:rPr>
          <w:color w:val="000000" w:themeColor="text1"/>
        </w:rPr>
        <w:t xml:space="preserve">Public health initiatives are implemented through policies developed by local health councils. This includes developing public health initiatives such as Healthy New Towns (England NHS, 2026). This focuses on creating urban design that supports walkable green spaces to manage obesity (Woodley and Jones, 2025). </w:t>
      </w:r>
    </w:p>
    <w:p w14:paraId="6FF383C8" w14:textId="29DD4BC3" w:rsidR="007F25EA" w:rsidRPr="00546C7E" w:rsidRDefault="00000000">
      <w:pPr>
        <w:rPr>
          <w:color w:val="000000" w:themeColor="text1"/>
        </w:rPr>
      </w:pPr>
      <w:r w:rsidRPr="00546C7E">
        <w:rPr>
          <w:color w:val="000000" w:themeColor="text1"/>
        </w:rPr>
        <w:t xml:space="preserve">In contrast, the projects receive limited funding for their development. The progression of the project could be limited by a lack of concrete evidence on health outcomes. </w:t>
      </w:r>
    </w:p>
    <w:p w14:paraId="6C137CC0" w14:textId="77777777" w:rsidR="007F25EA" w:rsidRPr="00546C7E" w:rsidRDefault="00000000">
      <w:pPr>
        <w:pStyle w:val="Heading2"/>
        <w:rPr>
          <w:color w:val="000000" w:themeColor="text1"/>
        </w:rPr>
      </w:pPr>
      <w:bookmarkStart w:id="11" w:name="_Toc224722632"/>
      <w:r w:rsidRPr="00546C7E">
        <w:rPr>
          <w:color w:val="000000" w:themeColor="text1"/>
        </w:rPr>
        <w:t>Theoretical underpinnings</w:t>
      </w:r>
      <w:bookmarkEnd w:id="11"/>
    </w:p>
    <w:p w14:paraId="42A5BD92" w14:textId="77777777" w:rsidR="007F25EA" w:rsidRPr="00546C7E" w:rsidRDefault="00000000">
      <w:pPr>
        <w:rPr>
          <w:color w:val="000000" w:themeColor="text1"/>
        </w:rPr>
      </w:pPr>
      <w:r w:rsidRPr="00546C7E">
        <w:rPr>
          <w:color w:val="000000" w:themeColor="text1"/>
        </w:rPr>
        <w:t xml:space="preserve">The biopsychosocial model considers that biological, psychological, and social influences interact to shape health outcomes (Roberts, 2023). They do not rely on strictly biomedical explanations of the diseases but limit the outcomes of health to three perspectives only. </w:t>
      </w:r>
    </w:p>
    <w:p w14:paraId="6B667290" w14:textId="77777777" w:rsidR="007F25EA" w:rsidRPr="00546C7E" w:rsidRDefault="00000000">
      <w:pPr>
        <w:jc w:val="center"/>
        <w:rPr>
          <w:color w:val="000000" w:themeColor="text1"/>
        </w:rPr>
      </w:pPr>
      <w:r w:rsidRPr="00546C7E">
        <w:rPr>
          <w:noProof/>
          <w:color w:val="000000" w:themeColor="text1"/>
        </w:rPr>
        <w:lastRenderedPageBreak/>
        <w:drawing>
          <wp:inline distT="114300" distB="114300" distL="114300" distR="114300" wp14:anchorId="12CE590D" wp14:editId="113B13A1">
            <wp:extent cx="4338638" cy="2479221"/>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338638" cy="2479221"/>
                    </a:xfrm>
                    <a:prstGeom prst="rect">
                      <a:avLst/>
                    </a:prstGeom>
                    <a:ln w="12700">
                      <a:solidFill>
                        <a:srgbClr val="000000"/>
                      </a:solidFill>
                      <a:prstDash val="solid"/>
                    </a:ln>
                  </pic:spPr>
                </pic:pic>
              </a:graphicData>
            </a:graphic>
          </wp:inline>
        </w:drawing>
      </w:r>
    </w:p>
    <w:p w14:paraId="5445E710" w14:textId="77777777" w:rsidR="007F25EA" w:rsidRPr="00546C7E" w:rsidRDefault="00000000">
      <w:pPr>
        <w:jc w:val="center"/>
        <w:rPr>
          <w:b/>
          <w:bCs/>
          <w:color w:val="000000" w:themeColor="text1"/>
        </w:rPr>
      </w:pPr>
      <w:r w:rsidRPr="00546C7E">
        <w:rPr>
          <w:b/>
          <w:bCs/>
          <w:color w:val="000000" w:themeColor="text1"/>
        </w:rPr>
        <w:t>Figure 1: Biopsychosocial model of health</w:t>
      </w:r>
    </w:p>
    <w:p w14:paraId="18BE2842" w14:textId="77777777" w:rsidR="007F25EA" w:rsidRPr="00546C7E" w:rsidRDefault="00000000">
      <w:pPr>
        <w:rPr>
          <w:color w:val="000000" w:themeColor="text1"/>
        </w:rPr>
      </w:pPr>
      <w:r w:rsidRPr="00546C7E">
        <w:rPr>
          <w:color w:val="000000" w:themeColor="text1"/>
        </w:rPr>
        <w:t xml:space="preserve">Based on the figure above, the key considerations include biological, psychosocial, and social factors associated with health. In SDG 3, the determinants of health are considered alongside various social factors, including poverty, economic background, social causes and others. </w:t>
      </w:r>
    </w:p>
    <w:p w14:paraId="521B1E7A" w14:textId="29B042A8" w:rsidR="007F25EA" w:rsidRPr="00546C7E" w:rsidRDefault="00000000">
      <w:pPr>
        <w:rPr>
          <w:color w:val="000000" w:themeColor="text1"/>
        </w:rPr>
      </w:pPr>
      <w:bookmarkStart w:id="12" w:name="_heading=h.fsspnv2fc7f4" w:colFirst="0" w:colLast="0"/>
      <w:bookmarkEnd w:id="12"/>
      <w:r w:rsidRPr="00546C7E">
        <w:rPr>
          <w:color w:val="000000" w:themeColor="text1"/>
        </w:rPr>
        <w:t xml:space="preserve">The Social Ecological Model highlights the interconnection between health determinants of behaviour and policies (Adroa Afiya, 2024). By aligning this theory, it is possible to support a person-centric healthcare system. In addition, it helps support sustainable health care settings aligned with care integration aligned with the SDGs (Fong </w:t>
      </w:r>
      <w:r w:rsidRPr="00546C7E">
        <w:rPr>
          <w:i/>
          <w:iCs/>
          <w:color w:val="000000" w:themeColor="text1"/>
        </w:rPr>
        <w:t xml:space="preserve">et al., </w:t>
      </w:r>
      <w:r w:rsidRPr="00546C7E">
        <w:rPr>
          <w:color w:val="000000" w:themeColor="text1"/>
        </w:rPr>
        <w:t xml:space="preserve">2023). The presence of this model could be </w:t>
      </w:r>
      <w:r w:rsidR="00A14F9F" w:rsidRPr="00546C7E">
        <w:rPr>
          <w:color w:val="000000" w:themeColor="text1"/>
        </w:rPr>
        <w:t>useful,</w:t>
      </w:r>
      <w:r w:rsidRPr="00546C7E">
        <w:rPr>
          <w:color w:val="000000" w:themeColor="text1"/>
        </w:rPr>
        <w:t xml:space="preserve"> but the theory is limited only to stratified health determinants and policies. This explains the presence of numerous interventions at multiple layers. </w:t>
      </w:r>
    </w:p>
    <w:p w14:paraId="756D187E" w14:textId="77777777" w:rsidR="007F25EA" w:rsidRPr="00546C7E" w:rsidRDefault="00000000">
      <w:pPr>
        <w:pStyle w:val="Heading2"/>
        <w:rPr>
          <w:color w:val="000000" w:themeColor="text1"/>
        </w:rPr>
      </w:pPr>
      <w:bookmarkStart w:id="13" w:name="_Toc224722633"/>
      <w:r w:rsidRPr="00546C7E">
        <w:rPr>
          <w:color w:val="000000" w:themeColor="text1"/>
        </w:rPr>
        <w:t>Recommendations</w:t>
      </w:r>
      <w:bookmarkEnd w:id="13"/>
    </w:p>
    <w:p w14:paraId="7551825F" w14:textId="69F9FBCF" w:rsidR="007F25EA" w:rsidRPr="00546C7E" w:rsidRDefault="00000000">
      <w:pPr>
        <w:rPr>
          <w:color w:val="000000" w:themeColor="text1"/>
        </w:rPr>
      </w:pPr>
      <w:r w:rsidRPr="00546C7E">
        <w:rPr>
          <w:color w:val="000000" w:themeColor="text1"/>
        </w:rPr>
        <w:t xml:space="preserve">It is important to prioritise a preventive healthcare system in the UK to expand the clinical public health infrastructure. Collaboration between national and local-level authorities should be strengthened to support more effective national-level healthcare development (Alderwick, Hutchings and Mays, 2022). This could help effectively develop green spaces and ensure long-term investment in the projects. It is important for the local government to increase its funding to the local city councils, which can support the effective development of the healthy new </w:t>
      </w:r>
      <w:r w:rsidR="00A14F9F" w:rsidRPr="00546C7E">
        <w:rPr>
          <w:color w:val="000000" w:themeColor="text1"/>
        </w:rPr>
        <w:t>town’s</w:t>
      </w:r>
      <w:r w:rsidRPr="00546C7E">
        <w:rPr>
          <w:color w:val="000000" w:themeColor="text1"/>
        </w:rPr>
        <w:t xml:space="preserve"> initiatives associated with the region. Simplifying medical information and expanding non-digital healthcare channels by the NHS can help to close the healthcare access gap. </w:t>
      </w:r>
    </w:p>
    <w:p w14:paraId="5303663B" w14:textId="77777777" w:rsidR="007F25EA" w:rsidRPr="00546C7E" w:rsidRDefault="00000000">
      <w:pPr>
        <w:pStyle w:val="Heading1"/>
        <w:rPr>
          <w:color w:val="000000" w:themeColor="text1"/>
        </w:rPr>
      </w:pPr>
      <w:bookmarkStart w:id="14" w:name="_Toc224722634"/>
      <w:r w:rsidRPr="56CE906E">
        <w:rPr>
          <w:color w:val="000000" w:themeColor="text1"/>
        </w:rPr>
        <w:t>Section 2: Chosen SDG</w:t>
      </w:r>
      <w:bookmarkEnd w:id="14"/>
    </w:p>
    <w:p w14:paraId="4475B8AE" w14:textId="77777777" w:rsidR="007F25EA" w:rsidRPr="00546C7E" w:rsidRDefault="00000000">
      <w:pPr>
        <w:pStyle w:val="Heading2"/>
        <w:rPr>
          <w:color w:val="000000" w:themeColor="text1"/>
        </w:rPr>
      </w:pPr>
      <w:bookmarkStart w:id="15" w:name="_Toc224722635"/>
      <w:r w:rsidRPr="00546C7E">
        <w:rPr>
          <w:color w:val="000000" w:themeColor="text1"/>
        </w:rPr>
        <w:t>Overview of SDG 12</w:t>
      </w:r>
      <w:bookmarkEnd w:id="15"/>
    </w:p>
    <w:p w14:paraId="733ABD7B" w14:textId="19BA175F" w:rsidR="007F25EA" w:rsidRPr="00172A82" w:rsidRDefault="00000000">
      <w:r w:rsidRPr="00546C7E">
        <w:rPr>
          <w:color w:val="000000" w:themeColor="text1"/>
        </w:rPr>
        <w:t xml:space="preserve">UN SDG 12 focuses on ensuring sustainable consumption and production, which could be a key to sustaining the livelihoods of present and future generations. Given the projected population growth, the SDGs aim for effective resource allocation and underscore the importance of waste reduction, chemical management and the encouragement of sustainable </w:t>
      </w:r>
      <w:r w:rsidRPr="00546C7E">
        <w:rPr>
          <w:color w:val="000000" w:themeColor="text1"/>
        </w:rPr>
        <w:lastRenderedPageBreak/>
        <w:t xml:space="preserve">business practices (UNEP, 2025). On the other hand, one of the biggest limitations of SDG 12 is that it has failed to prevent the global food loss, which is about 13% as of now (UNEP, 2026). </w:t>
      </w:r>
      <w:r w:rsidR="00A14F9F" w:rsidRPr="00546C7E">
        <w:rPr>
          <w:color w:val="000000" w:themeColor="text1"/>
        </w:rPr>
        <w:t>Also,</w:t>
      </w:r>
      <w:r w:rsidRPr="00546C7E">
        <w:rPr>
          <w:color w:val="000000" w:themeColor="text1"/>
        </w:rPr>
        <w:t xml:space="preserve"> SDG 12 is limited in its application due to the </w:t>
      </w:r>
      <w:r w:rsidR="00A14F9F" w:rsidRPr="00546C7E">
        <w:rPr>
          <w:color w:val="000000" w:themeColor="text1"/>
        </w:rPr>
        <w:t>prohibitive costs</w:t>
      </w:r>
      <w:r w:rsidRPr="00546C7E">
        <w:rPr>
          <w:color w:val="000000" w:themeColor="text1"/>
        </w:rPr>
        <w:t xml:space="preserve"> of implementation, </w:t>
      </w:r>
      <w:r w:rsidRPr="00172A82">
        <w:t xml:space="preserve">especially in developing countries. SDG 12 helps to address the determinants of health, including social and socioeconomic factors, as well as interventions that could help maintain a high quality of life. </w:t>
      </w:r>
      <w:r w:rsidR="00E1461E" w:rsidRPr="00172A82">
        <w:t xml:space="preserve">SDG 12 plays a pivotal role in shaping sustainable development by encouraging nations to shift towards responsible consumption and production systems. It </w:t>
      </w:r>
      <w:r w:rsidR="007E48F0">
        <w:t>puts</w:t>
      </w:r>
      <w:r w:rsidR="00E1461E" w:rsidRPr="00172A82">
        <w:t xml:space="preserve"> emphasis on waste reduction, circular economy principles and efficient resource </w:t>
      </w:r>
      <w:r w:rsidR="007E48F0">
        <w:t xml:space="preserve">use </w:t>
      </w:r>
      <w:r w:rsidR="00E1461E" w:rsidRPr="00172A82">
        <w:t xml:space="preserve">by using direct </w:t>
      </w:r>
      <w:r w:rsidR="007E48F0">
        <w:t>support</w:t>
      </w:r>
      <w:r w:rsidR="00E1461E" w:rsidRPr="00172A82">
        <w:t xml:space="preserve"> for long</w:t>
      </w:r>
      <w:r w:rsidR="00E1461E" w:rsidRPr="00172A82">
        <w:noBreakHyphen/>
        <w:t>term environmental and public health outcomes. However, the persistent rise in global waste generation and uneven policy adoption highlights the need for stronger governance and financial support. It is required, particularly in low</w:t>
      </w:r>
      <w:r w:rsidR="00E1461E" w:rsidRPr="00172A82">
        <w:noBreakHyphen/>
        <w:t>income regions. Strengthening producer responsibility by improving recycling infrastructure and enhancing public awareness can accelerate progress. When effectively implemented, SDG 12 not only mitigates environmental degradation but also reinforces healthier, more resilient communities through improved living conditions and reduced pollution.</w:t>
      </w:r>
    </w:p>
    <w:p w14:paraId="2F840275" w14:textId="77777777" w:rsidR="007F25EA" w:rsidRPr="00172A82" w:rsidRDefault="00000000">
      <w:pPr>
        <w:pStyle w:val="Heading2"/>
      </w:pPr>
      <w:bookmarkStart w:id="16" w:name="_Toc224722636"/>
      <w:r w:rsidRPr="00172A82">
        <w:t>Global policies</w:t>
      </w:r>
      <w:bookmarkEnd w:id="16"/>
    </w:p>
    <w:p w14:paraId="765F1632" w14:textId="77777777" w:rsidR="007F25EA" w:rsidRPr="00546C7E" w:rsidRDefault="00000000">
      <w:pPr>
        <w:rPr>
          <w:color w:val="000000" w:themeColor="text1"/>
        </w:rPr>
      </w:pPr>
      <w:r w:rsidRPr="00546C7E">
        <w:rPr>
          <w:color w:val="000000" w:themeColor="text1"/>
        </w:rPr>
        <w:t>SDG 12 focuses on dissociating economic growth from environmental degradation by promoting resource efficiency, reducing waste and sustainable management of natural resources by 2030. A ten-Year Framework Program has been initiated on Sustainable Consumption and Production Patterns (10YFP) to reduce food waste by at least half to promote sustainable public procurement. For example, the ‘</w:t>
      </w:r>
      <w:hyperlink r:id="rId9">
        <w:r w:rsidR="007F25EA" w:rsidRPr="00546C7E">
          <w:rPr>
            <w:color w:val="000000" w:themeColor="text1"/>
          </w:rPr>
          <w:t>One Planet network</w:t>
        </w:r>
      </w:hyperlink>
      <w:r w:rsidRPr="00546C7E">
        <w:rPr>
          <w:color w:val="000000" w:themeColor="text1"/>
        </w:rPr>
        <w:t xml:space="preserve">’ implemented the 10YFP by catalysing multistakeholder cooperation across different sectors. This includes developing a competent collaboration between the government and the private sector (One Plant Network, 2026). While this might be beneficial in the prevention of environmental degradation, this requires an initial investment that might deter initial partner agencies and interested business parties. </w:t>
      </w:r>
    </w:p>
    <w:p w14:paraId="38E3783F" w14:textId="77777777" w:rsidR="007F25EA" w:rsidRPr="00546C7E" w:rsidRDefault="00000000">
      <w:pPr>
        <w:rPr>
          <w:color w:val="000000" w:themeColor="text1"/>
          <w:highlight w:val="white"/>
        </w:rPr>
      </w:pPr>
      <w:r w:rsidRPr="00546C7E">
        <w:rPr>
          <w:color w:val="000000" w:themeColor="text1"/>
        </w:rPr>
        <w:t xml:space="preserve">This reinforced sustainable consumption and production to achieve scale and increase impact. </w:t>
      </w:r>
      <w:r w:rsidRPr="00546C7E">
        <w:rPr>
          <w:color w:val="000000" w:themeColor="text1"/>
          <w:highlight w:val="white"/>
        </w:rPr>
        <w:t xml:space="preserve">Basel, Rotterdam, and Stockholm Conventions help in managing hazardous waste, chemical and persistent pollutants throughout their lifecycle. Moreover, the Global Plastic Treaty is an ongoing process aimed at ending plastic pollution to protect the atmosphere. </w:t>
      </w:r>
    </w:p>
    <w:p w14:paraId="0988DAF0" w14:textId="77777777" w:rsidR="007F25EA" w:rsidRPr="00546C7E" w:rsidRDefault="00000000">
      <w:pPr>
        <w:rPr>
          <w:color w:val="000000" w:themeColor="text1"/>
          <w:highlight w:val="white"/>
        </w:rPr>
      </w:pPr>
      <w:r w:rsidRPr="00546C7E">
        <w:rPr>
          <w:color w:val="000000" w:themeColor="text1"/>
          <w:highlight w:val="white"/>
        </w:rPr>
        <w:t xml:space="preserve">The implementation of the global plastics treaty has varied in various regions due to differences in opinions associated with its implementation. The European countries that make up about 65 countries have agreed to adopt a strong stance on plastic. In contrast, countries such as Russia and the Middle East have objected to it and have opposed it (Dauvergne </w:t>
      </w:r>
      <w:r w:rsidRPr="00546C7E">
        <w:rPr>
          <w:i/>
          <w:iCs/>
          <w:color w:val="000000" w:themeColor="text1"/>
          <w:highlight w:val="white"/>
        </w:rPr>
        <w:t>et al.,</w:t>
      </w:r>
      <w:r w:rsidRPr="00546C7E">
        <w:rPr>
          <w:color w:val="000000" w:themeColor="text1"/>
          <w:highlight w:val="white"/>
        </w:rPr>
        <w:t xml:space="preserve"> 2025). They have opined that the scope of the treaty is being narrowed down to only waste management rather than focusing on the entire lifecycle of plastics. </w:t>
      </w:r>
    </w:p>
    <w:p w14:paraId="6243D8B1" w14:textId="77777777" w:rsidR="007F25EA" w:rsidRPr="00546C7E" w:rsidRDefault="00000000">
      <w:pPr>
        <w:pStyle w:val="Heading2"/>
        <w:rPr>
          <w:color w:val="000000" w:themeColor="text1"/>
        </w:rPr>
      </w:pPr>
      <w:bookmarkStart w:id="17" w:name="_Toc224722637"/>
      <w:r w:rsidRPr="00546C7E">
        <w:rPr>
          <w:color w:val="000000" w:themeColor="text1"/>
        </w:rPr>
        <w:lastRenderedPageBreak/>
        <w:t>National and local policies</w:t>
      </w:r>
      <w:bookmarkEnd w:id="17"/>
    </w:p>
    <w:p w14:paraId="5FDCDE48" w14:textId="77777777" w:rsidR="007F25EA" w:rsidRPr="00546C7E" w:rsidRDefault="00000000">
      <w:pPr>
        <w:rPr>
          <w:color w:val="000000" w:themeColor="text1"/>
        </w:rPr>
      </w:pPr>
      <w:r w:rsidRPr="00546C7E">
        <w:rPr>
          <w:color w:val="000000" w:themeColor="text1"/>
        </w:rPr>
        <w:t xml:space="preserve">The waste and resources strategy developed by the UK Government has aimed to reduce food waste. This also includes moving to about 65% reduction in waste by 2040, supported by simpler recycling-based initiatives (FAO, 2025). However, achieving higher recycling rates could be difficult, as it might lead to stream contamination. This aligns with the social determinants of health theories, as it helps in keeping up the quality associated with the environment. Another national-level policy is the Extended Producer Responsibility (EPR) for packaging, which requires businesses to take responsibility for the disposal of their products. This helps ensure that local waste and contributions to landfills are reduced. </w:t>
      </w:r>
    </w:p>
    <w:p w14:paraId="37486425" w14:textId="77777777" w:rsidR="007F25EA" w:rsidRPr="00546C7E" w:rsidRDefault="00000000">
      <w:pPr>
        <w:rPr>
          <w:color w:val="000000" w:themeColor="text1"/>
        </w:rPr>
      </w:pPr>
      <w:r w:rsidRPr="00546C7E">
        <w:rPr>
          <w:color w:val="000000" w:themeColor="text1"/>
        </w:rPr>
        <w:t xml:space="preserve">Within the UK, the application of the EPR has enabled reductions in waste generated from various sources, such as electronics, by 35% (OECD, 2026). In contrast, the EPR has been limited in its implementation due to high compliance costs associated with recycling initiatives. Additionally, some materials, such as low-grade plastics, cannot be recycled, which limits the applicability of the chosen theory. </w:t>
      </w:r>
    </w:p>
    <w:p w14:paraId="6F36C02C" w14:textId="77777777" w:rsidR="007F25EA" w:rsidRPr="00546C7E" w:rsidRDefault="00000000">
      <w:pPr>
        <w:pStyle w:val="Heading2"/>
        <w:rPr>
          <w:color w:val="000000" w:themeColor="text1"/>
        </w:rPr>
      </w:pPr>
      <w:bookmarkStart w:id="18" w:name="_Toc224722638"/>
      <w:r w:rsidRPr="00546C7E">
        <w:rPr>
          <w:color w:val="000000" w:themeColor="text1"/>
        </w:rPr>
        <w:t>Theoretical underpinnings</w:t>
      </w:r>
      <w:bookmarkEnd w:id="18"/>
    </w:p>
    <w:p w14:paraId="227744EF" w14:textId="77777777" w:rsidR="007F25EA" w:rsidRPr="00546C7E" w:rsidRDefault="00000000">
      <w:pPr>
        <w:rPr>
          <w:color w:val="000000" w:themeColor="text1"/>
        </w:rPr>
      </w:pPr>
      <w:r w:rsidRPr="00546C7E">
        <w:rPr>
          <w:color w:val="000000" w:themeColor="text1"/>
        </w:rPr>
        <w:t xml:space="preserve">Social determinants of health highlight the </w:t>
      </w:r>
      <w:r w:rsidR="00A14F9F" w:rsidRPr="00546C7E">
        <w:rPr>
          <w:color w:val="000000" w:themeColor="text1"/>
        </w:rPr>
        <w:t>numerous factors</w:t>
      </w:r>
      <w:r w:rsidRPr="00546C7E">
        <w:rPr>
          <w:color w:val="000000" w:themeColor="text1"/>
        </w:rPr>
        <w:t xml:space="preserve"> associated with health outcomes within a given region. Based on the above figure, it could be observed that there could be multiple determinants associated with health outcomes. This can include aspects such as healthcare, education, economic stability and community context. These could be aligned with SDG 12 and its waste management initiatives to improve societal and community health. </w:t>
      </w:r>
    </w:p>
    <w:p w14:paraId="549C3C7F" w14:textId="77777777" w:rsidR="007F25EA" w:rsidRPr="00546C7E" w:rsidRDefault="00000000">
      <w:pPr>
        <w:pStyle w:val="Heading2"/>
        <w:rPr>
          <w:color w:val="000000" w:themeColor="text1"/>
        </w:rPr>
      </w:pPr>
      <w:bookmarkStart w:id="19" w:name="_Toc224722639"/>
      <w:r w:rsidRPr="00546C7E">
        <w:rPr>
          <w:color w:val="000000" w:themeColor="text1"/>
        </w:rPr>
        <w:t>Recommendations</w:t>
      </w:r>
      <w:bookmarkEnd w:id="19"/>
      <w:r w:rsidRPr="00546C7E">
        <w:rPr>
          <w:color w:val="000000" w:themeColor="text1"/>
        </w:rPr>
        <w:t xml:space="preserve"> </w:t>
      </w:r>
    </w:p>
    <w:p w14:paraId="08C9AC68" w14:textId="77777777" w:rsidR="007F25EA" w:rsidRPr="00546C7E" w:rsidRDefault="00000000">
      <w:pPr>
        <w:rPr>
          <w:color w:val="000000" w:themeColor="text1"/>
        </w:rPr>
      </w:pPr>
      <w:r w:rsidRPr="00546C7E">
        <w:rPr>
          <w:color w:val="000000" w:themeColor="text1"/>
        </w:rPr>
        <w:t xml:space="preserve">It is important to bring together various stakeholders to facilitate investment in the development and proper implementation of the projects. In the UK, EPR policies could be developed with producer incentives. This could be useful in deriving the business loyalty associated with the EPR initiatives. Additionally, consumer education campaigns could be launched to help the government educate individuals about the social determinants of health and the benefits of a circular economy. </w:t>
      </w:r>
    </w:p>
    <w:p w14:paraId="3BE7C435" w14:textId="77777777" w:rsidR="007F25EA" w:rsidRPr="00546C7E" w:rsidRDefault="00000000">
      <w:pPr>
        <w:pStyle w:val="Heading1"/>
        <w:rPr>
          <w:color w:val="000000" w:themeColor="text1"/>
        </w:rPr>
      </w:pPr>
      <w:bookmarkStart w:id="20" w:name="_Toc224722640"/>
      <w:r w:rsidRPr="00546C7E">
        <w:rPr>
          <w:color w:val="000000" w:themeColor="text1"/>
        </w:rPr>
        <w:t>Conclusion</w:t>
      </w:r>
      <w:bookmarkEnd w:id="20"/>
    </w:p>
    <w:p w14:paraId="455F0875" w14:textId="77777777" w:rsidR="007F25EA" w:rsidRPr="00546C7E" w:rsidRDefault="00000000">
      <w:pPr>
        <w:pStyle w:val="Heading2"/>
        <w:rPr>
          <w:color w:val="000000" w:themeColor="text1"/>
        </w:rPr>
      </w:pPr>
      <w:bookmarkStart w:id="21" w:name="_Toc224722641"/>
      <w:r w:rsidRPr="00546C7E">
        <w:rPr>
          <w:color w:val="000000" w:themeColor="text1"/>
        </w:rPr>
        <w:t>Key findings</w:t>
      </w:r>
      <w:bookmarkEnd w:id="21"/>
    </w:p>
    <w:p w14:paraId="69D45D39" w14:textId="77777777" w:rsidR="007F25EA" w:rsidRPr="00546C7E" w:rsidRDefault="00000000">
      <w:pPr>
        <w:rPr>
          <w:color w:val="000000" w:themeColor="text1"/>
        </w:rPr>
      </w:pPr>
      <w:r w:rsidRPr="00546C7E">
        <w:rPr>
          <w:color w:val="000000" w:themeColor="text1"/>
        </w:rPr>
        <w:t xml:space="preserve">SDG 3 focuses on ensuring equity in health and social care by ensuring that individuals have equal access to them. On the other hand, it is limited by costs that have led to varying implementations across regions. This has been ensured by developing 17 sustainable goals that serve as a preamble to sustainable progress. In contrast, the agenda falls short in the implementation phase, as it does not account for on-the-ground application targets. </w:t>
      </w:r>
    </w:p>
    <w:p w14:paraId="1309430E" w14:textId="77777777" w:rsidR="007F25EA" w:rsidRPr="00546C7E" w:rsidRDefault="00000000">
      <w:pPr>
        <w:pStyle w:val="Heading2"/>
        <w:rPr>
          <w:color w:val="000000" w:themeColor="text1"/>
        </w:rPr>
      </w:pPr>
      <w:bookmarkStart w:id="22" w:name="_Toc224722642"/>
      <w:r w:rsidRPr="00546C7E">
        <w:rPr>
          <w:color w:val="000000" w:themeColor="text1"/>
        </w:rPr>
        <w:lastRenderedPageBreak/>
        <w:t>Reflection of SDGs</w:t>
      </w:r>
      <w:bookmarkEnd w:id="22"/>
      <w:r w:rsidRPr="00546C7E">
        <w:rPr>
          <w:color w:val="000000" w:themeColor="text1"/>
        </w:rPr>
        <w:t xml:space="preserve"> </w:t>
      </w:r>
    </w:p>
    <w:p w14:paraId="655E206A" w14:textId="77777777" w:rsidR="007F25EA" w:rsidRPr="00546C7E" w:rsidRDefault="00000000">
      <w:pPr>
        <w:rPr>
          <w:color w:val="000000" w:themeColor="text1"/>
        </w:rPr>
      </w:pPr>
      <w:r w:rsidRPr="00546C7E">
        <w:rPr>
          <w:color w:val="000000" w:themeColor="text1"/>
        </w:rPr>
        <w:t xml:space="preserve">The SDGs could help reduce future economic, environmental, and social costs and, in turn, strengthen economic competitiveness and reduce poverty. This has been developed by the United Nations (UN) to address challenges related to poverty and extreme scarcity, and to provide a framework for sustainable development for individuals (UN, 2026). This can help in leading proper management of waste and chemicals, preventing individuals from getting exposure to hazardous substances that may cause respiratory </w:t>
      </w:r>
      <w:r w:rsidR="00A14F9F" w:rsidRPr="00546C7E">
        <w:rPr>
          <w:color w:val="000000" w:themeColor="text1"/>
        </w:rPr>
        <w:t>diseases.</w:t>
      </w:r>
      <w:r w:rsidRPr="00546C7E">
        <w:rPr>
          <w:color w:val="000000" w:themeColor="text1"/>
        </w:rPr>
        <w:t xml:space="preserve"> </w:t>
      </w:r>
    </w:p>
    <w:p w14:paraId="670E626A" w14:textId="77777777" w:rsidR="007F25EA" w:rsidRPr="00546C7E" w:rsidRDefault="00000000">
      <w:pPr>
        <w:pStyle w:val="Heading2"/>
        <w:rPr>
          <w:color w:val="000000" w:themeColor="text1"/>
        </w:rPr>
      </w:pPr>
      <w:bookmarkStart w:id="23" w:name="_Toc224722643"/>
      <w:r w:rsidRPr="00546C7E">
        <w:rPr>
          <w:color w:val="000000" w:themeColor="text1"/>
        </w:rPr>
        <w:t>Broader implications</w:t>
      </w:r>
      <w:bookmarkEnd w:id="23"/>
      <w:r w:rsidRPr="00546C7E">
        <w:rPr>
          <w:color w:val="000000" w:themeColor="text1"/>
        </w:rPr>
        <w:t xml:space="preserve"> </w:t>
      </w:r>
    </w:p>
    <w:p w14:paraId="2DE26988" w14:textId="77777777" w:rsidR="007F25EA" w:rsidRPr="00546C7E" w:rsidRDefault="00000000">
      <w:pPr>
        <w:rPr>
          <w:color w:val="000000" w:themeColor="text1"/>
        </w:rPr>
      </w:pPr>
      <w:bookmarkStart w:id="24" w:name="_heading=h.ub6qgnymrmkc" w:colFirst="0" w:colLast="0"/>
      <w:bookmarkEnd w:id="24"/>
      <w:r w:rsidRPr="00546C7E">
        <w:rPr>
          <w:color w:val="000000" w:themeColor="text1"/>
        </w:rPr>
        <w:t xml:space="preserve">SDG 12 and SDG 3 are intrinsically intertwined as sustainable agriculture and reduced chemical use minimise the spread of toxic pollutants in water and food supplies, </w:t>
      </w:r>
      <w:r w:rsidR="00A14F9F" w:rsidRPr="00546C7E">
        <w:rPr>
          <w:color w:val="000000" w:themeColor="text1"/>
        </w:rPr>
        <w:t>reducing</w:t>
      </w:r>
      <w:r w:rsidRPr="00546C7E">
        <w:rPr>
          <w:color w:val="000000" w:themeColor="text1"/>
        </w:rPr>
        <w:t xml:space="preserve"> chronic health issues. This could be critical in upholding the community health and well-being </w:t>
      </w:r>
      <w:r w:rsidR="00A14F9F" w:rsidRPr="00546C7E">
        <w:rPr>
          <w:color w:val="000000" w:themeColor="text1"/>
        </w:rPr>
        <w:t>in each</w:t>
      </w:r>
      <w:r w:rsidRPr="00546C7E">
        <w:rPr>
          <w:color w:val="000000" w:themeColor="text1"/>
        </w:rPr>
        <w:t xml:space="preserve"> region. Another broader implication of these two SDGs involves food availability and nutritional access, which is crucial for reducing malnutrition and supporting immunity to health. </w:t>
      </w:r>
      <w:r w:rsidRPr="00546C7E">
        <w:rPr>
          <w:color w:val="000000" w:themeColor="text1"/>
        </w:rPr>
        <w:br w:type="page"/>
      </w:r>
    </w:p>
    <w:p w14:paraId="61F744E5" w14:textId="77777777" w:rsidR="007F25EA" w:rsidRPr="00546C7E" w:rsidRDefault="00000000">
      <w:pPr>
        <w:pStyle w:val="Heading1"/>
        <w:rPr>
          <w:color w:val="000000" w:themeColor="text1"/>
        </w:rPr>
      </w:pPr>
      <w:bookmarkStart w:id="25" w:name="_Toc224722644"/>
      <w:r w:rsidRPr="00546C7E">
        <w:rPr>
          <w:color w:val="000000" w:themeColor="text1"/>
        </w:rPr>
        <w:lastRenderedPageBreak/>
        <w:t>Reference List</w:t>
      </w:r>
      <w:bookmarkEnd w:id="25"/>
      <w:r w:rsidRPr="00546C7E">
        <w:rPr>
          <w:color w:val="000000" w:themeColor="text1"/>
        </w:rPr>
        <w:t xml:space="preserve"> </w:t>
      </w:r>
    </w:p>
    <w:p w14:paraId="661AF1C3" w14:textId="77777777" w:rsidR="007F25EA" w:rsidRPr="00546C7E" w:rsidRDefault="00000000">
      <w:pPr>
        <w:rPr>
          <w:color w:val="000000" w:themeColor="text1"/>
          <w:highlight w:val="white"/>
        </w:rPr>
      </w:pPr>
      <w:r w:rsidRPr="00546C7E">
        <w:rPr>
          <w:color w:val="000000" w:themeColor="text1"/>
          <w:highlight w:val="white"/>
        </w:rPr>
        <w:t xml:space="preserve">Adroa Afiya, B. (2024) ‘Interconnection between depressive disorders and persistent diseases’. </w:t>
      </w:r>
      <w:r w:rsidRPr="00546C7E">
        <w:rPr>
          <w:i/>
          <w:iCs/>
          <w:color w:val="000000" w:themeColor="text1"/>
          <w:highlight w:val="white"/>
        </w:rPr>
        <w:t>Res Invention J Res Med Sci</w:t>
      </w:r>
      <w:r w:rsidRPr="00546C7E">
        <w:rPr>
          <w:color w:val="000000" w:themeColor="text1"/>
          <w:highlight w:val="white"/>
        </w:rPr>
        <w:t xml:space="preserve">, </w:t>
      </w:r>
      <w:r w:rsidRPr="00546C7E">
        <w:rPr>
          <w:i/>
          <w:iCs/>
          <w:color w:val="000000" w:themeColor="text1"/>
          <w:highlight w:val="white"/>
        </w:rPr>
        <w:t>3</w:t>
      </w:r>
      <w:r w:rsidRPr="00546C7E">
        <w:rPr>
          <w:color w:val="000000" w:themeColor="text1"/>
          <w:highlight w:val="white"/>
        </w:rPr>
        <w:t xml:space="preserve">(1), pp.45-51. Available at: https://smartie.kiu.ac.ug/public/assets/publications/b8fc92ab8f38a7cdda02a4c230b8c9a087472287.pdf </w:t>
      </w:r>
    </w:p>
    <w:p w14:paraId="32B9A73F" w14:textId="734DF901" w:rsidR="007F25EA" w:rsidRPr="00546C7E" w:rsidRDefault="00000000">
      <w:pPr>
        <w:rPr>
          <w:color w:val="000000" w:themeColor="text1"/>
          <w:highlight w:val="white"/>
        </w:rPr>
      </w:pPr>
      <w:r w:rsidRPr="00546C7E">
        <w:rPr>
          <w:color w:val="000000" w:themeColor="text1"/>
          <w:highlight w:val="white"/>
        </w:rPr>
        <w:t xml:space="preserve">Alderwick, H., Hutchings, A. and Mays, N. (2022) ‘A cure for everything and nothing? Local partnerships for improving health in England. </w:t>
      </w:r>
      <w:r w:rsidRPr="00546C7E">
        <w:rPr>
          <w:i/>
          <w:iCs/>
          <w:color w:val="000000" w:themeColor="text1"/>
          <w:highlight w:val="white"/>
        </w:rPr>
        <w:t>bmj</w:t>
      </w:r>
      <w:r w:rsidRPr="00546C7E">
        <w:rPr>
          <w:color w:val="000000" w:themeColor="text1"/>
          <w:highlight w:val="white"/>
        </w:rPr>
        <w:t xml:space="preserve">, </w:t>
      </w:r>
      <w:r w:rsidRPr="00546C7E">
        <w:rPr>
          <w:i/>
          <w:iCs/>
          <w:color w:val="000000" w:themeColor="text1"/>
          <w:highlight w:val="white"/>
        </w:rPr>
        <w:t>378</w:t>
      </w:r>
      <w:r w:rsidRPr="00546C7E">
        <w:rPr>
          <w:color w:val="000000" w:themeColor="text1"/>
          <w:highlight w:val="white"/>
        </w:rPr>
        <w:t>. Available at: http://dx.doi.org/10.1136/bmj-2022-070910</w:t>
      </w:r>
    </w:p>
    <w:p w14:paraId="1751FAD3" w14:textId="77777777" w:rsidR="007F25EA" w:rsidRPr="00546C7E" w:rsidRDefault="00000000">
      <w:pPr>
        <w:rPr>
          <w:color w:val="000000" w:themeColor="text1"/>
          <w:highlight w:val="white"/>
        </w:rPr>
      </w:pPr>
      <w:r w:rsidRPr="00546C7E">
        <w:rPr>
          <w:color w:val="000000" w:themeColor="text1"/>
          <w:highlight w:val="white"/>
        </w:rPr>
        <w:t xml:space="preserve">Dauvergne, P., Allan, J.I., Beaudoin, S., Almroth, B.C., Clapp, J., Cowan, E., de Groot, B., Farrelly, T., de Miranda Grilli, N., Mah, A. and Mendenhall, E. (2025). Competing axes of power in the global plastics treaty: Understanding the politics of progress and setbacks in negotiating a high-ambition agreement. </w:t>
      </w:r>
      <w:r w:rsidRPr="00546C7E">
        <w:rPr>
          <w:i/>
          <w:iCs/>
          <w:color w:val="000000" w:themeColor="text1"/>
          <w:highlight w:val="white"/>
        </w:rPr>
        <w:t>Marine Policy</w:t>
      </w:r>
      <w:r w:rsidRPr="00546C7E">
        <w:rPr>
          <w:color w:val="000000" w:themeColor="text1"/>
          <w:highlight w:val="white"/>
        </w:rPr>
        <w:t xml:space="preserve">, </w:t>
      </w:r>
      <w:r w:rsidRPr="00546C7E">
        <w:rPr>
          <w:i/>
          <w:iCs/>
          <w:color w:val="000000" w:themeColor="text1"/>
          <w:highlight w:val="white"/>
        </w:rPr>
        <w:t>181</w:t>
      </w:r>
      <w:r w:rsidRPr="00546C7E">
        <w:rPr>
          <w:color w:val="000000" w:themeColor="text1"/>
          <w:highlight w:val="white"/>
        </w:rPr>
        <w:t xml:space="preserve">, p.106820. Available at: https://doi.org/10.1016/j.marpol.2025.106820 </w:t>
      </w:r>
    </w:p>
    <w:p w14:paraId="3F102973" w14:textId="77777777" w:rsidR="007F25EA" w:rsidRPr="00546C7E" w:rsidRDefault="00000000">
      <w:pPr>
        <w:rPr>
          <w:color w:val="000000" w:themeColor="text1"/>
        </w:rPr>
      </w:pPr>
      <w:r w:rsidRPr="00546C7E">
        <w:rPr>
          <w:color w:val="000000" w:themeColor="text1"/>
        </w:rPr>
        <w:t xml:space="preserve">England NHS [NHS] (2026) </w:t>
      </w:r>
      <w:r w:rsidRPr="00546C7E">
        <w:rPr>
          <w:i/>
          <w:iCs/>
          <w:color w:val="000000" w:themeColor="text1"/>
        </w:rPr>
        <w:t xml:space="preserve">Healthy New Towns. </w:t>
      </w:r>
      <w:r w:rsidRPr="00546C7E">
        <w:rPr>
          <w:color w:val="000000" w:themeColor="text1"/>
        </w:rPr>
        <w:t xml:space="preserve">Available at: https://www.england.nhs.uk/ourwork/innovation/healthy-new-towns/ (Accessed: 5 March 2026). </w:t>
      </w:r>
    </w:p>
    <w:p w14:paraId="6A12EE7A" w14:textId="77777777" w:rsidR="007F25EA" w:rsidRPr="00546C7E" w:rsidRDefault="00000000">
      <w:pPr>
        <w:rPr>
          <w:color w:val="000000" w:themeColor="text1"/>
          <w:highlight w:val="white"/>
        </w:rPr>
      </w:pPr>
      <w:r w:rsidRPr="00546C7E">
        <w:rPr>
          <w:color w:val="000000" w:themeColor="text1"/>
          <w:highlight w:val="white"/>
        </w:rPr>
        <w:t xml:space="preserve">FAO [FAO] (2025) </w:t>
      </w:r>
      <w:r w:rsidRPr="00546C7E">
        <w:rPr>
          <w:i/>
          <w:iCs/>
          <w:color w:val="000000" w:themeColor="text1"/>
          <w:highlight w:val="white"/>
        </w:rPr>
        <w:t xml:space="preserve">OUR WASTE, OUR RESOURCES: A STRATEGY FOR ENGLAND. </w:t>
      </w:r>
      <w:r w:rsidRPr="00546C7E">
        <w:rPr>
          <w:color w:val="000000" w:themeColor="text1"/>
          <w:highlight w:val="white"/>
        </w:rPr>
        <w:t xml:space="preserve">Available at: https://faolex.fao.org/docs/pdf/gbr183315.pdf (Accessed: 4 March 2026). </w:t>
      </w:r>
    </w:p>
    <w:p w14:paraId="7353A605" w14:textId="77777777" w:rsidR="007F25EA" w:rsidRPr="00546C7E" w:rsidRDefault="00000000">
      <w:pPr>
        <w:rPr>
          <w:color w:val="000000" w:themeColor="text1"/>
          <w:highlight w:val="white"/>
        </w:rPr>
      </w:pPr>
      <w:r w:rsidRPr="00546C7E">
        <w:rPr>
          <w:color w:val="000000" w:themeColor="text1"/>
          <w:highlight w:val="white"/>
        </w:rPr>
        <w:t xml:space="preserve">Farrag, A., Ghazaly, M.H., Mohammed, K., Volland, R., Hero, B. and Berthold, F. (2023) ‘Comparing presentations and outcomes of children with cancer: a study between a lower-middle-income country and a high-income country’. </w:t>
      </w:r>
      <w:r w:rsidRPr="00546C7E">
        <w:rPr>
          <w:i/>
          <w:iCs/>
          <w:color w:val="000000" w:themeColor="text1"/>
          <w:highlight w:val="white"/>
        </w:rPr>
        <w:t>BMC pediatrics</w:t>
      </w:r>
      <w:r w:rsidRPr="00546C7E">
        <w:rPr>
          <w:color w:val="000000" w:themeColor="text1"/>
          <w:highlight w:val="white"/>
        </w:rPr>
        <w:t xml:space="preserve">, </w:t>
      </w:r>
      <w:r w:rsidRPr="00546C7E">
        <w:rPr>
          <w:i/>
          <w:iCs/>
          <w:color w:val="000000" w:themeColor="text1"/>
          <w:highlight w:val="white"/>
        </w:rPr>
        <w:t>23</w:t>
      </w:r>
      <w:r w:rsidRPr="00546C7E">
        <w:rPr>
          <w:color w:val="000000" w:themeColor="text1"/>
          <w:highlight w:val="white"/>
        </w:rPr>
        <w:t xml:space="preserve">(1), p.443. Available at: https://doi.org/10.1186/s12887-023-04214-8 </w:t>
      </w:r>
    </w:p>
    <w:p w14:paraId="6B14F6A4" w14:textId="77777777" w:rsidR="007F25EA" w:rsidRPr="00546C7E" w:rsidRDefault="00000000">
      <w:pPr>
        <w:rPr>
          <w:color w:val="000000" w:themeColor="text1"/>
        </w:rPr>
      </w:pPr>
      <w:r w:rsidRPr="00546C7E">
        <w:rPr>
          <w:color w:val="000000" w:themeColor="text1"/>
          <w:highlight w:val="white"/>
        </w:rPr>
        <w:t xml:space="preserve">Fong, M.C., Russell, D., Gao, O. and Franzosa, E., (2023) 'Contextual forces shaping home-based health care services between 2010 and 2020: insights from the social-ecological model and organisational theory'. </w:t>
      </w:r>
      <w:r w:rsidRPr="00546C7E">
        <w:rPr>
          <w:i/>
          <w:iCs/>
          <w:color w:val="000000" w:themeColor="text1"/>
          <w:highlight w:val="white"/>
        </w:rPr>
        <w:t>The Gerontologist</w:t>
      </w:r>
      <w:r w:rsidRPr="00546C7E">
        <w:rPr>
          <w:color w:val="000000" w:themeColor="text1"/>
          <w:highlight w:val="white"/>
        </w:rPr>
        <w:t xml:space="preserve">, </w:t>
      </w:r>
      <w:r w:rsidRPr="00546C7E">
        <w:rPr>
          <w:i/>
          <w:iCs/>
          <w:color w:val="000000" w:themeColor="text1"/>
          <w:highlight w:val="white"/>
        </w:rPr>
        <w:t>63</w:t>
      </w:r>
      <w:r w:rsidRPr="00546C7E">
        <w:rPr>
          <w:color w:val="000000" w:themeColor="text1"/>
          <w:highlight w:val="white"/>
        </w:rPr>
        <w:t xml:space="preserve">(7), pp.1117-1128. Available at: https://doi.org/10.1093/geront/gnac113 </w:t>
      </w:r>
    </w:p>
    <w:p w14:paraId="1E46CFEA" w14:textId="77777777" w:rsidR="007F25EA" w:rsidRPr="00546C7E" w:rsidRDefault="00000000">
      <w:pPr>
        <w:rPr>
          <w:color w:val="000000" w:themeColor="text1"/>
        </w:rPr>
      </w:pPr>
      <w:r w:rsidRPr="00546C7E">
        <w:rPr>
          <w:color w:val="000000" w:themeColor="text1"/>
        </w:rPr>
        <w:t xml:space="preserve">National Archives (2025) </w:t>
      </w:r>
      <w:r w:rsidRPr="00546C7E">
        <w:rPr>
          <w:i/>
          <w:iCs/>
          <w:color w:val="000000" w:themeColor="text1"/>
        </w:rPr>
        <w:t xml:space="preserve">Personalised care. </w:t>
      </w:r>
      <w:r w:rsidRPr="00546C7E">
        <w:rPr>
          <w:color w:val="000000" w:themeColor="text1"/>
        </w:rPr>
        <w:t xml:space="preserve">Available at: https://webarchive.nationalarchives.gov.uk/ukgwa/20250506042051/https://www.longtermplan.nhs.uk/areas-of-work/personalised-care/ (Accessed: 4 March 2026). </w:t>
      </w:r>
    </w:p>
    <w:p w14:paraId="1DA311DC" w14:textId="77777777" w:rsidR="007F25EA" w:rsidRPr="00546C7E" w:rsidRDefault="00000000">
      <w:pPr>
        <w:rPr>
          <w:color w:val="000000" w:themeColor="text1"/>
          <w:highlight w:val="white"/>
        </w:rPr>
      </w:pPr>
      <w:r w:rsidRPr="00546C7E">
        <w:rPr>
          <w:color w:val="000000" w:themeColor="text1"/>
          <w:highlight w:val="white"/>
        </w:rPr>
        <w:t xml:space="preserve">NICE [NICE] (2026) </w:t>
      </w:r>
      <w:r w:rsidRPr="00546C7E">
        <w:rPr>
          <w:i/>
          <w:iCs/>
          <w:color w:val="000000" w:themeColor="text1"/>
          <w:highlight w:val="white"/>
        </w:rPr>
        <w:t>Making Every Contact Count.</w:t>
      </w:r>
      <w:r w:rsidRPr="00546C7E">
        <w:rPr>
          <w:color w:val="000000" w:themeColor="text1"/>
          <w:highlight w:val="white"/>
        </w:rPr>
        <w:t xml:space="preserve"> Available at: https://stpsupport.nice.org.uk/mecc/index.html (Accessed: 6 March 2026). </w:t>
      </w:r>
    </w:p>
    <w:p w14:paraId="13F0F433" w14:textId="77777777" w:rsidR="007F25EA" w:rsidRPr="00546C7E" w:rsidRDefault="00000000">
      <w:pPr>
        <w:rPr>
          <w:color w:val="000000" w:themeColor="text1"/>
          <w:highlight w:val="white"/>
        </w:rPr>
      </w:pPr>
      <w:r w:rsidRPr="00546C7E">
        <w:rPr>
          <w:color w:val="000000" w:themeColor="text1"/>
          <w:highlight w:val="white"/>
        </w:rPr>
        <w:t xml:space="preserve">OECD [OECD] (2026) </w:t>
      </w:r>
      <w:r w:rsidRPr="00546C7E">
        <w:rPr>
          <w:i/>
          <w:iCs/>
          <w:color w:val="000000" w:themeColor="text1"/>
          <w:highlight w:val="white"/>
        </w:rPr>
        <w:t xml:space="preserve">Extended Producer Responsibility: Basic facts and key principles. </w:t>
      </w:r>
      <w:r w:rsidRPr="00546C7E">
        <w:rPr>
          <w:color w:val="000000" w:themeColor="text1"/>
          <w:highlight w:val="white"/>
        </w:rPr>
        <w:t xml:space="preserve">Available at: https://www.oecd.org/content/dam/oecd/en/publications/reports/2024/04/extended-producer-responsibility_4274765d/67587b0b-en.pdf (Accessed: 5 March 2026). </w:t>
      </w:r>
    </w:p>
    <w:p w14:paraId="1DD502C0" w14:textId="77777777" w:rsidR="007F25EA" w:rsidRPr="00546C7E" w:rsidRDefault="00000000">
      <w:pPr>
        <w:rPr>
          <w:color w:val="000000" w:themeColor="text1"/>
          <w:highlight w:val="white"/>
        </w:rPr>
      </w:pPr>
      <w:r w:rsidRPr="00546C7E">
        <w:rPr>
          <w:color w:val="000000" w:themeColor="text1"/>
          <w:highlight w:val="white"/>
        </w:rPr>
        <w:lastRenderedPageBreak/>
        <w:t xml:space="preserve">One Plant Network, (2026) </w:t>
      </w:r>
      <w:r w:rsidRPr="00546C7E">
        <w:rPr>
          <w:i/>
          <w:iCs/>
          <w:color w:val="000000" w:themeColor="text1"/>
          <w:highlight w:val="white"/>
        </w:rPr>
        <w:t xml:space="preserve">The 10-Year Framework of Programmes on Sustainable Consumption and Production. </w:t>
      </w:r>
      <w:r w:rsidRPr="00546C7E">
        <w:rPr>
          <w:color w:val="000000" w:themeColor="text1"/>
          <w:highlight w:val="white"/>
        </w:rPr>
        <w:t xml:space="preserve">Available at: https://www.oneplanetnetwork.org/about/10-year-framework-programmes-sustainable-consumption-production (Accessed: 7 March 2026). </w:t>
      </w:r>
    </w:p>
    <w:p w14:paraId="0FD73866" w14:textId="77777777" w:rsidR="007F25EA" w:rsidRPr="00546C7E" w:rsidRDefault="00000000">
      <w:pPr>
        <w:rPr>
          <w:color w:val="000000" w:themeColor="text1"/>
          <w:highlight w:val="white"/>
        </w:rPr>
      </w:pPr>
      <w:r w:rsidRPr="00546C7E">
        <w:rPr>
          <w:color w:val="000000" w:themeColor="text1"/>
          <w:highlight w:val="white"/>
        </w:rPr>
        <w:t xml:space="preserve">Roberts, A., (2023) ‘The biopsychosocial model: Its use and abuse’. </w:t>
      </w:r>
      <w:r w:rsidRPr="00546C7E">
        <w:rPr>
          <w:i/>
          <w:iCs/>
          <w:color w:val="000000" w:themeColor="text1"/>
          <w:highlight w:val="white"/>
        </w:rPr>
        <w:t>Medicine, Health Care and Philosophy</w:t>
      </w:r>
      <w:r w:rsidRPr="00546C7E">
        <w:rPr>
          <w:color w:val="000000" w:themeColor="text1"/>
          <w:highlight w:val="white"/>
        </w:rPr>
        <w:t xml:space="preserve">, </w:t>
      </w:r>
      <w:r w:rsidRPr="00546C7E">
        <w:rPr>
          <w:i/>
          <w:iCs/>
          <w:color w:val="000000" w:themeColor="text1"/>
          <w:highlight w:val="white"/>
        </w:rPr>
        <w:t>26</w:t>
      </w:r>
      <w:r w:rsidRPr="00546C7E">
        <w:rPr>
          <w:color w:val="000000" w:themeColor="text1"/>
          <w:highlight w:val="white"/>
        </w:rPr>
        <w:t>(3), pp.367-384. Available at: https://doi.org/10.1007/s11019-023-10150-2</w:t>
      </w:r>
    </w:p>
    <w:p w14:paraId="4E9B60D1" w14:textId="77777777" w:rsidR="007F25EA" w:rsidRPr="00546C7E" w:rsidRDefault="00000000">
      <w:pPr>
        <w:rPr>
          <w:color w:val="000000" w:themeColor="text1"/>
        </w:rPr>
      </w:pPr>
      <w:r w:rsidRPr="00546C7E">
        <w:rPr>
          <w:color w:val="000000" w:themeColor="text1"/>
        </w:rPr>
        <w:t xml:space="preserve">UN [United Nations] (2026) </w:t>
      </w:r>
      <w:r w:rsidRPr="00546C7E">
        <w:rPr>
          <w:i/>
          <w:iCs/>
          <w:color w:val="000000" w:themeColor="text1"/>
        </w:rPr>
        <w:t xml:space="preserve">Transforming our world: the 2030 Agenda for Sustainable Development. </w:t>
      </w:r>
      <w:r w:rsidRPr="00546C7E">
        <w:rPr>
          <w:color w:val="000000" w:themeColor="text1"/>
        </w:rPr>
        <w:t xml:space="preserve">Available at: https://sdgs.un.org/2030agenda (Accessed: 1 March 2026). </w:t>
      </w:r>
    </w:p>
    <w:p w14:paraId="39DE21DF" w14:textId="77777777" w:rsidR="007F25EA" w:rsidRPr="00546C7E" w:rsidRDefault="00000000">
      <w:pPr>
        <w:rPr>
          <w:color w:val="000000" w:themeColor="text1"/>
        </w:rPr>
      </w:pPr>
      <w:r w:rsidRPr="00546C7E">
        <w:rPr>
          <w:color w:val="000000" w:themeColor="text1"/>
        </w:rPr>
        <w:t xml:space="preserve">UN Org [United Nations] (2026) </w:t>
      </w:r>
      <w:r w:rsidRPr="00546C7E">
        <w:rPr>
          <w:i/>
          <w:iCs/>
          <w:color w:val="000000" w:themeColor="text1"/>
        </w:rPr>
        <w:t>Goal 3: Ensure healthy lives and promote well-being for all at all ages</w:t>
      </w:r>
      <w:r w:rsidRPr="00546C7E">
        <w:rPr>
          <w:color w:val="000000" w:themeColor="text1"/>
        </w:rPr>
        <w:t>. Available at: https://www.un.org/sustainabledevelopment/health/#:~:text=Some%20things%20you%20can%20do%20to%20help,government%2C%20local%20leaders%2C%20and%20other%20decision%2Dmakers%20accountable (Accessed: 2 March 2026).</w:t>
      </w:r>
    </w:p>
    <w:p w14:paraId="19C629BA" w14:textId="77777777" w:rsidR="007F25EA" w:rsidRPr="00546C7E" w:rsidRDefault="00000000">
      <w:pPr>
        <w:rPr>
          <w:color w:val="000000" w:themeColor="text1"/>
          <w:highlight w:val="white"/>
        </w:rPr>
      </w:pPr>
      <w:r w:rsidRPr="00546C7E">
        <w:rPr>
          <w:color w:val="000000" w:themeColor="text1"/>
          <w:highlight w:val="white"/>
        </w:rPr>
        <w:t xml:space="preserve">UNEP [UN] (2025) </w:t>
      </w:r>
      <w:r w:rsidRPr="00546C7E">
        <w:rPr>
          <w:i/>
          <w:iCs/>
          <w:color w:val="000000" w:themeColor="text1"/>
          <w:highlight w:val="white"/>
        </w:rPr>
        <w:t>Goal 12: Responsible Consumption and Production</w:t>
      </w:r>
      <w:r w:rsidRPr="00546C7E">
        <w:rPr>
          <w:color w:val="000000" w:themeColor="text1"/>
          <w:highlight w:val="white"/>
        </w:rPr>
        <w:t xml:space="preserve">. Available at: https://www.unep.org/topics/sustainable-development-goals/why-do-sustainable-development-goals-matter/goal-12#:~:text=The%20network%20is%20a%20global,along%20production%20and%20supply%20chains (Accessed: 5 March 2026). </w:t>
      </w:r>
    </w:p>
    <w:p w14:paraId="623B8382" w14:textId="77777777" w:rsidR="007F25EA" w:rsidRPr="00546C7E" w:rsidRDefault="00000000">
      <w:pPr>
        <w:rPr>
          <w:color w:val="000000" w:themeColor="text1"/>
          <w:highlight w:val="white"/>
        </w:rPr>
      </w:pPr>
      <w:r w:rsidRPr="00546C7E">
        <w:rPr>
          <w:color w:val="000000" w:themeColor="text1"/>
          <w:highlight w:val="white"/>
        </w:rPr>
        <w:t xml:space="preserve">UNEP [UN] (2026) </w:t>
      </w:r>
      <w:r w:rsidRPr="00546C7E">
        <w:rPr>
          <w:i/>
          <w:iCs/>
          <w:color w:val="000000" w:themeColor="text1"/>
          <w:highlight w:val="white"/>
        </w:rPr>
        <w:t xml:space="preserve">Food loss and waste. </w:t>
      </w:r>
      <w:r w:rsidRPr="00546C7E">
        <w:rPr>
          <w:color w:val="000000" w:themeColor="text1"/>
          <w:highlight w:val="white"/>
        </w:rPr>
        <w:t xml:space="preserve">Available at: https://www.unep.org/topics/food-systems/food-loss-and-waste (Accessed: 4 March 2026). </w:t>
      </w:r>
    </w:p>
    <w:p w14:paraId="2031023F" w14:textId="77777777" w:rsidR="007F25EA" w:rsidRPr="00546C7E" w:rsidRDefault="00000000">
      <w:pPr>
        <w:rPr>
          <w:color w:val="000000" w:themeColor="text1"/>
        </w:rPr>
      </w:pPr>
      <w:r w:rsidRPr="00546C7E">
        <w:rPr>
          <w:color w:val="000000" w:themeColor="text1"/>
        </w:rPr>
        <w:t xml:space="preserve">WHO [World Health Organisation] (2026) </w:t>
      </w:r>
      <w:r w:rsidRPr="00546C7E">
        <w:rPr>
          <w:i/>
          <w:iCs/>
          <w:color w:val="000000" w:themeColor="text1"/>
        </w:rPr>
        <w:t xml:space="preserve">SDG Target 3.5 Substance abuse. </w:t>
      </w:r>
      <w:r w:rsidRPr="00546C7E">
        <w:rPr>
          <w:color w:val="000000" w:themeColor="text1"/>
        </w:rPr>
        <w:t xml:space="preserve">Available at: https://www.who.int/data/gho/data/themes/topics/sdg-target-3_5-substance-abuse (Accessed: 3 March 2026). </w:t>
      </w:r>
    </w:p>
    <w:p w14:paraId="132FF392" w14:textId="77777777" w:rsidR="007F25EA" w:rsidRPr="00546C7E" w:rsidRDefault="00000000">
      <w:pPr>
        <w:rPr>
          <w:color w:val="000000" w:themeColor="text1"/>
          <w:highlight w:val="white"/>
        </w:rPr>
      </w:pPr>
      <w:r w:rsidRPr="00546C7E">
        <w:rPr>
          <w:color w:val="000000" w:themeColor="text1"/>
          <w:highlight w:val="white"/>
        </w:rPr>
        <w:t xml:space="preserve">WHO Int [WHO] (2025) </w:t>
      </w:r>
      <w:r w:rsidRPr="00546C7E">
        <w:rPr>
          <w:i/>
          <w:iCs/>
          <w:color w:val="000000" w:themeColor="text1"/>
          <w:highlight w:val="white"/>
        </w:rPr>
        <w:t>Universal health coverage (UHC).</w:t>
      </w:r>
      <w:r w:rsidRPr="00546C7E">
        <w:rPr>
          <w:color w:val="000000" w:themeColor="text1"/>
          <w:highlight w:val="white"/>
        </w:rPr>
        <w:t xml:space="preserve"> Available at: https://www.who.int/news-room/fact-sheets/detail/universal-health-coverage-(uhc) (Accessed: 1 March 2026). </w:t>
      </w:r>
    </w:p>
    <w:p w14:paraId="319FE2DC" w14:textId="77777777" w:rsidR="007F25EA" w:rsidRPr="00546C7E" w:rsidRDefault="00000000">
      <w:pPr>
        <w:rPr>
          <w:color w:val="000000" w:themeColor="text1"/>
          <w:highlight w:val="white"/>
        </w:rPr>
      </w:pPr>
      <w:r w:rsidRPr="00546C7E">
        <w:rPr>
          <w:color w:val="000000" w:themeColor="text1"/>
          <w:highlight w:val="white"/>
        </w:rPr>
        <w:t xml:space="preserve">Wood, R.M., Fox, S.S., Morgan, L.E. and Walton, N.S., 2025. The NHS waiting list in England must halve to reach waiting time targets. </w:t>
      </w:r>
      <w:r w:rsidRPr="00546C7E">
        <w:rPr>
          <w:i/>
          <w:iCs/>
          <w:color w:val="000000" w:themeColor="text1"/>
          <w:highlight w:val="white"/>
        </w:rPr>
        <w:t>Future Healthcare Journal</w:t>
      </w:r>
      <w:r w:rsidRPr="00546C7E">
        <w:rPr>
          <w:color w:val="000000" w:themeColor="text1"/>
          <w:highlight w:val="white"/>
        </w:rPr>
        <w:t>, p.100478. Available at: https://doi.org/10.1016/j.fhj.2025.100478</w:t>
      </w:r>
    </w:p>
    <w:p w14:paraId="5DCEDBF3" w14:textId="77777777" w:rsidR="007F25EA" w:rsidRPr="00546C7E" w:rsidRDefault="00000000">
      <w:pPr>
        <w:rPr>
          <w:color w:val="000000" w:themeColor="text1"/>
          <w:highlight w:val="white"/>
        </w:rPr>
      </w:pPr>
      <w:r w:rsidRPr="00546C7E">
        <w:rPr>
          <w:color w:val="000000" w:themeColor="text1"/>
          <w:highlight w:val="white"/>
        </w:rPr>
        <w:t xml:space="preserve">Woodley, M. and Jones, T. (2025) ‘User experience of neighbourhood greenspace and perceived impact on health and wellbeing: the case of an urban extension to a ‘Healthy New Town’in England’. </w:t>
      </w:r>
      <w:r w:rsidRPr="00546C7E">
        <w:rPr>
          <w:i/>
          <w:iCs/>
          <w:color w:val="000000" w:themeColor="text1"/>
          <w:highlight w:val="white"/>
        </w:rPr>
        <w:t>Cities &amp; Health</w:t>
      </w:r>
      <w:r w:rsidRPr="00546C7E">
        <w:rPr>
          <w:color w:val="000000" w:themeColor="text1"/>
          <w:highlight w:val="white"/>
        </w:rPr>
        <w:t xml:space="preserve">, </w:t>
      </w:r>
      <w:r w:rsidRPr="00546C7E">
        <w:rPr>
          <w:i/>
          <w:iCs/>
          <w:color w:val="000000" w:themeColor="text1"/>
          <w:highlight w:val="white"/>
        </w:rPr>
        <w:t>9</w:t>
      </w:r>
      <w:r w:rsidRPr="00546C7E">
        <w:rPr>
          <w:color w:val="000000" w:themeColor="text1"/>
          <w:highlight w:val="white"/>
        </w:rPr>
        <w:t>(2), pp.209-225. Available at: https://doi.org/10.1080/23748834.2024.2390276</w:t>
      </w:r>
    </w:p>
    <w:p w14:paraId="63D8E4CC" w14:textId="77777777" w:rsidR="007F25EA" w:rsidRPr="00546C7E" w:rsidRDefault="007F25EA">
      <w:pPr>
        <w:rPr>
          <w:color w:val="000000" w:themeColor="text1"/>
          <w:sz w:val="20"/>
          <w:szCs w:val="20"/>
        </w:rPr>
      </w:pPr>
    </w:p>
    <w:sectPr w:rsidR="007F25EA" w:rsidRPr="00546C7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827AC" w14:textId="77777777" w:rsidR="006E56DC" w:rsidRDefault="006E56DC" w:rsidP="000B22B7">
      <w:pPr>
        <w:spacing w:line="240" w:lineRule="auto"/>
      </w:pPr>
      <w:r>
        <w:separator/>
      </w:r>
    </w:p>
  </w:endnote>
  <w:endnote w:type="continuationSeparator" w:id="0">
    <w:p w14:paraId="77F176E1" w14:textId="77777777" w:rsidR="006E56DC" w:rsidRDefault="006E56DC" w:rsidP="000B22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D60D7E5-88E9-49F0-9C73-7345DFB58CD5}"/>
  </w:font>
  <w:font w:name="Cambria">
    <w:panose1 w:val="02040503050406030204"/>
    <w:charset w:val="00"/>
    <w:family w:val="roman"/>
    <w:pitch w:val="variable"/>
    <w:sig w:usb0="E00006FF" w:usb1="420024FF" w:usb2="02000000" w:usb3="00000000" w:csb0="0000019F" w:csb1="00000000"/>
    <w:embedRegular r:id="rId2" w:fontKey="{46AB8640-8A66-44BD-9C28-78BEC48E80C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4C0BF" w14:textId="77777777" w:rsidR="006E56DC" w:rsidRDefault="006E56DC" w:rsidP="000B22B7">
      <w:pPr>
        <w:spacing w:line="240" w:lineRule="auto"/>
      </w:pPr>
      <w:r>
        <w:separator/>
      </w:r>
    </w:p>
  </w:footnote>
  <w:footnote w:type="continuationSeparator" w:id="0">
    <w:p w14:paraId="5319E5F3" w14:textId="77777777" w:rsidR="006E56DC" w:rsidRDefault="006E56DC" w:rsidP="000B22B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5EA"/>
    <w:rsid w:val="000B22B7"/>
    <w:rsid w:val="00172A82"/>
    <w:rsid w:val="002156D9"/>
    <w:rsid w:val="002C525D"/>
    <w:rsid w:val="00365F55"/>
    <w:rsid w:val="00421650"/>
    <w:rsid w:val="004A04C1"/>
    <w:rsid w:val="004A08D2"/>
    <w:rsid w:val="00505F72"/>
    <w:rsid w:val="00546C7E"/>
    <w:rsid w:val="006E56DC"/>
    <w:rsid w:val="0072126B"/>
    <w:rsid w:val="007E48F0"/>
    <w:rsid w:val="007F25EA"/>
    <w:rsid w:val="009F41CC"/>
    <w:rsid w:val="00A14F9F"/>
    <w:rsid w:val="00A25876"/>
    <w:rsid w:val="00A7029E"/>
    <w:rsid w:val="00AD427B"/>
    <w:rsid w:val="00AD477A"/>
    <w:rsid w:val="00B0066E"/>
    <w:rsid w:val="00C26C45"/>
    <w:rsid w:val="00E1461E"/>
    <w:rsid w:val="00E9293E"/>
    <w:rsid w:val="00F2538A"/>
    <w:rsid w:val="00F30D0E"/>
    <w:rsid w:val="00F8019C"/>
    <w:rsid w:val="00FB223C"/>
    <w:rsid w:val="00FF6E95"/>
    <w:rsid w:val="56CE90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F2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00">
    <w:name w:val="TableNormal_0"/>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B56D1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B56D1A"/>
    <w:pPr>
      <w:spacing w:after="100"/>
    </w:pPr>
  </w:style>
  <w:style w:type="paragraph" w:styleId="TOC2">
    <w:name w:val="toc 2"/>
    <w:basedOn w:val="Normal"/>
    <w:next w:val="Normal"/>
    <w:autoRedefine/>
    <w:uiPriority w:val="39"/>
    <w:unhideWhenUsed/>
    <w:rsid w:val="00B56D1A"/>
    <w:pPr>
      <w:spacing w:after="100"/>
      <w:ind w:left="220"/>
    </w:pPr>
  </w:style>
  <w:style w:type="paragraph" w:styleId="TOC3">
    <w:name w:val="toc 3"/>
    <w:basedOn w:val="Normal"/>
    <w:next w:val="Normal"/>
    <w:autoRedefine/>
    <w:uiPriority w:val="39"/>
    <w:unhideWhenUsed/>
    <w:rsid w:val="00B56D1A"/>
    <w:pPr>
      <w:spacing w:after="100"/>
      <w:ind w:left="440"/>
    </w:pPr>
  </w:style>
  <w:style w:type="character" w:styleId="Hyperlink">
    <w:name w:val="Hyperlink"/>
    <w:basedOn w:val="DefaultParagraphFont"/>
    <w:uiPriority w:val="99"/>
    <w:unhideWhenUsed/>
    <w:rsid w:val="00B56D1A"/>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B22B7"/>
    <w:pPr>
      <w:tabs>
        <w:tab w:val="center" w:pos="4513"/>
        <w:tab w:val="right" w:pos="9026"/>
      </w:tabs>
      <w:spacing w:line="240" w:lineRule="auto"/>
    </w:pPr>
  </w:style>
  <w:style w:type="character" w:customStyle="1" w:styleId="HeaderChar">
    <w:name w:val="Header Char"/>
    <w:basedOn w:val="DefaultParagraphFont"/>
    <w:link w:val="Header"/>
    <w:uiPriority w:val="99"/>
    <w:rsid w:val="000B22B7"/>
  </w:style>
  <w:style w:type="paragraph" w:styleId="Footer">
    <w:name w:val="footer"/>
    <w:basedOn w:val="Normal"/>
    <w:link w:val="FooterChar"/>
    <w:uiPriority w:val="99"/>
    <w:unhideWhenUsed/>
    <w:rsid w:val="000B22B7"/>
    <w:pPr>
      <w:tabs>
        <w:tab w:val="center" w:pos="4513"/>
        <w:tab w:val="right" w:pos="9026"/>
      </w:tabs>
      <w:spacing w:line="240" w:lineRule="auto"/>
    </w:pPr>
  </w:style>
  <w:style w:type="character" w:customStyle="1" w:styleId="FooterChar">
    <w:name w:val="Footer Char"/>
    <w:basedOn w:val="DefaultParagraphFont"/>
    <w:link w:val="Footer"/>
    <w:uiPriority w:val="99"/>
    <w:rsid w:val="000B2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neplanetnetwork.org/node/26455"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YI3KQ5wvgOgo+cfNmjTA0WLTyA==">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3272</Words>
  <Characters>18652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2026-03-17T08:38:00Z</dcterms:created>
  <dcterms:modified xsi:type="dcterms:W3CDTF">2026-03-18T10:38:00Z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b678f1f9-e216-4dce-a4ac-437e6e5188fa</vt:lpwstr>
  </property>
</Properties>
</file>