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C86FD" w14:textId="77777777" w:rsidR="004E45DB" w:rsidRPr="00373FA9" w:rsidRDefault="004E45DB" w:rsidP="004E45DB">
      <w:pPr>
        <w:spacing w:line="360" w:lineRule="auto"/>
        <w:rPr>
          <w:rFonts w:ascii="Arial" w:hAnsi="Arial" w:cs="Arial"/>
          <w:b/>
          <w:bCs/>
          <w:sz w:val="24"/>
          <w:szCs w:val="24"/>
        </w:rPr>
      </w:pPr>
      <w:r w:rsidRPr="00373FA9">
        <w:rPr>
          <w:rFonts w:ascii="Arial" w:hAnsi="Arial" w:cs="Arial"/>
          <w:b/>
          <w:bCs/>
          <w:sz w:val="24"/>
          <w:szCs w:val="24"/>
        </w:rPr>
        <w:t>Name: Victoria Jeffreys</w:t>
      </w:r>
    </w:p>
    <w:p w14:paraId="31A36A55" w14:textId="77777777" w:rsidR="004E45DB" w:rsidRDefault="004E45DB" w:rsidP="004E45DB">
      <w:pPr>
        <w:spacing w:line="360" w:lineRule="auto"/>
        <w:rPr>
          <w:rFonts w:ascii="Arial" w:hAnsi="Arial" w:cs="Arial"/>
          <w:b/>
          <w:bCs/>
          <w:sz w:val="24"/>
          <w:szCs w:val="24"/>
        </w:rPr>
      </w:pPr>
      <w:r w:rsidRPr="00373FA9">
        <w:rPr>
          <w:rFonts w:ascii="Arial" w:hAnsi="Arial" w:cs="Arial"/>
          <w:b/>
          <w:bCs/>
          <w:sz w:val="24"/>
          <w:szCs w:val="24"/>
        </w:rPr>
        <w:t>Student ID: 1303685</w:t>
      </w:r>
    </w:p>
    <w:p w14:paraId="19DA718D" w14:textId="2FE84B14" w:rsidR="00A40C47" w:rsidRPr="00373FA9" w:rsidRDefault="00A40C47" w:rsidP="004E45DB">
      <w:pPr>
        <w:spacing w:line="360" w:lineRule="auto"/>
        <w:rPr>
          <w:rFonts w:ascii="Arial" w:hAnsi="Arial" w:cs="Arial"/>
          <w:b/>
          <w:bCs/>
          <w:sz w:val="24"/>
          <w:szCs w:val="24"/>
        </w:rPr>
      </w:pPr>
      <w:r>
        <w:rPr>
          <w:rFonts w:ascii="Arial" w:hAnsi="Arial" w:cs="Arial"/>
          <w:b/>
          <w:bCs/>
          <w:sz w:val="24"/>
          <w:szCs w:val="24"/>
        </w:rPr>
        <w:t>Employment Law</w:t>
      </w:r>
      <w:r w:rsidR="00B601BF">
        <w:rPr>
          <w:rFonts w:ascii="Arial" w:hAnsi="Arial" w:cs="Arial"/>
          <w:b/>
          <w:bCs/>
          <w:sz w:val="24"/>
          <w:szCs w:val="24"/>
        </w:rPr>
        <w:t>:</w:t>
      </w:r>
      <w:r w:rsidR="00B601BF" w:rsidRPr="00B601BF">
        <w:rPr>
          <w:rFonts w:ascii="Arial" w:hAnsi="Arial" w:cs="Arial"/>
          <w:b/>
          <w:bCs/>
          <w:sz w:val="24"/>
          <w:szCs w:val="24"/>
        </w:rPr>
        <w:t xml:space="preserve"> </w:t>
      </w:r>
      <w:r w:rsidR="00B601BF" w:rsidRPr="00B601BF">
        <w:rPr>
          <w:rFonts w:ascii="Arial" w:hAnsi="Arial" w:cs="Arial"/>
          <w:b/>
          <w:bCs/>
          <w:sz w:val="24"/>
          <w:szCs w:val="24"/>
        </w:rPr>
        <w:t>BMHR7019</w:t>
      </w:r>
    </w:p>
    <w:p w14:paraId="283FDBF2" w14:textId="77777777" w:rsidR="00CC71C7" w:rsidRDefault="00CC71C7" w:rsidP="004E45DB">
      <w:pPr>
        <w:spacing w:line="360" w:lineRule="auto"/>
        <w:rPr>
          <w:rFonts w:ascii="Arial" w:hAnsi="Arial" w:cs="Arial"/>
          <w:b/>
          <w:bCs/>
          <w:sz w:val="24"/>
          <w:szCs w:val="24"/>
        </w:rPr>
      </w:pPr>
    </w:p>
    <w:p w14:paraId="65331139" w14:textId="211E7374" w:rsidR="004E45DB" w:rsidRPr="00373FA9" w:rsidRDefault="004E45DB" w:rsidP="004E45DB">
      <w:pPr>
        <w:spacing w:line="360" w:lineRule="auto"/>
        <w:rPr>
          <w:rFonts w:ascii="Arial" w:hAnsi="Arial" w:cs="Arial"/>
          <w:b/>
          <w:bCs/>
          <w:sz w:val="24"/>
          <w:szCs w:val="24"/>
        </w:rPr>
      </w:pPr>
      <w:r w:rsidRPr="00373FA9">
        <w:rPr>
          <w:rFonts w:ascii="Arial" w:hAnsi="Arial" w:cs="Arial"/>
          <w:b/>
          <w:bCs/>
          <w:sz w:val="24"/>
          <w:szCs w:val="24"/>
        </w:rPr>
        <w:t xml:space="preserve">Task 1 – Section A Question 1  </w:t>
      </w:r>
    </w:p>
    <w:p w14:paraId="7328A972" w14:textId="77777777" w:rsidR="004E45DB" w:rsidRPr="00373FA9" w:rsidRDefault="004E45DB" w:rsidP="004E45DB">
      <w:pPr>
        <w:spacing w:line="360" w:lineRule="auto"/>
        <w:rPr>
          <w:rFonts w:ascii="Arial" w:hAnsi="Arial" w:cs="Arial"/>
          <w:b/>
          <w:bCs/>
          <w:sz w:val="24"/>
          <w:szCs w:val="24"/>
        </w:rPr>
      </w:pPr>
      <w:r w:rsidRPr="00373FA9">
        <w:rPr>
          <w:rFonts w:ascii="Arial" w:hAnsi="Arial" w:cs="Arial"/>
          <w:b/>
          <w:bCs/>
          <w:sz w:val="24"/>
          <w:szCs w:val="24"/>
        </w:rPr>
        <w:t>Word Count: 1346</w:t>
      </w:r>
    </w:p>
    <w:p w14:paraId="79F97046" w14:textId="77777777" w:rsidR="004E45DB" w:rsidRPr="00373FA9" w:rsidRDefault="004E45DB" w:rsidP="004E45DB">
      <w:pPr>
        <w:spacing w:line="360" w:lineRule="auto"/>
        <w:rPr>
          <w:rFonts w:ascii="Arial" w:hAnsi="Arial" w:cs="Arial"/>
          <w:b/>
          <w:bCs/>
          <w:sz w:val="24"/>
          <w:szCs w:val="24"/>
        </w:rPr>
      </w:pPr>
    </w:p>
    <w:p w14:paraId="715522FD"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To: Board of Directors, Scrumpy Cider Ltd</w:t>
      </w:r>
    </w:p>
    <w:p w14:paraId="6A2C43F6"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From: Victoria Jeffreys, HR Consultant</w:t>
      </w:r>
    </w:p>
    <w:p w14:paraId="3F381E8A"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Date: 30/03/2023</w:t>
      </w:r>
    </w:p>
    <w:p w14:paraId="66F87CBB"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Subject: Response to the Claim by Alison Ambrosia</w:t>
      </w:r>
    </w:p>
    <w:p w14:paraId="65D601A6"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Abbreviations</w:t>
      </w:r>
    </w:p>
    <w:p w14:paraId="5E0A36D6"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SC – Scrumpy Cider Ltd</w:t>
      </w:r>
    </w:p>
    <w:p w14:paraId="48E6A168"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AA – Alison Ambrosia</w:t>
      </w:r>
    </w:p>
    <w:p w14:paraId="52CB01AD"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SS – Steve Smith</w:t>
      </w:r>
    </w:p>
    <w:p w14:paraId="510C1D18"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RR- Richard Rees</w:t>
      </w:r>
    </w:p>
    <w:p w14:paraId="58C4F3FD"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DD – Derek Duggan</w:t>
      </w:r>
    </w:p>
    <w:p w14:paraId="16D11BB0"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ET – Employment Tribunal</w:t>
      </w:r>
    </w:p>
    <w:p w14:paraId="6F1FDC31" w14:textId="77777777" w:rsidR="004E45DB" w:rsidRPr="00373FA9" w:rsidRDefault="004E45DB" w:rsidP="004E45DB">
      <w:pPr>
        <w:spacing w:line="360" w:lineRule="auto"/>
        <w:rPr>
          <w:rFonts w:ascii="Arial" w:hAnsi="Arial" w:cs="Arial"/>
          <w:b/>
          <w:bCs/>
          <w:color w:val="000000" w:themeColor="text1"/>
          <w:sz w:val="24"/>
          <w:szCs w:val="24"/>
        </w:rPr>
      </w:pPr>
    </w:p>
    <w:p w14:paraId="344F38EA"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 xml:space="preserve">Introduction: </w:t>
      </w:r>
    </w:p>
    <w:p w14:paraId="5E473F40" w14:textId="77777777"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I have reviewed the documents regarding the claim by AA against SC. As requested, based on the facts and legal considerations, I have advised on how and when the company should respond to the claim. Additionally, I have analysed the grounds of the claim, potential defences and provided relevant legal principles and case law to support my advice.</w:t>
      </w:r>
    </w:p>
    <w:p w14:paraId="6E5256B6" w14:textId="77777777" w:rsidR="004E45DB" w:rsidRPr="00373FA9" w:rsidRDefault="004E45DB" w:rsidP="004E45DB">
      <w:pPr>
        <w:pStyle w:val="ListParagraph"/>
        <w:numPr>
          <w:ilvl w:val="0"/>
          <w:numId w:val="1"/>
        </w:num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lastRenderedPageBreak/>
        <w:t>How and when to respond to the ET1:</w:t>
      </w:r>
    </w:p>
    <w:p w14:paraId="67D56380" w14:textId="77777777"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The response to the claim should be submitted to the ET within 28 days from the date of the ET1 which in this case will be the 13</w:t>
      </w:r>
      <w:r w:rsidRPr="00373FA9">
        <w:rPr>
          <w:rFonts w:ascii="Arial" w:hAnsi="Arial" w:cs="Arial"/>
          <w:color w:val="000000" w:themeColor="text1"/>
          <w:sz w:val="24"/>
          <w:szCs w:val="24"/>
          <w:vertAlign w:val="superscript"/>
        </w:rPr>
        <w:t xml:space="preserve">th of </w:t>
      </w:r>
      <w:r w:rsidRPr="00373FA9">
        <w:rPr>
          <w:rFonts w:ascii="Arial" w:hAnsi="Arial" w:cs="Arial"/>
          <w:color w:val="000000" w:themeColor="text1"/>
          <w:sz w:val="24"/>
          <w:szCs w:val="24"/>
        </w:rPr>
        <w:t xml:space="preserve">April 2023, unless there are exceptional circumstances that would allow you to request and extension of time to respond. This ensures compliance with the deadline and avoids any potential consequences: </w:t>
      </w:r>
      <w:sdt>
        <w:sdtPr>
          <w:rPr>
            <w:rFonts w:ascii="Arial" w:hAnsi="Arial" w:cs="Arial"/>
            <w:color w:val="000000" w:themeColor="text1"/>
            <w:sz w:val="24"/>
            <w:szCs w:val="24"/>
          </w:rPr>
          <w:id w:val="342670668"/>
          <w:citation/>
        </w:sdtPr>
        <w:sdtContent>
          <w:r w:rsidRPr="00373FA9">
            <w:rPr>
              <w:rFonts w:ascii="Arial" w:hAnsi="Arial" w:cs="Arial"/>
              <w:color w:val="000000" w:themeColor="text1"/>
              <w:sz w:val="24"/>
              <w:szCs w:val="24"/>
            </w:rPr>
            <w:fldChar w:fldCharType="begin"/>
          </w:r>
          <w:r w:rsidRPr="00373FA9">
            <w:rPr>
              <w:rFonts w:ascii="Arial" w:hAnsi="Arial" w:cs="Arial"/>
              <w:color w:val="000000" w:themeColor="text1"/>
              <w:sz w:val="24"/>
              <w:szCs w:val="24"/>
            </w:rPr>
            <w:instrText xml:space="preserve">CITATION GOV23 \l 2057 </w:instrText>
          </w:r>
          <w:r w:rsidRPr="00373FA9">
            <w:rPr>
              <w:rFonts w:ascii="Arial" w:hAnsi="Arial" w:cs="Arial"/>
              <w:color w:val="000000" w:themeColor="text1"/>
              <w:sz w:val="24"/>
              <w:szCs w:val="24"/>
            </w:rPr>
            <w:fldChar w:fldCharType="separate"/>
          </w:r>
          <w:r w:rsidRPr="00373FA9">
            <w:rPr>
              <w:rFonts w:ascii="Arial" w:hAnsi="Arial" w:cs="Arial"/>
              <w:noProof/>
              <w:color w:val="000000" w:themeColor="text1"/>
              <w:sz w:val="24"/>
              <w:szCs w:val="24"/>
            </w:rPr>
            <w:t>(GOV.UK, 2023)</w:t>
          </w:r>
          <w:r w:rsidRPr="00373FA9">
            <w:rPr>
              <w:rFonts w:ascii="Arial" w:hAnsi="Arial" w:cs="Arial"/>
              <w:color w:val="000000" w:themeColor="text1"/>
              <w:sz w:val="24"/>
              <w:szCs w:val="24"/>
            </w:rPr>
            <w:fldChar w:fldCharType="end"/>
          </w:r>
        </w:sdtContent>
      </w:sdt>
    </w:p>
    <w:p w14:paraId="0057082F" w14:textId="2E1C61FF"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Step1:</w:t>
      </w:r>
      <w:r w:rsidRPr="00373FA9">
        <w:rPr>
          <w:rFonts w:ascii="Arial" w:hAnsi="Arial" w:cs="Arial"/>
          <w:color w:val="000000" w:themeColor="text1"/>
          <w:sz w:val="24"/>
          <w:szCs w:val="24"/>
        </w:rPr>
        <w:t xml:space="preserve"> Acknowledge Receipt of the ET1 within 28 days from the date of the </w:t>
      </w:r>
      <w:r w:rsidR="00B601BF" w:rsidRPr="00373FA9">
        <w:rPr>
          <w:rFonts w:ascii="Arial" w:hAnsi="Arial" w:cs="Arial"/>
          <w:color w:val="000000" w:themeColor="text1"/>
          <w:sz w:val="24"/>
          <w:szCs w:val="24"/>
        </w:rPr>
        <w:t>ET1.</w:t>
      </w:r>
    </w:p>
    <w:p w14:paraId="25E1AF05" w14:textId="77777777"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Step 2:</w:t>
      </w:r>
      <w:r w:rsidRPr="00373FA9">
        <w:rPr>
          <w:rFonts w:ascii="Arial" w:hAnsi="Arial" w:cs="Arial"/>
          <w:color w:val="000000" w:themeColor="text1"/>
          <w:sz w:val="24"/>
          <w:szCs w:val="24"/>
        </w:rPr>
        <w:t xml:space="preserve"> Prepare a response: SC should thoroughly review the claim and gather all necessary information to formulate a robust response and prepare the ET3 form. SC should gather evidence to support its defences; witness statements, relevant policies and procedures and any actions taken to address complaints in the past. It is crucial to present a comprehensive and robust response to the allegations, addressing each claim individually and providing legal and factual argument to support the company’s position.</w:t>
      </w:r>
    </w:p>
    <w:p w14:paraId="5E041248" w14:textId="77777777"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Step 3:</w:t>
      </w:r>
      <w:r w:rsidRPr="00373FA9">
        <w:rPr>
          <w:rFonts w:ascii="Arial" w:hAnsi="Arial" w:cs="Arial"/>
          <w:color w:val="000000" w:themeColor="text1"/>
          <w:sz w:val="24"/>
          <w:szCs w:val="24"/>
        </w:rPr>
        <w:t xml:space="preserve"> File the response: The response (ET3) should be submitted to the Employment Tribunal within the required timeframe. (CIPD, 2022)</w:t>
      </w:r>
    </w:p>
    <w:p w14:paraId="5D3E369C"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Based on the information provided in the ET1, AA may have the following potential claims against both SC and SS.</w:t>
      </w:r>
    </w:p>
    <w:p w14:paraId="36C1F270" w14:textId="77777777"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Constructive Unfair Dismissal: Section 94(1) of the (Employment Rights Act 1996) AA alleges that she was forced to resign from her position due to the conduct of SS and the SC’s failure to address her complaints effectively. She may claim constructive dismissal if AA can demonstrate that the conduct of SC and SS amounted to a fundamental breach of her employment contract which undermined the employment relationship.</w:t>
      </w:r>
      <w:sdt>
        <w:sdtPr>
          <w:rPr>
            <w:rFonts w:ascii="Arial" w:hAnsi="Arial" w:cs="Arial"/>
            <w:color w:val="000000" w:themeColor="text1"/>
            <w:sz w:val="24"/>
            <w:szCs w:val="24"/>
          </w:rPr>
          <w:id w:val="313148602"/>
          <w:citation/>
        </w:sdtPr>
        <w:sdtContent>
          <w:r w:rsidRPr="00373FA9">
            <w:rPr>
              <w:rFonts w:ascii="Arial" w:hAnsi="Arial" w:cs="Arial"/>
              <w:color w:val="000000" w:themeColor="text1"/>
              <w:sz w:val="24"/>
              <w:szCs w:val="24"/>
            </w:rPr>
            <w:fldChar w:fldCharType="begin"/>
          </w:r>
          <w:r w:rsidRPr="00373FA9">
            <w:rPr>
              <w:rFonts w:ascii="Arial" w:hAnsi="Arial" w:cs="Arial"/>
              <w:color w:val="000000" w:themeColor="text1"/>
              <w:sz w:val="24"/>
              <w:szCs w:val="24"/>
            </w:rPr>
            <w:instrText xml:space="preserve"> CITATION ACA22 \l 2057 </w:instrText>
          </w:r>
          <w:r w:rsidRPr="00373FA9">
            <w:rPr>
              <w:rFonts w:ascii="Arial" w:hAnsi="Arial" w:cs="Arial"/>
              <w:color w:val="000000" w:themeColor="text1"/>
              <w:sz w:val="24"/>
              <w:szCs w:val="24"/>
            </w:rPr>
            <w:fldChar w:fldCharType="separate"/>
          </w:r>
          <w:r w:rsidRPr="00373FA9">
            <w:rPr>
              <w:rFonts w:ascii="Arial" w:hAnsi="Arial" w:cs="Arial"/>
              <w:noProof/>
              <w:color w:val="000000" w:themeColor="text1"/>
              <w:sz w:val="24"/>
              <w:szCs w:val="24"/>
            </w:rPr>
            <w:t xml:space="preserve"> (ACAS, 2022)</w:t>
          </w:r>
          <w:r w:rsidRPr="00373FA9">
            <w:rPr>
              <w:rFonts w:ascii="Arial" w:hAnsi="Arial" w:cs="Arial"/>
              <w:color w:val="000000" w:themeColor="text1"/>
              <w:sz w:val="24"/>
              <w:szCs w:val="24"/>
            </w:rPr>
            <w:fldChar w:fldCharType="end"/>
          </w:r>
        </w:sdtContent>
      </w:sdt>
    </w:p>
    <w:p w14:paraId="497E7E84" w14:textId="77777777"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 xml:space="preserve">Sexual harassment: AA alleges SS made inappropriate comments, engaged in unwanted physical contact, and created a hostile work environment. This claim falls under the section 26 (2) and (3) of the (Equality Act 2010), which prohibits harassment based on sex. </w:t>
      </w:r>
      <w:sdt>
        <w:sdtPr>
          <w:rPr>
            <w:rFonts w:ascii="Arial" w:hAnsi="Arial" w:cs="Arial"/>
            <w:color w:val="000000" w:themeColor="text1"/>
            <w:sz w:val="24"/>
            <w:szCs w:val="24"/>
          </w:rPr>
          <w:id w:val="1450595892"/>
          <w:citation/>
        </w:sdtPr>
        <w:sdtContent>
          <w:r w:rsidRPr="00373FA9">
            <w:rPr>
              <w:rFonts w:ascii="Arial" w:hAnsi="Arial" w:cs="Arial"/>
              <w:color w:val="000000" w:themeColor="text1"/>
              <w:sz w:val="24"/>
              <w:szCs w:val="24"/>
            </w:rPr>
            <w:fldChar w:fldCharType="begin"/>
          </w:r>
          <w:r w:rsidRPr="00373FA9">
            <w:rPr>
              <w:rFonts w:ascii="Arial" w:hAnsi="Arial" w:cs="Arial"/>
              <w:color w:val="000000" w:themeColor="text1"/>
              <w:sz w:val="24"/>
              <w:szCs w:val="24"/>
            </w:rPr>
            <w:instrText xml:space="preserve"> CITATION leg11 \l 2057 </w:instrText>
          </w:r>
          <w:r w:rsidRPr="00373FA9">
            <w:rPr>
              <w:rFonts w:ascii="Arial" w:hAnsi="Arial" w:cs="Arial"/>
              <w:color w:val="000000" w:themeColor="text1"/>
              <w:sz w:val="24"/>
              <w:szCs w:val="24"/>
            </w:rPr>
            <w:fldChar w:fldCharType="separate"/>
          </w:r>
          <w:r w:rsidRPr="00373FA9">
            <w:rPr>
              <w:rFonts w:ascii="Arial" w:hAnsi="Arial" w:cs="Arial"/>
              <w:noProof/>
              <w:color w:val="000000" w:themeColor="text1"/>
              <w:sz w:val="24"/>
              <w:szCs w:val="24"/>
            </w:rPr>
            <w:t>(legislation.gov.uk, 2011)</w:t>
          </w:r>
          <w:r w:rsidRPr="00373FA9">
            <w:rPr>
              <w:rFonts w:ascii="Arial" w:hAnsi="Arial" w:cs="Arial"/>
              <w:color w:val="000000" w:themeColor="text1"/>
              <w:sz w:val="24"/>
              <w:szCs w:val="24"/>
            </w:rPr>
            <w:fldChar w:fldCharType="end"/>
          </w:r>
        </w:sdtContent>
      </w:sdt>
    </w:p>
    <w:p w14:paraId="14C860E7" w14:textId="5AFFED14"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lastRenderedPageBreak/>
        <w:t>In Regard to the complaint regarding RR: Under Section (40) of the (Equality Act 2010), employers have a duty to protect employees form harassment. SC arguably failed to protect AA form harassment when they didn’t take appropriate action. Employers may have vicarious liability under Section (109) of the (Equality Act 2010) but they are not currently liable for harassment by 3</w:t>
      </w:r>
      <w:r w:rsidRPr="00373FA9">
        <w:rPr>
          <w:rFonts w:ascii="Arial" w:hAnsi="Arial" w:cs="Arial"/>
          <w:color w:val="000000" w:themeColor="text1"/>
          <w:sz w:val="24"/>
          <w:szCs w:val="24"/>
          <w:vertAlign w:val="superscript"/>
        </w:rPr>
        <w:t>rd</w:t>
      </w:r>
      <w:r w:rsidRPr="00373FA9">
        <w:rPr>
          <w:rFonts w:ascii="Arial" w:hAnsi="Arial" w:cs="Arial"/>
          <w:color w:val="000000" w:themeColor="text1"/>
          <w:sz w:val="24"/>
          <w:szCs w:val="24"/>
        </w:rPr>
        <w:t xml:space="preserve"> parties as confirmed in ‘Nailar V The Unite Union’ (2022). </w:t>
      </w:r>
      <w:r w:rsidR="00F06B4C" w:rsidRPr="00373FA9">
        <w:rPr>
          <w:rFonts w:ascii="Arial" w:hAnsi="Arial" w:cs="Arial"/>
          <w:color w:val="000000" w:themeColor="text1"/>
          <w:sz w:val="24"/>
          <w:szCs w:val="24"/>
        </w:rPr>
        <w:t>However,</w:t>
      </w:r>
      <w:r w:rsidRPr="00373FA9">
        <w:rPr>
          <w:rFonts w:ascii="Arial" w:hAnsi="Arial" w:cs="Arial"/>
          <w:color w:val="000000" w:themeColor="text1"/>
          <w:sz w:val="24"/>
          <w:szCs w:val="24"/>
        </w:rPr>
        <w:t xml:space="preserve"> the (Worker Protection (Amendment of Equality Act 2010) Bill 2022-23 proposes to hold employers liable for third-party harassment if they fail to take reasonable steps to prevent it.</w:t>
      </w:r>
    </w:p>
    <w:p w14:paraId="663A3450" w14:textId="77777777"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Direct Discrimination: AA may argue that she experienced less favourable treatment based on her gender which is a protected characteristic under</w:t>
      </w:r>
      <w:r w:rsidRPr="00373FA9">
        <w:rPr>
          <w:rFonts w:ascii="Arial" w:hAnsi="Arial" w:cs="Arial"/>
          <w:noProof/>
          <w:color w:val="000000" w:themeColor="text1"/>
          <w:sz w:val="24"/>
          <w:szCs w:val="24"/>
        </w:rPr>
        <w:t xml:space="preserve"> </w:t>
      </w:r>
      <w:r w:rsidRPr="00373FA9">
        <w:rPr>
          <w:rFonts w:ascii="Arial" w:hAnsi="Arial" w:cs="Arial"/>
          <w:color w:val="000000" w:themeColor="text1"/>
          <w:sz w:val="24"/>
          <w:szCs w:val="24"/>
        </w:rPr>
        <w:t>Sec.39 (Equality Act 2010) such as being asked to dress provocatively to boost sales. The case of ‘Smith V Rees’ (2020) provides an example where a female employee was treated less favourably based on her sex resulting in a successful claim.</w:t>
      </w:r>
    </w:p>
    <w:p w14:paraId="61F5DC51" w14:textId="77777777"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 xml:space="preserve">Victimisation: </w:t>
      </w:r>
      <w:r w:rsidRPr="00373FA9">
        <w:rPr>
          <w:rFonts w:ascii="Arial" w:hAnsi="Arial" w:cs="Arial"/>
          <w:noProof/>
          <w:color w:val="000000" w:themeColor="text1"/>
          <w:sz w:val="24"/>
          <w:szCs w:val="24"/>
        </w:rPr>
        <w:t>Section 27 of the (</w:t>
      </w:r>
      <w:r w:rsidRPr="00373FA9">
        <w:rPr>
          <w:rFonts w:ascii="Arial" w:hAnsi="Arial" w:cs="Arial"/>
          <w:color w:val="000000" w:themeColor="text1"/>
          <w:sz w:val="24"/>
          <w:szCs w:val="24"/>
        </w:rPr>
        <w:t xml:space="preserve">Equality Act 2010) prohibits victimisation. It refers to the unfair treatment of an individual having made a complaint regarding discrimination or harassment. AA could claim that she faced victimisation when SS threatened her with disciplinary action for not visiting RR after she had reported his inappropriate behaviour. </w:t>
      </w:r>
    </w:p>
    <w:p w14:paraId="301207E9" w14:textId="77777777" w:rsidR="004E45DB" w:rsidRPr="00373FA9" w:rsidRDefault="004E45DB" w:rsidP="004E45DB">
      <w:pPr>
        <w:pStyle w:val="ListParagraph"/>
        <w:numPr>
          <w:ilvl w:val="0"/>
          <w:numId w:val="2"/>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Harassment related to Sex is covered by Section 26(1) of the (Equality Act 2010). Under this provision AA must show that she has been subjected to unwanted conduct related to her sex.</w:t>
      </w:r>
    </w:p>
    <w:p w14:paraId="3EC6527B"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Possible defences to the claims:</w:t>
      </w:r>
    </w:p>
    <w:p w14:paraId="5957148B"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In responding to the claims, SC can consider the following potential defences.</w:t>
      </w:r>
    </w:p>
    <w:p w14:paraId="7CBC0CDB" w14:textId="77777777" w:rsidR="004E45DB" w:rsidRPr="00373FA9" w:rsidRDefault="004E45DB" w:rsidP="004E45DB">
      <w:pPr>
        <w:pStyle w:val="ListParagraph"/>
        <w:numPr>
          <w:ilvl w:val="0"/>
          <w:numId w:val="3"/>
        </w:numPr>
        <w:spacing w:line="360" w:lineRule="auto"/>
        <w:ind w:left="851" w:hanging="284"/>
        <w:rPr>
          <w:rFonts w:ascii="Arial" w:hAnsi="Arial" w:cs="Arial"/>
          <w:color w:val="000000" w:themeColor="text1"/>
          <w:sz w:val="24"/>
          <w:szCs w:val="24"/>
        </w:rPr>
      </w:pPr>
      <w:r w:rsidRPr="00373FA9">
        <w:rPr>
          <w:rFonts w:ascii="Arial" w:hAnsi="Arial" w:cs="Arial"/>
          <w:b/>
          <w:bCs/>
          <w:color w:val="000000" w:themeColor="text1"/>
          <w:sz w:val="24"/>
          <w:szCs w:val="24"/>
        </w:rPr>
        <w:t>Denial of allegations:</w:t>
      </w:r>
      <w:r w:rsidRPr="00373FA9">
        <w:rPr>
          <w:rFonts w:ascii="Arial" w:hAnsi="Arial" w:cs="Arial"/>
          <w:color w:val="000000" w:themeColor="text1"/>
          <w:sz w:val="24"/>
          <w:szCs w:val="24"/>
        </w:rPr>
        <w:t xml:space="preserve"> SC and SS may deny the specific allegations made by AA and assert that the company took reasonable steps to prevent and address any potential harassment or discrimination. It is important to provide a detailed rebuttal supported by evidence that challenges the credibility and accuracy of AA’s claims.</w:t>
      </w:r>
    </w:p>
    <w:p w14:paraId="55463122" w14:textId="77777777" w:rsidR="004E45DB" w:rsidRPr="00373FA9" w:rsidRDefault="004E45DB" w:rsidP="004E45DB">
      <w:pPr>
        <w:pStyle w:val="ListParagraph"/>
        <w:numPr>
          <w:ilvl w:val="0"/>
          <w:numId w:val="3"/>
        </w:numPr>
        <w:spacing w:line="360" w:lineRule="auto"/>
        <w:ind w:left="851" w:hanging="284"/>
        <w:rPr>
          <w:rFonts w:ascii="Arial" w:hAnsi="Arial" w:cs="Arial"/>
          <w:color w:val="000000" w:themeColor="text1"/>
          <w:sz w:val="24"/>
          <w:szCs w:val="24"/>
        </w:rPr>
      </w:pPr>
      <w:r w:rsidRPr="00373FA9">
        <w:rPr>
          <w:rFonts w:ascii="Arial" w:hAnsi="Arial" w:cs="Arial"/>
          <w:b/>
          <w:bCs/>
          <w:color w:val="000000" w:themeColor="text1"/>
          <w:sz w:val="24"/>
          <w:szCs w:val="24"/>
        </w:rPr>
        <w:t>Lack of Knowledge</w:t>
      </w:r>
      <w:r w:rsidRPr="00373FA9">
        <w:rPr>
          <w:rFonts w:ascii="Arial" w:hAnsi="Arial" w:cs="Arial"/>
          <w:color w:val="000000" w:themeColor="text1"/>
          <w:sz w:val="24"/>
          <w:szCs w:val="24"/>
        </w:rPr>
        <w:t xml:space="preserve">: SC can argue that it was not aware of the extent of the issues AA faced as she does not provide sufficient details or formally report </w:t>
      </w:r>
      <w:r w:rsidRPr="00373FA9">
        <w:rPr>
          <w:rFonts w:ascii="Arial" w:hAnsi="Arial" w:cs="Arial"/>
          <w:color w:val="000000" w:themeColor="text1"/>
          <w:sz w:val="24"/>
          <w:szCs w:val="24"/>
        </w:rPr>
        <w:lastRenderedPageBreak/>
        <w:t>the incidents until her letter of resignation. SC should demonstrate that it had appropriate policies and procedures in place to address grievances and that AA failed to follow those procedures by not reporting those incidents in line with company policy.</w:t>
      </w:r>
    </w:p>
    <w:p w14:paraId="00D7BDB2" w14:textId="77777777" w:rsidR="004E45DB" w:rsidRPr="00373FA9" w:rsidRDefault="004E45DB" w:rsidP="004E45DB">
      <w:pPr>
        <w:pStyle w:val="ListParagraph"/>
        <w:numPr>
          <w:ilvl w:val="0"/>
          <w:numId w:val="3"/>
        </w:numPr>
        <w:spacing w:line="360" w:lineRule="auto"/>
        <w:ind w:left="851" w:hanging="284"/>
        <w:rPr>
          <w:rFonts w:ascii="Arial" w:hAnsi="Arial" w:cs="Arial"/>
          <w:color w:val="000000" w:themeColor="text1"/>
          <w:sz w:val="24"/>
          <w:szCs w:val="24"/>
        </w:rPr>
      </w:pPr>
      <w:r w:rsidRPr="00373FA9">
        <w:rPr>
          <w:rFonts w:ascii="Arial" w:hAnsi="Arial" w:cs="Arial"/>
          <w:b/>
          <w:bCs/>
          <w:color w:val="000000" w:themeColor="text1"/>
          <w:sz w:val="24"/>
          <w:szCs w:val="24"/>
        </w:rPr>
        <w:t>Reasonable steps</w:t>
      </w:r>
      <w:r w:rsidRPr="00373FA9">
        <w:rPr>
          <w:rFonts w:ascii="Arial" w:hAnsi="Arial" w:cs="Arial"/>
          <w:color w:val="000000" w:themeColor="text1"/>
          <w:sz w:val="24"/>
          <w:szCs w:val="24"/>
        </w:rPr>
        <w:t xml:space="preserve">: SC can demonstrate that it had appropriate policies and procedures in place to address harassment and discrimination, highlighting its anti-harassment and equal opportunities policies, training programs and any investigation conducted in response to complaints ad that it took reasonable steps to investigate and address the issues raised by AA. This defence is available under Section 109(4) of the (Equality Act 2010). </w:t>
      </w:r>
    </w:p>
    <w:p w14:paraId="6F950F0E" w14:textId="77777777" w:rsidR="004E45DB" w:rsidRPr="00373FA9" w:rsidRDefault="004E45DB" w:rsidP="004E45DB">
      <w:pPr>
        <w:pStyle w:val="ListParagraph"/>
        <w:numPr>
          <w:ilvl w:val="0"/>
          <w:numId w:val="3"/>
        </w:numPr>
        <w:spacing w:line="360" w:lineRule="auto"/>
        <w:ind w:left="851" w:hanging="284"/>
        <w:rPr>
          <w:rFonts w:ascii="Arial" w:hAnsi="Arial" w:cs="Arial"/>
          <w:color w:val="000000" w:themeColor="text1"/>
          <w:sz w:val="24"/>
          <w:szCs w:val="24"/>
        </w:rPr>
      </w:pPr>
      <w:r w:rsidRPr="00373FA9">
        <w:rPr>
          <w:rFonts w:ascii="Arial" w:hAnsi="Arial" w:cs="Arial"/>
          <w:b/>
          <w:bCs/>
          <w:color w:val="000000" w:themeColor="text1"/>
          <w:sz w:val="24"/>
          <w:szCs w:val="24"/>
        </w:rPr>
        <w:t>Proper investigation</w:t>
      </w:r>
      <w:r w:rsidRPr="00373FA9">
        <w:rPr>
          <w:rFonts w:ascii="Arial" w:hAnsi="Arial" w:cs="Arial"/>
          <w:color w:val="000000" w:themeColor="text1"/>
          <w:sz w:val="24"/>
          <w:szCs w:val="24"/>
        </w:rPr>
        <w:t>: SC should ensure that the investigation conducted by DD, the investigating officer was thorough, impartial, and in line with the company’s policies and procedures.</w:t>
      </w:r>
    </w:p>
    <w:p w14:paraId="446F9189" w14:textId="77777777" w:rsidR="004E45DB" w:rsidRPr="00373FA9" w:rsidRDefault="004E45DB" w:rsidP="004E45DB">
      <w:pPr>
        <w:spacing w:line="360" w:lineRule="auto"/>
        <w:rPr>
          <w:rFonts w:ascii="Arial" w:hAnsi="Arial" w:cs="Arial"/>
          <w:b/>
          <w:bCs/>
          <w:color w:val="000000" w:themeColor="text1"/>
          <w:sz w:val="24"/>
          <w:szCs w:val="24"/>
        </w:rPr>
      </w:pPr>
      <w:r w:rsidRPr="00373FA9">
        <w:rPr>
          <w:rFonts w:ascii="Arial" w:hAnsi="Arial" w:cs="Arial"/>
          <w:b/>
          <w:bCs/>
          <w:color w:val="000000" w:themeColor="text1"/>
          <w:sz w:val="24"/>
          <w:szCs w:val="24"/>
        </w:rPr>
        <w:t>Analysis of the facts, Legal principles, and case law:</w:t>
      </w:r>
    </w:p>
    <w:p w14:paraId="072F071F" w14:textId="77777777" w:rsidR="004E45DB" w:rsidRPr="00373FA9" w:rsidRDefault="004E45DB" w:rsidP="004E45DB">
      <w:p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 xml:space="preserve">To provide further support and guidance it is essential to analyse the relevant legislation and case law in this matter: </w:t>
      </w:r>
    </w:p>
    <w:p w14:paraId="3230D547" w14:textId="77777777" w:rsidR="004E45DB" w:rsidRPr="00373FA9" w:rsidRDefault="004E45DB" w:rsidP="004E45DB">
      <w:pPr>
        <w:pStyle w:val="ListParagraph"/>
        <w:numPr>
          <w:ilvl w:val="0"/>
          <w:numId w:val="4"/>
        </w:num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Constructive dismissal</w:t>
      </w:r>
      <w:r w:rsidRPr="00373FA9">
        <w:rPr>
          <w:rFonts w:ascii="Arial" w:hAnsi="Arial" w:cs="Arial"/>
          <w:color w:val="000000" w:themeColor="text1"/>
          <w:sz w:val="24"/>
          <w:szCs w:val="24"/>
        </w:rPr>
        <w:t xml:space="preserve">: Section 94(1) of the (Employment Rights Act 1996). To establish a claim of Constructive Dismissal, AA must show that SC and SS’s conduct amounted to a fundamental breach of her employment contract, making it impossible for her to continue to work at SC. The legal principle of constructive dismissal is outlined in the case of </w:t>
      </w:r>
      <w:r w:rsidRPr="00373FA9">
        <w:rPr>
          <w:rFonts w:ascii="Arial" w:hAnsi="Arial" w:cs="Arial"/>
          <w:noProof/>
          <w:color w:val="000000" w:themeColor="text1"/>
          <w:sz w:val="24"/>
          <w:szCs w:val="24"/>
        </w:rPr>
        <w:t>‘</w:t>
      </w:r>
      <w:r w:rsidRPr="00373FA9">
        <w:rPr>
          <w:rFonts w:ascii="Arial" w:hAnsi="Arial" w:cs="Arial"/>
          <w:color w:val="000000" w:themeColor="text1"/>
          <w:sz w:val="24"/>
          <w:szCs w:val="24"/>
        </w:rPr>
        <w:t>Western excavating (ECC) Ltd v Sharp’ (1978) which established that the employers conduct must be such that it undermines the relationship of trust and confidence between the parties. it is important to note that AA reported the incidents with RR to her line manager SS, who responded dismissively and failed to take appropriate action. This could contribute to the claim for constructive dismissal as it demonstrates a failure on the part of SS to address the issue effectively.</w:t>
      </w:r>
    </w:p>
    <w:p w14:paraId="1672D44B" w14:textId="77777777" w:rsidR="004E45DB" w:rsidRPr="00373FA9" w:rsidRDefault="004E45DB" w:rsidP="004E45DB">
      <w:pPr>
        <w:pStyle w:val="ListParagraph"/>
        <w:numPr>
          <w:ilvl w:val="0"/>
          <w:numId w:val="4"/>
        </w:num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Sexual Harassment</w:t>
      </w:r>
      <w:r w:rsidRPr="00373FA9">
        <w:rPr>
          <w:rFonts w:ascii="Arial" w:hAnsi="Arial" w:cs="Arial"/>
          <w:color w:val="000000" w:themeColor="text1"/>
          <w:sz w:val="24"/>
          <w:szCs w:val="24"/>
        </w:rPr>
        <w:t xml:space="preserve">: Section 26(2) and (3) of the (Equality Act 2010), sexual harassment occurs when unwanted conduct of a sexual nature violates the victim’s dignity, creates a hostile, degrading or offensive environment. Relevant case law such as </w:t>
      </w:r>
      <w:r w:rsidRPr="00373FA9">
        <w:rPr>
          <w:rFonts w:ascii="Arial" w:hAnsi="Arial" w:cs="Arial"/>
          <w:noProof/>
          <w:color w:val="000000" w:themeColor="text1"/>
          <w:sz w:val="24"/>
          <w:szCs w:val="24"/>
        </w:rPr>
        <w:t>‘</w:t>
      </w:r>
      <w:r w:rsidRPr="00373FA9">
        <w:rPr>
          <w:rFonts w:ascii="Arial" w:hAnsi="Arial" w:cs="Arial"/>
          <w:color w:val="000000" w:themeColor="text1"/>
          <w:sz w:val="24"/>
          <w:szCs w:val="24"/>
        </w:rPr>
        <w:t xml:space="preserve">Richmond Pharmacology Ltd v Dhaliwal’ (2009) has established the criteria for determining whether conduct constitutes </w:t>
      </w:r>
      <w:r w:rsidRPr="00373FA9">
        <w:rPr>
          <w:rFonts w:ascii="Arial" w:hAnsi="Arial" w:cs="Arial"/>
          <w:color w:val="000000" w:themeColor="text1"/>
          <w:sz w:val="24"/>
          <w:szCs w:val="24"/>
        </w:rPr>
        <w:lastRenderedPageBreak/>
        <w:t xml:space="preserve">sexual harassment. This case of </w:t>
      </w:r>
      <w:r w:rsidRPr="00373FA9">
        <w:rPr>
          <w:rFonts w:ascii="Arial" w:hAnsi="Arial" w:cs="Arial"/>
          <w:noProof/>
          <w:color w:val="000000" w:themeColor="text1"/>
          <w:sz w:val="24"/>
          <w:szCs w:val="24"/>
        </w:rPr>
        <w:t xml:space="preserve">‘De Souza v Primark Stores Ltd (2020) </w:t>
      </w:r>
      <w:r w:rsidRPr="00373FA9">
        <w:rPr>
          <w:rFonts w:ascii="Arial" w:hAnsi="Arial" w:cs="Arial"/>
          <w:color w:val="000000" w:themeColor="text1"/>
          <w:sz w:val="24"/>
          <w:szCs w:val="24"/>
        </w:rPr>
        <w:t>highlighted the importance of employers taking prompt and effective action to address harassment complaints. Failure to do so can increase the employer’s liability and the potential compensation award to the complainant.</w:t>
      </w:r>
    </w:p>
    <w:p w14:paraId="4E47105F" w14:textId="77777777" w:rsidR="004E45DB" w:rsidRPr="00373FA9" w:rsidRDefault="004E45DB" w:rsidP="004E45DB">
      <w:pPr>
        <w:pStyle w:val="ListParagraph"/>
        <w:numPr>
          <w:ilvl w:val="0"/>
          <w:numId w:val="4"/>
        </w:numPr>
        <w:spacing w:line="360" w:lineRule="auto"/>
        <w:rPr>
          <w:rFonts w:ascii="Arial" w:hAnsi="Arial" w:cs="Arial"/>
          <w:color w:val="000000" w:themeColor="text1"/>
          <w:sz w:val="24"/>
          <w:szCs w:val="24"/>
        </w:rPr>
      </w:pPr>
      <w:r w:rsidRPr="00373FA9">
        <w:rPr>
          <w:rFonts w:ascii="Arial" w:hAnsi="Arial" w:cs="Arial"/>
          <w:b/>
          <w:bCs/>
          <w:color w:val="000000" w:themeColor="text1"/>
          <w:sz w:val="24"/>
          <w:szCs w:val="24"/>
        </w:rPr>
        <w:t>Discrimination:</w:t>
      </w:r>
      <w:r w:rsidRPr="00373FA9">
        <w:rPr>
          <w:rFonts w:ascii="Arial" w:hAnsi="Arial" w:cs="Arial"/>
          <w:color w:val="000000" w:themeColor="text1"/>
          <w:sz w:val="24"/>
          <w:szCs w:val="24"/>
        </w:rPr>
        <w:t xml:space="preserve"> The (Equality Act 2010) prohibits gender discrimination, which includes treating employees less favourable because of their gender. Case law such as the case of </w:t>
      </w:r>
    </w:p>
    <w:p w14:paraId="174BDF29" w14:textId="77777777" w:rsidR="004E45DB" w:rsidRPr="00373FA9" w:rsidRDefault="004E45DB" w:rsidP="004E45DB">
      <w:pPr>
        <w:pStyle w:val="ListParagraph"/>
        <w:spacing w:line="360" w:lineRule="auto"/>
        <w:rPr>
          <w:rFonts w:ascii="Arial" w:hAnsi="Arial" w:cs="Arial"/>
          <w:color w:val="000000" w:themeColor="text1"/>
          <w:sz w:val="24"/>
          <w:szCs w:val="24"/>
        </w:rPr>
      </w:pPr>
      <w:r w:rsidRPr="00373FA9">
        <w:rPr>
          <w:rFonts w:ascii="Arial" w:hAnsi="Arial" w:cs="Arial"/>
          <w:noProof/>
          <w:color w:val="000000" w:themeColor="text1"/>
          <w:sz w:val="24"/>
          <w:szCs w:val="24"/>
        </w:rPr>
        <w:t xml:space="preserve">'S Macken v BNP Paribas London Branch and others' (2019) </w:t>
      </w:r>
      <w:r w:rsidRPr="00373FA9">
        <w:rPr>
          <w:rFonts w:ascii="Arial" w:hAnsi="Arial" w:cs="Arial"/>
          <w:color w:val="000000" w:themeColor="text1"/>
          <w:sz w:val="24"/>
          <w:szCs w:val="24"/>
        </w:rPr>
        <w:t>has established that gender discrimination can encompass inappropriate comments and request related to appearance or dress.</w:t>
      </w:r>
    </w:p>
    <w:p w14:paraId="54BCE8C8" w14:textId="77777777" w:rsidR="004E45DB" w:rsidRDefault="004E45DB" w:rsidP="004E45DB">
      <w:pPr>
        <w:pStyle w:val="ListParagraph"/>
        <w:numPr>
          <w:ilvl w:val="0"/>
          <w:numId w:val="4"/>
        </w:numPr>
        <w:spacing w:line="360" w:lineRule="auto"/>
        <w:rPr>
          <w:rFonts w:ascii="Arial" w:hAnsi="Arial" w:cs="Arial"/>
          <w:color w:val="000000" w:themeColor="text1"/>
          <w:sz w:val="24"/>
          <w:szCs w:val="24"/>
        </w:rPr>
      </w:pPr>
      <w:r w:rsidRPr="00373FA9">
        <w:rPr>
          <w:rFonts w:ascii="Arial" w:hAnsi="Arial" w:cs="Arial"/>
          <w:color w:val="000000" w:themeColor="text1"/>
          <w:sz w:val="24"/>
          <w:szCs w:val="24"/>
        </w:rPr>
        <w:t xml:space="preserve">It must be determined whether SS’s actions had a sufficient connection to his employment, the nature of the incident, the context in which it occurred and whether there was any work-related discussion or influence involved will be relevant to ascertain if SC is vicariously liable. As SS has a position of authority within the company being AA’s line manager, this could increase the likelihood of the employer being held vicariously liable for his actions. The exploitation of a superior/subordinate relationship may strengthen the argument for </w:t>
      </w:r>
      <w:r w:rsidRPr="00373FA9">
        <w:rPr>
          <w:rFonts w:ascii="Arial" w:hAnsi="Arial" w:cs="Arial"/>
          <w:b/>
          <w:bCs/>
          <w:color w:val="000000" w:themeColor="text1"/>
          <w:sz w:val="24"/>
          <w:szCs w:val="24"/>
        </w:rPr>
        <w:t>vicarious liability</w:t>
      </w:r>
      <w:r w:rsidRPr="00373FA9">
        <w:rPr>
          <w:rFonts w:ascii="Arial" w:hAnsi="Arial" w:cs="Arial"/>
          <w:color w:val="000000" w:themeColor="text1"/>
          <w:sz w:val="24"/>
          <w:szCs w:val="24"/>
        </w:rPr>
        <w:t>.  However, the actions taken by SC upon learning about the incident will be significant. As SC has now promptly investigated the matter and taken appropriate disciplinary measure towards SS, it has demonstrated a commitment to addressing harassment in the workplace and might help mitigate their potential liability.</w:t>
      </w:r>
    </w:p>
    <w:p w14:paraId="498FF76A" w14:textId="77777777" w:rsidR="00677F78" w:rsidRDefault="00677F78" w:rsidP="00677F78">
      <w:pPr>
        <w:pStyle w:val="ListParagraph"/>
        <w:spacing w:line="360" w:lineRule="auto"/>
        <w:rPr>
          <w:rFonts w:ascii="Arial" w:hAnsi="Arial" w:cs="Arial"/>
          <w:color w:val="000000" w:themeColor="text1"/>
          <w:sz w:val="24"/>
          <w:szCs w:val="24"/>
        </w:rPr>
      </w:pPr>
    </w:p>
    <w:p w14:paraId="4D09C208" w14:textId="77777777" w:rsidR="00677F78" w:rsidRPr="00677F78" w:rsidRDefault="00677F78" w:rsidP="00677F78">
      <w:pPr>
        <w:spacing w:line="276" w:lineRule="auto"/>
        <w:rPr>
          <w:rFonts w:ascii="Arial" w:hAnsi="Arial" w:cs="Arial"/>
          <w:b/>
          <w:bCs/>
          <w:kern w:val="0"/>
          <w:sz w:val="24"/>
          <w:szCs w:val="24"/>
          <w:u w:val="single"/>
          <w:lang w:val="en-US"/>
        </w:rPr>
      </w:pPr>
      <w:r w:rsidRPr="00677F78">
        <w:rPr>
          <w:rFonts w:ascii="Arial" w:hAnsi="Arial" w:cs="Arial"/>
          <w:b/>
          <w:bCs/>
          <w:kern w:val="0"/>
          <w:sz w:val="24"/>
          <w:szCs w:val="24"/>
          <w:u w:val="single"/>
          <w:lang w:val="en-US"/>
        </w:rPr>
        <w:t>Task 1 Section A Question 2</w:t>
      </w:r>
    </w:p>
    <w:p w14:paraId="0A6584BA" w14:textId="77777777" w:rsidR="00677F78" w:rsidRPr="00677F78" w:rsidRDefault="00677F78" w:rsidP="00677F78">
      <w:pPr>
        <w:spacing w:line="276" w:lineRule="auto"/>
        <w:rPr>
          <w:rFonts w:ascii="Arial" w:hAnsi="Arial" w:cs="Arial"/>
          <w:b/>
          <w:bCs/>
          <w:kern w:val="0"/>
          <w:sz w:val="24"/>
          <w:szCs w:val="24"/>
          <w:u w:val="single"/>
          <w:lang w:val="en-US"/>
        </w:rPr>
      </w:pPr>
      <w:r w:rsidRPr="00677F78">
        <w:rPr>
          <w:rFonts w:ascii="Arial" w:hAnsi="Arial" w:cs="Arial"/>
          <w:b/>
          <w:bCs/>
          <w:kern w:val="0"/>
          <w:sz w:val="24"/>
          <w:szCs w:val="24"/>
          <w:u w:val="single"/>
          <w:lang w:val="en-US"/>
        </w:rPr>
        <w:t>Word Count: 1306</w:t>
      </w:r>
    </w:p>
    <w:p w14:paraId="73A1828C"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If the matter proceeds to a final Employment Tribunal hearing and AA is successful with her claims, the following remedies could be considered by ET. These remedies aim to compensate her for the harm suffered and address any losses incurred because of the claims and subsequent resignation.</w:t>
      </w:r>
    </w:p>
    <w:p w14:paraId="161A30CB" w14:textId="7D788CE4" w:rsidR="00677F78" w:rsidRPr="00677F78" w:rsidRDefault="00677F78" w:rsidP="00677F78">
      <w:pPr>
        <w:numPr>
          <w:ilvl w:val="0"/>
          <w:numId w:val="5"/>
        </w:numPr>
        <w:spacing w:line="276" w:lineRule="auto"/>
        <w:contextualSpacing/>
        <w:rPr>
          <w:rFonts w:ascii="Arial" w:hAnsi="Arial" w:cs="Arial"/>
          <w:kern w:val="0"/>
          <w:sz w:val="24"/>
          <w:szCs w:val="24"/>
          <w:lang w:val="en-US"/>
        </w:rPr>
      </w:pPr>
      <w:r w:rsidRPr="00677F78">
        <w:rPr>
          <w:rFonts w:ascii="Arial" w:hAnsi="Arial" w:cs="Arial"/>
          <w:kern w:val="0"/>
          <w:sz w:val="24"/>
          <w:szCs w:val="24"/>
          <w:lang w:val="en-US"/>
        </w:rPr>
        <w:t xml:space="preserve">The Tribunal will consider </w:t>
      </w:r>
      <w:proofErr w:type="gramStart"/>
      <w:r w:rsidR="00B80D3E">
        <w:rPr>
          <w:rFonts w:ascii="Arial" w:hAnsi="Arial" w:cs="Arial"/>
          <w:kern w:val="0"/>
          <w:sz w:val="24"/>
          <w:szCs w:val="24"/>
          <w:lang w:val="en-US"/>
        </w:rPr>
        <w:t>various</w:t>
      </w:r>
      <w:r w:rsidR="00B80D3E" w:rsidRPr="00677F78">
        <w:rPr>
          <w:rFonts w:ascii="Arial" w:hAnsi="Arial" w:cs="Arial"/>
          <w:kern w:val="0"/>
          <w:sz w:val="24"/>
          <w:szCs w:val="24"/>
          <w:lang w:val="en-US"/>
        </w:rPr>
        <w:t xml:space="preserve"> factors</w:t>
      </w:r>
      <w:proofErr w:type="gramEnd"/>
      <w:r w:rsidRPr="00677F78">
        <w:rPr>
          <w:rFonts w:ascii="Arial" w:hAnsi="Arial" w:cs="Arial"/>
          <w:kern w:val="0"/>
          <w:sz w:val="24"/>
          <w:szCs w:val="24"/>
          <w:lang w:val="en-US"/>
        </w:rPr>
        <w:t xml:space="preserve"> when determining the amount of the award including:</w:t>
      </w:r>
    </w:p>
    <w:p w14:paraId="05CEA002"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Basic award</w:t>
      </w:r>
      <w:r w:rsidRPr="00677F78">
        <w:rPr>
          <w:rFonts w:ascii="Arial" w:hAnsi="Arial" w:cs="Arial"/>
          <w:kern w:val="0"/>
          <w:sz w:val="24"/>
          <w:szCs w:val="24"/>
          <w:lang w:val="en-US"/>
        </w:rPr>
        <w:t>: Under Section 123 of the (Employment Rights Act 1996), The ET will calculate the basic award. The basic award is based on the employee’s age, length of service and weekly pay limit. The maximum amount for the basic award would be £1,142, calculated at the rate of £571 per year of service.</w:t>
      </w:r>
      <w:sdt>
        <w:sdtPr>
          <w:rPr>
            <w:rFonts w:ascii="Arial" w:hAnsi="Arial" w:cs="Arial"/>
            <w:kern w:val="0"/>
            <w:sz w:val="24"/>
            <w:szCs w:val="24"/>
            <w:lang w:val="en-US"/>
          </w:rPr>
          <w:id w:val="-1166397171"/>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GOV233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 xml:space="preserve"> (GOV.UK, 2023)</w:t>
          </w:r>
          <w:r w:rsidRPr="00677F78">
            <w:rPr>
              <w:rFonts w:ascii="Arial" w:hAnsi="Arial" w:cs="Arial"/>
              <w:kern w:val="0"/>
              <w:sz w:val="24"/>
              <w:szCs w:val="24"/>
              <w:lang w:val="en-US"/>
            </w:rPr>
            <w:fldChar w:fldCharType="end"/>
          </w:r>
        </w:sdtContent>
      </w:sdt>
    </w:p>
    <w:p w14:paraId="62DD3268"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lastRenderedPageBreak/>
        <w:t>Compensatory awards will consider the relevant factors:</w:t>
      </w:r>
    </w:p>
    <w:p w14:paraId="5AE3BD23" w14:textId="76A4A2B8"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Compensation for Financial losses</w:t>
      </w:r>
      <w:r w:rsidRPr="00677F78">
        <w:rPr>
          <w:rFonts w:ascii="Arial" w:hAnsi="Arial" w:cs="Arial"/>
          <w:kern w:val="0"/>
          <w:sz w:val="24"/>
          <w:szCs w:val="24"/>
          <w:lang w:val="en-US"/>
        </w:rPr>
        <w:t xml:space="preserve">: The Tribunal will assess the actual financial losses suffered by AA, including past and future loss of earnings, benefits, pension contributions, bonuses, and other company </w:t>
      </w:r>
      <w:r w:rsidR="00F06B4C" w:rsidRPr="00677F78">
        <w:rPr>
          <w:rFonts w:ascii="Arial" w:hAnsi="Arial" w:cs="Arial"/>
          <w:kern w:val="0"/>
          <w:sz w:val="24"/>
          <w:szCs w:val="24"/>
          <w:lang w:val="en-US"/>
        </w:rPr>
        <w:t>benefits</w:t>
      </w:r>
      <w:r w:rsidRPr="00677F78">
        <w:rPr>
          <w:rFonts w:ascii="Arial" w:hAnsi="Arial" w:cs="Arial"/>
          <w:kern w:val="0"/>
          <w:sz w:val="24"/>
          <w:szCs w:val="24"/>
          <w:lang w:val="en-US"/>
        </w:rPr>
        <w:t xml:space="preserve">. The amount awarded will depend on factors such as her salary, length of employment and the prospects of finding a new job. Case law such as ‘Dugdale PLC V Cartlidge’ (2007) and ‘Ramsdale V Malden District Council’ (2021) support this and the relevant provisions of the </w:t>
      </w:r>
      <w:sdt>
        <w:sdtPr>
          <w:rPr>
            <w:rFonts w:ascii="Arial" w:hAnsi="Arial" w:cs="Arial"/>
            <w:kern w:val="0"/>
            <w:sz w:val="24"/>
            <w:szCs w:val="24"/>
            <w:lang w:val="en-US"/>
          </w:rPr>
          <w:id w:val="-908226071"/>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Eml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(Emloyment Rights Act 1996, n.d.)</w:t>
          </w:r>
          <w:r w:rsidRPr="00677F78">
            <w:rPr>
              <w:rFonts w:ascii="Arial" w:hAnsi="Arial" w:cs="Arial"/>
              <w:kern w:val="0"/>
              <w:sz w:val="24"/>
              <w:szCs w:val="24"/>
              <w:lang w:val="en-US"/>
            </w:rPr>
            <w:fldChar w:fldCharType="end"/>
          </w:r>
        </w:sdtContent>
      </w:sdt>
      <w:r w:rsidRPr="00677F78">
        <w:rPr>
          <w:rFonts w:ascii="Arial" w:hAnsi="Arial" w:cs="Arial"/>
          <w:kern w:val="0"/>
          <w:sz w:val="24"/>
          <w:szCs w:val="24"/>
          <w:lang w:val="en-US"/>
        </w:rPr>
        <w:t>(Employments Rights Act 1996) will inform the assessment of financial losses.</w:t>
      </w:r>
    </w:p>
    <w:p w14:paraId="6DDBBD21"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Compensation for Injury to feelings</w:t>
      </w:r>
      <w:r w:rsidRPr="00677F78">
        <w:rPr>
          <w:rFonts w:ascii="Arial" w:hAnsi="Arial" w:cs="Arial"/>
          <w:kern w:val="0"/>
          <w:sz w:val="24"/>
          <w:szCs w:val="24"/>
          <w:lang w:val="en-US"/>
        </w:rPr>
        <w:t xml:space="preserve">: The ET has the power to award compensation for the emotional distress caused by the harassment. The Tribunal will consider the impact of the harassment and discrimination on AA’s emotional wellbeing and the compensatory award for injury to feeling will be based on the severity and duration of the distress caused. Relevant case law in this regard included Vento v Chief of West Yorkshire Police (2002) which sets out guidelines for the assessment of compensation levels based on three bands, lower, middle, and higher. The bands for such compensation have increased over the years in the case of </w:t>
      </w:r>
      <w:r w:rsidRPr="00677F78">
        <w:rPr>
          <w:rFonts w:ascii="Arial" w:hAnsi="Arial" w:cs="Arial"/>
          <w:noProof/>
          <w:kern w:val="0"/>
          <w:sz w:val="24"/>
          <w:szCs w:val="24"/>
        </w:rPr>
        <w:t>(</w:t>
      </w:r>
      <w:r w:rsidRPr="00677F78">
        <w:rPr>
          <w:rFonts w:ascii="Arial" w:hAnsi="Arial" w:cs="Arial"/>
          <w:kern w:val="0"/>
          <w:sz w:val="24"/>
          <w:szCs w:val="24"/>
          <w:lang w:val="en-US"/>
        </w:rPr>
        <w:t>Da’bell v NSPCC (2010) Simmons V Castle (2012) and ultimately De Souza V Vinci Construction (2017) where the Vento bands are as follows for 2022.</w:t>
      </w:r>
    </w:p>
    <w:p w14:paraId="21F39DE4"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Lower band of £990 to £9,900 (less serious cases)</w:t>
      </w:r>
    </w:p>
    <w:p w14:paraId="19FCF3E5"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Middle band of £9,900 to £29,600 (cases that do not merit an award in the upper band)</w:t>
      </w:r>
    </w:p>
    <w:p w14:paraId="18255749"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Upper band of £29,600 to £49,300 (the most serious cases), with the most exceptional cases capable of exceeding £49,300.</w:t>
      </w:r>
    </w:p>
    <w:p w14:paraId="6B923CBF"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 xml:space="preserve">The case of Steel v Uniquely Chic Furniture (2018) highlights the potential remedy that could be awarded to AA if the case went to a final ET hearing and sheds light on the factors that could influence the amount. Ms Steel was subjected to sexual harassment by her line manager, inappropriate comments, touching and unwelcome advances. The ET found the employer liable for the actions of the line manager and awarded Ms Steel </w:t>
      </w:r>
    </w:p>
    <w:p w14:paraId="64315230"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w:t>
      </w:r>
      <w:r w:rsidRPr="00677F78">
        <w:rPr>
          <w:rFonts w:ascii="Arial" w:hAnsi="Arial" w:cs="Arial"/>
          <w:kern w:val="0"/>
          <w:sz w:val="24"/>
          <w:szCs w:val="24"/>
          <w:lang w:val="en-US"/>
        </w:rPr>
        <w:tab/>
        <w:t xml:space="preserve">£20,500.00 Compensation for discrimination by way of damages for injury to feelings </w:t>
      </w:r>
    </w:p>
    <w:p w14:paraId="532ADD5E"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w:t>
      </w:r>
      <w:r w:rsidRPr="00677F78">
        <w:rPr>
          <w:rFonts w:ascii="Arial" w:hAnsi="Arial" w:cs="Arial"/>
          <w:kern w:val="0"/>
          <w:sz w:val="24"/>
          <w:szCs w:val="24"/>
          <w:lang w:val="en-US"/>
        </w:rPr>
        <w:tab/>
        <w:t>£4000 aggravated damages</w:t>
      </w:r>
    </w:p>
    <w:p w14:paraId="2E7B4880"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w:t>
      </w:r>
      <w:r w:rsidRPr="00677F78">
        <w:rPr>
          <w:rFonts w:ascii="Arial" w:hAnsi="Arial" w:cs="Arial"/>
          <w:kern w:val="0"/>
          <w:sz w:val="24"/>
          <w:szCs w:val="24"/>
          <w:lang w:val="en-US"/>
        </w:rPr>
        <w:tab/>
        <w:t>£6,000 Compensation for discrimination by way of damages for personal injury:</w:t>
      </w:r>
    </w:p>
    <w:p w14:paraId="4A9918D0"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w:t>
      </w:r>
      <w:r w:rsidRPr="00677F78">
        <w:rPr>
          <w:rFonts w:ascii="Arial" w:hAnsi="Arial" w:cs="Arial"/>
          <w:kern w:val="0"/>
          <w:sz w:val="24"/>
          <w:szCs w:val="24"/>
          <w:lang w:val="en-US"/>
        </w:rPr>
        <w:tab/>
        <w:t>£2,201.31 of interest</w:t>
      </w:r>
    </w:p>
    <w:p w14:paraId="6E59B3E2"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This case indicates a similar level of harassment to that experienced by AA, however it is important to remember that each case is fact specific.</w:t>
      </w:r>
    </w:p>
    <w:p w14:paraId="0256DA85"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lastRenderedPageBreak/>
        <w:t>Loss of Statutory rights</w:t>
      </w:r>
      <w:r w:rsidRPr="00677F78">
        <w:rPr>
          <w:rFonts w:ascii="Arial" w:hAnsi="Arial" w:cs="Arial"/>
          <w:kern w:val="0"/>
          <w:sz w:val="24"/>
          <w:szCs w:val="24"/>
          <w:lang w:val="en-US"/>
        </w:rPr>
        <w:t xml:space="preserve">: AA has worked for SC for over two years she may be entitled to compensation for loss of statutory right, typically ranging from £300-500 as highlighted in </w:t>
      </w:r>
      <w:r w:rsidRPr="00677F78">
        <w:rPr>
          <w:rFonts w:ascii="Arial" w:hAnsi="Arial" w:cs="Arial"/>
          <w:noProof/>
          <w:kern w:val="0"/>
          <w:sz w:val="24"/>
          <w:szCs w:val="24"/>
        </w:rPr>
        <w:t>‘Ramsdale V Malden District Council’ (2021)</w:t>
      </w:r>
    </w:p>
    <w:p w14:paraId="5909C5B4"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Future employability</w:t>
      </w:r>
      <w:r w:rsidRPr="00677F78">
        <w:rPr>
          <w:rFonts w:ascii="Arial" w:hAnsi="Arial" w:cs="Arial"/>
          <w:kern w:val="0"/>
          <w:sz w:val="24"/>
          <w:szCs w:val="24"/>
          <w:lang w:val="en-US"/>
        </w:rPr>
        <w:t>: The ET will assess the impact of the discriminatory treatment on AA’s future job prospects and potential loss of earnings.</w:t>
      </w:r>
    </w:p>
    <w:p w14:paraId="66F27CBB"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Aggravating factors</w:t>
      </w:r>
      <w:r w:rsidRPr="00677F78">
        <w:rPr>
          <w:rFonts w:ascii="Arial" w:hAnsi="Arial" w:cs="Arial"/>
          <w:kern w:val="0"/>
          <w:sz w:val="24"/>
          <w:szCs w:val="24"/>
          <w:lang w:val="en-US"/>
        </w:rPr>
        <w:t>: The ET will consider any aggravating factors such as the severity and persistence of the conduct and the employer’s knowledge and response to the situation.</w:t>
      </w:r>
    </w:p>
    <w:p w14:paraId="7FA809D1"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Impact on Health and Well-being</w:t>
      </w:r>
      <w:r w:rsidRPr="00677F78">
        <w:rPr>
          <w:rFonts w:ascii="Arial" w:hAnsi="Arial" w:cs="Arial"/>
          <w:kern w:val="0"/>
          <w:sz w:val="24"/>
          <w:szCs w:val="24"/>
          <w:lang w:val="en-US"/>
        </w:rPr>
        <w:t>: The ET will consider the impact of the harassment on AA’s mental and physical health, as well as the duration of any resulting health issues. Medical evidence such as records and reports may be relevant in determining the award.</w:t>
      </w:r>
    </w:p>
    <w:p w14:paraId="6C8D88BD"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Maximum Compensation limit</w:t>
      </w:r>
      <w:r w:rsidRPr="00677F78">
        <w:rPr>
          <w:rFonts w:ascii="Arial" w:hAnsi="Arial" w:cs="Arial"/>
          <w:kern w:val="0"/>
          <w:sz w:val="24"/>
          <w:szCs w:val="24"/>
          <w:lang w:val="en-US"/>
        </w:rPr>
        <w:t xml:space="preserve">: In accordance with the </w:t>
      </w:r>
      <w:r w:rsidRPr="00677F78">
        <w:rPr>
          <w:rFonts w:ascii="Arial" w:hAnsi="Arial" w:cs="Arial"/>
          <w:noProof/>
          <w:kern w:val="0"/>
          <w:sz w:val="24"/>
          <w:szCs w:val="24"/>
        </w:rPr>
        <w:t>(</w:t>
      </w:r>
      <w:r w:rsidRPr="00677F78">
        <w:rPr>
          <w:rFonts w:ascii="Arial" w:hAnsi="Arial" w:cs="Arial"/>
          <w:kern w:val="0"/>
          <w:sz w:val="24"/>
          <w:szCs w:val="24"/>
          <w:lang w:val="en-US"/>
        </w:rPr>
        <w:t>Employment Tribunals, compensation limits and minimum amounts for redundancy payment Regulations 2021) the maximum compensatory award cannot exceed one year’s salary, in AA’s case the maximum limit would be £34,000.</w:t>
      </w:r>
    </w:p>
    <w:p w14:paraId="0CC3B792" w14:textId="77777777" w:rsidR="00677F78" w:rsidRPr="00677F78" w:rsidRDefault="00677F78" w:rsidP="00677F78">
      <w:pPr>
        <w:spacing w:line="276" w:lineRule="auto"/>
        <w:rPr>
          <w:rFonts w:ascii="Arial" w:hAnsi="Arial" w:cs="Arial"/>
          <w:kern w:val="0"/>
          <w:sz w:val="24"/>
          <w:szCs w:val="24"/>
          <w:lang w:val="en-US"/>
        </w:rPr>
      </w:pPr>
    </w:p>
    <w:p w14:paraId="4B6607B9"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ii.</w:t>
      </w:r>
      <w:r w:rsidRPr="00677F78">
        <w:rPr>
          <w:rFonts w:ascii="Arial" w:hAnsi="Arial" w:cs="Arial"/>
          <w:kern w:val="0"/>
          <w:sz w:val="24"/>
          <w:szCs w:val="24"/>
          <w:lang w:val="en-US"/>
        </w:rPr>
        <w:tab/>
      </w:r>
      <w:r w:rsidRPr="00677F78">
        <w:rPr>
          <w:rFonts w:ascii="Arial" w:hAnsi="Arial" w:cs="Arial"/>
          <w:b/>
          <w:bCs/>
          <w:kern w:val="0"/>
          <w:sz w:val="24"/>
          <w:szCs w:val="24"/>
          <w:lang w:val="en-US"/>
        </w:rPr>
        <w:t>Factors affecting the level of the award:</w:t>
      </w:r>
    </w:p>
    <w:p w14:paraId="24431A14"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Severity and duration of the harassment</w:t>
      </w:r>
      <w:r w:rsidRPr="00677F78">
        <w:rPr>
          <w:rFonts w:ascii="Arial" w:hAnsi="Arial" w:cs="Arial"/>
          <w:kern w:val="0"/>
          <w:sz w:val="24"/>
          <w:szCs w:val="24"/>
          <w:lang w:val="en-US"/>
        </w:rPr>
        <w:t xml:space="preserve">: The ET will assess the gravity and persistence of the harassment suffered by AA. The more severe and prolonged the harassment, the higher the potential award may be. Case law such as </w:t>
      </w:r>
      <w:r w:rsidRPr="00677F78">
        <w:rPr>
          <w:rFonts w:ascii="Arial" w:hAnsi="Arial" w:cs="Arial"/>
          <w:noProof/>
          <w:kern w:val="0"/>
          <w:sz w:val="24"/>
          <w:szCs w:val="24"/>
        </w:rPr>
        <w:t xml:space="preserve">‘X </w:t>
      </w:r>
      <w:r w:rsidRPr="00677F78">
        <w:rPr>
          <w:rFonts w:ascii="Arial" w:hAnsi="Arial" w:cs="Arial"/>
          <w:kern w:val="0"/>
          <w:sz w:val="24"/>
          <w:szCs w:val="24"/>
          <w:lang w:val="en-US"/>
        </w:rPr>
        <w:t>v Britannia hotels’ (2021) demonstrate the tribunal’s approach in awarding compensation for injury to feelings.</w:t>
      </w:r>
    </w:p>
    <w:p w14:paraId="3D4C2AE3"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Failure to follow ACAS code</w:t>
      </w:r>
      <w:r w:rsidRPr="00677F78">
        <w:rPr>
          <w:rFonts w:ascii="Arial" w:hAnsi="Arial" w:cs="Arial"/>
          <w:kern w:val="0"/>
          <w:sz w:val="24"/>
          <w:szCs w:val="24"/>
          <w:lang w:val="en-US"/>
        </w:rPr>
        <w:t>: If SC is found to have failed to follow the ACAS code of practice on disciplinary and grievance procedures, the tribunal may increase the compensatory award by 10 to 25%.</w:t>
      </w:r>
      <w:sdt>
        <w:sdtPr>
          <w:rPr>
            <w:rFonts w:ascii="Arial" w:hAnsi="Arial" w:cs="Arial"/>
            <w:kern w:val="0"/>
            <w:sz w:val="24"/>
            <w:szCs w:val="24"/>
            <w:lang w:val="en-US"/>
          </w:rPr>
          <w:id w:val="103925991"/>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htt23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 xml:space="preserve"> (https://www.acas.org.uk/acas-code-of-practice-on-disciplinary-and-grievance-procedures, 2023)</w:t>
          </w:r>
          <w:r w:rsidRPr="00677F78">
            <w:rPr>
              <w:rFonts w:ascii="Arial" w:hAnsi="Arial" w:cs="Arial"/>
              <w:kern w:val="0"/>
              <w:sz w:val="24"/>
              <w:szCs w:val="24"/>
              <w:lang w:val="en-US"/>
            </w:rPr>
            <w:fldChar w:fldCharType="end"/>
          </w:r>
        </w:sdtContent>
      </w:sdt>
    </w:p>
    <w:p w14:paraId="2E161418" w14:textId="69554E86"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 xml:space="preserve">A very recent case </w:t>
      </w:r>
      <w:r w:rsidRPr="00677F78">
        <w:rPr>
          <w:rFonts w:ascii="Arial" w:hAnsi="Arial" w:cs="Arial"/>
          <w:noProof/>
          <w:kern w:val="0"/>
          <w:sz w:val="24"/>
          <w:szCs w:val="24"/>
        </w:rPr>
        <w:t>‘</w:t>
      </w:r>
      <w:r w:rsidRPr="00677F78">
        <w:rPr>
          <w:rFonts w:ascii="Arial" w:hAnsi="Arial" w:cs="Arial"/>
          <w:kern w:val="0"/>
          <w:sz w:val="24"/>
          <w:szCs w:val="24"/>
          <w:lang w:val="en-US"/>
        </w:rPr>
        <w:t xml:space="preserve">KZ v The Nags Head reading Ltd’ (2023) highlights the employer’s duty to protect employees from </w:t>
      </w:r>
      <w:r w:rsidR="00F06B4C" w:rsidRPr="00677F78">
        <w:rPr>
          <w:rFonts w:ascii="Arial" w:hAnsi="Arial" w:cs="Arial"/>
          <w:kern w:val="0"/>
          <w:sz w:val="24"/>
          <w:szCs w:val="24"/>
          <w:lang w:val="en-US"/>
        </w:rPr>
        <w:t>third</w:t>
      </w:r>
      <w:r w:rsidRPr="00677F78">
        <w:rPr>
          <w:rFonts w:ascii="Arial" w:hAnsi="Arial" w:cs="Arial"/>
          <w:kern w:val="0"/>
          <w:sz w:val="24"/>
          <w:szCs w:val="24"/>
          <w:lang w:val="en-US"/>
        </w:rPr>
        <w:t xml:space="preserve"> party harassment. </w:t>
      </w:r>
      <w:sdt>
        <w:sdtPr>
          <w:rPr>
            <w:rFonts w:ascii="Arial" w:hAnsi="Arial" w:cs="Arial"/>
            <w:kern w:val="0"/>
            <w:sz w:val="24"/>
            <w:szCs w:val="24"/>
            <w:lang w:val="en-US"/>
          </w:rPr>
          <w:id w:val="1948195718"/>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Sec2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(Section 26 of the Equality Act 2010, n.d.)</w:t>
          </w:r>
          <w:r w:rsidRPr="00677F78">
            <w:rPr>
              <w:rFonts w:ascii="Arial" w:hAnsi="Arial" w:cs="Arial"/>
              <w:kern w:val="0"/>
              <w:sz w:val="24"/>
              <w:szCs w:val="24"/>
              <w:lang w:val="en-US"/>
            </w:rPr>
            <w:fldChar w:fldCharType="end"/>
          </w:r>
        </w:sdtContent>
      </w:sdt>
      <w:r w:rsidRPr="00677F78">
        <w:rPr>
          <w:rFonts w:ascii="Arial" w:hAnsi="Arial" w:cs="Arial"/>
          <w:kern w:val="0"/>
          <w:sz w:val="24"/>
          <w:szCs w:val="24"/>
          <w:lang w:val="en-US"/>
        </w:rPr>
        <w:t>Section 26 of the (Equality Act 2010) defines harassment related to sex and places an obligation on the employer to prevent such conduct. (HR-Inform.co.uk, 2023)</w:t>
      </w:r>
    </w:p>
    <w:p w14:paraId="200D9717"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Contributory fault</w:t>
      </w:r>
      <w:r w:rsidRPr="00677F78">
        <w:rPr>
          <w:rFonts w:ascii="Arial" w:hAnsi="Arial" w:cs="Arial"/>
          <w:kern w:val="0"/>
          <w:sz w:val="24"/>
          <w:szCs w:val="24"/>
          <w:lang w:val="en-US"/>
        </w:rPr>
        <w:t>: If the ET finds that AA contributed to the situation or failed to take reasonable steps to address the harassment, the compensatory award may be reduced to reflect her share of the responsibility. (Thomson Reuters, 2023)</w:t>
      </w:r>
    </w:p>
    <w:p w14:paraId="446A13F0"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Mitigation of loss</w:t>
      </w:r>
      <w:r w:rsidRPr="00677F78">
        <w:rPr>
          <w:rFonts w:ascii="Arial" w:hAnsi="Arial" w:cs="Arial"/>
          <w:kern w:val="0"/>
          <w:sz w:val="24"/>
          <w:szCs w:val="24"/>
          <w:lang w:val="en-US"/>
        </w:rPr>
        <w:t xml:space="preserve">: The tribunal will consider whether AA made reasonable efforts to mitigate her losses by actively seeking alternative employment. Failure to </w:t>
      </w:r>
      <w:r w:rsidRPr="00677F78">
        <w:rPr>
          <w:rFonts w:ascii="Arial" w:hAnsi="Arial" w:cs="Arial"/>
          <w:kern w:val="0"/>
          <w:sz w:val="24"/>
          <w:szCs w:val="24"/>
          <w:lang w:val="en-US"/>
        </w:rPr>
        <w:lastRenderedPageBreak/>
        <w:t>demonstrate sufficient mitigation may lead to a reduction in the compensatory award.</w:t>
      </w:r>
      <w:sdt>
        <w:sdtPr>
          <w:rPr>
            <w:rFonts w:ascii="Arial" w:hAnsi="Arial" w:cs="Arial"/>
            <w:kern w:val="0"/>
            <w:sz w:val="24"/>
            <w:szCs w:val="24"/>
            <w:lang w:val="en-US"/>
          </w:rPr>
          <w:id w:val="-666164092"/>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Lex21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 xml:space="preserve"> (Lexology, 2021)</w:t>
          </w:r>
          <w:r w:rsidRPr="00677F78">
            <w:rPr>
              <w:rFonts w:ascii="Arial" w:hAnsi="Arial" w:cs="Arial"/>
              <w:kern w:val="0"/>
              <w:sz w:val="24"/>
              <w:szCs w:val="24"/>
              <w:lang w:val="en-US"/>
            </w:rPr>
            <w:fldChar w:fldCharType="end"/>
          </w:r>
        </w:sdtContent>
      </w:sdt>
    </w:p>
    <w:p w14:paraId="348BBC13"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Impact of health issues</w:t>
      </w:r>
      <w:r w:rsidRPr="00677F78">
        <w:rPr>
          <w:rFonts w:ascii="Arial" w:hAnsi="Arial" w:cs="Arial"/>
          <w:kern w:val="0"/>
          <w:sz w:val="24"/>
          <w:szCs w:val="24"/>
          <w:lang w:val="en-US"/>
        </w:rPr>
        <w:t>: If Alison’s health issues were pre-existing or unrelated to the alleged harassment and dismissal, the ET may consider this in determining the award. If it can be established that her health problems (Asthma) were not caused by the situation, then the compensation may be adjusted accordingly.</w:t>
      </w:r>
      <w:sdt>
        <w:sdtPr>
          <w:rPr>
            <w:rFonts w:ascii="Arial" w:hAnsi="Arial" w:cs="Arial"/>
            <w:kern w:val="0"/>
            <w:sz w:val="24"/>
            <w:szCs w:val="24"/>
            <w:lang w:val="en-US"/>
          </w:rPr>
          <w:id w:val="623962494"/>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Equ18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 xml:space="preserve"> (Equality and Human Rights Commission, 2018)</w:t>
          </w:r>
          <w:r w:rsidRPr="00677F78">
            <w:rPr>
              <w:rFonts w:ascii="Arial" w:hAnsi="Arial" w:cs="Arial"/>
              <w:kern w:val="0"/>
              <w:sz w:val="24"/>
              <w:szCs w:val="24"/>
              <w:lang w:val="en-US"/>
            </w:rPr>
            <w:fldChar w:fldCharType="end"/>
          </w:r>
        </w:sdtContent>
      </w:sdt>
    </w:p>
    <w:p w14:paraId="6FBAEF3B" w14:textId="77777777" w:rsidR="00677F78" w:rsidRPr="00677F78" w:rsidRDefault="00677F78" w:rsidP="00677F78">
      <w:pPr>
        <w:spacing w:line="276" w:lineRule="auto"/>
        <w:rPr>
          <w:rFonts w:ascii="Arial" w:hAnsi="Arial" w:cs="Arial"/>
          <w:kern w:val="0"/>
          <w:sz w:val="24"/>
          <w:szCs w:val="24"/>
          <w:lang w:val="en-US"/>
        </w:rPr>
      </w:pPr>
    </w:p>
    <w:p w14:paraId="71788B77" w14:textId="77777777" w:rsidR="00677F78" w:rsidRPr="00677F78" w:rsidRDefault="00677F78" w:rsidP="00677F78">
      <w:pPr>
        <w:spacing w:line="276" w:lineRule="auto"/>
        <w:rPr>
          <w:rFonts w:ascii="Arial" w:hAnsi="Arial" w:cs="Arial"/>
          <w:b/>
          <w:bCs/>
          <w:kern w:val="0"/>
          <w:sz w:val="24"/>
          <w:szCs w:val="24"/>
          <w:lang w:val="en-US"/>
        </w:rPr>
      </w:pPr>
      <w:r w:rsidRPr="00677F78">
        <w:rPr>
          <w:rFonts w:ascii="Arial" w:hAnsi="Arial" w:cs="Arial"/>
          <w:b/>
          <w:bCs/>
          <w:kern w:val="0"/>
          <w:sz w:val="24"/>
          <w:szCs w:val="24"/>
          <w:lang w:val="en-US"/>
        </w:rPr>
        <w:t>iii.</w:t>
      </w:r>
      <w:r w:rsidRPr="00677F78">
        <w:rPr>
          <w:rFonts w:ascii="Arial" w:hAnsi="Arial" w:cs="Arial"/>
          <w:b/>
          <w:bCs/>
          <w:kern w:val="0"/>
          <w:sz w:val="24"/>
          <w:szCs w:val="24"/>
          <w:lang w:val="en-US"/>
        </w:rPr>
        <w:tab/>
        <w:t>Recommendations</w:t>
      </w:r>
    </w:p>
    <w:p w14:paraId="388B36C3"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Considering the specific circumstance of this case and the potential financial impact, settling the case rather than proceeding to a tribunal would be a prudent course of action. It allows SC to resolve the matter swiftly, protect its reputation and avoid the uncertainties associate with a tribunal hearing.</w:t>
      </w:r>
    </w:p>
    <w:p w14:paraId="4FC0AB49"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Certainty and control</w:t>
      </w:r>
      <w:r w:rsidRPr="00677F78">
        <w:rPr>
          <w:rFonts w:ascii="Arial" w:hAnsi="Arial" w:cs="Arial"/>
          <w:kern w:val="0"/>
          <w:sz w:val="24"/>
          <w:szCs w:val="24"/>
          <w:lang w:val="en-US"/>
        </w:rPr>
        <w:t>: By reaching a settlement, SC retains control over the outcome and avoids the uncertainty of a tribunal decision.</w:t>
      </w:r>
    </w:p>
    <w:p w14:paraId="2D77DE32"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Cost Savings</w:t>
      </w:r>
      <w:r w:rsidRPr="00677F78">
        <w:rPr>
          <w:rFonts w:ascii="Arial" w:hAnsi="Arial" w:cs="Arial"/>
          <w:kern w:val="0"/>
          <w:sz w:val="24"/>
          <w:szCs w:val="24"/>
          <w:lang w:val="en-US"/>
        </w:rPr>
        <w:t>: Settling the case can save legal costs, tribunal fees and other expenses associated with a prolonged legal process. Settling avoids these expenses and allows the company to allocate its resources more efficiently.</w:t>
      </w:r>
    </w:p>
    <w:p w14:paraId="6A93F35C"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Reputation management</w:t>
      </w:r>
      <w:r w:rsidRPr="00677F78">
        <w:rPr>
          <w:rFonts w:ascii="Arial" w:hAnsi="Arial" w:cs="Arial"/>
          <w:kern w:val="0"/>
          <w:sz w:val="24"/>
          <w:szCs w:val="24"/>
          <w:lang w:val="en-US"/>
        </w:rPr>
        <w:t>: Settling the case amicably can help preserve SC’s reputation and avoid potential negative publicity. By demonstrating a commitment to addressing workplace issues and resolving disputes without litigation the company can maintain a positive image.</w:t>
      </w:r>
    </w:p>
    <w:p w14:paraId="48EC1066"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Time efficiency</w:t>
      </w:r>
      <w:r w:rsidRPr="00677F78">
        <w:rPr>
          <w:rFonts w:ascii="Arial" w:hAnsi="Arial" w:cs="Arial"/>
          <w:kern w:val="0"/>
          <w:sz w:val="24"/>
          <w:szCs w:val="24"/>
          <w:lang w:val="en-US"/>
        </w:rPr>
        <w:t>: Settling the case allows for a quicker resolution avoiding the lengthy process of a tribunal hearing. Allowing energy, time, and resources to go into the business that would otherwise have gone into tribunal proceedings.</w:t>
      </w:r>
    </w:p>
    <w:p w14:paraId="233DFC30"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Risk mitigation</w:t>
      </w:r>
      <w:r w:rsidRPr="00677F78">
        <w:rPr>
          <w:rFonts w:ascii="Arial" w:hAnsi="Arial" w:cs="Arial"/>
          <w:kern w:val="0"/>
          <w:sz w:val="24"/>
          <w:szCs w:val="24"/>
          <w:lang w:val="en-US"/>
        </w:rPr>
        <w:t>: Settling the case minimises the risks associated with an uncertain tribunal outcome. The ET’s decision could result in a higher compensation award than what may be agreed upon through settlement negotiations. By settling the company can cap its financial exposure and mitigate the potential impact on its financial resources.</w:t>
      </w:r>
    </w:p>
    <w:p w14:paraId="1C007CD4"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b/>
          <w:bCs/>
          <w:kern w:val="0"/>
          <w:sz w:val="24"/>
          <w:szCs w:val="24"/>
          <w:lang w:val="en-US"/>
        </w:rPr>
        <w:t>Privacy and confidentiality:</w:t>
      </w:r>
      <w:r w:rsidRPr="00677F78">
        <w:rPr>
          <w:rFonts w:ascii="Arial" w:hAnsi="Arial" w:cs="Arial"/>
          <w:kern w:val="0"/>
          <w:sz w:val="24"/>
          <w:szCs w:val="24"/>
          <w:lang w:val="en-US"/>
        </w:rPr>
        <w:t xml:space="preserve"> Through settlement, the parties can include confidentiality provisions or non-disclosure agreements, ensuring that the details of the case and the settlement terms remain private. This can protect the company’s sensitive information and maintain confidentiality.</w:t>
      </w:r>
    </w:p>
    <w:p w14:paraId="59C19E1E" w14:textId="77777777" w:rsidR="00677F78" w:rsidRPr="00677F78" w:rsidRDefault="00677F78" w:rsidP="00677F78">
      <w:pPr>
        <w:spacing w:line="276" w:lineRule="auto"/>
        <w:rPr>
          <w:rFonts w:ascii="Arial" w:hAnsi="Arial" w:cs="Arial"/>
          <w:kern w:val="0"/>
          <w:sz w:val="24"/>
          <w:szCs w:val="24"/>
          <w:lang w:val="en-US"/>
        </w:rPr>
      </w:pPr>
      <w:sdt>
        <w:sdtPr>
          <w:rPr>
            <w:rFonts w:ascii="Arial" w:hAnsi="Arial" w:cs="Arial"/>
            <w:kern w:val="0"/>
            <w:sz w:val="24"/>
            <w:szCs w:val="24"/>
            <w:lang w:val="en-US"/>
          </w:rPr>
          <w:id w:val="-294221974"/>
          <w:citation/>
        </w:sdtPr>
        <w:sdtContent>
          <w:r w:rsidRPr="00677F78">
            <w:rPr>
              <w:rFonts w:ascii="Arial" w:hAnsi="Arial" w:cs="Arial"/>
              <w:kern w:val="0"/>
              <w:sz w:val="24"/>
              <w:szCs w:val="24"/>
              <w:lang w:val="en-US"/>
            </w:rPr>
            <w:fldChar w:fldCharType="begin"/>
          </w:r>
          <w:r w:rsidRPr="00677F78">
            <w:rPr>
              <w:rFonts w:ascii="Arial" w:hAnsi="Arial" w:cs="Arial"/>
              <w:kern w:val="0"/>
              <w:sz w:val="24"/>
              <w:szCs w:val="24"/>
            </w:rPr>
            <w:instrText xml:space="preserve"> CITATION ACA18 \l 2057 </w:instrText>
          </w:r>
          <w:r w:rsidRPr="00677F78">
            <w:rPr>
              <w:rFonts w:ascii="Arial" w:hAnsi="Arial" w:cs="Arial"/>
              <w:kern w:val="0"/>
              <w:sz w:val="24"/>
              <w:szCs w:val="24"/>
              <w:lang w:val="en-US"/>
            </w:rPr>
            <w:fldChar w:fldCharType="separate"/>
          </w:r>
          <w:r w:rsidRPr="00677F78">
            <w:rPr>
              <w:rFonts w:ascii="Arial" w:hAnsi="Arial" w:cs="Arial"/>
              <w:noProof/>
              <w:kern w:val="0"/>
              <w:sz w:val="24"/>
              <w:szCs w:val="24"/>
            </w:rPr>
            <w:t>(ACAS, 2018)</w:t>
          </w:r>
          <w:r w:rsidRPr="00677F78">
            <w:rPr>
              <w:rFonts w:ascii="Arial" w:hAnsi="Arial" w:cs="Arial"/>
              <w:kern w:val="0"/>
              <w:sz w:val="24"/>
              <w:szCs w:val="24"/>
              <w:lang w:val="en-US"/>
            </w:rPr>
            <w:fldChar w:fldCharType="end"/>
          </w:r>
        </w:sdtContent>
      </w:sdt>
      <w:r w:rsidRPr="00677F78">
        <w:rPr>
          <w:rFonts w:ascii="Arial" w:hAnsi="Arial" w:cs="Arial"/>
          <w:kern w:val="0"/>
          <w:sz w:val="24"/>
          <w:szCs w:val="24"/>
          <w:lang w:val="en-US"/>
        </w:rPr>
        <w:t xml:space="preserve"> </w:t>
      </w:r>
    </w:p>
    <w:p w14:paraId="73DBBB37" w14:textId="04096F6E"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 xml:space="preserve">It is crucial to consult legal counsel to negotiate a fair settlement agreement that addresses Alison’s claims and provides appropriate compensation while protecting </w:t>
      </w:r>
      <w:r w:rsidRPr="00677F78">
        <w:rPr>
          <w:rFonts w:ascii="Arial" w:hAnsi="Arial" w:cs="Arial"/>
          <w:kern w:val="0"/>
          <w:sz w:val="24"/>
          <w:szCs w:val="24"/>
          <w:lang w:val="en-US"/>
        </w:rPr>
        <w:lastRenderedPageBreak/>
        <w:t xml:space="preserve">the company’s interests. </w:t>
      </w:r>
      <w:r w:rsidR="00F06B4C" w:rsidRPr="00677F78">
        <w:rPr>
          <w:rFonts w:ascii="Arial" w:hAnsi="Arial" w:cs="Arial"/>
          <w:kern w:val="0"/>
          <w:sz w:val="24"/>
          <w:szCs w:val="24"/>
          <w:lang w:val="en-US"/>
        </w:rPr>
        <w:t>The</w:t>
      </w:r>
      <w:r w:rsidRPr="00677F78">
        <w:rPr>
          <w:rFonts w:ascii="Arial" w:hAnsi="Arial" w:cs="Arial"/>
          <w:kern w:val="0"/>
          <w:sz w:val="24"/>
          <w:szCs w:val="24"/>
          <w:lang w:val="en-US"/>
        </w:rPr>
        <w:t xml:space="preserve"> decision to settle or proceed to a tribunal rest with the Board of SC.</w:t>
      </w:r>
    </w:p>
    <w:p w14:paraId="4FAA1069"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Please let me know if you require any further information or clarification. I am available to discuss this matter further at your convenience.</w:t>
      </w:r>
    </w:p>
    <w:p w14:paraId="4A44677B"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Your Sincerely</w:t>
      </w:r>
    </w:p>
    <w:p w14:paraId="3D42C3A2"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 xml:space="preserve">Victoria Jeffreys </w:t>
      </w:r>
    </w:p>
    <w:p w14:paraId="4557F18C" w14:textId="77777777" w:rsidR="00677F78" w:rsidRPr="00677F78" w:rsidRDefault="00677F78" w:rsidP="00677F78">
      <w:pPr>
        <w:spacing w:line="276" w:lineRule="auto"/>
        <w:rPr>
          <w:rFonts w:ascii="Arial" w:hAnsi="Arial" w:cs="Arial"/>
          <w:kern w:val="0"/>
          <w:sz w:val="24"/>
          <w:szCs w:val="24"/>
          <w:lang w:val="en-US"/>
        </w:rPr>
      </w:pPr>
      <w:r w:rsidRPr="00677F78">
        <w:rPr>
          <w:rFonts w:ascii="Arial" w:hAnsi="Arial" w:cs="Arial"/>
          <w:kern w:val="0"/>
          <w:sz w:val="24"/>
          <w:szCs w:val="24"/>
          <w:lang w:val="en-US"/>
        </w:rPr>
        <w:t>HR Consultant</w:t>
      </w:r>
    </w:p>
    <w:p w14:paraId="0BA89096" w14:textId="77777777" w:rsidR="00677F78" w:rsidRDefault="00677F78" w:rsidP="00677F78">
      <w:pPr>
        <w:pStyle w:val="ListParagraph"/>
        <w:spacing w:line="276" w:lineRule="auto"/>
        <w:rPr>
          <w:rFonts w:ascii="Arial" w:hAnsi="Arial" w:cs="Arial"/>
          <w:color w:val="000000" w:themeColor="text1"/>
          <w:sz w:val="24"/>
          <w:szCs w:val="24"/>
        </w:rPr>
      </w:pPr>
    </w:p>
    <w:p w14:paraId="314AF3C1" w14:textId="566F409F" w:rsidR="00370A8E" w:rsidRDefault="00370A8E" w:rsidP="00677F78">
      <w:pPr>
        <w:pStyle w:val="ListParagraph"/>
        <w:spacing w:line="276" w:lineRule="auto"/>
        <w:rPr>
          <w:rFonts w:ascii="Arial" w:hAnsi="Arial" w:cs="Arial"/>
          <w:color w:val="000000" w:themeColor="text1"/>
          <w:sz w:val="24"/>
          <w:szCs w:val="24"/>
        </w:rPr>
      </w:pPr>
      <w:r w:rsidRPr="00E22BEB">
        <w:rPr>
          <w:rFonts w:ascii="Arial" w:hAnsi="Arial" w:cs="Arial"/>
          <w:noProof/>
          <w:sz w:val="24"/>
          <w:szCs w:val="24"/>
        </w:rPr>
        <w:drawing>
          <wp:inline distT="0" distB="0" distL="0" distR="0" wp14:anchorId="050EF490" wp14:editId="29C8F694">
            <wp:extent cx="2638425" cy="756285"/>
            <wp:effectExtent l="0" t="0" r="9525" b="5715"/>
            <wp:docPr id="412440749" name="Picture 412440749" descr="A signature on a white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95479" name="Picture 3" descr="A signature on a white surfac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425" cy="756285"/>
                    </a:xfrm>
                    <a:prstGeom prst="rect">
                      <a:avLst/>
                    </a:prstGeom>
                    <a:noFill/>
                  </pic:spPr>
                </pic:pic>
              </a:graphicData>
            </a:graphic>
          </wp:inline>
        </w:drawing>
      </w:r>
    </w:p>
    <w:p w14:paraId="5BC3E17D" w14:textId="77777777" w:rsidR="00370A8E" w:rsidRPr="00373FA9" w:rsidRDefault="00370A8E" w:rsidP="00677F78">
      <w:pPr>
        <w:pStyle w:val="ListParagraph"/>
        <w:spacing w:line="276" w:lineRule="auto"/>
        <w:rPr>
          <w:rFonts w:ascii="Arial" w:hAnsi="Arial" w:cs="Arial"/>
          <w:color w:val="000000" w:themeColor="text1"/>
          <w:sz w:val="24"/>
          <w:szCs w:val="24"/>
        </w:rPr>
      </w:pPr>
    </w:p>
    <w:p w14:paraId="3A90B2D0" w14:textId="77777777" w:rsidR="00333A50" w:rsidRPr="00100240" w:rsidRDefault="00333A50" w:rsidP="00333A50">
      <w:pPr>
        <w:spacing w:line="360" w:lineRule="auto"/>
        <w:rPr>
          <w:rFonts w:ascii="Arial" w:hAnsi="Arial" w:cs="Arial"/>
          <w:b/>
          <w:bCs/>
          <w:sz w:val="24"/>
          <w:szCs w:val="24"/>
        </w:rPr>
      </w:pPr>
      <w:r w:rsidRPr="00100240">
        <w:rPr>
          <w:rFonts w:ascii="Arial" w:hAnsi="Arial" w:cs="Arial"/>
          <w:b/>
          <w:bCs/>
          <w:sz w:val="24"/>
          <w:szCs w:val="24"/>
        </w:rPr>
        <w:t>Task 1 Section B</w:t>
      </w:r>
    </w:p>
    <w:p w14:paraId="5C28A283" w14:textId="77777777" w:rsidR="00333A50" w:rsidRPr="00100240" w:rsidRDefault="00333A50" w:rsidP="00333A50">
      <w:pPr>
        <w:spacing w:line="360" w:lineRule="auto"/>
        <w:rPr>
          <w:rFonts w:ascii="Arial" w:hAnsi="Arial" w:cs="Arial"/>
          <w:b/>
          <w:bCs/>
          <w:sz w:val="24"/>
          <w:szCs w:val="24"/>
        </w:rPr>
      </w:pPr>
      <w:r w:rsidRPr="00100240">
        <w:rPr>
          <w:rFonts w:ascii="Arial" w:hAnsi="Arial" w:cs="Arial"/>
          <w:b/>
          <w:bCs/>
          <w:sz w:val="24"/>
          <w:szCs w:val="24"/>
        </w:rPr>
        <w:t>Word Count: 585</w:t>
      </w:r>
    </w:p>
    <w:p w14:paraId="1DEF6A56"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To: The Management Board of Scrumpy Cider Ltd</w:t>
      </w:r>
    </w:p>
    <w:p w14:paraId="04CF2A8E"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From: Victoria Jeffreys – HR Consultant</w:t>
      </w:r>
    </w:p>
    <w:p w14:paraId="1AA03DBD"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Date: 11/05/2023</w:t>
      </w:r>
    </w:p>
    <w:p w14:paraId="106D3F53"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Subject: Legal Issues surrounding In-House Management of IT and Payroll Functions</w:t>
      </w:r>
    </w:p>
    <w:p w14:paraId="4A230774"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Abbreviations: Scrumpy Cider Ltd – SC</w:t>
      </w:r>
    </w:p>
    <w:p w14:paraId="3CE1BEBD" w14:textId="77777777" w:rsidR="00333A50" w:rsidRPr="00100240" w:rsidRDefault="00333A50" w:rsidP="00333A50">
      <w:pPr>
        <w:spacing w:line="360" w:lineRule="auto"/>
        <w:rPr>
          <w:rFonts w:ascii="Arial" w:hAnsi="Arial" w:cs="Arial"/>
          <w:sz w:val="24"/>
          <w:szCs w:val="24"/>
        </w:rPr>
      </w:pPr>
      <w:r w:rsidRPr="00100240">
        <w:rPr>
          <w:rFonts w:ascii="Arial" w:hAnsi="Arial" w:cs="Arial"/>
          <w:sz w:val="24"/>
          <w:szCs w:val="24"/>
        </w:rPr>
        <w:t>Dear Board,</w:t>
      </w:r>
    </w:p>
    <w:p w14:paraId="3B5F2B15" w14:textId="77777777" w:rsidR="00333A50" w:rsidRDefault="00333A50" w:rsidP="00333A50">
      <w:pPr>
        <w:spacing w:line="360" w:lineRule="auto"/>
        <w:rPr>
          <w:rFonts w:ascii="Arial" w:hAnsi="Arial" w:cs="Arial"/>
          <w:sz w:val="24"/>
          <w:szCs w:val="24"/>
        </w:rPr>
      </w:pPr>
      <w:r w:rsidRPr="00100240">
        <w:rPr>
          <w:rFonts w:ascii="Arial" w:hAnsi="Arial" w:cs="Arial"/>
          <w:sz w:val="24"/>
          <w:szCs w:val="24"/>
        </w:rPr>
        <w:t>I am writing in response</w:t>
      </w:r>
      <w:r w:rsidRPr="00E22BEB">
        <w:rPr>
          <w:rFonts w:ascii="Arial" w:hAnsi="Arial" w:cs="Arial"/>
          <w:sz w:val="24"/>
          <w:szCs w:val="24"/>
        </w:rPr>
        <w:t xml:space="preserve"> to the email from Bob Braeburn regarding the decision to bring the IT and Payroll functions in house and whether there are any legal issues that would need to be considered.</w:t>
      </w:r>
      <w:r>
        <w:rPr>
          <w:rFonts w:ascii="Arial" w:hAnsi="Arial" w:cs="Arial"/>
          <w:sz w:val="24"/>
          <w:szCs w:val="24"/>
        </w:rPr>
        <w:t xml:space="preserve"> This Briefing note outlines the legal considerations from a HR perspective with advice and recommendations. </w:t>
      </w:r>
    </w:p>
    <w:p w14:paraId="4D0496FA" w14:textId="77777777" w:rsidR="00333A50" w:rsidRPr="00EF72D2" w:rsidRDefault="00333A50" w:rsidP="00333A50">
      <w:pPr>
        <w:pStyle w:val="ListParagraph"/>
        <w:numPr>
          <w:ilvl w:val="0"/>
          <w:numId w:val="7"/>
        </w:numPr>
        <w:spacing w:line="360" w:lineRule="auto"/>
        <w:rPr>
          <w:rFonts w:ascii="Arial" w:hAnsi="Arial" w:cs="Arial"/>
          <w:sz w:val="24"/>
          <w:szCs w:val="24"/>
          <w:u w:val="single"/>
        </w:rPr>
      </w:pPr>
      <w:r w:rsidRPr="00EF72D2">
        <w:rPr>
          <w:rFonts w:ascii="Arial" w:hAnsi="Arial" w:cs="Arial"/>
          <w:b/>
          <w:bCs/>
          <w:sz w:val="24"/>
          <w:szCs w:val="24"/>
          <w:u w:val="single"/>
        </w:rPr>
        <w:t xml:space="preserve">Review the contract. </w:t>
      </w:r>
    </w:p>
    <w:p w14:paraId="4420C033" w14:textId="77777777" w:rsidR="00333A50" w:rsidRDefault="00333A50" w:rsidP="00333A50">
      <w:pPr>
        <w:pStyle w:val="ListParagraph"/>
        <w:spacing w:line="360" w:lineRule="auto"/>
        <w:rPr>
          <w:rFonts w:ascii="Arial" w:hAnsi="Arial" w:cs="Arial"/>
          <w:noProof/>
          <w:sz w:val="24"/>
          <w:szCs w:val="24"/>
        </w:rPr>
      </w:pPr>
      <w:r w:rsidRPr="00A11083">
        <w:rPr>
          <w:rFonts w:ascii="Arial" w:hAnsi="Arial" w:cs="Arial"/>
          <w:sz w:val="24"/>
          <w:szCs w:val="24"/>
        </w:rPr>
        <w:t>It is essential to review the contract with Payment Providers to check for termination clauses, notice periods or any other contractual obligations that S</w:t>
      </w:r>
      <w:r>
        <w:rPr>
          <w:rFonts w:ascii="Arial" w:hAnsi="Arial" w:cs="Arial"/>
          <w:sz w:val="24"/>
          <w:szCs w:val="24"/>
        </w:rPr>
        <w:t>C</w:t>
      </w:r>
      <w:r w:rsidRPr="00A11083">
        <w:rPr>
          <w:rFonts w:ascii="Arial" w:hAnsi="Arial" w:cs="Arial"/>
          <w:sz w:val="24"/>
          <w:szCs w:val="24"/>
        </w:rPr>
        <w:t xml:space="preserve"> must adhere to. Failure to review relevant contracts could result in legal liabilities for S</w:t>
      </w:r>
      <w:r>
        <w:rPr>
          <w:rFonts w:ascii="Arial" w:hAnsi="Arial" w:cs="Arial"/>
          <w:sz w:val="24"/>
          <w:szCs w:val="24"/>
        </w:rPr>
        <w:t>C</w:t>
      </w:r>
      <w:r w:rsidRPr="00A11083">
        <w:rPr>
          <w:rFonts w:ascii="Arial" w:hAnsi="Arial" w:cs="Arial"/>
          <w:sz w:val="24"/>
          <w:szCs w:val="24"/>
        </w:rPr>
        <w:t xml:space="preserve"> including claims for breach of contract or negligence. If there </w:t>
      </w:r>
      <w:r w:rsidRPr="00A11083">
        <w:rPr>
          <w:rFonts w:ascii="Arial" w:hAnsi="Arial" w:cs="Arial"/>
          <w:sz w:val="24"/>
          <w:szCs w:val="24"/>
        </w:rPr>
        <w:lastRenderedPageBreak/>
        <w:t>is a notice period in the contract, we must adhere to this</w:t>
      </w:r>
      <w:r>
        <w:rPr>
          <w:rFonts w:ascii="Arial" w:hAnsi="Arial" w:cs="Arial"/>
          <w:sz w:val="24"/>
          <w:szCs w:val="24"/>
        </w:rPr>
        <w:t xml:space="preserve"> outlined in the case of </w:t>
      </w:r>
      <w:r>
        <w:rPr>
          <w:rFonts w:ascii="Arial" w:hAnsi="Arial" w:cs="Arial"/>
          <w:noProof/>
          <w:sz w:val="24"/>
          <w:szCs w:val="24"/>
        </w:rPr>
        <w:t>‘</w:t>
      </w:r>
      <w:r w:rsidRPr="009E071F">
        <w:rPr>
          <w:rFonts w:ascii="Arial" w:hAnsi="Arial" w:cs="Arial"/>
          <w:noProof/>
          <w:sz w:val="24"/>
          <w:szCs w:val="24"/>
        </w:rPr>
        <w:t>Byrne Bros (Formwork) Ltd v Baird and Others</w:t>
      </w:r>
      <w:r>
        <w:rPr>
          <w:rFonts w:ascii="Arial" w:hAnsi="Arial" w:cs="Arial"/>
          <w:noProof/>
          <w:sz w:val="24"/>
          <w:szCs w:val="24"/>
        </w:rPr>
        <w:t>’</w:t>
      </w:r>
      <w:r w:rsidRPr="009E071F">
        <w:rPr>
          <w:rFonts w:ascii="Arial" w:hAnsi="Arial" w:cs="Arial"/>
          <w:noProof/>
          <w:sz w:val="24"/>
          <w:szCs w:val="24"/>
        </w:rPr>
        <w:t xml:space="preserve"> (2002)</w:t>
      </w:r>
    </w:p>
    <w:p w14:paraId="377A3407" w14:textId="77777777" w:rsidR="00333A50" w:rsidRPr="00EF72D2" w:rsidRDefault="00333A50" w:rsidP="00333A50">
      <w:pPr>
        <w:pStyle w:val="ListParagraph"/>
        <w:spacing w:line="360" w:lineRule="auto"/>
        <w:rPr>
          <w:rFonts w:ascii="Arial" w:hAnsi="Arial" w:cs="Arial"/>
          <w:b/>
          <w:bCs/>
          <w:sz w:val="24"/>
          <w:szCs w:val="24"/>
          <w:u w:val="single"/>
        </w:rPr>
      </w:pPr>
      <w:r w:rsidRPr="00EF72D2">
        <w:rPr>
          <w:rFonts w:ascii="Arial" w:hAnsi="Arial" w:cs="Arial"/>
          <w:b/>
          <w:bCs/>
          <w:sz w:val="24"/>
          <w:szCs w:val="24"/>
          <w:u w:val="single"/>
        </w:rPr>
        <w:t>Inhouse Resource assessment</w:t>
      </w:r>
    </w:p>
    <w:p w14:paraId="662ABFAA" w14:textId="7FF93575" w:rsidR="00333A50" w:rsidRPr="00E22BEB" w:rsidRDefault="00333A50" w:rsidP="00333A50">
      <w:pPr>
        <w:pStyle w:val="ListParagraph"/>
        <w:spacing w:line="360" w:lineRule="auto"/>
        <w:rPr>
          <w:rFonts w:ascii="Arial" w:hAnsi="Arial" w:cs="Arial"/>
          <w:sz w:val="24"/>
          <w:szCs w:val="24"/>
        </w:rPr>
      </w:pPr>
      <w:r w:rsidRPr="00E22BEB">
        <w:rPr>
          <w:rFonts w:ascii="Arial" w:hAnsi="Arial" w:cs="Arial"/>
          <w:sz w:val="24"/>
          <w:szCs w:val="24"/>
        </w:rPr>
        <w:t>S</w:t>
      </w:r>
      <w:r>
        <w:rPr>
          <w:rFonts w:ascii="Arial" w:hAnsi="Arial" w:cs="Arial"/>
          <w:sz w:val="24"/>
          <w:szCs w:val="24"/>
        </w:rPr>
        <w:t>C</w:t>
      </w:r>
      <w:r w:rsidRPr="00E22BEB">
        <w:rPr>
          <w:rFonts w:ascii="Arial" w:hAnsi="Arial" w:cs="Arial"/>
          <w:sz w:val="24"/>
          <w:szCs w:val="24"/>
        </w:rPr>
        <w:t xml:space="preserve"> must ensure we have the necessary resources and expertise in-house to </w:t>
      </w:r>
      <w:r w:rsidR="00B601BF" w:rsidRPr="00E22BEB">
        <w:rPr>
          <w:rFonts w:ascii="Arial" w:hAnsi="Arial" w:cs="Arial"/>
          <w:sz w:val="24"/>
          <w:szCs w:val="24"/>
        </w:rPr>
        <w:t>manage</w:t>
      </w:r>
      <w:r w:rsidRPr="00E22BEB">
        <w:rPr>
          <w:rFonts w:ascii="Arial" w:hAnsi="Arial" w:cs="Arial"/>
          <w:sz w:val="24"/>
          <w:szCs w:val="24"/>
        </w:rPr>
        <w:t xml:space="preserve"> the IT and Payroll functions effectively. If S</w:t>
      </w:r>
      <w:r>
        <w:rPr>
          <w:rFonts w:ascii="Arial" w:hAnsi="Arial" w:cs="Arial"/>
          <w:sz w:val="24"/>
          <w:szCs w:val="24"/>
        </w:rPr>
        <w:t>C</w:t>
      </w:r>
      <w:r w:rsidRPr="00E22BEB">
        <w:rPr>
          <w:rFonts w:ascii="Arial" w:hAnsi="Arial" w:cs="Arial"/>
          <w:sz w:val="24"/>
          <w:szCs w:val="24"/>
        </w:rPr>
        <w:t xml:space="preserve"> does not have this, then it may need to invest in training for its staff.</w:t>
      </w:r>
      <w:r>
        <w:rPr>
          <w:rFonts w:ascii="Arial" w:hAnsi="Arial" w:cs="Arial"/>
          <w:sz w:val="24"/>
          <w:szCs w:val="24"/>
        </w:rPr>
        <w:t xml:space="preserve"> HR must assess their capability, capacity, and training needs.</w:t>
      </w:r>
    </w:p>
    <w:p w14:paraId="1107D5C5" w14:textId="77777777" w:rsidR="00333A50" w:rsidRPr="00E22BEB" w:rsidRDefault="00333A50" w:rsidP="00333A50">
      <w:pPr>
        <w:pStyle w:val="ListParagraph"/>
        <w:spacing w:line="360" w:lineRule="auto"/>
        <w:rPr>
          <w:rFonts w:ascii="Arial" w:hAnsi="Arial" w:cs="Arial"/>
          <w:sz w:val="24"/>
          <w:szCs w:val="24"/>
        </w:rPr>
      </w:pPr>
      <w:r w:rsidRPr="00E22BEB">
        <w:rPr>
          <w:rFonts w:ascii="Arial" w:hAnsi="Arial" w:cs="Arial"/>
          <w:b/>
          <w:bCs/>
          <w:sz w:val="24"/>
          <w:szCs w:val="24"/>
        </w:rPr>
        <w:t>The Health and Safety at Work Act 1974</w:t>
      </w:r>
      <w:sdt>
        <w:sdtPr>
          <w:rPr>
            <w:rFonts w:ascii="Arial" w:hAnsi="Arial" w:cs="Arial"/>
            <w:b/>
            <w:bCs/>
            <w:sz w:val="24"/>
            <w:szCs w:val="24"/>
          </w:rPr>
          <w:id w:val="417372388"/>
          <w:citation/>
        </w:sdtPr>
        <w:sdtContent>
          <w:r>
            <w:rPr>
              <w:rFonts w:ascii="Arial" w:hAnsi="Arial" w:cs="Arial"/>
              <w:b/>
              <w:bCs/>
              <w:sz w:val="24"/>
              <w:szCs w:val="24"/>
            </w:rPr>
            <w:fldChar w:fldCharType="begin"/>
          </w:r>
          <w:r>
            <w:rPr>
              <w:rFonts w:ascii="Arial" w:hAnsi="Arial" w:cs="Arial"/>
              <w:b/>
              <w:bCs/>
              <w:sz w:val="24"/>
              <w:szCs w:val="24"/>
            </w:rPr>
            <w:instrText xml:space="preserve"> CITATION leg233 \l 2057 </w:instrText>
          </w:r>
          <w:r>
            <w:rPr>
              <w:rFonts w:ascii="Arial" w:hAnsi="Arial" w:cs="Arial"/>
              <w:b/>
              <w:bCs/>
              <w:sz w:val="24"/>
              <w:szCs w:val="24"/>
            </w:rPr>
            <w:fldChar w:fldCharType="separate"/>
          </w:r>
          <w:r>
            <w:rPr>
              <w:rFonts w:ascii="Arial" w:hAnsi="Arial" w:cs="Arial"/>
              <w:b/>
              <w:bCs/>
              <w:noProof/>
              <w:sz w:val="24"/>
              <w:szCs w:val="24"/>
            </w:rPr>
            <w:t xml:space="preserve"> </w:t>
          </w:r>
          <w:r w:rsidRPr="00CA62A4">
            <w:rPr>
              <w:rFonts w:ascii="Arial" w:hAnsi="Arial" w:cs="Arial"/>
              <w:noProof/>
              <w:sz w:val="24"/>
              <w:szCs w:val="24"/>
            </w:rPr>
            <w:t>(legislation.gov.uk, 2023)</w:t>
          </w:r>
          <w:r>
            <w:rPr>
              <w:rFonts w:ascii="Arial" w:hAnsi="Arial" w:cs="Arial"/>
              <w:b/>
              <w:bCs/>
              <w:sz w:val="24"/>
              <w:szCs w:val="24"/>
            </w:rPr>
            <w:fldChar w:fldCharType="end"/>
          </w:r>
        </w:sdtContent>
      </w:sdt>
      <w:r w:rsidRPr="00E22BEB">
        <w:rPr>
          <w:rFonts w:ascii="Arial" w:hAnsi="Arial" w:cs="Arial"/>
          <w:sz w:val="24"/>
          <w:szCs w:val="24"/>
        </w:rPr>
        <w:t xml:space="preserve"> requires employers to provide a safe working environment for their employees</w:t>
      </w:r>
      <w:r>
        <w:rPr>
          <w:rFonts w:ascii="Arial" w:hAnsi="Arial" w:cs="Arial"/>
          <w:sz w:val="24"/>
          <w:szCs w:val="24"/>
        </w:rPr>
        <w:t xml:space="preserve">, </w:t>
      </w:r>
      <w:r w:rsidRPr="00E22BEB">
        <w:rPr>
          <w:rFonts w:ascii="Arial" w:hAnsi="Arial" w:cs="Arial"/>
          <w:sz w:val="24"/>
          <w:szCs w:val="24"/>
        </w:rPr>
        <w:t>including ensuring that employees have the necessary skills and training to carry out their jobs safely.</w:t>
      </w:r>
    </w:p>
    <w:p w14:paraId="74A0A774" w14:textId="77777777" w:rsidR="00333A50" w:rsidRPr="00E22BEB" w:rsidRDefault="00333A50" w:rsidP="00333A50">
      <w:pPr>
        <w:pStyle w:val="ListParagraph"/>
        <w:spacing w:line="360" w:lineRule="auto"/>
        <w:rPr>
          <w:rFonts w:ascii="Arial" w:hAnsi="Arial" w:cs="Arial"/>
          <w:sz w:val="24"/>
          <w:szCs w:val="24"/>
        </w:rPr>
      </w:pPr>
      <w:r>
        <w:rPr>
          <w:rFonts w:ascii="Arial" w:hAnsi="Arial" w:cs="Arial"/>
          <w:noProof/>
          <w:sz w:val="24"/>
          <w:szCs w:val="24"/>
        </w:rPr>
        <w:t>‘</w:t>
      </w:r>
      <w:r w:rsidRPr="0001680F">
        <w:rPr>
          <w:rFonts w:ascii="Arial" w:hAnsi="Arial" w:cs="Arial"/>
          <w:noProof/>
          <w:sz w:val="24"/>
          <w:szCs w:val="24"/>
        </w:rPr>
        <w:t>Barber v. Somerset County Council</w:t>
      </w:r>
      <w:r>
        <w:rPr>
          <w:rFonts w:ascii="Arial" w:hAnsi="Arial" w:cs="Arial"/>
          <w:noProof/>
          <w:sz w:val="24"/>
          <w:szCs w:val="24"/>
        </w:rPr>
        <w:t>’ (</w:t>
      </w:r>
      <w:r w:rsidRPr="0001680F">
        <w:rPr>
          <w:rFonts w:ascii="Arial" w:hAnsi="Arial" w:cs="Arial"/>
          <w:noProof/>
          <w:sz w:val="24"/>
          <w:szCs w:val="24"/>
        </w:rPr>
        <w:t>2004)</w:t>
      </w:r>
      <w:r>
        <w:rPr>
          <w:rFonts w:ascii="Arial" w:hAnsi="Arial" w:cs="Arial"/>
          <w:noProof/>
          <w:sz w:val="24"/>
          <w:szCs w:val="24"/>
        </w:rPr>
        <w:t xml:space="preserve"> </w:t>
      </w:r>
      <w:r w:rsidRPr="00E22BEB">
        <w:rPr>
          <w:rFonts w:ascii="Arial" w:hAnsi="Arial" w:cs="Arial"/>
          <w:sz w:val="24"/>
          <w:szCs w:val="24"/>
        </w:rPr>
        <w:t xml:space="preserve">can be referenced in relation to the duty of employers to provide adequate resources and </w:t>
      </w:r>
      <w:r>
        <w:rPr>
          <w:rFonts w:ascii="Arial" w:hAnsi="Arial" w:cs="Arial"/>
          <w:sz w:val="24"/>
          <w:szCs w:val="24"/>
        </w:rPr>
        <w:t>t</w:t>
      </w:r>
      <w:r w:rsidRPr="00E22BEB">
        <w:rPr>
          <w:rFonts w:ascii="Arial" w:hAnsi="Arial" w:cs="Arial"/>
          <w:sz w:val="24"/>
          <w:szCs w:val="24"/>
        </w:rPr>
        <w:t>raining</w:t>
      </w:r>
      <w:r>
        <w:rPr>
          <w:rFonts w:ascii="Arial" w:hAnsi="Arial" w:cs="Arial"/>
          <w:sz w:val="24"/>
          <w:szCs w:val="24"/>
        </w:rPr>
        <w:t xml:space="preserve"> and support</w:t>
      </w:r>
      <w:r w:rsidRPr="00E22BEB">
        <w:rPr>
          <w:rFonts w:ascii="Arial" w:hAnsi="Arial" w:cs="Arial"/>
          <w:sz w:val="24"/>
          <w:szCs w:val="24"/>
        </w:rPr>
        <w:t xml:space="preserve"> to employees.</w:t>
      </w:r>
    </w:p>
    <w:p w14:paraId="5244F285" w14:textId="77777777" w:rsidR="00333A50" w:rsidRPr="00765596" w:rsidRDefault="00333A50" w:rsidP="00333A50">
      <w:pPr>
        <w:pStyle w:val="ListParagraph"/>
        <w:numPr>
          <w:ilvl w:val="0"/>
          <w:numId w:val="6"/>
        </w:numPr>
        <w:spacing w:line="360" w:lineRule="auto"/>
        <w:rPr>
          <w:rFonts w:ascii="Arial" w:hAnsi="Arial" w:cs="Arial"/>
          <w:sz w:val="24"/>
          <w:szCs w:val="24"/>
          <w:u w:val="single"/>
        </w:rPr>
      </w:pPr>
      <w:r w:rsidRPr="00765596">
        <w:rPr>
          <w:rFonts w:ascii="Arial" w:hAnsi="Arial" w:cs="Arial"/>
          <w:b/>
          <w:bCs/>
          <w:sz w:val="24"/>
          <w:szCs w:val="24"/>
          <w:u w:val="single"/>
        </w:rPr>
        <w:t>Consider Data Protection Issues</w:t>
      </w:r>
    </w:p>
    <w:p w14:paraId="3A18A904" w14:textId="77777777" w:rsidR="00333A50" w:rsidRPr="00E22BEB" w:rsidRDefault="00333A50" w:rsidP="00333A50">
      <w:pPr>
        <w:pStyle w:val="ListParagraph"/>
        <w:spacing w:line="360" w:lineRule="auto"/>
        <w:rPr>
          <w:rFonts w:ascii="Arial" w:hAnsi="Arial" w:cs="Arial"/>
          <w:sz w:val="24"/>
          <w:szCs w:val="24"/>
        </w:rPr>
      </w:pPr>
      <w:r w:rsidRPr="00E22BEB">
        <w:rPr>
          <w:rFonts w:ascii="Arial" w:hAnsi="Arial" w:cs="Arial"/>
          <w:sz w:val="24"/>
          <w:szCs w:val="24"/>
        </w:rPr>
        <w:t>We need to consider any potential data protection issues that may arise if it brings IT and Payroll functions in house. Payment Providers will have been responsible for managing sensitive personal information, such as employee payroll data and it is essential that S</w:t>
      </w:r>
      <w:r>
        <w:rPr>
          <w:rFonts w:ascii="Arial" w:hAnsi="Arial" w:cs="Arial"/>
          <w:sz w:val="24"/>
          <w:szCs w:val="24"/>
        </w:rPr>
        <w:t>C</w:t>
      </w:r>
      <w:r w:rsidRPr="00E22BEB">
        <w:rPr>
          <w:rFonts w:ascii="Arial" w:hAnsi="Arial" w:cs="Arial"/>
          <w:sz w:val="24"/>
          <w:szCs w:val="24"/>
        </w:rPr>
        <w:t xml:space="preserve"> ensures it complies with its obligations under data protection legislation.</w:t>
      </w:r>
    </w:p>
    <w:p w14:paraId="5F18C9FB" w14:textId="77777777" w:rsidR="00333A50" w:rsidRPr="007E684D" w:rsidRDefault="00333A50" w:rsidP="00333A50">
      <w:pPr>
        <w:pStyle w:val="ListParagraph"/>
        <w:spacing w:line="360" w:lineRule="auto"/>
        <w:rPr>
          <w:rFonts w:ascii="Arial" w:hAnsi="Arial" w:cs="Arial"/>
          <w:sz w:val="24"/>
          <w:szCs w:val="24"/>
        </w:rPr>
      </w:pPr>
      <w:r>
        <w:rPr>
          <w:rFonts w:ascii="Arial" w:hAnsi="Arial" w:cs="Arial"/>
          <w:b/>
          <w:bCs/>
          <w:sz w:val="24"/>
          <w:szCs w:val="24"/>
        </w:rPr>
        <w:t>(</w:t>
      </w:r>
      <w:r w:rsidRPr="00E22BEB">
        <w:rPr>
          <w:rFonts w:ascii="Arial" w:hAnsi="Arial" w:cs="Arial"/>
          <w:b/>
          <w:bCs/>
          <w:sz w:val="24"/>
          <w:szCs w:val="24"/>
        </w:rPr>
        <w:t>The Data Protection Act</w:t>
      </w:r>
      <w:r>
        <w:rPr>
          <w:rFonts w:ascii="Arial" w:hAnsi="Arial" w:cs="Arial"/>
          <w:b/>
          <w:bCs/>
          <w:sz w:val="24"/>
          <w:szCs w:val="24"/>
        </w:rPr>
        <w:t xml:space="preserve"> 2018 and (</w:t>
      </w:r>
      <w:r w:rsidRPr="00E22BEB">
        <w:rPr>
          <w:rFonts w:ascii="Arial" w:hAnsi="Arial" w:cs="Arial"/>
          <w:b/>
          <w:bCs/>
          <w:sz w:val="24"/>
          <w:szCs w:val="24"/>
        </w:rPr>
        <w:t>The General Data Protection Regulation</w:t>
      </w:r>
      <w:r>
        <w:rPr>
          <w:rFonts w:ascii="Arial" w:hAnsi="Arial" w:cs="Arial"/>
          <w:sz w:val="24"/>
          <w:szCs w:val="24"/>
        </w:rPr>
        <w:t xml:space="preserve"> </w:t>
      </w:r>
      <w:r w:rsidRPr="002E6A07">
        <w:rPr>
          <w:rFonts w:ascii="Arial" w:hAnsi="Arial" w:cs="Arial"/>
          <w:b/>
          <w:bCs/>
          <w:sz w:val="24"/>
          <w:szCs w:val="24"/>
        </w:rPr>
        <w:t xml:space="preserve">GDPR </w:t>
      </w:r>
      <w:r w:rsidRPr="007E684D">
        <w:rPr>
          <w:rFonts w:ascii="Arial" w:hAnsi="Arial" w:cs="Arial"/>
          <w:b/>
          <w:bCs/>
          <w:sz w:val="24"/>
          <w:szCs w:val="24"/>
        </w:rPr>
        <w:t>2018)</w:t>
      </w:r>
      <w:r>
        <w:rPr>
          <w:rFonts w:ascii="Arial" w:hAnsi="Arial" w:cs="Arial"/>
          <w:b/>
          <w:bCs/>
          <w:sz w:val="24"/>
          <w:szCs w:val="24"/>
        </w:rPr>
        <w:t xml:space="preserve"> </w:t>
      </w:r>
      <w:r w:rsidRPr="007E684D">
        <w:rPr>
          <w:rFonts w:ascii="Arial" w:hAnsi="Arial" w:cs="Arial"/>
          <w:sz w:val="24"/>
          <w:szCs w:val="24"/>
        </w:rPr>
        <w:t xml:space="preserve">legislation requires employers to ensure that their employees have the necessary knowledge and skills to handle personal data securely and in accordance with the law. </w:t>
      </w:r>
      <w:r>
        <w:rPr>
          <w:rFonts w:ascii="Arial" w:hAnsi="Arial" w:cs="Arial"/>
          <w:sz w:val="24"/>
          <w:szCs w:val="24"/>
        </w:rPr>
        <w:t>Ensuring</w:t>
      </w:r>
      <w:r w:rsidRPr="007E684D">
        <w:rPr>
          <w:rFonts w:ascii="Arial" w:hAnsi="Arial" w:cs="Arial"/>
          <w:sz w:val="24"/>
          <w:szCs w:val="24"/>
        </w:rPr>
        <w:t xml:space="preserve"> personal data is processed lawfully, fairly, and transparently and that appropriate measure are in place to prevent data breaches.</w:t>
      </w:r>
    </w:p>
    <w:p w14:paraId="55097F9E" w14:textId="77777777" w:rsidR="00333A50" w:rsidRPr="00E22BEB" w:rsidRDefault="00333A50" w:rsidP="00333A50">
      <w:pPr>
        <w:pStyle w:val="ListParagraph"/>
        <w:spacing w:line="360" w:lineRule="auto"/>
        <w:rPr>
          <w:rFonts w:ascii="Arial" w:hAnsi="Arial" w:cs="Arial"/>
          <w:sz w:val="24"/>
          <w:szCs w:val="24"/>
        </w:rPr>
      </w:pPr>
      <w:r w:rsidRPr="00B9563C">
        <w:rPr>
          <w:rFonts w:ascii="Arial" w:hAnsi="Arial" w:cs="Arial"/>
          <w:sz w:val="24"/>
          <w:szCs w:val="24"/>
        </w:rPr>
        <w:t xml:space="preserve">In </w:t>
      </w:r>
      <w:r w:rsidRPr="007930F1">
        <w:rPr>
          <w:rFonts w:ascii="Arial" w:hAnsi="Arial" w:cs="Arial"/>
          <w:noProof/>
          <w:sz w:val="24"/>
          <w:szCs w:val="24"/>
        </w:rPr>
        <w:t>‘Morrisons Supermarket PLC v Various Claimants’ (2020</w:t>
      </w:r>
      <w:r>
        <w:rPr>
          <w:rFonts w:ascii="Arial" w:hAnsi="Arial" w:cs="Arial"/>
          <w:noProof/>
          <w:sz w:val="24"/>
          <w:szCs w:val="24"/>
        </w:rPr>
        <w:t>)</w:t>
      </w:r>
      <w:r w:rsidRPr="00E22BEB">
        <w:rPr>
          <w:rFonts w:ascii="Arial" w:hAnsi="Arial" w:cs="Arial"/>
          <w:b/>
          <w:bCs/>
          <w:sz w:val="24"/>
          <w:szCs w:val="24"/>
        </w:rPr>
        <w:t xml:space="preserve"> </w:t>
      </w:r>
      <w:r w:rsidRPr="00E22BEB">
        <w:rPr>
          <w:rFonts w:ascii="Arial" w:hAnsi="Arial" w:cs="Arial"/>
          <w:sz w:val="24"/>
          <w:szCs w:val="24"/>
        </w:rPr>
        <w:t>an employee of Morrisons had leaked the data of thousands of employees. The court held that Morrisons was vicariously liable for the actions of the employee.</w:t>
      </w:r>
    </w:p>
    <w:p w14:paraId="6871BDA4" w14:textId="77777777" w:rsidR="00333A50" w:rsidRPr="00765596" w:rsidRDefault="00333A50" w:rsidP="00333A50">
      <w:pPr>
        <w:pStyle w:val="ListParagraph"/>
        <w:numPr>
          <w:ilvl w:val="0"/>
          <w:numId w:val="6"/>
        </w:numPr>
        <w:spacing w:line="360" w:lineRule="auto"/>
        <w:rPr>
          <w:rFonts w:ascii="Arial" w:hAnsi="Arial" w:cs="Arial"/>
          <w:sz w:val="24"/>
          <w:szCs w:val="24"/>
          <w:u w:val="single"/>
        </w:rPr>
      </w:pPr>
      <w:r w:rsidRPr="00765596">
        <w:rPr>
          <w:rFonts w:ascii="Arial" w:hAnsi="Arial" w:cs="Arial"/>
          <w:b/>
          <w:bCs/>
          <w:sz w:val="24"/>
          <w:szCs w:val="24"/>
          <w:u w:val="single"/>
        </w:rPr>
        <w:t>Employment transfer and redundancy</w:t>
      </w:r>
    </w:p>
    <w:p w14:paraId="6E853656" w14:textId="77777777" w:rsidR="00333A50" w:rsidRPr="00D32B48" w:rsidRDefault="00333A50" w:rsidP="00333A50">
      <w:pPr>
        <w:pStyle w:val="ListParagraph"/>
        <w:spacing w:line="360" w:lineRule="auto"/>
        <w:rPr>
          <w:rFonts w:ascii="Arial" w:hAnsi="Arial" w:cs="Arial"/>
          <w:sz w:val="24"/>
          <w:szCs w:val="24"/>
        </w:rPr>
      </w:pPr>
      <w:r>
        <w:rPr>
          <w:rFonts w:ascii="Arial" w:hAnsi="Arial" w:cs="Arial"/>
          <w:sz w:val="24"/>
          <w:szCs w:val="24"/>
        </w:rPr>
        <w:t>It is not specifically stated on the email from Bob Braeburn,</w:t>
      </w:r>
      <w:r w:rsidRPr="00E22BEB">
        <w:rPr>
          <w:rFonts w:ascii="Arial" w:hAnsi="Arial" w:cs="Arial"/>
          <w:sz w:val="24"/>
          <w:szCs w:val="24"/>
        </w:rPr>
        <w:t xml:space="preserve"> </w:t>
      </w:r>
      <w:r>
        <w:rPr>
          <w:rFonts w:ascii="Arial" w:hAnsi="Arial" w:cs="Arial"/>
          <w:sz w:val="24"/>
          <w:szCs w:val="24"/>
        </w:rPr>
        <w:t xml:space="preserve">it must be noted </w:t>
      </w:r>
      <w:r w:rsidRPr="00E22BEB">
        <w:rPr>
          <w:rFonts w:ascii="Arial" w:hAnsi="Arial" w:cs="Arial"/>
          <w:sz w:val="24"/>
          <w:szCs w:val="24"/>
        </w:rPr>
        <w:t>If any payment providers employees are to be transferred to S</w:t>
      </w:r>
      <w:r>
        <w:rPr>
          <w:rFonts w:ascii="Arial" w:hAnsi="Arial" w:cs="Arial"/>
          <w:sz w:val="24"/>
          <w:szCs w:val="24"/>
        </w:rPr>
        <w:t>C’s</w:t>
      </w:r>
      <w:r w:rsidRPr="00E22BEB">
        <w:rPr>
          <w:rFonts w:ascii="Arial" w:hAnsi="Arial" w:cs="Arial"/>
          <w:sz w:val="24"/>
          <w:szCs w:val="24"/>
        </w:rPr>
        <w:t xml:space="preserve"> employment, the Transfer of Undertaking (Protection of Employment) Regulations 2006 </w:t>
      </w:r>
      <w:r w:rsidRPr="00E22BEB">
        <w:rPr>
          <w:rFonts w:ascii="Arial" w:hAnsi="Arial" w:cs="Arial"/>
          <w:sz w:val="24"/>
          <w:szCs w:val="24"/>
        </w:rPr>
        <w:lastRenderedPageBreak/>
        <w:t xml:space="preserve">(TUPE) may apply. TUPE obligations include consulting with affected employees and honouring their employment rights. Failure to comply with TUPE may result in claims for unfair dismissal of failure to consult. </w:t>
      </w:r>
      <w:sdt>
        <w:sdtPr>
          <w:rPr>
            <w:rFonts w:ascii="Arial" w:hAnsi="Arial" w:cs="Arial"/>
            <w:sz w:val="24"/>
            <w:szCs w:val="24"/>
          </w:rPr>
          <w:id w:val="1616871283"/>
          <w:citation/>
        </w:sdtPr>
        <w:sdtContent>
          <w:r>
            <w:rPr>
              <w:rFonts w:ascii="Arial" w:hAnsi="Arial" w:cs="Arial"/>
              <w:sz w:val="24"/>
              <w:szCs w:val="24"/>
            </w:rPr>
            <w:fldChar w:fldCharType="begin"/>
          </w:r>
          <w:r>
            <w:rPr>
              <w:rFonts w:ascii="Arial" w:hAnsi="Arial" w:cs="Arial"/>
              <w:sz w:val="24"/>
              <w:szCs w:val="24"/>
            </w:rPr>
            <w:instrText xml:space="preserve"> CITATION ACA23 \l 2057 </w:instrText>
          </w:r>
          <w:r>
            <w:rPr>
              <w:rFonts w:ascii="Arial" w:hAnsi="Arial" w:cs="Arial"/>
              <w:sz w:val="24"/>
              <w:szCs w:val="24"/>
            </w:rPr>
            <w:fldChar w:fldCharType="separate"/>
          </w:r>
          <w:r w:rsidRPr="00CA62A4">
            <w:rPr>
              <w:rFonts w:ascii="Arial" w:hAnsi="Arial" w:cs="Arial"/>
              <w:noProof/>
              <w:sz w:val="24"/>
              <w:szCs w:val="24"/>
            </w:rPr>
            <w:t>(ACAS, 2023)</w:t>
          </w:r>
          <w:r>
            <w:rPr>
              <w:rFonts w:ascii="Arial" w:hAnsi="Arial" w:cs="Arial"/>
              <w:sz w:val="24"/>
              <w:szCs w:val="24"/>
            </w:rPr>
            <w:fldChar w:fldCharType="end"/>
          </w:r>
        </w:sdtContent>
      </w:sdt>
      <w:r>
        <w:rPr>
          <w:rFonts w:ascii="Arial" w:hAnsi="Arial" w:cs="Arial"/>
          <w:sz w:val="24"/>
          <w:szCs w:val="24"/>
        </w:rPr>
        <w:t xml:space="preserve"> </w:t>
      </w:r>
      <w:r>
        <w:rPr>
          <w:rFonts w:ascii="Arial" w:hAnsi="Arial" w:cs="Arial"/>
          <w:noProof/>
          <w:sz w:val="24"/>
          <w:szCs w:val="24"/>
        </w:rPr>
        <w:t>‘</w:t>
      </w:r>
      <w:r w:rsidRPr="00BF654E">
        <w:rPr>
          <w:rFonts w:ascii="Arial" w:hAnsi="Arial" w:cs="Arial"/>
          <w:noProof/>
          <w:sz w:val="24"/>
          <w:szCs w:val="24"/>
        </w:rPr>
        <w:t>Spaceright Europe v Ballavoine</w:t>
      </w:r>
      <w:r>
        <w:rPr>
          <w:rFonts w:ascii="Arial" w:hAnsi="Arial" w:cs="Arial"/>
          <w:noProof/>
          <w:sz w:val="24"/>
          <w:szCs w:val="24"/>
        </w:rPr>
        <w:t>’</w:t>
      </w:r>
      <w:r w:rsidRPr="00BF654E">
        <w:rPr>
          <w:rFonts w:ascii="Arial" w:hAnsi="Arial" w:cs="Arial"/>
          <w:noProof/>
          <w:sz w:val="24"/>
          <w:szCs w:val="24"/>
        </w:rPr>
        <w:t xml:space="preserve"> </w:t>
      </w:r>
      <w:r>
        <w:rPr>
          <w:rFonts w:ascii="Arial" w:hAnsi="Arial" w:cs="Arial"/>
          <w:noProof/>
          <w:sz w:val="24"/>
          <w:szCs w:val="24"/>
        </w:rPr>
        <w:t>(</w:t>
      </w:r>
      <w:r w:rsidRPr="00BF654E">
        <w:rPr>
          <w:rFonts w:ascii="Arial" w:hAnsi="Arial" w:cs="Arial"/>
          <w:noProof/>
          <w:sz w:val="24"/>
          <w:szCs w:val="24"/>
        </w:rPr>
        <w:t>2011)</w:t>
      </w:r>
      <w:r>
        <w:rPr>
          <w:rFonts w:ascii="Arial" w:hAnsi="Arial" w:cs="Arial"/>
          <w:noProof/>
          <w:sz w:val="24"/>
          <w:szCs w:val="24"/>
        </w:rPr>
        <w:t xml:space="preserve"> </w:t>
      </w:r>
      <w:r w:rsidRPr="00E22BEB">
        <w:rPr>
          <w:rFonts w:ascii="Arial" w:hAnsi="Arial" w:cs="Arial"/>
          <w:sz w:val="24"/>
          <w:szCs w:val="24"/>
        </w:rPr>
        <w:t>is relevant in this context.</w:t>
      </w:r>
    </w:p>
    <w:p w14:paraId="07826174" w14:textId="77777777" w:rsidR="00333A50" w:rsidRPr="00B65C5F" w:rsidRDefault="00333A50" w:rsidP="00333A50">
      <w:pPr>
        <w:pStyle w:val="ListParagraph"/>
        <w:spacing w:line="360" w:lineRule="auto"/>
        <w:rPr>
          <w:rFonts w:ascii="Arial" w:hAnsi="Arial" w:cs="Arial"/>
          <w:sz w:val="24"/>
          <w:szCs w:val="24"/>
        </w:rPr>
      </w:pPr>
    </w:p>
    <w:p w14:paraId="2FE15B4F" w14:textId="77777777" w:rsidR="00333A50" w:rsidRPr="00E22BEB" w:rsidRDefault="00333A50" w:rsidP="00333A50">
      <w:pPr>
        <w:spacing w:line="360" w:lineRule="auto"/>
        <w:rPr>
          <w:rFonts w:ascii="Arial" w:hAnsi="Arial" w:cs="Arial"/>
          <w:sz w:val="24"/>
          <w:szCs w:val="24"/>
        </w:rPr>
      </w:pPr>
      <w:r w:rsidRPr="00E22BEB">
        <w:rPr>
          <w:rFonts w:ascii="Arial" w:hAnsi="Arial" w:cs="Arial"/>
          <w:sz w:val="24"/>
          <w:szCs w:val="24"/>
        </w:rPr>
        <w:t>In conclusion it is important for S</w:t>
      </w:r>
      <w:r>
        <w:rPr>
          <w:rFonts w:ascii="Arial" w:hAnsi="Arial" w:cs="Arial"/>
          <w:sz w:val="24"/>
          <w:szCs w:val="24"/>
        </w:rPr>
        <w:t>C</w:t>
      </w:r>
      <w:r w:rsidRPr="00E22BEB">
        <w:rPr>
          <w:rFonts w:ascii="Arial" w:hAnsi="Arial" w:cs="Arial"/>
          <w:sz w:val="24"/>
          <w:szCs w:val="24"/>
        </w:rPr>
        <w:t xml:space="preserve"> to take a comprehensive and strategic approach to the decision to bring the IT and payroll functions in-house to mitigate potential legal risks. It is recommended that S</w:t>
      </w:r>
      <w:r>
        <w:rPr>
          <w:rFonts w:ascii="Arial" w:hAnsi="Arial" w:cs="Arial"/>
          <w:sz w:val="24"/>
          <w:szCs w:val="24"/>
        </w:rPr>
        <w:t xml:space="preserve">C </w:t>
      </w:r>
      <w:r w:rsidRPr="00E22BEB">
        <w:rPr>
          <w:rFonts w:ascii="Arial" w:hAnsi="Arial" w:cs="Arial"/>
          <w:sz w:val="24"/>
          <w:szCs w:val="24"/>
        </w:rPr>
        <w:t>seeks legal advice specific to these circumstances to ensure full compliance with relevant laws and regulations.</w:t>
      </w:r>
    </w:p>
    <w:p w14:paraId="7378BA11" w14:textId="77777777" w:rsidR="00333A50" w:rsidRPr="00E22BEB" w:rsidRDefault="00333A50" w:rsidP="00333A50">
      <w:pPr>
        <w:spacing w:line="360" w:lineRule="auto"/>
        <w:rPr>
          <w:rFonts w:ascii="Arial" w:hAnsi="Arial" w:cs="Arial"/>
          <w:sz w:val="24"/>
          <w:szCs w:val="24"/>
        </w:rPr>
      </w:pPr>
      <w:r w:rsidRPr="00E22BEB">
        <w:rPr>
          <w:rFonts w:ascii="Arial" w:hAnsi="Arial" w:cs="Arial"/>
          <w:sz w:val="24"/>
          <w:szCs w:val="24"/>
        </w:rPr>
        <w:t>Please let me know if you require any further information or clarification. I am available to discuss this matter further at your convenience.</w:t>
      </w:r>
    </w:p>
    <w:p w14:paraId="79870C3E" w14:textId="77777777" w:rsidR="00333A50" w:rsidRPr="00E22BEB" w:rsidRDefault="00333A50" w:rsidP="00333A50">
      <w:pPr>
        <w:spacing w:line="360" w:lineRule="auto"/>
        <w:rPr>
          <w:rFonts w:ascii="Arial" w:hAnsi="Arial" w:cs="Arial"/>
          <w:sz w:val="24"/>
          <w:szCs w:val="24"/>
        </w:rPr>
      </w:pPr>
      <w:r w:rsidRPr="00E22BEB">
        <w:rPr>
          <w:rFonts w:ascii="Arial" w:hAnsi="Arial" w:cs="Arial"/>
          <w:sz w:val="24"/>
          <w:szCs w:val="24"/>
        </w:rPr>
        <w:t>Your Sincerely</w:t>
      </w:r>
    </w:p>
    <w:p w14:paraId="4CEDA048" w14:textId="77777777" w:rsidR="00333A50" w:rsidRPr="00E22BEB" w:rsidRDefault="00333A50" w:rsidP="00333A50">
      <w:pPr>
        <w:spacing w:line="360" w:lineRule="auto"/>
        <w:rPr>
          <w:rFonts w:ascii="Arial" w:hAnsi="Arial" w:cs="Arial"/>
          <w:sz w:val="24"/>
          <w:szCs w:val="24"/>
        </w:rPr>
      </w:pPr>
      <w:r w:rsidRPr="00E22BEB">
        <w:rPr>
          <w:rFonts w:ascii="Arial" w:hAnsi="Arial" w:cs="Arial"/>
          <w:sz w:val="24"/>
          <w:szCs w:val="24"/>
        </w:rPr>
        <w:t xml:space="preserve">Victoria Jeffreys </w:t>
      </w:r>
    </w:p>
    <w:p w14:paraId="532ACA70" w14:textId="77777777" w:rsidR="00333A50" w:rsidRPr="00E22BEB" w:rsidRDefault="00333A50" w:rsidP="00333A50">
      <w:pPr>
        <w:spacing w:line="360" w:lineRule="auto"/>
        <w:rPr>
          <w:rFonts w:ascii="Arial" w:hAnsi="Arial" w:cs="Arial"/>
          <w:sz w:val="24"/>
          <w:szCs w:val="24"/>
        </w:rPr>
      </w:pPr>
      <w:r w:rsidRPr="00E22BEB">
        <w:rPr>
          <w:rFonts w:ascii="Arial" w:hAnsi="Arial" w:cs="Arial"/>
          <w:sz w:val="24"/>
          <w:szCs w:val="24"/>
        </w:rPr>
        <w:t>HR Consultant</w:t>
      </w:r>
    </w:p>
    <w:p w14:paraId="536013C5" w14:textId="5EEF2EFE" w:rsidR="00FB020B" w:rsidRDefault="00370A8E" w:rsidP="00677F78">
      <w:pPr>
        <w:spacing w:line="276" w:lineRule="auto"/>
      </w:pPr>
      <w:r w:rsidRPr="00E22BEB">
        <w:rPr>
          <w:rFonts w:ascii="Arial" w:hAnsi="Arial" w:cs="Arial"/>
          <w:noProof/>
          <w:sz w:val="24"/>
          <w:szCs w:val="24"/>
        </w:rPr>
        <w:drawing>
          <wp:inline distT="0" distB="0" distL="0" distR="0" wp14:anchorId="18EABB17" wp14:editId="00181BA7">
            <wp:extent cx="2638425" cy="756285"/>
            <wp:effectExtent l="0" t="0" r="9525" b="5715"/>
            <wp:docPr id="428695479" name="Picture 3" descr="A signature on a white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95479" name="Picture 3" descr="A signature on a white surfac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425" cy="756285"/>
                    </a:xfrm>
                    <a:prstGeom prst="rect">
                      <a:avLst/>
                    </a:prstGeom>
                    <a:noFill/>
                  </pic:spPr>
                </pic:pic>
              </a:graphicData>
            </a:graphic>
          </wp:inline>
        </w:drawing>
      </w:r>
    </w:p>
    <w:p w14:paraId="2894D1DF" w14:textId="4A700A79" w:rsidR="007C3354" w:rsidRPr="00CC71C7" w:rsidRDefault="007C3354" w:rsidP="00677F78">
      <w:pPr>
        <w:spacing w:line="276" w:lineRule="auto"/>
        <w:rPr>
          <w:rFonts w:ascii="Arial" w:hAnsi="Arial" w:cs="Arial"/>
          <w:sz w:val="24"/>
          <w:szCs w:val="24"/>
        </w:rPr>
      </w:pPr>
      <w:r w:rsidRPr="00CC71C7">
        <w:rPr>
          <w:rFonts w:ascii="Arial" w:hAnsi="Arial" w:cs="Arial"/>
          <w:sz w:val="24"/>
          <w:szCs w:val="24"/>
        </w:rPr>
        <w:t xml:space="preserve">Total Word Count: </w:t>
      </w:r>
      <w:r w:rsidR="00CC71C7" w:rsidRPr="00CC71C7">
        <w:rPr>
          <w:rFonts w:ascii="Arial" w:hAnsi="Arial" w:cs="Arial"/>
          <w:sz w:val="24"/>
          <w:szCs w:val="24"/>
        </w:rPr>
        <w:t>3237</w:t>
      </w:r>
    </w:p>
    <w:p w14:paraId="0DE6106B" w14:textId="77777777" w:rsidR="002E1DC8" w:rsidRPr="002E1DC8" w:rsidRDefault="002E1DC8" w:rsidP="002E1DC8">
      <w:pPr>
        <w:rPr>
          <w:rFonts w:ascii="Arial" w:hAnsi="Arial" w:cs="Arial"/>
          <w:b/>
          <w:bCs/>
          <w:kern w:val="0"/>
          <w:sz w:val="24"/>
          <w:szCs w:val="24"/>
        </w:rPr>
      </w:pPr>
      <w:r w:rsidRPr="002E1DC8">
        <w:rPr>
          <w:rFonts w:ascii="Arial" w:hAnsi="Arial" w:cs="Arial"/>
          <w:b/>
          <w:bCs/>
          <w:kern w:val="0"/>
          <w:sz w:val="24"/>
          <w:szCs w:val="24"/>
        </w:rPr>
        <w:t>References</w:t>
      </w:r>
    </w:p>
    <w:p w14:paraId="4E1088D3" w14:textId="77777777" w:rsidR="002E1DC8" w:rsidRPr="002E1DC8" w:rsidRDefault="002E1DC8" w:rsidP="002E1DC8">
      <w:pPr>
        <w:rPr>
          <w:rFonts w:ascii="Arial" w:hAnsi="Arial" w:cs="Arial"/>
          <w:b/>
          <w:bCs/>
          <w:sz w:val="24"/>
          <w:szCs w:val="24"/>
        </w:rPr>
      </w:pPr>
      <w:r w:rsidRPr="002E1DC8">
        <w:rPr>
          <w:rFonts w:ascii="Arial" w:hAnsi="Arial" w:cs="Arial"/>
          <w:b/>
          <w:bCs/>
          <w:sz w:val="24"/>
          <w:szCs w:val="24"/>
        </w:rPr>
        <w:t xml:space="preserve">Task 1 – Section A Question 1  </w:t>
      </w:r>
    </w:p>
    <w:sdt>
      <w:sdtPr>
        <w:rPr>
          <w:rFonts w:ascii="Arial" w:hAnsi="Arial" w:cs="Arial"/>
          <w:kern w:val="0"/>
          <w:sz w:val="24"/>
          <w:szCs w:val="24"/>
        </w:rPr>
        <w:id w:val="1491217595"/>
        <w:bibliography/>
      </w:sdtPr>
      <w:sdtEndPr>
        <w:rPr>
          <w:b/>
          <w:bCs/>
        </w:rPr>
      </w:sdtEndPr>
      <w:sdtContent>
        <w:p w14:paraId="6B5DEA14"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fldChar w:fldCharType="begin"/>
          </w:r>
          <w:r w:rsidRPr="002E1DC8">
            <w:rPr>
              <w:rFonts w:ascii="Arial" w:hAnsi="Arial" w:cs="Arial"/>
              <w:kern w:val="0"/>
              <w:sz w:val="24"/>
              <w:szCs w:val="24"/>
            </w:rPr>
            <w:instrText xml:space="preserve"> BIBLIOGRAPHY </w:instrText>
          </w:r>
          <w:r w:rsidRPr="002E1DC8">
            <w:rPr>
              <w:rFonts w:ascii="Arial" w:hAnsi="Arial" w:cs="Arial"/>
              <w:kern w:val="0"/>
              <w:sz w:val="24"/>
              <w:szCs w:val="24"/>
            </w:rPr>
            <w:fldChar w:fldCharType="separate"/>
          </w:r>
          <w:r w:rsidRPr="002E1DC8">
            <w:rPr>
              <w:rFonts w:ascii="Arial" w:hAnsi="Arial" w:cs="Arial"/>
              <w:kern w:val="0"/>
              <w:sz w:val="24"/>
              <w:szCs w:val="24"/>
            </w:rPr>
            <w:t xml:space="preserve">ACAS, 2022. </w:t>
          </w:r>
          <w:r w:rsidRPr="002E1DC8">
            <w:rPr>
              <w:rFonts w:ascii="Arial" w:hAnsi="Arial" w:cs="Arial"/>
              <w:i/>
              <w:iCs/>
              <w:kern w:val="0"/>
              <w:sz w:val="24"/>
              <w:szCs w:val="24"/>
            </w:rPr>
            <w:t xml:space="preserve">Dismissals. </w:t>
          </w:r>
          <w:r w:rsidRPr="002E1DC8">
            <w:rPr>
              <w:rFonts w:ascii="Arial" w:hAnsi="Arial" w:cs="Arial"/>
              <w:kern w:val="0"/>
              <w:sz w:val="24"/>
              <w:szCs w:val="24"/>
            </w:rPr>
            <w:t xml:space="preserve">[Online] </w:t>
          </w:r>
          <w:r w:rsidRPr="002E1DC8">
            <w:rPr>
              <w:rFonts w:ascii="Arial" w:hAnsi="Arial" w:cs="Arial"/>
              <w:kern w:val="0"/>
              <w:sz w:val="24"/>
              <w:szCs w:val="24"/>
            </w:rPr>
            <w:br/>
            <w:t xml:space="preserve">Available at: </w:t>
          </w:r>
          <w:r w:rsidRPr="002E1DC8">
            <w:rPr>
              <w:rFonts w:ascii="Arial" w:hAnsi="Arial" w:cs="Arial"/>
              <w:kern w:val="0"/>
              <w:sz w:val="24"/>
              <w:szCs w:val="24"/>
              <w:u w:val="single"/>
            </w:rPr>
            <w:t>https://www.acas.org.uk/dismissals/constructive-dismissal#:~:text=If%20an%20employee%20feels%20they,is%20'constructive%20unfair%20dismissal</w:t>
          </w:r>
          <w:r w:rsidRPr="002E1DC8">
            <w:rPr>
              <w:rFonts w:ascii="Arial" w:hAnsi="Arial" w:cs="Arial"/>
              <w:kern w:val="0"/>
              <w:sz w:val="24"/>
              <w:szCs w:val="24"/>
            </w:rPr>
            <w:br/>
            <w:t>[Accessed 2 May 2023].</w:t>
          </w:r>
        </w:p>
        <w:p w14:paraId="0CEA02E5"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 xml:space="preserve">Brione, P., 2023. </w:t>
          </w:r>
          <w:r w:rsidRPr="002E1DC8">
            <w:rPr>
              <w:rFonts w:ascii="Arial" w:hAnsi="Arial" w:cs="Arial"/>
              <w:i/>
              <w:iCs/>
              <w:kern w:val="0"/>
              <w:sz w:val="24"/>
              <w:szCs w:val="24"/>
            </w:rPr>
            <w:t xml:space="preserve">Worker Protection (Amendment of Equality Act 2010) Bill 2022-23: Progress of the Bill, </w:t>
          </w:r>
          <w:r w:rsidRPr="002E1DC8">
            <w:rPr>
              <w:rFonts w:ascii="Arial" w:hAnsi="Arial" w:cs="Arial"/>
              <w:kern w:val="0"/>
              <w:sz w:val="24"/>
              <w:szCs w:val="24"/>
            </w:rPr>
            <w:t>London: House of Commons Library.</w:t>
          </w:r>
        </w:p>
        <w:p w14:paraId="087DC7F6"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 xml:space="preserve">CIPD, 2022. </w:t>
          </w:r>
          <w:r w:rsidRPr="002E1DC8">
            <w:rPr>
              <w:rFonts w:ascii="Arial" w:hAnsi="Arial" w:cs="Arial"/>
              <w:i/>
              <w:iCs/>
              <w:kern w:val="0"/>
              <w:sz w:val="24"/>
              <w:szCs w:val="24"/>
            </w:rPr>
            <w:t xml:space="preserve">CIPD - The role of employment Tribunals. </w:t>
          </w:r>
          <w:r w:rsidRPr="002E1DC8">
            <w:rPr>
              <w:rFonts w:ascii="Arial" w:hAnsi="Arial" w:cs="Arial"/>
              <w:kern w:val="0"/>
              <w:sz w:val="24"/>
              <w:szCs w:val="24"/>
            </w:rPr>
            <w:t xml:space="preserve">[Online] </w:t>
          </w:r>
          <w:r w:rsidRPr="002E1DC8">
            <w:rPr>
              <w:rFonts w:ascii="Arial" w:hAnsi="Arial" w:cs="Arial"/>
              <w:kern w:val="0"/>
              <w:sz w:val="24"/>
              <w:szCs w:val="24"/>
            </w:rPr>
            <w:br/>
            <w:t xml:space="preserve">Available at: </w:t>
          </w:r>
          <w:r w:rsidRPr="002E1DC8">
            <w:rPr>
              <w:rFonts w:ascii="Arial" w:hAnsi="Arial" w:cs="Arial"/>
              <w:kern w:val="0"/>
              <w:sz w:val="24"/>
              <w:szCs w:val="24"/>
              <w:u w:val="single"/>
            </w:rPr>
            <w:t>https://www.cipd.org/uk/knowledge/factsheets/tribunals-factsheet/</w:t>
          </w:r>
          <w:r w:rsidRPr="002E1DC8">
            <w:rPr>
              <w:rFonts w:ascii="Arial" w:hAnsi="Arial" w:cs="Arial"/>
              <w:kern w:val="0"/>
              <w:sz w:val="24"/>
              <w:szCs w:val="24"/>
            </w:rPr>
            <w:br/>
            <w:t>[Accessed 2 May 2023].</w:t>
          </w:r>
        </w:p>
        <w:p w14:paraId="5C6CE7C1"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De Souza v Primark Stores Ltd (2020) Employment Tribunal, Case 2206063/2017. Available at https://assets.publishing.service.gov.uk/media/5a7aed66ed915d670dd7f91e/Miss_A</w:t>
          </w:r>
          <w:r w:rsidRPr="002E1DC8">
            <w:rPr>
              <w:rFonts w:ascii="Arial" w:hAnsi="Arial" w:cs="Arial"/>
              <w:kern w:val="0"/>
              <w:sz w:val="24"/>
              <w:szCs w:val="24"/>
            </w:rPr>
            <w:lastRenderedPageBreak/>
            <w:t>_de_Souza_E_Souza_v_Primark_Strores_Ltd_-_2206063-2017_-_Final.pdf (Accessed 13th May 2023)</w:t>
          </w:r>
        </w:p>
        <w:p w14:paraId="5903CA94"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Employment Rights Act 1996, c.18: </w:t>
          </w:r>
          <w:r w:rsidRPr="002E1DC8">
            <w:rPr>
              <w:rFonts w:ascii="Arial" w:hAnsi="Arial" w:cs="Arial"/>
              <w:kern w:val="0"/>
              <w:sz w:val="24"/>
              <w:szCs w:val="24"/>
            </w:rPr>
            <w:t>available at https://www.legislation.gov.uk/ukpga/1996/18/contents (Accessed: 9 May 2023)</w:t>
          </w:r>
        </w:p>
        <w:p w14:paraId="017F6616"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Equality Act </w:t>
          </w:r>
          <w:bookmarkStart w:id="0" w:name="_Hlk135071429"/>
          <w:r w:rsidRPr="002E1DC8">
            <w:rPr>
              <w:rFonts w:ascii="Arial" w:hAnsi="Arial" w:cs="Arial"/>
              <w:i/>
              <w:iCs/>
              <w:kern w:val="0"/>
              <w:sz w:val="24"/>
              <w:szCs w:val="24"/>
            </w:rPr>
            <w:t>2010, c.15:</w:t>
          </w:r>
          <w:r w:rsidRPr="002E1DC8">
            <w:rPr>
              <w:rFonts w:ascii="Arial" w:hAnsi="Arial" w:cs="Arial"/>
              <w:kern w:val="0"/>
              <w:sz w:val="24"/>
              <w:szCs w:val="24"/>
            </w:rPr>
            <w:t xml:space="preserve"> available at https://www.legislation.gov.uk/ukpga/2010/15/contents(Accessed 10 May 2023)</w:t>
          </w:r>
        </w:p>
        <w:bookmarkEnd w:id="0"/>
        <w:p w14:paraId="0F7C1710"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 xml:space="preserve">GOV.UK, 2023. </w:t>
          </w:r>
          <w:r w:rsidRPr="002E1DC8">
            <w:rPr>
              <w:rFonts w:ascii="Arial" w:hAnsi="Arial" w:cs="Arial"/>
              <w:i/>
              <w:iCs/>
              <w:kern w:val="0"/>
              <w:sz w:val="24"/>
              <w:szCs w:val="24"/>
            </w:rPr>
            <w:t xml:space="preserve">GOV.UK. </w:t>
          </w:r>
          <w:r w:rsidRPr="002E1DC8">
            <w:rPr>
              <w:rFonts w:ascii="Arial" w:hAnsi="Arial" w:cs="Arial"/>
              <w:kern w:val="0"/>
              <w:sz w:val="24"/>
              <w:szCs w:val="24"/>
            </w:rPr>
            <w:t xml:space="preserve">[Online] </w:t>
          </w:r>
          <w:r w:rsidRPr="002E1DC8">
            <w:rPr>
              <w:rFonts w:ascii="Arial" w:hAnsi="Arial" w:cs="Arial"/>
              <w:kern w:val="0"/>
              <w:sz w:val="24"/>
              <w:szCs w:val="24"/>
            </w:rPr>
            <w:br/>
            <w:t xml:space="preserve">Available at: </w:t>
          </w:r>
          <w:r w:rsidRPr="002E1DC8">
            <w:rPr>
              <w:rFonts w:ascii="Arial" w:hAnsi="Arial" w:cs="Arial"/>
              <w:kern w:val="0"/>
              <w:sz w:val="24"/>
              <w:szCs w:val="24"/>
              <w:u w:val="single"/>
            </w:rPr>
            <w:t>https://www.gov.uk/being-taken-to-employment-tribunal-by-employee</w:t>
          </w:r>
          <w:r w:rsidRPr="002E1DC8">
            <w:rPr>
              <w:rFonts w:ascii="Arial" w:hAnsi="Arial" w:cs="Arial"/>
              <w:kern w:val="0"/>
              <w:sz w:val="24"/>
              <w:szCs w:val="24"/>
            </w:rPr>
            <w:br/>
            <w:t>[Accessed 14 May 2023].</w:t>
          </w:r>
        </w:p>
        <w:p w14:paraId="268D75B7"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 xml:space="preserve">HR-Inform.co.uk, 2023. </w:t>
          </w:r>
          <w:r w:rsidRPr="002E1DC8">
            <w:rPr>
              <w:rFonts w:ascii="Arial" w:hAnsi="Arial" w:cs="Arial"/>
              <w:i/>
              <w:iCs/>
              <w:kern w:val="0"/>
              <w:sz w:val="24"/>
              <w:szCs w:val="24"/>
            </w:rPr>
            <w:t xml:space="preserve">KZ v The Nags Head Reading Ltd - Sexual harassment. </w:t>
          </w:r>
          <w:r w:rsidRPr="002E1DC8">
            <w:rPr>
              <w:rFonts w:ascii="Arial" w:hAnsi="Arial" w:cs="Arial"/>
              <w:kern w:val="0"/>
              <w:sz w:val="24"/>
              <w:szCs w:val="24"/>
            </w:rPr>
            <w:t xml:space="preserve">[Online] </w:t>
          </w:r>
          <w:r w:rsidRPr="002E1DC8">
            <w:rPr>
              <w:rFonts w:ascii="Arial" w:hAnsi="Arial" w:cs="Arial"/>
              <w:kern w:val="0"/>
              <w:sz w:val="24"/>
              <w:szCs w:val="24"/>
            </w:rPr>
            <w:br/>
            <w:t xml:space="preserve">Available at: </w:t>
          </w:r>
          <w:r w:rsidRPr="002E1DC8">
            <w:rPr>
              <w:rFonts w:ascii="Arial" w:hAnsi="Arial" w:cs="Arial"/>
              <w:kern w:val="0"/>
              <w:sz w:val="24"/>
              <w:szCs w:val="24"/>
              <w:u w:val="single"/>
            </w:rPr>
            <w:t>https://www.hr-inform.co.uk/case-law/2023-03/kz-v-the-nags-head-reading-ltd-sexual-harassment-failing-to-prevent</w:t>
          </w:r>
          <w:r w:rsidRPr="002E1DC8">
            <w:rPr>
              <w:rFonts w:ascii="Arial" w:hAnsi="Arial" w:cs="Arial"/>
              <w:kern w:val="0"/>
              <w:sz w:val="24"/>
              <w:szCs w:val="24"/>
            </w:rPr>
            <w:br/>
            <w:t>[Accessed 10 May 2023].</w:t>
          </w:r>
        </w:p>
        <w:p w14:paraId="1BE9B59A"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'S Macken v BNP Paribas London Branch and others' (2019) Employment Tribunal, Case 2208142/2017 Available at https://www.gov.uk/employment-tribunal-decisions/stacey-macken-v-bnp-paribas-london-branch-2208142-2017-and-2205586-2018. (Accessed 13</w:t>
          </w:r>
          <w:r w:rsidRPr="002E1DC8">
            <w:rPr>
              <w:rFonts w:ascii="Arial" w:hAnsi="Arial" w:cs="Arial"/>
              <w:kern w:val="0"/>
              <w:sz w:val="24"/>
              <w:szCs w:val="24"/>
              <w:vertAlign w:val="superscript"/>
            </w:rPr>
            <w:t>th</w:t>
          </w:r>
          <w:r w:rsidRPr="002E1DC8">
            <w:rPr>
              <w:rFonts w:ascii="Arial" w:hAnsi="Arial" w:cs="Arial"/>
              <w:kern w:val="0"/>
              <w:sz w:val="24"/>
              <w:szCs w:val="24"/>
            </w:rPr>
            <w:t xml:space="preserve"> </w:t>
          </w:r>
        </w:p>
        <w:p w14:paraId="6FE8950B"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Equality Act 2010, c.15: </w:t>
          </w:r>
          <w:r w:rsidRPr="002E1DC8">
            <w:rPr>
              <w:rFonts w:ascii="Arial" w:hAnsi="Arial" w:cs="Arial"/>
              <w:kern w:val="0"/>
              <w:sz w:val="24"/>
              <w:szCs w:val="24"/>
            </w:rPr>
            <w:t xml:space="preserve">Available at: </w:t>
          </w:r>
          <w:r w:rsidRPr="002E1DC8">
            <w:rPr>
              <w:rFonts w:ascii="Arial" w:hAnsi="Arial" w:cs="Arial"/>
              <w:kern w:val="0"/>
              <w:sz w:val="24"/>
              <w:szCs w:val="24"/>
              <w:u w:val="single"/>
            </w:rPr>
            <w:t>https://www.legislation.gov.uk/ukpga/2010/15/section/26</w:t>
          </w:r>
          <w:r w:rsidRPr="002E1DC8">
            <w:rPr>
              <w:rFonts w:ascii="Arial" w:hAnsi="Arial" w:cs="Arial"/>
              <w:kern w:val="0"/>
              <w:sz w:val="24"/>
              <w:szCs w:val="24"/>
            </w:rPr>
            <w:br/>
            <w:t>[Accessed 3 May 2023].</w:t>
          </w:r>
        </w:p>
        <w:p w14:paraId="48AAC31D"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'Miss A Steele v Uniquely Chic Furniture' (Cheshire) Ltd and Michael Bennett</w:t>
          </w:r>
          <w:r w:rsidRPr="002E1DC8">
            <w:rPr>
              <w:rFonts w:ascii="Arial" w:hAnsi="Arial" w:cs="Arial"/>
              <w:i/>
              <w:iCs/>
              <w:kern w:val="0"/>
              <w:sz w:val="24"/>
              <w:szCs w:val="24"/>
            </w:rPr>
            <w:t xml:space="preserve"> </w:t>
          </w:r>
          <w:r w:rsidRPr="002E1DC8">
            <w:rPr>
              <w:rFonts w:ascii="Arial" w:hAnsi="Arial" w:cs="Arial"/>
              <w:kern w:val="0"/>
              <w:sz w:val="24"/>
              <w:szCs w:val="24"/>
            </w:rPr>
            <w:t>(2017) Employment Tribunal, Case 2401533. Available at https://assets.publishing.service.gov.uk/media/5a5f597940f0b652634c6f88/2401533-2017_05-12-17.pdf (Accessed 10</w:t>
          </w:r>
          <w:r w:rsidRPr="002E1DC8">
            <w:rPr>
              <w:rFonts w:ascii="Arial" w:hAnsi="Arial" w:cs="Arial"/>
              <w:kern w:val="0"/>
              <w:sz w:val="24"/>
              <w:szCs w:val="24"/>
              <w:vertAlign w:val="superscript"/>
            </w:rPr>
            <w:t>th</w:t>
          </w:r>
          <w:r w:rsidRPr="002E1DC8">
            <w:rPr>
              <w:rFonts w:ascii="Arial" w:hAnsi="Arial" w:cs="Arial"/>
              <w:kern w:val="0"/>
              <w:sz w:val="24"/>
              <w:szCs w:val="24"/>
            </w:rPr>
            <w:t xml:space="preserve"> May 2023)</w:t>
          </w:r>
        </w:p>
        <w:p w14:paraId="5A0C185C"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'Nailar v The Unite Union' (2022) Employment Appeal Tribunal, Case 102. Available at https://assets.publishing.service.gov.uk/media/62beed97d3bf7f5a70dfc3fb/Ms_Sally_Nailard_v_Unite_the_Union__2022__EAT_102.pdf (Accessed 13</w:t>
          </w:r>
          <w:r w:rsidRPr="002E1DC8">
            <w:rPr>
              <w:rFonts w:ascii="Arial" w:hAnsi="Arial" w:cs="Arial"/>
              <w:kern w:val="0"/>
              <w:sz w:val="24"/>
              <w:szCs w:val="24"/>
              <w:vertAlign w:val="superscript"/>
            </w:rPr>
            <w:t>th</w:t>
          </w:r>
          <w:r w:rsidRPr="002E1DC8">
            <w:rPr>
              <w:rFonts w:ascii="Arial" w:hAnsi="Arial" w:cs="Arial"/>
              <w:kern w:val="0"/>
              <w:sz w:val="24"/>
              <w:szCs w:val="24"/>
            </w:rPr>
            <w:t xml:space="preserve"> May 2023)</w:t>
          </w:r>
        </w:p>
        <w:p w14:paraId="1D0F5FAF"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'Richmond Pharmacology Ltd' v Dhaliwal (2009) Employment Appeal Tribunal, Case 0105/14/RN. Available at https://assets.publishing.service.gov.uk/media/59259b20e5274a5e4e0000b8/Quality_Solicitors_CMHT_v_Mrs_B_Tunstall_UKEAT_0105_14_RN.pdf (Accessed 13 May 2023)</w:t>
          </w:r>
        </w:p>
        <w:p w14:paraId="71D68361"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S.109 (4) Equality Act 2010 c.15:</w:t>
          </w:r>
          <w:r w:rsidRPr="002E1DC8">
            <w:rPr>
              <w:rFonts w:ascii="Arial" w:hAnsi="Arial" w:cs="Arial"/>
              <w:kern w:val="0"/>
              <w:sz w:val="24"/>
              <w:szCs w:val="24"/>
            </w:rPr>
            <w:t xml:space="preserve"> available at https://www.legislation.gov.uk/ukpga/2010/15/contents(Accessed 10 May 2023)</w:t>
          </w:r>
        </w:p>
        <w:p w14:paraId="4D7B1307"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s.109 Equality Act 2010 c.15:</w:t>
          </w:r>
          <w:r w:rsidRPr="002E1DC8">
            <w:rPr>
              <w:rFonts w:ascii="Arial" w:hAnsi="Arial" w:cs="Arial"/>
              <w:kern w:val="0"/>
              <w:sz w:val="24"/>
              <w:szCs w:val="24"/>
            </w:rPr>
            <w:t xml:space="preserve"> available at https://www.legislation.gov.uk/ukpga/2010/15/contents(Accessed 10 May 2023)</w:t>
          </w:r>
        </w:p>
        <w:p w14:paraId="0595D7E0"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s.27 Equality Act, </w:t>
          </w:r>
          <w:r w:rsidRPr="002E1DC8">
            <w:rPr>
              <w:rFonts w:ascii="Arial" w:hAnsi="Arial" w:cs="Arial"/>
              <w:kern w:val="0"/>
              <w:sz w:val="24"/>
              <w:szCs w:val="24"/>
            </w:rPr>
            <w:t>c.15: available at https://www.legislation.gov.uk/ukpga/2010/15/contents(Accessed 10 May 2023)</w:t>
          </w:r>
        </w:p>
        <w:p w14:paraId="6087682B"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lastRenderedPageBreak/>
            <w:t xml:space="preserve">S.39 Equality Act 2010, c.15: </w:t>
          </w:r>
          <w:r w:rsidRPr="002E1DC8">
            <w:rPr>
              <w:rFonts w:ascii="Arial" w:hAnsi="Arial" w:cs="Arial"/>
              <w:kern w:val="0"/>
              <w:sz w:val="24"/>
              <w:szCs w:val="24"/>
            </w:rPr>
            <w:t>available at https://www.legislation.gov.uk/ukpga/2010/15/contents(Accessed 10 May 2023</w:t>
          </w:r>
          <w:r w:rsidRPr="002E1DC8">
            <w:rPr>
              <w:rFonts w:ascii="Arial" w:hAnsi="Arial" w:cs="Arial"/>
              <w:i/>
              <w:iCs/>
              <w:kern w:val="0"/>
              <w:sz w:val="24"/>
              <w:szCs w:val="24"/>
            </w:rPr>
            <w:t>)</w:t>
          </w:r>
        </w:p>
        <w:p w14:paraId="45B41183"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S.40 Equality Act 2010,</w:t>
          </w:r>
          <w:r w:rsidRPr="002E1DC8">
            <w:rPr>
              <w:rFonts w:ascii="Arial" w:hAnsi="Arial" w:cs="Arial"/>
              <w:kern w:val="0"/>
              <w:sz w:val="24"/>
              <w:szCs w:val="24"/>
            </w:rPr>
            <w:t xml:space="preserve"> c.15: available at https://www.legislation.gov.uk/ukpga/2010/15/contents(Accessed 10 May 2023) </w:t>
          </w:r>
        </w:p>
        <w:p w14:paraId="2810AAE7"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Sec.94 (1) Employments Rights Act 1996, c.15</w:t>
          </w:r>
          <w:r w:rsidRPr="002E1DC8">
            <w:rPr>
              <w:rFonts w:ascii="Arial" w:hAnsi="Arial" w:cs="Arial"/>
              <w:kern w:val="0"/>
              <w:sz w:val="24"/>
              <w:szCs w:val="24"/>
            </w:rPr>
            <w:t>: available at https://www.legislation.gov.uk/ukpga/2010/15/contents(Accessed 10 May 2023)</w:t>
          </w:r>
        </w:p>
        <w:p w14:paraId="2279315E"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Section 26 (2) and (3) of the Equality Act 2010, </w:t>
          </w:r>
          <w:r w:rsidRPr="002E1DC8">
            <w:rPr>
              <w:rFonts w:ascii="Arial" w:hAnsi="Arial" w:cs="Arial"/>
              <w:kern w:val="0"/>
              <w:sz w:val="24"/>
              <w:szCs w:val="24"/>
            </w:rPr>
            <w:t>c.15: available at https://www.legislation.gov.uk/ukpga/2010/15/contents(Accessed 10 May 2023)</w:t>
          </w:r>
        </w:p>
        <w:p w14:paraId="1E67A7A3" w14:textId="77777777" w:rsidR="002E1DC8" w:rsidRPr="002E1DC8" w:rsidRDefault="002E1DC8" w:rsidP="002E1DC8">
          <w:pPr>
            <w:rPr>
              <w:rFonts w:ascii="Arial" w:hAnsi="Arial" w:cs="Arial"/>
              <w:kern w:val="0"/>
              <w:sz w:val="24"/>
              <w:szCs w:val="24"/>
            </w:rPr>
          </w:pPr>
          <w:r w:rsidRPr="002E1DC8">
            <w:rPr>
              <w:rFonts w:ascii="Arial" w:hAnsi="Arial" w:cs="Arial"/>
              <w:i/>
              <w:iCs/>
              <w:kern w:val="0"/>
              <w:sz w:val="24"/>
              <w:szCs w:val="24"/>
            </w:rPr>
            <w:t xml:space="preserve">section 26(1) Equality Act 2010, c.15: </w:t>
          </w:r>
          <w:r w:rsidRPr="002E1DC8">
            <w:rPr>
              <w:rFonts w:ascii="Arial" w:hAnsi="Arial" w:cs="Arial"/>
              <w:kern w:val="0"/>
              <w:sz w:val="24"/>
              <w:szCs w:val="24"/>
            </w:rPr>
            <w:t>available at https://www.legislation.gov.uk/ukpga/2010/15/contents(Accessed 10 May 2023)</w:t>
          </w:r>
        </w:p>
        <w:p w14:paraId="0996CC72"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'Smith V Rees' (2012) Employment Tribunal c.2501040/12. Available at: https://redmans.co.uk/employment-law-solicitors/sex-discrimination-in-the-workplace/(Accessed on 9 May 2023)</w:t>
          </w:r>
        </w:p>
        <w:p w14:paraId="792DD5AD"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t>Western Excavating v Sharp (1978) Employment Tribunal, case 1301461/2017. Available at https://assets.publishing.service.gov.uk/media/5a969f59ed915d57d4d0f11d/Mrs_T_Button_v_Birmingham_Community_Healthcare_NHS_Foundation_Trust_1301461_2017.pdf (Accessed on 13</w:t>
          </w:r>
          <w:r w:rsidRPr="002E1DC8">
            <w:rPr>
              <w:rFonts w:ascii="Arial" w:hAnsi="Arial" w:cs="Arial"/>
              <w:kern w:val="0"/>
              <w:sz w:val="24"/>
              <w:szCs w:val="24"/>
              <w:vertAlign w:val="superscript"/>
            </w:rPr>
            <w:t>th</w:t>
          </w:r>
          <w:r w:rsidRPr="002E1DC8">
            <w:rPr>
              <w:rFonts w:ascii="Arial" w:hAnsi="Arial" w:cs="Arial"/>
              <w:kern w:val="0"/>
              <w:sz w:val="24"/>
              <w:szCs w:val="24"/>
            </w:rPr>
            <w:t xml:space="preserve"> May 2023)</w:t>
          </w:r>
        </w:p>
        <w:p w14:paraId="6E6B4AC0" w14:textId="77777777" w:rsidR="002E1DC8" w:rsidRPr="002E1DC8" w:rsidRDefault="002E1DC8" w:rsidP="002E1DC8">
          <w:pPr>
            <w:rPr>
              <w:rFonts w:ascii="Arial" w:hAnsi="Arial" w:cs="Arial"/>
              <w:kern w:val="0"/>
              <w:sz w:val="24"/>
              <w:szCs w:val="24"/>
            </w:rPr>
          </w:pPr>
          <w:r w:rsidRPr="002E1DC8">
            <w:rPr>
              <w:rFonts w:ascii="Arial" w:hAnsi="Arial" w:cs="Arial"/>
              <w:kern w:val="0"/>
              <w:sz w:val="24"/>
              <w:szCs w:val="24"/>
            </w:rPr>
            <w:fldChar w:fldCharType="end"/>
          </w:r>
        </w:p>
        <w:p w14:paraId="251FA029" w14:textId="77777777" w:rsidR="002E1DC8" w:rsidRPr="002E1DC8" w:rsidRDefault="002E1DC8" w:rsidP="002E1DC8">
          <w:pPr>
            <w:rPr>
              <w:rFonts w:ascii="Arial" w:hAnsi="Arial" w:cs="Arial"/>
              <w:b/>
              <w:bCs/>
              <w:kern w:val="0"/>
              <w:sz w:val="24"/>
              <w:szCs w:val="24"/>
            </w:rPr>
          </w:pPr>
          <w:r w:rsidRPr="002E1DC8">
            <w:rPr>
              <w:rFonts w:ascii="Arial" w:hAnsi="Arial" w:cs="Arial"/>
              <w:b/>
              <w:bCs/>
              <w:kern w:val="0"/>
              <w:sz w:val="24"/>
              <w:szCs w:val="24"/>
              <w:lang w:val="en-US"/>
            </w:rPr>
            <w:t xml:space="preserve"> </w:t>
          </w:r>
          <w:r w:rsidRPr="002E1DC8">
            <w:rPr>
              <w:rFonts w:ascii="Arial" w:hAnsi="Arial" w:cs="Arial"/>
              <w:b/>
              <w:bCs/>
              <w:kern w:val="0"/>
              <w:sz w:val="24"/>
              <w:szCs w:val="24"/>
            </w:rPr>
            <w:t>Task 1 Section A Question 2</w:t>
          </w:r>
        </w:p>
        <w:sdt>
          <w:sdtPr>
            <w:rPr>
              <w:rFonts w:ascii="Arial" w:hAnsi="Arial" w:cs="Arial"/>
              <w:kern w:val="0"/>
              <w:sz w:val="24"/>
              <w:szCs w:val="24"/>
              <w:lang w:val="en-US"/>
            </w:rPr>
            <w:id w:val="-1417539566"/>
            <w:docPartObj>
              <w:docPartGallery w:val="Bibliographies"/>
              <w:docPartUnique/>
            </w:docPartObj>
          </w:sdtPr>
          <w:sdtContent>
            <w:p w14:paraId="49501AD6" w14:textId="77777777" w:rsidR="002E1DC8" w:rsidRPr="002E1DC8" w:rsidRDefault="002E1DC8" w:rsidP="002E1DC8">
              <w:pPr>
                <w:keepNext/>
                <w:keepLines/>
                <w:spacing w:before="240" w:after="0"/>
                <w:outlineLvl w:val="0"/>
                <w:rPr>
                  <w:rFonts w:ascii="Arial" w:eastAsiaTheme="majorEastAsia" w:hAnsi="Arial" w:cs="Arial"/>
                  <w:color w:val="2F5496" w:themeColor="accent1" w:themeShade="BF"/>
                  <w:kern w:val="0"/>
                  <w:sz w:val="24"/>
                  <w:szCs w:val="24"/>
                  <w:lang w:val="en-US"/>
                  <w14:ligatures w14:val="none"/>
                </w:rPr>
              </w:pPr>
            </w:p>
            <w:sdt>
              <w:sdtPr>
                <w:rPr>
                  <w:rFonts w:ascii="Arial" w:hAnsi="Arial" w:cs="Arial"/>
                  <w:kern w:val="0"/>
                  <w:sz w:val="24"/>
                  <w:szCs w:val="24"/>
                  <w:lang w:val="en-US"/>
                </w:rPr>
                <w:id w:val="-573587230"/>
                <w:bibliography/>
              </w:sdtPr>
              <w:sdtContent>
                <w:p w14:paraId="21226AB2" w14:textId="77777777" w:rsidR="002E1DC8" w:rsidRPr="002E1DC8" w:rsidRDefault="002E1DC8" w:rsidP="002E1DC8">
                  <w:pPr>
                    <w:rPr>
                      <w:rFonts w:ascii="Arial" w:hAnsi="Arial" w:cs="Arial"/>
                      <w:noProof/>
                      <w:kern w:val="0"/>
                      <w:sz w:val="24"/>
                      <w:szCs w:val="24"/>
                      <w:lang w:val="en-US"/>
                      <w14:ligatures w14:val="none"/>
                    </w:rPr>
                  </w:pPr>
                  <w:r w:rsidRPr="002E1DC8">
                    <w:rPr>
                      <w:rFonts w:ascii="Arial" w:hAnsi="Arial" w:cs="Arial"/>
                      <w:kern w:val="0"/>
                      <w:sz w:val="24"/>
                      <w:szCs w:val="24"/>
                      <w:lang w:val="en-US"/>
                    </w:rPr>
                    <w:fldChar w:fldCharType="begin"/>
                  </w:r>
                  <w:r w:rsidRPr="002E1DC8">
                    <w:rPr>
                      <w:rFonts w:ascii="Arial" w:hAnsi="Arial" w:cs="Arial"/>
                      <w:kern w:val="0"/>
                      <w:sz w:val="24"/>
                      <w:szCs w:val="24"/>
                      <w:lang w:val="en-US"/>
                    </w:rPr>
                    <w:instrText xml:space="preserve"> BIBLIOGRAPHY </w:instrText>
                  </w:r>
                  <w:r w:rsidRPr="002E1DC8">
                    <w:rPr>
                      <w:rFonts w:ascii="Arial" w:hAnsi="Arial" w:cs="Arial"/>
                      <w:kern w:val="0"/>
                      <w:sz w:val="24"/>
                      <w:szCs w:val="24"/>
                      <w:lang w:val="en-US"/>
                    </w:rPr>
                    <w:fldChar w:fldCharType="separate"/>
                  </w:r>
                  <w:r w:rsidRPr="002E1DC8">
                    <w:rPr>
                      <w:rFonts w:ascii="Arial" w:hAnsi="Arial" w:cs="Arial"/>
                      <w:noProof/>
                      <w:kern w:val="0"/>
                      <w:sz w:val="24"/>
                      <w:szCs w:val="24"/>
                      <w:lang w:val="en-US"/>
                    </w:rPr>
                    <w:t xml:space="preserve">ACAS, 2018. </w:t>
                  </w:r>
                  <w:r w:rsidRPr="002E1DC8">
                    <w:rPr>
                      <w:rFonts w:ascii="Arial" w:hAnsi="Arial" w:cs="Arial"/>
                      <w:i/>
                      <w:iCs/>
                      <w:noProof/>
                      <w:kern w:val="0"/>
                      <w:sz w:val="24"/>
                      <w:szCs w:val="24"/>
                      <w:lang w:val="en-US"/>
                    </w:rPr>
                    <w:t xml:space="preserve">Settlement Agreements, </w:t>
                  </w:r>
                  <w:r w:rsidRPr="002E1DC8">
                    <w:rPr>
                      <w:rFonts w:ascii="Arial" w:hAnsi="Arial" w:cs="Arial"/>
                      <w:noProof/>
                      <w:kern w:val="0"/>
                      <w:sz w:val="24"/>
                      <w:szCs w:val="24"/>
                      <w:lang w:val="en-US"/>
                    </w:rPr>
                    <w:t>London: ACAS.</w:t>
                  </w:r>
                </w:p>
                <w:p w14:paraId="4063F82B"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'Da'bell V NSPCC' (2010) Employment Appeal Tribunal, c. 0227/09. Available at:</w:t>
                  </w:r>
                  <w:r w:rsidRPr="002E1DC8">
                    <w:rPr>
                      <w:rFonts w:ascii="Arial" w:hAnsi="Arial" w:cs="Arial"/>
                      <w:kern w:val="0"/>
                      <w:sz w:val="24"/>
                      <w:szCs w:val="24"/>
                      <w:lang w:val="en-US"/>
                    </w:rPr>
                    <w:t xml:space="preserve"> </w:t>
                  </w:r>
                  <w:r w:rsidRPr="002E1DC8">
                    <w:rPr>
                      <w:rFonts w:ascii="Arial" w:hAnsi="Arial" w:cs="Arial"/>
                      <w:noProof/>
                      <w:kern w:val="0"/>
                      <w:sz w:val="24"/>
                      <w:szCs w:val="24"/>
                      <w:lang w:val="en-US"/>
                    </w:rPr>
                    <w:t>https://www.judiciary.uk/wp-content/uploads/2015/03/vento-bands-presidential-guidance-20170905.pdf (Accessed 10 May 2023)</w:t>
                  </w:r>
                </w:p>
                <w:p w14:paraId="56346ABA"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'De Souza V Vinci Construction' (2017) Court Of Appeal, c. 879. Available at:</w:t>
                  </w:r>
                  <w:r w:rsidRPr="002E1DC8">
                    <w:rPr>
                      <w:rFonts w:ascii="Arial" w:hAnsi="Arial" w:cs="Arial"/>
                      <w:kern w:val="0"/>
                      <w:sz w:val="24"/>
                      <w:szCs w:val="24"/>
                      <w:lang w:val="en-US"/>
                    </w:rPr>
                    <w:t xml:space="preserve"> </w:t>
                  </w:r>
                  <w:r w:rsidRPr="002E1DC8">
                    <w:rPr>
                      <w:rFonts w:ascii="Arial" w:hAnsi="Arial" w:cs="Arial"/>
                      <w:noProof/>
                      <w:kern w:val="0"/>
                      <w:sz w:val="24"/>
                      <w:szCs w:val="24"/>
                      <w:lang w:val="en-US"/>
                    </w:rPr>
                    <w:t>https://www.judiciary.uk/wp-content/uploads/2015/03/vento-bands-presidential-guidance-20170905.pdf (Accessed 10 May 2023</w:t>
                  </w:r>
                </w:p>
                <w:p w14:paraId="33EF4AFF"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'Dugdale PLC V Cartlidge' (2007) Employment Appeal Tribunal c. 0508. Available at : https://www.emplaw.co.uk/lawguide/dugdale-plc-v-cartlidge-tribunal-awards-excessive-compensation-2007-eat ) Accessed 10 May 2023)</w:t>
                  </w:r>
                </w:p>
                <w:p w14:paraId="7E1CE1EA" w14:textId="77777777" w:rsidR="002E1DC8" w:rsidRPr="002E1DC8" w:rsidRDefault="002E1DC8" w:rsidP="002E1DC8">
                  <w:pPr>
                    <w:rPr>
                      <w:rFonts w:ascii="Arial" w:hAnsi="Arial" w:cs="Arial"/>
                      <w:noProof/>
                      <w:kern w:val="0"/>
                      <w:sz w:val="24"/>
                      <w:szCs w:val="24"/>
                      <w:lang w:val="en-US"/>
                    </w:rPr>
                  </w:pPr>
                  <w:r w:rsidRPr="002E1DC8">
                    <w:rPr>
                      <w:rFonts w:ascii="Arial" w:hAnsi="Arial" w:cs="Arial"/>
                      <w:i/>
                      <w:iCs/>
                      <w:noProof/>
                      <w:kern w:val="0"/>
                      <w:sz w:val="24"/>
                      <w:szCs w:val="24"/>
                      <w:lang w:val="en-US"/>
                    </w:rPr>
                    <w:t xml:space="preserve">Emloyment Rights Act 1996 </w:t>
                  </w:r>
                  <w:r w:rsidRPr="002E1DC8">
                    <w:rPr>
                      <w:rFonts w:ascii="Arial" w:hAnsi="Arial" w:cs="Arial"/>
                      <w:noProof/>
                      <w:kern w:val="0"/>
                      <w:sz w:val="24"/>
                      <w:szCs w:val="24"/>
                      <w:lang w:val="en-US"/>
                    </w:rPr>
                    <w:t>c.18. Available at: https://www.legislation.gov.uk/ukpga/1996/18/contents (accessed on 10 May 2023)</w:t>
                  </w:r>
                </w:p>
                <w:p w14:paraId="3513C093" w14:textId="77777777" w:rsidR="002E1DC8" w:rsidRPr="002E1DC8" w:rsidRDefault="002E1DC8" w:rsidP="002E1DC8">
                  <w:pPr>
                    <w:rPr>
                      <w:rFonts w:ascii="Arial" w:hAnsi="Arial" w:cs="Arial"/>
                      <w:noProof/>
                      <w:kern w:val="0"/>
                      <w:sz w:val="24"/>
                      <w:szCs w:val="24"/>
                      <w:lang w:val="en-US"/>
                    </w:rPr>
                  </w:pPr>
                  <w:r w:rsidRPr="002E1DC8">
                    <w:rPr>
                      <w:rFonts w:ascii="Arial" w:hAnsi="Arial" w:cs="Arial"/>
                      <w:i/>
                      <w:iCs/>
                      <w:noProof/>
                      <w:kern w:val="0"/>
                      <w:sz w:val="24"/>
                      <w:szCs w:val="24"/>
                      <w:lang w:val="en-US"/>
                    </w:rPr>
                    <w:t>The Employment Rights ( Increase of Limits) order 2021 No.208. Available at: https://www.legislation.gov.uk/uksi/2021/208/made (Accessed on 9 May 2023)</w:t>
                  </w:r>
                </w:p>
                <w:p w14:paraId="51CF96E7"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 xml:space="preserve">Equality and Human Rights Commission, 2018. </w:t>
                  </w:r>
                  <w:r w:rsidRPr="002E1DC8">
                    <w:rPr>
                      <w:rFonts w:ascii="Arial" w:hAnsi="Arial" w:cs="Arial"/>
                      <w:i/>
                      <w:iCs/>
                      <w:noProof/>
                      <w:kern w:val="0"/>
                      <w:sz w:val="24"/>
                      <w:szCs w:val="24"/>
                      <w:lang w:val="en-US"/>
                    </w:rPr>
                    <w:t xml:space="preserve">How to work out teh value of a discrimination claim, </w:t>
                  </w:r>
                  <w:r w:rsidRPr="002E1DC8">
                    <w:rPr>
                      <w:rFonts w:ascii="Arial" w:hAnsi="Arial" w:cs="Arial"/>
                      <w:noProof/>
                      <w:kern w:val="0"/>
                      <w:sz w:val="24"/>
                      <w:szCs w:val="24"/>
                      <w:lang w:val="en-US"/>
                    </w:rPr>
                    <w:t>London: Equality and Human Rights Commission.</w:t>
                  </w:r>
                </w:p>
                <w:p w14:paraId="23DCEB0B"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lastRenderedPageBreak/>
                    <w:t xml:space="preserve">GOV.UK, 2023. </w:t>
                  </w:r>
                  <w:r w:rsidRPr="002E1DC8">
                    <w:rPr>
                      <w:rFonts w:ascii="Arial" w:hAnsi="Arial" w:cs="Arial"/>
                      <w:i/>
                      <w:iCs/>
                      <w:noProof/>
                      <w:kern w:val="0"/>
                      <w:sz w:val="24"/>
                      <w:szCs w:val="24"/>
                      <w:lang w:val="en-US"/>
                    </w:rPr>
                    <w:t xml:space="preserve">https://www.gov.uk/calculate-your-redundancy-pay. </w:t>
                  </w:r>
                  <w:r w:rsidRPr="002E1DC8">
                    <w:rPr>
                      <w:rFonts w:ascii="Arial" w:hAnsi="Arial" w:cs="Arial"/>
                      <w:noProof/>
                      <w:kern w:val="0"/>
                      <w:sz w:val="24"/>
                      <w:szCs w:val="24"/>
                      <w:lang w:val="en-US"/>
                    </w:rPr>
                    <w:t xml:space="preserve">[Online] </w:t>
                  </w:r>
                  <w:r w:rsidRPr="002E1DC8">
                    <w:rPr>
                      <w:rFonts w:ascii="Arial" w:hAnsi="Arial" w:cs="Arial"/>
                      <w:noProof/>
                      <w:kern w:val="0"/>
                      <w:sz w:val="24"/>
                      <w:szCs w:val="24"/>
                      <w:lang w:val="en-US"/>
                    </w:rPr>
                    <w:br/>
                    <w:t xml:space="preserve">Available at: </w:t>
                  </w:r>
                  <w:r w:rsidRPr="002E1DC8">
                    <w:rPr>
                      <w:rFonts w:ascii="Arial" w:hAnsi="Arial" w:cs="Arial"/>
                      <w:noProof/>
                      <w:kern w:val="0"/>
                      <w:sz w:val="24"/>
                      <w:szCs w:val="24"/>
                      <w:u w:val="single"/>
                      <w:lang w:val="en-US"/>
                    </w:rPr>
                    <w:t>https://www.gov.uk/calculate-your-redundancy-pay</w:t>
                  </w:r>
                  <w:r w:rsidRPr="002E1DC8">
                    <w:rPr>
                      <w:rFonts w:ascii="Arial" w:hAnsi="Arial" w:cs="Arial"/>
                      <w:noProof/>
                      <w:kern w:val="0"/>
                      <w:sz w:val="24"/>
                      <w:szCs w:val="24"/>
                      <w:lang w:val="en-US"/>
                    </w:rPr>
                    <w:br/>
                    <w:t>[Accessed 10 May 2023].</w:t>
                  </w:r>
                </w:p>
                <w:p w14:paraId="6D31D7A4"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 xml:space="preserve">https://www.acas.org.uk/acas-code-of-practice-on-disciplinary-and-grievance-procedures, 2023. </w:t>
                  </w:r>
                  <w:r w:rsidRPr="002E1DC8">
                    <w:rPr>
                      <w:rFonts w:ascii="Arial" w:hAnsi="Arial" w:cs="Arial"/>
                      <w:i/>
                      <w:iCs/>
                      <w:noProof/>
                      <w:kern w:val="0"/>
                      <w:sz w:val="24"/>
                      <w:szCs w:val="24"/>
                      <w:lang w:val="en-US"/>
                    </w:rPr>
                    <w:t xml:space="preserve">Acas Code of Practice on disciplinary and grievance procedures. </w:t>
                  </w:r>
                  <w:r w:rsidRPr="002E1DC8">
                    <w:rPr>
                      <w:rFonts w:ascii="Arial" w:hAnsi="Arial" w:cs="Arial"/>
                      <w:noProof/>
                      <w:kern w:val="0"/>
                      <w:sz w:val="24"/>
                      <w:szCs w:val="24"/>
                      <w:lang w:val="en-US"/>
                    </w:rPr>
                    <w:t xml:space="preserve">[Online] </w:t>
                  </w:r>
                  <w:r w:rsidRPr="002E1DC8">
                    <w:rPr>
                      <w:rFonts w:ascii="Arial" w:hAnsi="Arial" w:cs="Arial"/>
                      <w:noProof/>
                      <w:kern w:val="0"/>
                      <w:sz w:val="24"/>
                      <w:szCs w:val="24"/>
                      <w:lang w:val="en-US"/>
                    </w:rPr>
                    <w:br/>
                    <w:t xml:space="preserve">Available at: </w:t>
                  </w:r>
                  <w:r w:rsidRPr="002E1DC8">
                    <w:rPr>
                      <w:rFonts w:ascii="Arial" w:hAnsi="Arial" w:cs="Arial"/>
                      <w:noProof/>
                      <w:kern w:val="0"/>
                      <w:sz w:val="24"/>
                      <w:szCs w:val="24"/>
                      <w:u w:val="single"/>
                      <w:lang w:val="en-US"/>
                    </w:rPr>
                    <w:t>https://www.acas.org.uk/acas-code-of-practice-on-disciplinary-and-grievance-procedures</w:t>
                  </w:r>
                  <w:r w:rsidRPr="002E1DC8">
                    <w:rPr>
                      <w:rFonts w:ascii="Arial" w:hAnsi="Arial" w:cs="Arial"/>
                      <w:noProof/>
                      <w:kern w:val="0"/>
                      <w:sz w:val="24"/>
                      <w:szCs w:val="24"/>
                      <w:lang w:val="en-US"/>
                    </w:rPr>
                    <w:br/>
                    <w:t>[Accessed 10 May 2023].</w:t>
                  </w:r>
                </w:p>
                <w:p w14:paraId="2C2A95D5"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KZ v The Nags Head Employment Tribunal c. 3313462/2020. Available at https://assets.publishing.service.gov.uk/media/64005f9ce90e0740d874e895/KZ_v_The_Nag_s_Head_Reading_Ltd_3313462.2020_FMH_Reserved_Judgment.pdf (Accessed on 10 May 2023)</w:t>
                  </w:r>
                </w:p>
                <w:p w14:paraId="78C2CB8A"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 xml:space="preserve">Lexology, 2021. </w:t>
                  </w:r>
                  <w:r w:rsidRPr="002E1DC8">
                    <w:rPr>
                      <w:rFonts w:ascii="Arial" w:hAnsi="Arial" w:cs="Arial"/>
                      <w:i/>
                      <w:iCs/>
                      <w:noProof/>
                      <w:kern w:val="0"/>
                      <w:sz w:val="24"/>
                      <w:szCs w:val="24"/>
                      <w:lang w:val="en-US"/>
                    </w:rPr>
                    <w:t xml:space="preserve">Mitigation of loss in employment claims. </w:t>
                  </w:r>
                  <w:r w:rsidRPr="002E1DC8">
                    <w:rPr>
                      <w:rFonts w:ascii="Arial" w:hAnsi="Arial" w:cs="Arial"/>
                      <w:noProof/>
                      <w:kern w:val="0"/>
                      <w:sz w:val="24"/>
                      <w:szCs w:val="24"/>
                      <w:lang w:val="en-US"/>
                    </w:rPr>
                    <w:t xml:space="preserve">[Online] </w:t>
                  </w:r>
                  <w:r w:rsidRPr="002E1DC8">
                    <w:rPr>
                      <w:rFonts w:ascii="Arial" w:hAnsi="Arial" w:cs="Arial"/>
                      <w:noProof/>
                      <w:kern w:val="0"/>
                      <w:sz w:val="24"/>
                      <w:szCs w:val="24"/>
                      <w:lang w:val="en-US"/>
                    </w:rPr>
                    <w:br/>
                    <w:t xml:space="preserve">Available at: </w:t>
                  </w:r>
                  <w:r w:rsidRPr="002E1DC8">
                    <w:rPr>
                      <w:rFonts w:ascii="Arial" w:hAnsi="Arial" w:cs="Arial"/>
                      <w:noProof/>
                      <w:kern w:val="0"/>
                      <w:sz w:val="24"/>
                      <w:szCs w:val="24"/>
                      <w:u w:val="single"/>
                      <w:lang w:val="en-US"/>
                    </w:rPr>
                    <w:t>https://www.lexology.com/library/detail.aspx?g=1c7d1f8b-6daa-4c65-a7da-40b342d5bfb9</w:t>
                  </w:r>
                  <w:r w:rsidRPr="002E1DC8">
                    <w:rPr>
                      <w:rFonts w:ascii="Arial" w:hAnsi="Arial" w:cs="Arial"/>
                      <w:noProof/>
                      <w:kern w:val="0"/>
                      <w:sz w:val="24"/>
                      <w:szCs w:val="24"/>
                      <w:lang w:val="en-US"/>
                    </w:rPr>
                    <w:br/>
                    <w:t>[Accessed 11 May 2023].</w:t>
                  </w:r>
                </w:p>
                <w:p w14:paraId="6407720E"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Ramsdale V Malden District Council (2021) Employment Tribunal, c.3202041/2019. Available at: https://assets.publishing.service.gov.uk/media/617bf35c8fa8f5297b644085/Mr_M_Ramsden_v_Maldon_District_Council_-_3202041_20219_-_Judgment.pdf (Accessen 8 May 2023)</w:t>
                  </w:r>
                </w:p>
                <w:p w14:paraId="0CAF65EB" w14:textId="77777777" w:rsidR="002E1DC8" w:rsidRPr="002E1DC8" w:rsidRDefault="002E1DC8" w:rsidP="002E1DC8">
                  <w:pPr>
                    <w:rPr>
                      <w:rFonts w:ascii="Arial" w:hAnsi="Arial" w:cs="Arial"/>
                      <w:noProof/>
                      <w:kern w:val="0"/>
                      <w:sz w:val="24"/>
                      <w:szCs w:val="24"/>
                      <w:lang w:val="en-US"/>
                    </w:rPr>
                  </w:pPr>
                  <w:r w:rsidRPr="002E1DC8">
                    <w:rPr>
                      <w:rFonts w:ascii="Arial" w:hAnsi="Arial" w:cs="Arial"/>
                      <w:i/>
                      <w:iCs/>
                      <w:noProof/>
                      <w:kern w:val="0"/>
                      <w:sz w:val="24"/>
                      <w:szCs w:val="24"/>
                      <w:lang w:val="en-US"/>
                    </w:rPr>
                    <w:t>Employment Rights Act 1996 c.18. Available at: https://www.legislation.gov.uk/ukpga/1996/18/contents (accessed on 10 May 2023)</w:t>
                  </w:r>
                </w:p>
                <w:p w14:paraId="3FE5B240" w14:textId="77777777" w:rsidR="002E1DC8" w:rsidRPr="002E1DC8" w:rsidRDefault="002E1DC8" w:rsidP="002E1DC8">
                  <w:pPr>
                    <w:rPr>
                      <w:rFonts w:ascii="Arial" w:hAnsi="Arial" w:cs="Arial"/>
                      <w:noProof/>
                      <w:kern w:val="0"/>
                      <w:sz w:val="24"/>
                      <w:szCs w:val="24"/>
                      <w:lang w:val="en-US"/>
                    </w:rPr>
                  </w:pPr>
                  <w:r w:rsidRPr="002E1DC8">
                    <w:rPr>
                      <w:rFonts w:ascii="Arial" w:hAnsi="Arial" w:cs="Arial"/>
                      <w:i/>
                      <w:iCs/>
                      <w:noProof/>
                      <w:kern w:val="0"/>
                      <w:sz w:val="24"/>
                      <w:szCs w:val="24"/>
                      <w:lang w:val="en-US"/>
                    </w:rPr>
                    <w:t>Equality Act 2010 c.15. Available at: https://www.legislation.gov.uk/ukpga/2010/15/contents (Accessed on 10 May 2023)</w:t>
                  </w:r>
                </w:p>
                <w:p w14:paraId="69F41ED5"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'Simmons V Castle' (2012)  Court Of Appeal c.1039 and 1288 Available at:</w:t>
                  </w:r>
                  <w:r w:rsidRPr="002E1DC8">
                    <w:rPr>
                      <w:rFonts w:ascii="Arial" w:hAnsi="Arial" w:cs="Arial"/>
                      <w:kern w:val="0"/>
                      <w:sz w:val="24"/>
                      <w:szCs w:val="24"/>
                      <w:lang w:val="en-US"/>
                    </w:rPr>
                    <w:t xml:space="preserve"> </w:t>
                  </w:r>
                  <w:r w:rsidRPr="002E1DC8">
                    <w:rPr>
                      <w:rFonts w:ascii="Arial" w:hAnsi="Arial" w:cs="Arial"/>
                      <w:noProof/>
                      <w:kern w:val="0"/>
                      <w:sz w:val="24"/>
                      <w:szCs w:val="24"/>
                      <w:lang w:val="en-US"/>
                    </w:rPr>
                    <w:t xml:space="preserve">https://www.judiciary.uk/wp-content/uploads/2015/03/vento-bands-presidential-guidance-20170905.pdf (Accessed 10 May 2023 </w:t>
                  </w:r>
                </w:p>
                <w:p w14:paraId="554FCC8F"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Steel V Uniquly Chic Furniture (2018) Employment Tribunals c.2401533/2017. Available at https://assets.publishing.service.gov.uk/media/5a5f597940f0b652634c6f88/2401533-2017_05-12-17.pdf (Accessed on 11 May 2023)</w:t>
                  </w:r>
                </w:p>
                <w:p w14:paraId="71677B76"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 xml:space="preserve">Thomson Reuters, 2023. </w:t>
                  </w:r>
                  <w:r w:rsidRPr="002E1DC8">
                    <w:rPr>
                      <w:rFonts w:ascii="Arial" w:hAnsi="Arial" w:cs="Arial"/>
                      <w:i/>
                      <w:iCs/>
                      <w:noProof/>
                      <w:kern w:val="0"/>
                      <w:sz w:val="24"/>
                      <w:szCs w:val="24"/>
                      <w:lang w:val="en-US"/>
                    </w:rPr>
                    <w:t xml:space="preserve">Contributory fault. </w:t>
                  </w:r>
                  <w:r w:rsidRPr="002E1DC8">
                    <w:rPr>
                      <w:rFonts w:ascii="Arial" w:hAnsi="Arial" w:cs="Arial"/>
                      <w:noProof/>
                      <w:kern w:val="0"/>
                      <w:sz w:val="24"/>
                      <w:szCs w:val="24"/>
                      <w:lang w:val="en-US"/>
                    </w:rPr>
                    <w:t xml:space="preserve">[Online] </w:t>
                  </w:r>
                  <w:r w:rsidRPr="002E1DC8">
                    <w:rPr>
                      <w:rFonts w:ascii="Arial" w:hAnsi="Arial" w:cs="Arial"/>
                      <w:noProof/>
                      <w:kern w:val="0"/>
                      <w:sz w:val="24"/>
                      <w:szCs w:val="24"/>
                      <w:lang w:val="en-US"/>
                    </w:rPr>
                    <w:br/>
                    <w:t xml:space="preserve">Available at: </w:t>
                  </w:r>
                  <w:r w:rsidRPr="002E1DC8">
                    <w:rPr>
                      <w:rFonts w:ascii="Arial" w:hAnsi="Arial" w:cs="Arial"/>
                      <w:noProof/>
                      <w:kern w:val="0"/>
                      <w:sz w:val="24"/>
                      <w:szCs w:val="24"/>
                      <w:u w:val="single"/>
                      <w:lang w:val="en-US"/>
                    </w:rPr>
                    <w:t>https://uk.practicallaw.thomsonreuters.com/0-201-8300?transitionType=Default&amp;contextData=(sc.Default)&amp;firstPage=true</w:t>
                  </w:r>
                  <w:r w:rsidRPr="002E1DC8">
                    <w:rPr>
                      <w:rFonts w:ascii="Arial" w:hAnsi="Arial" w:cs="Arial"/>
                      <w:noProof/>
                      <w:kern w:val="0"/>
                      <w:sz w:val="24"/>
                      <w:szCs w:val="24"/>
                      <w:lang w:val="en-US"/>
                    </w:rPr>
                    <w:br/>
                    <w:t>[Accessed 10 May 2023].</w:t>
                  </w:r>
                </w:p>
                <w:p w14:paraId="29F86530"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t>Vento v Chief Of West Yourkshire Police (2002) Court of Appeal c. 1871. Available at https://vlex.co.uk/vid/vento-v-chief-constable-793235921( Accessed on 9 May 2023)</w:t>
                  </w:r>
                </w:p>
                <w:p w14:paraId="394EBE13" w14:textId="77777777" w:rsidR="002E1DC8" w:rsidRPr="002E1DC8" w:rsidRDefault="002E1DC8" w:rsidP="002E1DC8">
                  <w:pPr>
                    <w:rPr>
                      <w:rFonts w:ascii="Arial" w:hAnsi="Arial" w:cs="Arial"/>
                      <w:noProof/>
                      <w:kern w:val="0"/>
                      <w:sz w:val="24"/>
                      <w:szCs w:val="24"/>
                      <w:lang w:val="en-US"/>
                    </w:rPr>
                  </w:pPr>
                  <w:r w:rsidRPr="002E1DC8">
                    <w:rPr>
                      <w:rFonts w:ascii="Arial" w:hAnsi="Arial" w:cs="Arial"/>
                      <w:noProof/>
                      <w:kern w:val="0"/>
                      <w:sz w:val="24"/>
                      <w:szCs w:val="24"/>
                      <w:lang w:val="en-US"/>
                    </w:rPr>
                    <w:lastRenderedPageBreak/>
                    <w:t>X v Britannia Hotels Ltd (2021) Employment Tribunal c.2401548/2020. Available at https://assets.publishing.service.gov.uk/media/613b5461d3bf7f05ac396e93/X_v_Britannia_Hotels_Ltd_-_2401548_2020.pdf ( Accessed on 9 May 2023)</w:t>
                  </w:r>
                </w:p>
                <w:p w14:paraId="1CDEBE5D" w14:textId="77777777" w:rsidR="002E1DC8" w:rsidRPr="002E1DC8" w:rsidRDefault="002E1DC8" w:rsidP="002E1DC8">
                  <w:pPr>
                    <w:rPr>
                      <w:rFonts w:ascii="Arial" w:hAnsi="Arial" w:cs="Arial"/>
                      <w:kern w:val="0"/>
                      <w:sz w:val="24"/>
                      <w:szCs w:val="24"/>
                      <w:lang w:val="en-US"/>
                    </w:rPr>
                  </w:pPr>
                  <w:r w:rsidRPr="002E1DC8">
                    <w:rPr>
                      <w:rFonts w:ascii="Arial" w:hAnsi="Arial" w:cs="Arial"/>
                      <w:b/>
                      <w:bCs/>
                      <w:noProof/>
                      <w:kern w:val="0"/>
                      <w:sz w:val="24"/>
                      <w:szCs w:val="24"/>
                      <w:lang w:val="en-US"/>
                    </w:rPr>
                    <w:fldChar w:fldCharType="end"/>
                  </w:r>
                </w:p>
              </w:sdtContent>
            </w:sdt>
          </w:sdtContent>
        </w:sdt>
        <w:p w14:paraId="63D6E527" w14:textId="77777777" w:rsidR="002E1DC8" w:rsidRDefault="002E1DC8" w:rsidP="002E1DC8">
          <w:pPr>
            <w:spacing w:line="276" w:lineRule="auto"/>
            <w:rPr>
              <w:rFonts w:ascii="Arial" w:hAnsi="Arial" w:cs="Arial"/>
              <w:b/>
              <w:bCs/>
              <w:sz w:val="24"/>
              <w:szCs w:val="24"/>
            </w:rPr>
          </w:pPr>
        </w:p>
        <w:p w14:paraId="2839B8FF" w14:textId="5E079473" w:rsidR="002E1DC8" w:rsidRPr="002E1DC8" w:rsidRDefault="002E1DC8" w:rsidP="002E1DC8">
          <w:pPr>
            <w:spacing w:line="276" w:lineRule="auto"/>
            <w:rPr>
              <w:rFonts w:ascii="Arial" w:hAnsi="Arial" w:cs="Arial"/>
              <w:b/>
              <w:bCs/>
              <w:sz w:val="24"/>
              <w:szCs w:val="24"/>
            </w:rPr>
          </w:pPr>
          <w:r w:rsidRPr="002E1DC8">
            <w:rPr>
              <w:rFonts w:ascii="Arial" w:hAnsi="Arial" w:cs="Arial"/>
              <w:b/>
              <w:bCs/>
              <w:sz w:val="24"/>
              <w:szCs w:val="24"/>
            </w:rPr>
            <w:t>Task 1 Section B</w:t>
          </w:r>
        </w:p>
        <w:sdt>
          <w:sdtPr>
            <w:rPr>
              <w:rFonts w:ascii="Arial" w:hAnsi="Arial" w:cs="Arial"/>
              <w:sz w:val="24"/>
              <w:szCs w:val="24"/>
            </w:rPr>
            <w:id w:val="1987735749"/>
            <w:bibliography/>
          </w:sdtPr>
          <w:sdtContent>
            <w:p w14:paraId="497AE5DA" w14:textId="77777777" w:rsidR="002E1DC8" w:rsidRPr="002E1DC8" w:rsidRDefault="002E1DC8" w:rsidP="002E1DC8">
              <w:pPr>
                <w:rPr>
                  <w:rFonts w:ascii="Arial" w:hAnsi="Arial" w:cs="Arial"/>
                  <w:noProof/>
                  <w:kern w:val="0"/>
                  <w:sz w:val="24"/>
                  <w:szCs w:val="24"/>
                  <w14:ligatures w14:val="none"/>
                </w:rPr>
              </w:pPr>
              <w:r w:rsidRPr="002E1DC8">
                <w:rPr>
                  <w:rFonts w:ascii="Arial" w:hAnsi="Arial" w:cs="Arial"/>
                  <w:sz w:val="24"/>
                  <w:szCs w:val="24"/>
                </w:rPr>
                <w:fldChar w:fldCharType="begin"/>
              </w:r>
              <w:r w:rsidRPr="002E1DC8">
                <w:rPr>
                  <w:rFonts w:ascii="Arial" w:hAnsi="Arial" w:cs="Arial"/>
                  <w:sz w:val="24"/>
                  <w:szCs w:val="24"/>
                </w:rPr>
                <w:instrText xml:space="preserve"> BIBLIOGRAPHY </w:instrText>
              </w:r>
              <w:r w:rsidRPr="002E1DC8">
                <w:rPr>
                  <w:rFonts w:ascii="Arial" w:hAnsi="Arial" w:cs="Arial"/>
                  <w:sz w:val="24"/>
                  <w:szCs w:val="24"/>
                </w:rPr>
                <w:fldChar w:fldCharType="separate"/>
              </w:r>
            </w:p>
            <w:p w14:paraId="0AD0C686"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 xml:space="preserve">ACAS, 2023. </w:t>
              </w:r>
              <w:r w:rsidRPr="002E1DC8">
                <w:rPr>
                  <w:rFonts w:ascii="Arial" w:hAnsi="Arial" w:cs="Arial"/>
                  <w:i/>
                  <w:iCs/>
                  <w:noProof/>
                  <w:sz w:val="24"/>
                  <w:szCs w:val="24"/>
                </w:rPr>
                <w:t xml:space="preserve">Tupe Transfers. </w:t>
              </w:r>
              <w:r w:rsidRPr="002E1DC8">
                <w:rPr>
                  <w:rFonts w:ascii="Arial" w:hAnsi="Arial" w:cs="Arial"/>
                  <w:noProof/>
                  <w:sz w:val="24"/>
                  <w:szCs w:val="24"/>
                </w:rPr>
                <w:t xml:space="preserve">[Online] </w:t>
              </w:r>
              <w:r w:rsidRPr="002E1DC8">
                <w:rPr>
                  <w:rFonts w:ascii="Arial" w:hAnsi="Arial" w:cs="Arial"/>
                  <w:noProof/>
                  <w:sz w:val="24"/>
                  <w:szCs w:val="24"/>
                </w:rPr>
                <w:br/>
                <w:t xml:space="preserve">Available at: </w:t>
              </w:r>
              <w:r w:rsidRPr="002E1DC8">
                <w:rPr>
                  <w:rFonts w:ascii="Arial" w:hAnsi="Arial" w:cs="Arial"/>
                  <w:noProof/>
                  <w:sz w:val="24"/>
                  <w:szCs w:val="24"/>
                  <w:u w:val="single"/>
                </w:rPr>
                <w:t>https://www.acas.org.uk/tupe</w:t>
              </w:r>
              <w:r w:rsidRPr="002E1DC8">
                <w:rPr>
                  <w:rFonts w:ascii="Arial" w:hAnsi="Arial" w:cs="Arial"/>
                  <w:noProof/>
                  <w:sz w:val="24"/>
                  <w:szCs w:val="24"/>
                </w:rPr>
                <w:br/>
                <w:t>[Accessed 4 May 2023].</w:t>
              </w:r>
            </w:p>
            <w:p w14:paraId="065CAC7E"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'Barber v. Somerset County Council' (2004) House Of Lords, Case 13. Available at https://publications.parliament.uk/pa/ld200304/ldjudgmt/jd040401/barber-1.htm (Accessed 9 May 2023)</w:t>
              </w:r>
            </w:p>
            <w:p w14:paraId="2C521EE3"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'Byrne Bros (Formwork) Ltd v Baird and Others' (2002) Employment Appeal Tribunal, Case 542/01. Available at http://www.egos.co.uk/ir35_cases/BYRNE_BROTHERS_(FORMWORK)_LIMITED_v_Baird.pdf (Accessed 11 May 2023)</w:t>
              </w:r>
            </w:p>
            <w:p w14:paraId="6577BE62"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 xml:space="preserve">The Data Protection Act,  c.12. Available at: </w:t>
              </w:r>
              <w:r w:rsidRPr="002E1DC8">
                <w:rPr>
                  <w:rFonts w:ascii="Arial" w:hAnsi="Arial" w:cs="Arial"/>
                  <w:noProof/>
                  <w:sz w:val="24"/>
                  <w:szCs w:val="24"/>
                  <w:u w:val="single"/>
                </w:rPr>
                <w:t>https://www.gov.uk/data-protection#:~:text=The%20Data%20Protection%20Act%202018%20is%20the%20UK's%20implementation%20of,used%20fairly%2C%20lawfully%20and%20transparently</w:t>
              </w:r>
              <w:r w:rsidRPr="002E1DC8">
                <w:rPr>
                  <w:rFonts w:ascii="Arial" w:hAnsi="Arial" w:cs="Arial"/>
                  <w:noProof/>
                  <w:sz w:val="24"/>
                  <w:szCs w:val="24"/>
                </w:rPr>
                <w:br/>
                <w:t>[Accessed 5 May 2023].</w:t>
              </w:r>
            </w:p>
            <w:p w14:paraId="3DCFA03A"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The General Data Protection Regulation ( GDPR). C.EU 2016/679.</w:t>
              </w:r>
              <w:r w:rsidRPr="002E1DC8">
                <w:rPr>
                  <w:rFonts w:ascii="Arial" w:hAnsi="Arial" w:cs="Arial"/>
                  <w:noProof/>
                  <w:sz w:val="24"/>
                  <w:szCs w:val="24"/>
                </w:rPr>
                <w:br/>
                <w:t xml:space="preserve">Available at: </w:t>
              </w:r>
              <w:r w:rsidRPr="002E1DC8">
                <w:rPr>
                  <w:rFonts w:ascii="Arial" w:hAnsi="Arial" w:cs="Arial"/>
                  <w:noProof/>
                  <w:sz w:val="24"/>
                  <w:szCs w:val="24"/>
                  <w:u w:val="single"/>
                </w:rPr>
                <w:t>https://ico.org.uk/for-organisations/guide-to-data-protection/guide-to-the-general-data-protection-regulation-gdpr/</w:t>
              </w:r>
              <w:r w:rsidRPr="002E1DC8">
                <w:rPr>
                  <w:rFonts w:ascii="Arial" w:hAnsi="Arial" w:cs="Arial"/>
                  <w:noProof/>
                  <w:sz w:val="24"/>
                  <w:szCs w:val="24"/>
                </w:rPr>
                <w:br/>
                <w:t>[Accessed 5 May 2023].</w:t>
              </w:r>
            </w:p>
            <w:p w14:paraId="614296C0"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 xml:space="preserve">Health and Safety at Work Act 1974, c. 37. Available at </w:t>
              </w:r>
              <w:r w:rsidRPr="002E1DC8">
                <w:rPr>
                  <w:rFonts w:ascii="Arial" w:hAnsi="Arial" w:cs="Arial"/>
                  <w:noProof/>
                  <w:sz w:val="24"/>
                  <w:szCs w:val="24"/>
                  <w:u w:val="single"/>
                </w:rPr>
                <w:t>https://www.legislation.gov.uk/ukpga/1974/37</w:t>
              </w:r>
              <w:r w:rsidRPr="002E1DC8">
                <w:rPr>
                  <w:rFonts w:ascii="Arial" w:hAnsi="Arial" w:cs="Arial"/>
                  <w:noProof/>
                  <w:sz w:val="24"/>
                  <w:szCs w:val="24"/>
                </w:rPr>
                <w:br/>
                <w:t>[Accessed 4 May 2023].</w:t>
              </w:r>
            </w:p>
            <w:p w14:paraId="529E411B" w14:textId="77777777" w:rsidR="002E1DC8" w:rsidRPr="002E1DC8" w:rsidRDefault="002E1DC8" w:rsidP="002E1DC8">
              <w:pPr>
                <w:rPr>
                  <w:rFonts w:ascii="Arial" w:hAnsi="Arial" w:cs="Arial"/>
                  <w:sz w:val="24"/>
                  <w:szCs w:val="24"/>
                </w:rPr>
              </w:pPr>
              <w:r w:rsidRPr="002E1DC8">
                <w:rPr>
                  <w:rFonts w:ascii="Arial" w:hAnsi="Arial" w:cs="Arial"/>
                  <w:sz w:val="24"/>
                  <w:szCs w:val="24"/>
                </w:rPr>
                <w:t>‘Morrisons Supermarket PLC v Various Claimants’ (2020) United Kingdom Supreme Court, case 12. Available at: https://www.supremecourt.uk/cases/uksc-2018-0213.html (Accessed: 9 May 2023)</w:t>
              </w:r>
            </w:p>
            <w:p w14:paraId="1C347E3B" w14:textId="77777777" w:rsidR="002E1DC8" w:rsidRPr="002E1DC8" w:rsidRDefault="002E1DC8" w:rsidP="002E1DC8">
              <w:pPr>
                <w:rPr>
                  <w:rFonts w:ascii="Arial" w:hAnsi="Arial" w:cs="Arial"/>
                  <w:noProof/>
                  <w:sz w:val="24"/>
                  <w:szCs w:val="24"/>
                </w:rPr>
              </w:pPr>
              <w:r w:rsidRPr="002E1DC8">
                <w:rPr>
                  <w:rFonts w:ascii="Arial" w:hAnsi="Arial" w:cs="Arial"/>
                  <w:noProof/>
                  <w:sz w:val="24"/>
                  <w:szCs w:val="24"/>
                </w:rPr>
                <w:t>'Spaceright Europe v Ballavoine</w:t>
              </w:r>
              <w:r w:rsidRPr="002E1DC8">
                <w:rPr>
                  <w:rFonts w:ascii="Arial" w:hAnsi="Arial" w:cs="Arial"/>
                  <w:i/>
                  <w:iCs/>
                  <w:noProof/>
                  <w:sz w:val="24"/>
                  <w:szCs w:val="24"/>
                </w:rPr>
                <w:t xml:space="preserve"> </w:t>
              </w:r>
              <w:r w:rsidRPr="002E1DC8">
                <w:rPr>
                  <w:rFonts w:ascii="Arial" w:hAnsi="Arial" w:cs="Arial"/>
                  <w:noProof/>
                  <w:sz w:val="24"/>
                  <w:szCs w:val="24"/>
                </w:rPr>
                <w:t>(2011) Court Of Appeal, Case 0684. Available at https://employmentcasesupdate.co.uk/content/spaceright-europe-limited-v-baillavoine-anor-2011-ewca-civ-1565.65872ae2e2954326b170387048efad96.htm (Accessed 10 May 2023)</w:t>
              </w:r>
            </w:p>
            <w:p w14:paraId="24DB539C" w14:textId="77777777" w:rsidR="002E1DC8" w:rsidRPr="002E1DC8" w:rsidRDefault="002E1DC8" w:rsidP="002E1DC8">
              <w:pPr>
                <w:rPr>
                  <w:rFonts w:ascii="Arial" w:hAnsi="Arial" w:cs="Arial"/>
                  <w:sz w:val="24"/>
                  <w:szCs w:val="24"/>
                </w:rPr>
              </w:pPr>
              <w:r w:rsidRPr="002E1DC8">
                <w:rPr>
                  <w:rFonts w:ascii="Arial" w:hAnsi="Arial" w:cs="Arial"/>
                  <w:b/>
                  <w:bCs/>
                  <w:noProof/>
                  <w:sz w:val="24"/>
                  <w:szCs w:val="24"/>
                </w:rPr>
                <w:fldChar w:fldCharType="end"/>
              </w:r>
            </w:p>
          </w:sdtContent>
        </w:sdt>
        <w:p w14:paraId="0D2347AA" w14:textId="77777777" w:rsidR="002E1DC8" w:rsidRPr="002E1DC8" w:rsidRDefault="002E1DC8" w:rsidP="002E1DC8">
          <w:pPr>
            <w:rPr>
              <w:rFonts w:ascii="Arial" w:hAnsi="Arial" w:cs="Arial"/>
              <w:b/>
              <w:bCs/>
              <w:kern w:val="0"/>
              <w:sz w:val="24"/>
              <w:szCs w:val="24"/>
            </w:rPr>
          </w:pPr>
        </w:p>
        <w:p w14:paraId="0EE73583" w14:textId="1D80FCE2" w:rsidR="002E1DC8" w:rsidRPr="002E1DC8" w:rsidRDefault="002E1DC8" w:rsidP="002E1DC8">
          <w:pPr>
            <w:spacing w:line="276" w:lineRule="auto"/>
            <w:rPr>
              <w:rFonts w:ascii="Arial" w:hAnsi="Arial" w:cs="Arial"/>
              <w:sz w:val="24"/>
              <w:szCs w:val="24"/>
            </w:rPr>
          </w:pPr>
        </w:p>
      </w:sdtContent>
    </w:sdt>
    <w:sectPr w:rsidR="002E1DC8" w:rsidRPr="002E1DC8" w:rsidSect="00B17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D621C"/>
    <w:multiLevelType w:val="hybridMultilevel"/>
    <w:tmpl w:val="0C1CE3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20637A"/>
    <w:multiLevelType w:val="hybridMultilevel"/>
    <w:tmpl w:val="22F6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7578F"/>
    <w:multiLevelType w:val="hybridMultilevel"/>
    <w:tmpl w:val="0D9C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52848"/>
    <w:multiLevelType w:val="hybridMultilevel"/>
    <w:tmpl w:val="2F428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025242"/>
    <w:multiLevelType w:val="hybridMultilevel"/>
    <w:tmpl w:val="A244755A"/>
    <w:lvl w:ilvl="0" w:tplc="571C55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7E1252"/>
    <w:multiLevelType w:val="hybridMultilevel"/>
    <w:tmpl w:val="A35EC1AC"/>
    <w:lvl w:ilvl="0" w:tplc="9C40E098">
      <w:start w:val="1"/>
      <w:numFmt w:val="lowerLetter"/>
      <w:lvlText w:val="%1)"/>
      <w:lvlJc w:val="left"/>
      <w:pPr>
        <w:ind w:left="1080" w:hanging="360"/>
      </w:pPr>
      <w:rPr>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8C7836"/>
    <w:multiLevelType w:val="hybridMultilevel"/>
    <w:tmpl w:val="1E5860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323054">
    <w:abstractNumId w:val="3"/>
  </w:num>
  <w:num w:numId="2" w16cid:durableId="451440796">
    <w:abstractNumId w:val="5"/>
  </w:num>
  <w:num w:numId="3" w16cid:durableId="1516310181">
    <w:abstractNumId w:val="6"/>
  </w:num>
  <w:num w:numId="4" w16cid:durableId="2061976337">
    <w:abstractNumId w:val="0"/>
  </w:num>
  <w:num w:numId="5" w16cid:durableId="1554655922">
    <w:abstractNumId w:val="4"/>
  </w:num>
  <w:num w:numId="6" w16cid:durableId="1519126791">
    <w:abstractNumId w:val="2"/>
  </w:num>
  <w:num w:numId="7" w16cid:durableId="188104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5DB"/>
    <w:rsid w:val="002E1DC8"/>
    <w:rsid w:val="00333A50"/>
    <w:rsid w:val="00370A8E"/>
    <w:rsid w:val="004E45DB"/>
    <w:rsid w:val="005D1292"/>
    <w:rsid w:val="00677F78"/>
    <w:rsid w:val="007C3354"/>
    <w:rsid w:val="00A40C47"/>
    <w:rsid w:val="00B178C0"/>
    <w:rsid w:val="00B601BF"/>
    <w:rsid w:val="00B80D3E"/>
    <w:rsid w:val="00CC71C7"/>
    <w:rsid w:val="00F06B4C"/>
    <w:rsid w:val="00FB02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2C5"/>
  <w15:chartTrackingRefBased/>
  <w15:docId w15:val="{49C800CD-5D6F-4312-B961-E541B772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5DB"/>
    <w:rPr>
      <w:kern w:val="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GOV23</b:Tag>
    <b:SourceType>InternetSite</b:SourceType>
    <b:Guid>{92FA0067-E7FD-457B-9F65-562C601B6B73}</b:Guid>
    <b:Title>GOV.UK</b:Title>
    <b:Year>2023</b:Year>
    <b:YearAccessed>2023</b:YearAccessed>
    <b:MonthAccessed>May</b:MonthAccessed>
    <b:DayAccessed>14</b:DayAccessed>
    <b:URL>https://www.gov.uk/being-taken-to-employment-tribunal-by-employee</b:URL>
    <b:Author>
      <b:Author>
        <b:Corporate>GOV.UK</b:Corporate>
      </b:Author>
    </b:Author>
    <b:RefOrder>1</b:RefOrder>
  </b:Source>
  <b:Source>
    <b:Tag>ACA22</b:Tag>
    <b:SourceType>InternetSite</b:SourceType>
    <b:Guid>{4B216485-5DBE-4B9C-B16F-A1E5682D1E61}</b:Guid>
    <b:Author>
      <b:Author>
        <b:Corporate>ACAS</b:Corporate>
      </b:Author>
    </b:Author>
    <b:Title>Dismissals</b:Title>
    <b:Year>2022</b:Year>
    <b:YearAccessed>2023</b:YearAccessed>
    <b:MonthAccessed>May</b:MonthAccessed>
    <b:DayAccessed>2</b:DayAccessed>
    <b:URL>https://www.acas.org.uk/dismissals/constructive-dismissal#:~:text=If%20an%20employee%20feels%20they,is%20'constructive%20unfair%20dismissal'.</b:URL>
    <b:RefOrder>2</b:RefOrder>
  </b:Source>
  <b:Source>
    <b:Tag>leg11</b:Tag>
    <b:SourceType>InternetSite</b:SourceType>
    <b:Guid>{05199EB3-890F-4938-B78B-7A950BFAEC51}</b:Guid>
    <b:Author>
      <b:Author>
        <b:Corporate>legislation.gov.uk</b:Corporate>
      </b:Author>
    </b:Author>
    <b:Title>Equality Act 2010</b:Title>
    <b:Year>2011</b:Year>
    <b:YearAccessed>2023</b:YearAccessed>
    <b:MonthAccessed>May</b:MonthAccessed>
    <b:DayAccessed>3</b:DayAccessed>
    <b:URL>https://www.legislation.gov.uk/ukpga/2010/15/section/26</b:URL>
    <b:RefOrder>3</b:RefOrder>
  </b:Source>
  <b:Source>
    <b:Tag>GOV233</b:Tag>
    <b:SourceType>InternetSite</b:SourceType>
    <b:Guid>{5DBF491D-7DAE-4FE9-877D-8EB475DDB590}</b:Guid>
    <b:Title>https://www.gov.uk/calculate-your-redundancy-pay</b:Title>
    <b:Year>2023</b:Year>
    <b:Author>
      <b:Author>
        <b:Corporate>GOV.UK</b:Corporate>
      </b:Author>
    </b:Author>
    <b:YearAccessed>2023</b:YearAccessed>
    <b:MonthAccessed>May</b:MonthAccessed>
    <b:DayAccessed>10</b:DayAccessed>
    <b:URL>https://www.gov.uk/calculate-your-redundancy-pay</b:URL>
    <b:RefOrder>1</b:RefOrder>
  </b:Source>
  <b:Source>
    <b:Tag>Eml</b:Tag>
    <b:SourceType>Case</b:SourceType>
    <b:Guid>{E65B1DE4-A6D0-4D12-A3CD-77C7BA5EDE34}</b:Guid>
    <b:Title>Emloyment Rights Act 1996</b:Title>
    <b:RefOrder>2</b:RefOrder>
  </b:Source>
  <b:Source>
    <b:Tag>htt23</b:Tag>
    <b:SourceType>InternetSite</b:SourceType>
    <b:Guid>{DE683605-8FFD-4E60-8342-465C208720EE}</b:Guid>
    <b:Title>Acas Code of Practice on disciplinary and grievance procedures</b:Title>
    <b:Year>2023</b:Year>
    <b:Author>
      <b:Author>
        <b:Corporate>https://www.acas.org.uk/acas-code-of-practice-on-disciplinary-and-grievance-procedures</b:Corporate>
      </b:Author>
    </b:Author>
    <b:YearAccessed>2023</b:YearAccessed>
    <b:MonthAccessed>May</b:MonthAccessed>
    <b:DayAccessed>10</b:DayAccessed>
    <b:URL>https://www.acas.org.uk/acas-code-of-practice-on-disciplinary-and-grievance-procedures</b:URL>
    <b:RefOrder>3</b:RefOrder>
  </b:Source>
  <b:Source>
    <b:Tag>Sec2</b:Tag>
    <b:SourceType>Case</b:SourceType>
    <b:Guid>{8884ACAC-C29E-4A3B-BA90-A77BEC225A71}</b:Guid>
    <b:Title>Section 26 of the Equality Act 2010</b:Title>
    <b:RefOrder>4</b:RefOrder>
  </b:Source>
  <b:Source>
    <b:Tag>Lex21</b:Tag>
    <b:SourceType>InternetSite</b:SourceType>
    <b:Guid>{94BB2B04-DB74-4B5A-8314-640BFDDA56B9}</b:Guid>
    <b:Author>
      <b:Author>
        <b:Corporate>Lexology</b:Corporate>
      </b:Author>
    </b:Author>
    <b:Title>Mitigation of loss in employment claims</b:Title>
    <b:Year>2021</b:Year>
    <b:YearAccessed>2023</b:YearAccessed>
    <b:MonthAccessed>May</b:MonthAccessed>
    <b:DayAccessed>11</b:DayAccessed>
    <b:URL>https://www.lexology.com/library/detail.aspx?g=1c7d1f8b-6daa-4c65-a7da-40b342d5bfb9</b:URL>
    <b:RefOrder>5</b:RefOrder>
  </b:Source>
  <b:Source>
    <b:Tag>Equ18</b:Tag>
    <b:SourceType>Report</b:SourceType>
    <b:Guid>{2194EA95-BCE9-42B8-B328-D9B5C1962789}</b:Guid>
    <b:Author>
      <b:Author>
        <b:Corporate>Equality and Human Rights Commission</b:Corporate>
      </b:Author>
    </b:Author>
    <b:Title>How to work out teh value of a discrimination claim</b:Title>
    <b:Year>2018</b:Year>
    <b:Publisher>Equality and Human Rights Commission</b:Publisher>
    <b:City>London</b:City>
    <b:RefOrder>6</b:RefOrder>
  </b:Source>
  <b:Source>
    <b:Tag>ACA18</b:Tag>
    <b:SourceType>Report</b:SourceType>
    <b:Guid>{3FE30E01-EFE1-4A38-9215-EB7A7607C7D6}</b:Guid>
    <b:Author>
      <b:Author>
        <b:Corporate>ACAS</b:Corporate>
      </b:Author>
    </b:Author>
    <b:Title>Settlement Agreements</b:Title>
    <b:Year>2018</b:Year>
    <b:Publisher>ACAS</b:Publisher>
    <b:City>London</b:City>
    <b:RefOrder>7</b:RefOrder>
  </b:Source>
  <b:Source>
    <b:Tag>leg233</b:Tag>
    <b:SourceType>InternetSite</b:SourceType>
    <b:Guid>{F6E3EE8E-92E7-4FE9-AD4D-EB75ACFCF7C9}</b:Guid>
    <b:Title>Health and Safety at Work Act 1974</b:Title>
    <b:Year>2023</b:Year>
    <b:Author>
      <b:Author>
        <b:Corporate>legislation.gov.uk</b:Corporate>
      </b:Author>
    </b:Author>
    <b:YearAccessed>2023</b:YearAccessed>
    <b:MonthAccessed>May</b:MonthAccessed>
    <b:DayAccessed>4</b:DayAccessed>
    <b:URL>https://www.legislation.gov.uk/ukpga/1974/37</b:URL>
    <b:RefOrder>1</b:RefOrder>
  </b:Source>
  <b:Source>
    <b:Tag>ACA23</b:Tag>
    <b:SourceType>InternetSite</b:SourceType>
    <b:Guid>{33D4CCE3-AFCF-4C90-BA1E-C5951112ADCA}</b:Guid>
    <b:Title>Tuoe Transfers</b:Title>
    <b:Year>2023</b:Year>
    <b:Author>
      <b:Author>
        <b:Corporate>ACAS</b:Corporate>
      </b:Author>
    </b:Author>
    <b:YearAccessed>2023</b:YearAccessed>
    <b:MonthAccessed>May</b:MonthAccessed>
    <b:DayAccessed>4</b:DayAccessed>
    <b:URL>https://www.acas.org.uk/tupe</b:URL>
    <b:RefOrder>4</b:RefOrder>
  </b:Source>
  <b:Source>
    <b:Tag>CIP2216</b:Tag>
    <b:SourceType>InternetSite</b:SourceType>
    <b:Guid>{508C74D9-305D-49A7-8190-950DE766E342}</b:Guid>
    <b:Author>
      <b:Author>
        <b:Corporate>CIPD</b:Corporate>
      </b:Author>
    </b:Author>
    <b:Title>CIPD - The role of employemtn Tribunals</b:Title>
    <b:Year>2022</b:Year>
    <b:YearAccessed>2023</b:YearAccessed>
    <b:MonthAccessed>May</b:MonthAccessed>
    <b:DayAccessed>2</b:DayAccessed>
    <b:URL>https://www.cipd.org/uk/knowledge/factsheets/tribunals-factsheet/</b:URL>
    <b:RefOrder>7</b:RefOrder>
  </b:Source>
  <b:Source>
    <b:Tag>HRI23</b:Tag>
    <b:SourceType>InternetSite</b:SourceType>
    <b:Guid>{89D43DCE-3593-45A0-805B-63EA6C5A68F7}</b:Guid>
    <b:Author>
      <b:Author>
        <b:Corporate>HR-Inform.co.uk</b:Corporate>
      </b:Author>
    </b:Author>
    <b:Title>KZ v The Nags Head Reading Ltd - Sexual harassment</b:Title>
    <b:Year>2023</b:Year>
    <b:YearAccessed>2023</b:YearAccessed>
    <b:MonthAccessed>May</b:MonthAccessed>
    <b:DayAccessed>10</b:DayAccessed>
    <b:URL>https://www.hr-inform.co.uk/case-law/2023-03/kz-v-the-nags-head-reading-ltd-sexual-harassment-failing-to-prevent</b:URL>
    <b:RefOrder>6</b:RefOrder>
  </b:Source>
  <b:Source>
    <b:Tag>Mis17</b:Tag>
    <b:SourceType>Case</b:SourceType>
    <b:Guid>{CEBF7157-0903-4901-975E-48151E99B60B}</b:Guid>
    <b:Title>Miss A Steele v Uniquely Chic Furniture (Cheshire) Ltd and Michael Bennett:</b:Title>
    <b:Year>2017</b:Year>
    <b:Reporter>Employment Tribunals</b:Reporter>
    <b:RefOrder>8</b:RefOrder>
  </b:Source>
  <b:Source>
    <b:Tag>Pat23</b:Tag>
    <b:SourceType>Report</b:SourceType>
    <b:Guid>{7D680E2D-D695-45DE-ADA9-EAD858B6D45B}</b:Guid>
    <b:Title>Worker Protection (Amendment of Equality Act 2010) Bill 2022-23: Progress of the Bill</b:Title>
    <b:Year>2023</b:Year>
    <b:City>London</b:City>
    <b:Publisher>House of Commons Library</b:Publisher>
    <b:Author>
      <b:Author>
        <b:NameList>
          <b:Person>
            <b:Last>Brione</b:Last>
            <b:First>Patrick</b:First>
          </b:Person>
        </b:NameList>
      </b:Author>
    </b:Author>
    <b:RefOrder>5</b:RefOrder>
  </b:Source>
  <b:Source>
    <b:Tag>Placeholder1</b:Tag>
    <b:SourceType>Case</b:SourceType>
    <b:Guid>{CEBF42EF-0791-4E02-9969-ADD3FF80E0C7}</b:Guid>
    <b:Title>Nailar v The Unite Union </b:Title>
    <b:Year>2022</b:Year>
    <b:RefOrder>9</b:RefOrder>
  </b:Source>
  <b:Source>
    <b:Tag>Emp</b:Tag>
    <b:SourceType>Case</b:SourceType>
    <b:Guid>{7D3C49CE-024D-49EF-8BE8-D9E0D7C5EAC2}</b:Guid>
    <b:Title>Employment Rights Act 1996</b:Title>
    <b:RefOrder>10</b:RefOrder>
  </b:Source>
  <b:Source>
    <b:Tag>S40</b:Tag>
    <b:SourceType>Case</b:SourceType>
    <b:Guid>{71A8FAC1-BFD8-435E-A034-C8F1D6F988E7}</b:Guid>
    <b:Title>S.40 Equality Act 2010</b:Title>
    <b:RefOrder>11</b:RefOrder>
  </b:Source>
  <b:Source>
    <b:Tag>s10</b:Tag>
    <b:SourceType>Case</b:SourceType>
    <b:Guid>{B74464EA-C593-4F32-B466-8A9E9E33AAB9}</b:Guid>
    <b:Title>s.109 Equlity Act 2010</b:Title>
    <b:RefOrder>12</b:RefOrder>
  </b:Source>
  <b:Source>
    <b:Tag>S39</b:Tag>
    <b:SourceType>Case</b:SourceType>
    <b:Guid>{D4506762-22E0-4C91-94BF-AE85C8F3B658}</b:Guid>
    <b:Title>S.39 Equlity Act 2010</b:Title>
    <b:RefOrder>13</b:RefOrder>
  </b:Source>
  <b:Source>
    <b:Tag>Smi</b:Tag>
    <b:SourceType>Case</b:SourceType>
    <b:Guid>{7E2614CB-6064-45D3-87C1-456CDF6851A1}</b:Guid>
    <b:Title>Smith V Rees</b:Title>
    <b:RefOrder>14</b:RefOrder>
  </b:Source>
  <b:Source>
    <b:Tag>s27</b:Tag>
    <b:SourceType>Case</b:SourceType>
    <b:Guid>{97D2ACD0-9D5E-4C49-8262-DA7490A83E96}</b:Guid>
    <b:Title>s.27 Equality Act</b:Title>
    <b:RefOrder>15</b:RefOrder>
  </b:Source>
  <b:Source>
    <b:Tag>sec</b:Tag>
    <b:SourceType>Case</b:SourceType>
    <b:Guid>{CA11A202-19A6-4711-9D51-ADA9FA3FDC2A}</b:Guid>
    <b:Title>section 26(1) Equality Act 2010</b:Title>
    <b:RefOrder>16</b:RefOrder>
  </b:Source>
  <b:Source>
    <b:Tag>S10</b:Tag>
    <b:SourceType>Case</b:SourceType>
    <b:Guid>{B243E450-6610-481C-9E71-688214276E1C}</b:Guid>
    <b:Title>S.109 (4) Equality Act 2010</b:Title>
    <b:RefOrder>17</b:RefOrder>
  </b:Source>
  <b:Source>
    <b:Tag>Sec</b:Tag>
    <b:SourceType>Case</b:SourceType>
    <b:Guid>{B5BE665A-2756-468E-94C6-156425312510}</b:Guid>
    <b:Title>Sec.94 (1) Employments Rights Act 1996</b:Title>
    <b:RefOrder>18</b:RefOrder>
  </b:Source>
  <b:Source>
    <b:Tag>Wes</b:Tag>
    <b:SourceType>Case</b:SourceType>
    <b:Guid>{BE655AFD-9DAE-4145-8A1D-8869065AA746}</b:Guid>
    <b:Title>Western Excavating v Sharp (1978)</b:Title>
    <b:RefOrder>19</b:RefOrder>
  </b:Source>
  <b:Source>
    <b:Tag>Sec1</b:Tag>
    <b:SourceType>Case</b:SourceType>
    <b:Guid>{DB1BF0A4-5644-4449-875F-B37D32364B5F}</b:Guid>
    <b:Title>Section 26 (2) and (3) of the Equality Act 2010</b:Title>
    <b:RefOrder>20</b:RefOrder>
  </b:Source>
  <b:Source>
    <b:Tag>Ric</b:Tag>
    <b:SourceType>Case</b:SourceType>
    <b:Guid>{EF31FCFE-1789-4C8B-879B-A1A300494557}</b:Guid>
    <b:Title>Richmond Pharmacology Ltd v Dhaliwal (2009)</b:Title>
    <b:RefOrder>21</b:RefOrder>
  </b:Source>
  <b:Source>
    <b:Tag>DeS</b:Tag>
    <b:SourceType>Case</b:SourceType>
    <b:Guid>{54CEB3B6-1039-4816-B8D5-B1F8155FE84E}</b:Guid>
    <b:Title>De Souza v Primark Stores Ltd (2020)</b:Title>
    <b:RefOrder>22</b:RefOrder>
  </b:Source>
  <b:Source>
    <b:Tag>Equ</b:Tag>
    <b:SourceType>Case</b:SourceType>
    <b:Guid>{E6EDDD0F-CFD8-445C-85DF-7FB2735342B1}</b:Guid>
    <b:Title>Equality Act 2010</b:Title>
    <b:RefOrder>23</b:RefOrder>
  </b:Source>
  <b:Source>
    <b:Tag>Kha</b:Tag>
    <b:SourceType>Case</b:SourceType>
    <b:Guid>{1CDFFE26-9539-4D3E-910B-A50BECF59B6A}</b:Guid>
    <b:Title>Khan v Chalford Ltd (2009)</b:Title>
    <b:RefOrder>24</b:RefOrder>
  </b:Source>
  <b:Source>
    <b:Tag>Wor</b:Tag>
    <b:SourceType>Case</b:SourceType>
    <b:Guid>{FBE2B414-800D-4479-B944-522732F65CC4}</b:Guid>
    <b:Title>Worker Protection Bill 2022-23</b:Title>
    <b:RefOrder>4</b:RefOrder>
  </b:Source>
  <b:Source>
    <b:Tag>S12</b:Tag>
    <b:SourceType>Case</b:SourceType>
    <b:Guid>{55B99BD1-BE65-44EA-A666-509EDBEEFA95}</b:Guid>
    <b:Title>S.123 Employment Rights Act 1996</b:Title>
    <b:RefOrder>8</b:RefOrder>
  </b:Source>
  <b:Source>
    <b:Tag>Ven</b:Tag>
    <b:SourceType>Case</b:SourceType>
    <b:Guid>{C58CF49A-02FF-45AA-B6EF-0C7918EA2839}</b:Guid>
    <b:Title>Vento v Cheif Of West Yourkshire Police (2002)</b:Title>
    <b:RefOrder>9</b:RefOrder>
  </b:Source>
  <b:Source>
    <b:Tag>Dab</b:Tag>
    <b:SourceType>Case</b:SourceType>
    <b:Guid>{ECEC58A0-2050-4B35-9637-E54A83D6D852}</b:Guid>
    <b:Title>Da'bell V NSPCC (2010)</b:Title>
    <b:RefOrder>10</b:RefOrder>
  </b:Source>
  <b:Source>
    <b:Tag>Sim</b:Tag>
    <b:SourceType>Case</b:SourceType>
    <b:Guid>{1A5DD12D-870A-4B41-9852-D8484A04B2FA}</b:Guid>
    <b:Title>Simmons V Castle 2012</b:Title>
    <b:RefOrder>11</b:RefOrder>
  </b:Source>
  <b:Source>
    <b:Tag>DeS1</b:Tag>
    <b:SourceType>Case</b:SourceType>
    <b:Guid>{3228F0F5-2475-40C8-893E-E1F736A92B04}</b:Guid>
    <b:Title>De Souza V Vinci Construction (2017)</b:Title>
    <b:RefOrder>12</b:RefOrder>
  </b:Source>
  <b:Source>
    <b:Tag>Ste</b:Tag>
    <b:SourceType>Case</b:SourceType>
    <b:Guid>{34A4C68D-7635-43EE-85DD-51FD07B72181}</b:Guid>
    <b:Title>Steel V Uniquly Chic Furniture (2018)</b:Title>
    <b:RefOrder>13</b:RefOrder>
  </b:Source>
  <b:Source>
    <b:Tag>Dug</b:Tag>
    <b:SourceType>Case</b:SourceType>
    <b:Guid>{7DEEFB90-D8C1-4384-A011-E8FE57B6AFD0}</b:Guid>
    <b:Title>Dugdale PLC V Cartlidge (2007)</b:Title>
    <b:RefOrder>14</b:RefOrder>
  </b:Source>
  <b:Source>
    <b:Tag>Ram</b:Tag>
    <b:SourceType>Case</b:SourceType>
    <b:Guid>{F8D300A6-6252-4517-BC8D-2F24E31CD8AA}</b:Guid>
    <b:Title>Ramsdale V Malden District Council (2021)</b:Title>
    <b:RefOrder>15</b:RefOrder>
  </b:Source>
  <b:Source>
    <b:Tag>Emp1</b:Tag>
    <b:SourceType>Case</b:SourceType>
    <b:Guid>{A83C45A8-3A01-4F56-B273-69EE9BF86BF3}</b:Guid>
    <b:Title>Employment Tribunals Regulations 2021</b:Title>
    <b:RefOrder>16</b:RefOrder>
  </b:Source>
  <b:Source>
    <b:Tag>XvB</b:Tag>
    <b:SourceType>Case</b:SourceType>
    <b:Guid>{F89D1715-FEF3-48DC-A799-065F2D13C9B6}</b:Guid>
    <b:Title>X v Britannia Hotels Ltd</b:Title>
    <b:RefOrder>17</b:RefOrder>
  </b:Source>
  <b:Source>
    <b:Tag>KZv</b:Tag>
    <b:SourceType>Case</b:SourceType>
    <b:Guid>{5575F052-FD3B-49BA-B631-61AEE6A61EB5}</b:Guid>
    <b:Title>KZ v The Nags Head</b:Title>
    <b:RefOrder>18</b:RefOrder>
  </b:Source>
  <b:Source>
    <b:Tag>Tho23</b:Tag>
    <b:SourceType>InternetSite</b:SourceType>
    <b:Guid>{E8FCE520-9983-4101-A68B-15F36928F975}</b:Guid>
    <b:Title>Contributory fault</b:Title>
    <b:Year>2023</b:Year>
    <b:Author>
      <b:Author>
        <b:Corporate>Thomson Reuters</b:Corporate>
      </b:Author>
    </b:Author>
    <b:YearAccessed>2023</b:YearAccessed>
    <b:MonthAccessed>May</b:MonthAccessed>
    <b:DayAccessed>10</b:DayAccessed>
    <b:URL>https://uk.practicallaw.thomsonreuters.com/0-201-8300?transitionType=Default&amp;contextData=(sc.Default)&amp;firstPage=true</b:URL>
    <b:RefOrder>19</b:RefOrder>
  </b:Source>
  <b:Source xmlns:b="http://schemas.openxmlformats.org/officeDocument/2006/bibliography" xmlns="http://schemas.openxmlformats.org/officeDocument/2006/bibliography">
    <b:Tag>Placeholder2</b:Tag>
    <b:RefOrder>5</b:RefOrder>
  </b:Source>
  <b:Source>
    <b:Tag>GOV232</b:Tag>
    <b:SourceType>InternetSite</b:SourceType>
    <b:Guid>{5CADCE94-43AC-4B99-A78F-617EA8BDEB07}</b:Guid>
    <b:Author>
      <b:Author>
        <b:Corporate>GOV.UK</b:Corporate>
      </b:Author>
    </b:Author>
    <b:Title>Data Protection</b:Title>
    <b:Year>2023</b:Year>
    <b:YearAccessed>2023</b:YearAccessed>
    <b:MonthAccessed>May</b:MonthAccessed>
    <b:DayAccessed>5</b:DayAccessed>
    <b:URL>https://www.gov.uk/data-protection#:~:text=The%20Data%20Protection%20Act%202018%20is%20the%20UK's%20implementation%20of,used%20fairly%2C%20lawfully%20and%20transparently</b:URL>
    <b:RefOrder>2</b:RefOrder>
  </b:Source>
  <b:Source>
    <b:Tag>Inf23</b:Tag>
    <b:SourceType>InternetSite</b:SourceType>
    <b:Guid>{FC2B539D-35B1-43BA-BAA4-ECCD6719ABE2}</b:Guid>
    <b:Author>
      <b:Author>
        <b:Corporate>Information Commissioners Office</b:Corporate>
      </b:Author>
    </b:Author>
    <b:Title>Guide to the UK General Data Protection Regulation (UK GDPR)</b:Title>
    <b:Year>2023</b:Year>
    <b:YearAccessed>2023</b:YearAccessed>
    <b:MonthAccessed>May</b:MonthAccessed>
    <b:DayAccessed>5</b:DayAccessed>
    <b:URL>https://ico.org.uk/for-organisations/guide-to-data-protection/guide-to-the-general-data-protection-regulation-gdpr/</b:URL>
    <b:RefOrder>3</b:RefOrder>
  </b:Source>
  <b:Source>
    <b:Tag>WMMrt</b:Tag>
    <b:SourceType>ConferenceProceedings</b:SourceType>
    <b:Guid>{62FC8A9A-E7AB-497D-8D90-B93078F6193E}</b:Guid>
    <b:Title>(2020)</b:Title>
    <b:Year>United Kingdom Supreme Court</b:Year>
    <b:Author>
      <b:Author>
        <b:NameList>
          <b:Person>
            <b:Last>Claimants</b:Last>
            <b:First>WM</b:First>
            <b:Middle>Morrison Supermarkets plc v Various</b:Middle>
          </b:Person>
        </b:NameList>
      </b:Author>
    </b:Author>
    <b:City>case 12</b:City>
    <b:Publisher>https://www.supremecourt.uk/cases/docs/uksc-2018-0213-judgment.pdf</b:Publisher>
    <b:RefOrder>6</b:RefOrder>
  </b:Source>
  <b:Source>
    <b:Tag>Morrt</b:Tag>
    <b:SourceType>Case</b:SourceType>
    <b:Guid>{69ED5023-7D0F-493B-A0E9-983F12F0F50E}</b:Guid>
    <b:Title>‘Morrisons Supermarket PLC v Various Claimants’ (2020)</b:Title>
    <b:RefOrder>7</b:RefOrder>
  </b:Source>
  <b:Source>
    <b:Tag>Spa11</b:Tag>
    <b:SourceType>Case</b:SourceType>
    <b:Guid>{E74EEE45-E049-42B2-84C5-92DB1886CD6A}</b:Guid>
    <b:Title>Spaceright Europe v Ballavoine </b:Title>
    <b:Year>2011</b:Year>
    <b:CaseNumber>UKEAT/0339/10/SM</b:CaseNumber>
    <b:Court>Employment Appeal Trubunal</b:Court>
    <b:YearAccessed>2023</b:YearAccessed>
    <b:MonthAccessed>May</b:MonthAccessed>
    <b:DayAccessed>8</b:DayAccessed>
    <b:URL>https://employmentcasesupdate.co.uk/content/spaceright-europe-ltd-v-baillavoine-anor-ukeat-0339-10-sm.29eaa240e06f419f95f33da73ef0908c.htm</b:URL>
    <b:RefOrder>8</b:RefOrder>
  </b:Source>
  <b:Source>
    <b:Tag>Byr</b:Tag>
    <b:SourceType>Case</b:SourceType>
    <b:Guid>{FEF3254F-92F3-4C50-9B30-435F4B4DE126}</b:Guid>
    <b:Title>Byrne Bros (Formwork) Ltd v Baird and Others (2002)</b:Title>
    <b:RefOrder>9</b:RefOrder>
  </b:Source>
  <b:Source>
    <b:Tag>Bar04</b:Tag>
    <b:SourceType>Case</b:SourceType>
    <b:Guid>{C22087C7-CD89-4BC9-8EEB-966397A81B88}</b:Guid>
    <b:Title>Barber v. Somerset County Council </b:Title>
    <b:Year>2004</b:Year>
    <b:RefOrder>10</b:RefOrder>
  </b:Source>
</b:Sources>
</file>

<file path=customXml/itemProps1.xml><?xml version="1.0" encoding="utf-8"?>
<ds:datastoreItem xmlns:ds="http://schemas.openxmlformats.org/officeDocument/2006/customXml" ds:itemID="{A5D6624C-3E57-4186-8E89-D4A0D0BE5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4544</Words>
  <Characters>25901</Characters>
  <Application>Microsoft Office Word</Application>
  <DocSecurity>0</DocSecurity>
  <Lines>215</Lines>
  <Paragraphs>60</Paragraphs>
  <ScaleCrop>false</ScaleCrop>
  <Company/>
  <LinksUpToDate>false</LinksUpToDate>
  <CharactersWithSpaces>30385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12</cp:revision>
  <dcterms:created xsi:type="dcterms:W3CDTF">2023-05-15T22:03:00Z</dcterms:created>
  <dcterms:modified xsi:type="dcterms:W3CDTF">2023-05-15T22:14:00Z</dcterms:modified>
</cp:coreProperties>
</file>