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4E0409" w14:textId="77777777" w:rsidR="009D726B" w:rsidRPr="007E26C3" w:rsidRDefault="009D726B" w:rsidP="009D726B">
      <w:pPr>
        <w:jc w:val="center"/>
        <w:rPr>
          <w:b/>
          <w:bCs/>
          <w:sz w:val="48"/>
          <w:szCs w:val="48"/>
        </w:rPr>
      </w:pPr>
      <w:bookmarkStart w:id="0" w:name="_Hlk210037256"/>
      <w:bookmarkEnd w:id="0"/>
      <w:r>
        <w:rPr>
          <w:noProof/>
        </w:rPr>
        <w:drawing>
          <wp:inline distT="0" distB="0" distL="0" distR="0" wp14:anchorId="65927D0C" wp14:editId="3FD4127F">
            <wp:extent cx="2550623" cy="1065244"/>
            <wp:effectExtent l="0" t="0" r="2540" b="1905"/>
            <wp:docPr id="1760239681" name="Picture 1" descr="University of Wales Trinity Saint David launches new digital ...">
              <a:extLst xmlns:a="http://schemas.openxmlformats.org/drawingml/2006/main">
                <a:ext uri="{FF2B5EF4-FFF2-40B4-BE49-F238E27FC236}">
                  <a16:creationId xmlns:a16="http://schemas.microsoft.com/office/drawing/2014/main" id="{21174888-5BDD-44E3-BF75-016C48B9F4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998760" name="Picture 1" descr="University of Wales Trinity Saint David launches new digital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595377" cy="1083935"/>
                    </a:xfrm>
                    <a:prstGeom prst="rect">
                      <a:avLst/>
                    </a:prstGeom>
                    <a:noFill/>
                    <a:ln>
                      <a:noFill/>
                    </a:ln>
                  </pic:spPr>
                </pic:pic>
              </a:graphicData>
            </a:graphic>
          </wp:inline>
        </w:drawing>
      </w:r>
    </w:p>
    <w:p w14:paraId="1ABEC24D" w14:textId="77777777" w:rsidR="009D726B" w:rsidRDefault="009D726B" w:rsidP="009D726B">
      <w:pPr>
        <w:shd w:val="clear" w:color="auto" w:fill="FFFFFF"/>
        <w:spacing w:after="0" w:line="240" w:lineRule="auto"/>
        <w:jc w:val="center"/>
        <w:rPr>
          <w:rFonts w:ascii="Arial" w:eastAsia="Times New Roman" w:hAnsi="Arial" w:cs="Arial"/>
          <w:color w:val="222222"/>
          <w:kern w:val="0"/>
          <w:sz w:val="40"/>
          <w:szCs w:val="40"/>
          <w14:ligatures w14:val="none"/>
        </w:rPr>
      </w:pPr>
    </w:p>
    <w:p w14:paraId="1F7622E4" w14:textId="77777777" w:rsidR="009D726B" w:rsidRDefault="009D726B" w:rsidP="009D726B">
      <w:pPr>
        <w:shd w:val="clear" w:color="auto" w:fill="FFFFFF"/>
        <w:spacing w:after="0" w:line="240" w:lineRule="auto"/>
        <w:jc w:val="center"/>
        <w:rPr>
          <w:rFonts w:ascii="Arial" w:eastAsia="Times New Roman" w:hAnsi="Arial" w:cs="Arial"/>
          <w:color w:val="222222"/>
          <w:kern w:val="0"/>
          <w:sz w:val="40"/>
          <w:szCs w:val="40"/>
          <w14:ligatures w14:val="none"/>
        </w:rPr>
      </w:pPr>
    </w:p>
    <w:p w14:paraId="73FD969F" w14:textId="2330BAAC" w:rsidR="009D726B" w:rsidRPr="00B1017A" w:rsidRDefault="009D726B" w:rsidP="009D726B">
      <w:pPr>
        <w:shd w:val="clear" w:color="auto" w:fill="FFFFFF"/>
        <w:spacing w:after="0" w:line="240" w:lineRule="auto"/>
        <w:jc w:val="center"/>
        <w:rPr>
          <w:rFonts w:ascii="Arial" w:eastAsia="Times New Roman" w:hAnsi="Arial" w:cs="Arial"/>
          <w:color w:val="222222"/>
          <w:kern w:val="0"/>
          <w:sz w:val="40"/>
          <w:szCs w:val="40"/>
          <w14:ligatures w14:val="none"/>
        </w:rPr>
      </w:pPr>
      <w:r>
        <w:rPr>
          <w:rFonts w:ascii="Arial" w:eastAsia="Times New Roman" w:hAnsi="Arial" w:cs="Arial"/>
          <w:color w:val="222222"/>
          <w:kern w:val="0"/>
          <w:sz w:val="40"/>
          <w:szCs w:val="40"/>
          <w14:ligatures w14:val="none"/>
        </w:rPr>
        <w:t>BA LEADERSHIP AND MANAGEMENT</w:t>
      </w:r>
    </w:p>
    <w:p w14:paraId="62884B4B" w14:textId="77777777" w:rsidR="009D726B" w:rsidRPr="00B1017A" w:rsidRDefault="009D726B" w:rsidP="009D726B">
      <w:pPr>
        <w:shd w:val="clear" w:color="auto" w:fill="FFFFFF"/>
        <w:spacing w:after="0" w:line="240" w:lineRule="auto"/>
        <w:jc w:val="center"/>
        <w:rPr>
          <w:rFonts w:ascii="Arial" w:eastAsia="Times New Roman" w:hAnsi="Arial" w:cs="Arial"/>
          <w:color w:val="222222"/>
          <w:kern w:val="0"/>
          <w:sz w:val="40"/>
          <w:szCs w:val="40"/>
          <w14:ligatures w14:val="none"/>
        </w:rPr>
      </w:pPr>
    </w:p>
    <w:p w14:paraId="21BD6E10" w14:textId="77777777" w:rsidR="009D726B" w:rsidRPr="00B1017A" w:rsidRDefault="009D726B" w:rsidP="009D726B">
      <w:pPr>
        <w:shd w:val="clear" w:color="auto" w:fill="FFFFFF"/>
        <w:spacing w:after="0" w:line="240" w:lineRule="auto"/>
        <w:jc w:val="center"/>
        <w:rPr>
          <w:rFonts w:ascii="Arial" w:eastAsia="Times New Roman" w:hAnsi="Arial" w:cs="Arial"/>
          <w:color w:val="222222"/>
          <w:kern w:val="0"/>
          <w:sz w:val="40"/>
          <w:szCs w:val="40"/>
          <w14:ligatures w14:val="none"/>
        </w:rPr>
      </w:pPr>
    </w:p>
    <w:p w14:paraId="7B343247" w14:textId="77777777" w:rsidR="009D726B" w:rsidRPr="00B1017A" w:rsidRDefault="009D726B" w:rsidP="009D726B">
      <w:pPr>
        <w:shd w:val="clear" w:color="auto" w:fill="FFFFFF"/>
        <w:spacing w:after="0" w:line="240" w:lineRule="auto"/>
        <w:jc w:val="center"/>
        <w:rPr>
          <w:rFonts w:ascii="Arial" w:eastAsia="Times New Roman" w:hAnsi="Arial" w:cs="Arial"/>
          <w:color w:val="222222"/>
          <w:kern w:val="0"/>
          <w:sz w:val="40"/>
          <w:szCs w:val="40"/>
          <w14:ligatures w14:val="none"/>
        </w:rPr>
      </w:pPr>
    </w:p>
    <w:p w14:paraId="1C79BF29" w14:textId="77777777" w:rsidR="009D726B" w:rsidRPr="00B1017A" w:rsidRDefault="009D726B" w:rsidP="009D726B">
      <w:pPr>
        <w:shd w:val="clear" w:color="auto" w:fill="FFFFFF"/>
        <w:spacing w:after="0" w:line="240" w:lineRule="auto"/>
        <w:jc w:val="center"/>
        <w:rPr>
          <w:rFonts w:ascii="Arial" w:eastAsia="Times New Roman" w:hAnsi="Arial" w:cs="Arial"/>
          <w:color w:val="222222"/>
          <w:kern w:val="0"/>
          <w:sz w:val="40"/>
          <w:szCs w:val="40"/>
          <w14:ligatures w14:val="none"/>
        </w:rPr>
      </w:pPr>
    </w:p>
    <w:p w14:paraId="05A75AFE" w14:textId="77777777" w:rsidR="009D726B" w:rsidRPr="00B1017A" w:rsidRDefault="009D726B" w:rsidP="009D726B">
      <w:pPr>
        <w:shd w:val="clear" w:color="auto" w:fill="FFFFFF"/>
        <w:spacing w:after="0" w:line="240" w:lineRule="auto"/>
        <w:jc w:val="center"/>
        <w:rPr>
          <w:rFonts w:ascii="Arial" w:eastAsia="Times New Roman" w:hAnsi="Arial" w:cs="Arial"/>
          <w:color w:val="222222"/>
          <w:kern w:val="0"/>
          <w:sz w:val="48"/>
          <w:szCs w:val="48"/>
          <w14:ligatures w14:val="none"/>
        </w:rPr>
      </w:pPr>
    </w:p>
    <w:p w14:paraId="005A869D" w14:textId="0D51A97D" w:rsidR="009D726B" w:rsidRPr="00B1017A" w:rsidRDefault="00D9018A" w:rsidP="009D726B">
      <w:pPr>
        <w:shd w:val="clear" w:color="auto" w:fill="FFFFFF"/>
        <w:spacing w:after="0" w:line="240" w:lineRule="auto"/>
        <w:jc w:val="center"/>
        <w:rPr>
          <w:rFonts w:ascii="Arial" w:eastAsia="Times New Roman" w:hAnsi="Arial" w:cs="Arial"/>
          <w:b/>
          <w:bCs/>
          <w:color w:val="222222"/>
          <w:kern w:val="0"/>
          <w:sz w:val="44"/>
          <w:szCs w:val="44"/>
          <w14:ligatures w14:val="none"/>
        </w:rPr>
      </w:pPr>
      <w:r>
        <w:rPr>
          <w:rFonts w:ascii="Arial" w:eastAsia="Times New Roman" w:hAnsi="Arial" w:cs="Arial"/>
          <w:b/>
          <w:bCs/>
          <w:color w:val="222222"/>
          <w:kern w:val="0"/>
          <w:sz w:val="44"/>
          <w:szCs w:val="44"/>
          <w14:ligatures w14:val="none"/>
        </w:rPr>
        <w:t>DEVELOPING AND MANAGING INDIVIDUALS AND TEAMS</w:t>
      </w:r>
    </w:p>
    <w:p w14:paraId="2BEADB53" w14:textId="77777777" w:rsidR="009D726B" w:rsidRPr="00B1017A" w:rsidRDefault="009D726B" w:rsidP="009D726B">
      <w:pPr>
        <w:shd w:val="clear" w:color="auto" w:fill="FFFFFF"/>
        <w:spacing w:after="0" w:line="240" w:lineRule="auto"/>
        <w:jc w:val="center"/>
        <w:rPr>
          <w:rFonts w:ascii="Arial" w:eastAsia="Times New Roman" w:hAnsi="Arial" w:cs="Arial"/>
          <w:b/>
          <w:bCs/>
          <w:color w:val="222222"/>
          <w:kern w:val="0"/>
          <w:sz w:val="44"/>
          <w:szCs w:val="44"/>
          <w14:ligatures w14:val="none"/>
        </w:rPr>
      </w:pPr>
    </w:p>
    <w:p w14:paraId="6BECD206" w14:textId="71368AB0" w:rsidR="009D726B" w:rsidRPr="00B1017A" w:rsidRDefault="009D726B" w:rsidP="009D726B">
      <w:pPr>
        <w:shd w:val="clear" w:color="auto" w:fill="FFFFFF"/>
        <w:spacing w:after="0" w:line="240" w:lineRule="auto"/>
        <w:jc w:val="center"/>
        <w:rPr>
          <w:rFonts w:ascii="Arial" w:eastAsia="Times New Roman" w:hAnsi="Arial" w:cs="Arial"/>
          <w:color w:val="222222"/>
          <w:kern w:val="0"/>
          <w:sz w:val="48"/>
          <w:szCs w:val="48"/>
          <w14:ligatures w14:val="none"/>
        </w:rPr>
      </w:pPr>
      <w:r w:rsidRPr="00B1017A">
        <w:rPr>
          <w:rFonts w:ascii="Arial" w:eastAsia="Times New Roman" w:hAnsi="Arial" w:cs="Arial"/>
          <w:color w:val="222222"/>
          <w:kern w:val="0"/>
          <w:sz w:val="40"/>
          <w:szCs w:val="40"/>
          <w14:ligatures w14:val="none"/>
        </w:rPr>
        <w:t xml:space="preserve">LECTURER: </w:t>
      </w:r>
      <w:r>
        <w:rPr>
          <w:rFonts w:ascii="Aptos" w:hAnsi="Aptos" w:cs="Arial"/>
          <w:color w:val="222222"/>
          <w:kern w:val="24"/>
          <w:sz w:val="40"/>
          <w:szCs w:val="40"/>
        </w:rPr>
        <w:t xml:space="preserve">Dr </w:t>
      </w:r>
      <w:r>
        <w:rPr>
          <w:rFonts w:ascii="Aptos" w:eastAsia="Aptos" w:hAnsi="Aptos"/>
          <w:color w:val="000000"/>
          <w:kern w:val="24"/>
          <w:sz w:val="36"/>
          <w:szCs w:val="36"/>
        </w:rPr>
        <w:t xml:space="preserve">Doreen Nyaa </w:t>
      </w:r>
      <w:proofErr w:type="spellStart"/>
      <w:r>
        <w:rPr>
          <w:rFonts w:ascii="Aptos" w:eastAsia="Aptos" w:hAnsi="Aptos"/>
          <w:color w:val="000000"/>
          <w:kern w:val="24"/>
          <w:sz w:val="36"/>
          <w:szCs w:val="36"/>
        </w:rPr>
        <w:t>Amundam</w:t>
      </w:r>
      <w:proofErr w:type="spellEnd"/>
    </w:p>
    <w:p w14:paraId="7742145B" w14:textId="77777777" w:rsidR="009D726B" w:rsidRPr="00B1017A" w:rsidRDefault="009D726B" w:rsidP="009D726B">
      <w:pPr>
        <w:shd w:val="clear" w:color="auto" w:fill="FFFFFF"/>
        <w:spacing w:after="0" w:line="240" w:lineRule="auto"/>
        <w:jc w:val="center"/>
        <w:rPr>
          <w:rFonts w:ascii="Arial" w:eastAsia="Times New Roman" w:hAnsi="Arial" w:cs="Arial"/>
          <w:color w:val="222222"/>
          <w:kern w:val="0"/>
          <w:sz w:val="48"/>
          <w:szCs w:val="48"/>
          <w14:ligatures w14:val="none"/>
        </w:rPr>
      </w:pPr>
    </w:p>
    <w:p w14:paraId="3D13E1B7" w14:textId="77777777" w:rsidR="009D726B" w:rsidRPr="00B1017A" w:rsidRDefault="009D726B" w:rsidP="009D726B">
      <w:pPr>
        <w:shd w:val="clear" w:color="auto" w:fill="FFFFFF"/>
        <w:spacing w:after="0" w:line="240" w:lineRule="auto"/>
        <w:jc w:val="center"/>
        <w:rPr>
          <w:rFonts w:ascii="Arial" w:eastAsia="Times New Roman" w:hAnsi="Arial" w:cs="Arial"/>
          <w:color w:val="222222"/>
          <w:kern w:val="0"/>
          <w:sz w:val="48"/>
          <w:szCs w:val="48"/>
          <w14:ligatures w14:val="none"/>
        </w:rPr>
      </w:pPr>
    </w:p>
    <w:p w14:paraId="3EC710A8" w14:textId="2B0C7A18" w:rsidR="009D726B" w:rsidRPr="00B1017A" w:rsidRDefault="009D726B" w:rsidP="009D726B">
      <w:pPr>
        <w:shd w:val="clear" w:color="auto" w:fill="FFFFFF"/>
        <w:spacing w:after="0" w:line="240" w:lineRule="auto"/>
        <w:jc w:val="center"/>
        <w:rPr>
          <w:rFonts w:ascii="Arial" w:eastAsia="Times New Roman" w:hAnsi="Arial" w:cs="Arial"/>
          <w:color w:val="222222"/>
          <w:kern w:val="0"/>
          <w:sz w:val="48"/>
          <w:szCs w:val="48"/>
          <w14:ligatures w14:val="none"/>
        </w:rPr>
      </w:pPr>
      <w:r w:rsidRPr="00B1017A">
        <w:rPr>
          <w:rFonts w:ascii="Arial" w:eastAsia="Times New Roman" w:hAnsi="Arial" w:cs="Arial"/>
          <w:color w:val="222222"/>
          <w:kern w:val="0"/>
          <w:sz w:val="48"/>
          <w:szCs w:val="48"/>
          <w14:ligatures w14:val="none"/>
        </w:rPr>
        <w:t xml:space="preserve">MODULE CODE: </w:t>
      </w:r>
      <w:r>
        <w:rPr>
          <w:sz w:val="48"/>
          <w:szCs w:val="48"/>
        </w:rPr>
        <w:t>LC</w:t>
      </w:r>
      <w:r w:rsidRPr="00DF4799">
        <w:rPr>
          <w:sz w:val="48"/>
          <w:szCs w:val="48"/>
        </w:rPr>
        <w:t>LM 500</w:t>
      </w:r>
      <w:r>
        <w:rPr>
          <w:sz w:val="48"/>
          <w:szCs w:val="48"/>
        </w:rPr>
        <w:t>2</w:t>
      </w:r>
    </w:p>
    <w:p w14:paraId="75D6DB70" w14:textId="77777777" w:rsidR="009D726B" w:rsidRPr="00B1017A" w:rsidRDefault="009D726B" w:rsidP="009D726B">
      <w:pPr>
        <w:shd w:val="clear" w:color="auto" w:fill="FFFFFF"/>
        <w:spacing w:after="0" w:line="240" w:lineRule="auto"/>
        <w:rPr>
          <w:rFonts w:ascii="Arial" w:eastAsia="Times New Roman" w:hAnsi="Arial" w:cs="Arial"/>
          <w:color w:val="222222"/>
          <w:kern w:val="0"/>
          <w:sz w:val="48"/>
          <w:szCs w:val="48"/>
          <w14:ligatures w14:val="none"/>
        </w:rPr>
      </w:pPr>
    </w:p>
    <w:p w14:paraId="4EAD52CB" w14:textId="77777777" w:rsidR="009D726B" w:rsidRPr="00B1017A" w:rsidRDefault="009D726B" w:rsidP="009D726B">
      <w:pPr>
        <w:shd w:val="clear" w:color="auto" w:fill="FFFFFF"/>
        <w:spacing w:after="0" w:line="240" w:lineRule="auto"/>
        <w:jc w:val="center"/>
        <w:rPr>
          <w:rFonts w:ascii="Arial" w:eastAsia="Times New Roman" w:hAnsi="Arial" w:cs="Arial"/>
          <w:color w:val="222222"/>
          <w:kern w:val="0"/>
          <w:sz w:val="22"/>
          <w:szCs w:val="22"/>
          <w14:ligatures w14:val="none"/>
        </w:rPr>
      </w:pPr>
    </w:p>
    <w:p w14:paraId="6A4E205E" w14:textId="1372F1CF" w:rsidR="009D726B" w:rsidRPr="00B1017A" w:rsidRDefault="009D726B" w:rsidP="009D726B">
      <w:pPr>
        <w:shd w:val="clear" w:color="auto" w:fill="FFFFFF"/>
        <w:spacing w:after="0" w:line="240" w:lineRule="auto"/>
        <w:jc w:val="center"/>
        <w:rPr>
          <w:rFonts w:ascii="Arial" w:eastAsia="Times New Roman" w:hAnsi="Arial" w:cs="Arial"/>
          <w:color w:val="222222"/>
          <w:kern w:val="0"/>
          <w:sz w:val="22"/>
          <w:szCs w:val="22"/>
          <w14:ligatures w14:val="none"/>
        </w:rPr>
      </w:pPr>
      <w:r>
        <w:rPr>
          <w:rFonts w:ascii="Arial" w:eastAsia="Times New Roman" w:hAnsi="Arial" w:cs="Arial"/>
          <w:color w:val="222222"/>
          <w:kern w:val="0"/>
          <w:sz w:val="22"/>
          <w:szCs w:val="22"/>
          <w14:ligatures w14:val="none"/>
        </w:rPr>
        <w:t>TASK 2- INDIVIDUAL REPORT</w:t>
      </w:r>
    </w:p>
    <w:p w14:paraId="523CA232" w14:textId="77777777" w:rsidR="009D726B" w:rsidRPr="00B1017A" w:rsidRDefault="009D726B" w:rsidP="009D726B">
      <w:pPr>
        <w:shd w:val="clear" w:color="auto" w:fill="FFFFFF"/>
        <w:spacing w:after="0" w:line="240" w:lineRule="auto"/>
        <w:jc w:val="center"/>
        <w:rPr>
          <w:rFonts w:ascii="Arial" w:eastAsia="Times New Roman" w:hAnsi="Arial" w:cs="Arial"/>
          <w:color w:val="222222"/>
          <w:kern w:val="0"/>
          <w:sz w:val="44"/>
          <w:szCs w:val="44"/>
          <w14:ligatures w14:val="none"/>
        </w:rPr>
      </w:pPr>
    </w:p>
    <w:p w14:paraId="7B272F27" w14:textId="77777777" w:rsidR="009D726B" w:rsidRPr="00B1017A" w:rsidRDefault="009D726B" w:rsidP="009D726B">
      <w:pPr>
        <w:shd w:val="clear" w:color="auto" w:fill="FFFFFF"/>
        <w:spacing w:after="0" w:line="240" w:lineRule="auto"/>
        <w:jc w:val="center"/>
        <w:rPr>
          <w:rFonts w:ascii="Arial" w:eastAsia="Times New Roman" w:hAnsi="Arial" w:cs="Arial"/>
          <w:color w:val="222222"/>
          <w:kern w:val="0"/>
          <w:sz w:val="44"/>
          <w:szCs w:val="44"/>
          <w14:ligatures w14:val="none"/>
        </w:rPr>
      </w:pPr>
    </w:p>
    <w:p w14:paraId="2948E6F4" w14:textId="77777777" w:rsidR="009D726B" w:rsidRPr="00B1017A" w:rsidRDefault="009D726B" w:rsidP="009D726B">
      <w:pPr>
        <w:shd w:val="clear" w:color="auto" w:fill="FFFFFF"/>
        <w:spacing w:after="0" w:line="240" w:lineRule="auto"/>
        <w:jc w:val="center"/>
        <w:rPr>
          <w:rFonts w:ascii="Arial" w:eastAsia="Times New Roman" w:hAnsi="Arial" w:cs="Arial"/>
          <w:color w:val="222222"/>
          <w:kern w:val="0"/>
          <w:sz w:val="44"/>
          <w:szCs w:val="44"/>
          <w14:ligatures w14:val="none"/>
        </w:rPr>
      </w:pPr>
      <w:r w:rsidRPr="00B1017A">
        <w:rPr>
          <w:rFonts w:ascii="Arial" w:eastAsia="Times New Roman" w:hAnsi="Arial" w:cs="Arial"/>
          <w:color w:val="222222"/>
          <w:kern w:val="0"/>
          <w:sz w:val="44"/>
          <w:szCs w:val="44"/>
          <w14:ligatures w14:val="none"/>
        </w:rPr>
        <w:t>By Tesenai Bertram</w:t>
      </w:r>
    </w:p>
    <w:p w14:paraId="6CD0D4D0" w14:textId="77777777" w:rsidR="009D726B" w:rsidRPr="00B1017A" w:rsidRDefault="009D726B" w:rsidP="009D726B">
      <w:pPr>
        <w:shd w:val="clear" w:color="auto" w:fill="FFFFFF"/>
        <w:spacing w:after="0" w:line="240" w:lineRule="auto"/>
        <w:jc w:val="center"/>
        <w:rPr>
          <w:rFonts w:ascii="Arial" w:eastAsia="Times New Roman" w:hAnsi="Arial" w:cs="Arial"/>
          <w:color w:val="222222"/>
          <w:kern w:val="0"/>
          <w:sz w:val="44"/>
          <w:szCs w:val="44"/>
          <w14:ligatures w14:val="none"/>
        </w:rPr>
      </w:pPr>
      <w:r w:rsidRPr="00B1017A">
        <w:rPr>
          <w:rFonts w:ascii="Arial" w:eastAsia="Times New Roman" w:hAnsi="Arial" w:cs="Arial"/>
          <w:color w:val="222222"/>
          <w:kern w:val="0"/>
          <w:sz w:val="44"/>
          <w:szCs w:val="44"/>
          <w14:ligatures w14:val="none"/>
        </w:rPr>
        <w:t>2409</w:t>
      </w:r>
      <w:r>
        <w:rPr>
          <w:rFonts w:ascii="Arial" w:eastAsia="Times New Roman" w:hAnsi="Arial" w:cs="Arial"/>
          <w:color w:val="222222"/>
          <w:kern w:val="0"/>
          <w:sz w:val="44"/>
          <w:szCs w:val="44"/>
          <w14:ligatures w14:val="none"/>
        </w:rPr>
        <w:t>07</w:t>
      </w:r>
      <w:r w:rsidRPr="00B1017A">
        <w:rPr>
          <w:rFonts w:ascii="Arial" w:eastAsia="Times New Roman" w:hAnsi="Arial" w:cs="Arial"/>
          <w:color w:val="222222"/>
          <w:kern w:val="0"/>
          <w:sz w:val="44"/>
          <w:szCs w:val="44"/>
          <w14:ligatures w14:val="none"/>
        </w:rPr>
        <w:t>7</w:t>
      </w:r>
    </w:p>
    <w:p w14:paraId="228115EB" w14:textId="77777777" w:rsidR="009D726B" w:rsidRDefault="009D726B" w:rsidP="009D726B">
      <w:pPr>
        <w:spacing w:after="0" w:line="240" w:lineRule="auto"/>
        <w:rPr>
          <w:rFonts w:ascii="Arial" w:eastAsia="Times New Roman" w:hAnsi="Arial" w:cs="Arial"/>
          <w:color w:val="1F1F1F"/>
          <w:kern w:val="0"/>
          <w:lang w:eastAsia="en-GB"/>
          <w14:ligatures w14:val="none"/>
        </w:rPr>
      </w:pPr>
    </w:p>
    <w:p w14:paraId="4D3290A4" w14:textId="77777777" w:rsidR="009D726B" w:rsidRDefault="009D726B" w:rsidP="009D726B">
      <w:pPr>
        <w:spacing w:after="0" w:line="240" w:lineRule="auto"/>
        <w:rPr>
          <w:rFonts w:ascii="Arial" w:eastAsia="Times New Roman" w:hAnsi="Arial" w:cs="Arial"/>
          <w:color w:val="1F1F1F"/>
          <w:kern w:val="0"/>
          <w:lang w:eastAsia="en-GB"/>
          <w14:ligatures w14:val="none"/>
        </w:rPr>
      </w:pPr>
    </w:p>
    <w:p w14:paraId="27E3CD3B" w14:textId="77777777" w:rsidR="009D726B" w:rsidRDefault="009D726B" w:rsidP="009D726B">
      <w:pPr>
        <w:spacing w:after="0" w:line="240" w:lineRule="auto"/>
        <w:rPr>
          <w:rFonts w:ascii="Arial" w:eastAsia="Times New Roman" w:hAnsi="Arial" w:cs="Arial"/>
          <w:color w:val="1F1F1F"/>
          <w:kern w:val="0"/>
          <w:lang w:eastAsia="en-GB"/>
          <w14:ligatures w14:val="none"/>
        </w:rPr>
      </w:pPr>
    </w:p>
    <w:p w14:paraId="69450841" w14:textId="77777777" w:rsidR="009D726B" w:rsidRDefault="009D726B" w:rsidP="009D726B">
      <w:pPr>
        <w:spacing w:after="0" w:line="240" w:lineRule="auto"/>
        <w:rPr>
          <w:rFonts w:ascii="Arial" w:eastAsia="Times New Roman" w:hAnsi="Arial" w:cs="Arial"/>
          <w:color w:val="1F1F1F"/>
          <w:kern w:val="0"/>
          <w:lang w:eastAsia="en-GB"/>
          <w14:ligatures w14:val="none"/>
        </w:rPr>
      </w:pPr>
    </w:p>
    <w:p w14:paraId="6ED23A77" w14:textId="0A89BA7D" w:rsidR="006B5D22" w:rsidRPr="008A6231" w:rsidRDefault="006B5D22" w:rsidP="008A6231">
      <w:pPr>
        <w:spacing w:after="0" w:line="240" w:lineRule="auto"/>
        <w:jc w:val="both"/>
        <w:rPr>
          <w:rFonts w:ascii="Calibri" w:eastAsia="Calibri" w:hAnsi="Calibri" w:cs="Calibri"/>
          <w:b/>
          <w:bCs/>
          <w:color w:val="000000" w:themeColor="text1"/>
          <w:sz w:val="30"/>
          <w:szCs w:val="30"/>
        </w:rPr>
      </w:pPr>
    </w:p>
    <w:p w14:paraId="073410BC" w14:textId="2E91B031" w:rsidR="002F6365" w:rsidRPr="00B56033" w:rsidRDefault="002F6365" w:rsidP="00B56033">
      <w:pPr>
        <w:jc w:val="both"/>
        <w:rPr>
          <w:rFonts w:ascii="Arial" w:eastAsia="Times New Roman" w:hAnsi="Arial" w:cs="Arial"/>
          <w:b/>
          <w:bCs/>
          <w:color w:val="1F1F1F"/>
          <w:kern w:val="0"/>
          <w:lang w:eastAsia="en-GB"/>
          <w14:ligatures w14:val="none"/>
        </w:rPr>
      </w:pPr>
      <w:r w:rsidRPr="00B56033">
        <w:rPr>
          <w:rFonts w:ascii="Arial" w:eastAsia="Times New Roman" w:hAnsi="Arial" w:cs="Arial"/>
          <w:b/>
          <w:bCs/>
          <w:color w:val="1F1F1F"/>
          <w:kern w:val="0"/>
          <w:lang w:eastAsia="en-GB"/>
          <w14:ligatures w14:val="none"/>
        </w:rPr>
        <w:lastRenderedPageBreak/>
        <w:t>Introduction</w:t>
      </w:r>
    </w:p>
    <w:p w14:paraId="6AF79871" w14:textId="753A5AD7" w:rsidR="000577C3" w:rsidRDefault="008817B1" w:rsidP="00260BD9">
      <w:pPr>
        <w:jc w:val="both"/>
        <w:rPr>
          <w:rFonts w:ascii="Arial" w:eastAsia="Times New Roman" w:hAnsi="Arial" w:cs="Arial"/>
          <w:color w:val="1F1F1F"/>
          <w:kern w:val="0"/>
          <w:lang w:eastAsia="en-GB"/>
          <w14:ligatures w14:val="none"/>
        </w:rPr>
      </w:pPr>
      <w:r>
        <w:rPr>
          <w:rFonts w:ascii="Arial" w:eastAsia="Times New Roman" w:hAnsi="Arial" w:cs="Arial"/>
          <w:color w:val="1F1F1F"/>
          <w:kern w:val="0"/>
          <w:lang w:eastAsia="en-GB"/>
          <w14:ligatures w14:val="none"/>
        </w:rPr>
        <w:t>Recruiting an Alternative Provision (AP) Manager at Rootwings Academy requires a focused strategy to address the unique challenges of AP environments, serving students who need customised education. Strong leadership and crisis management skills are essential, alongside compliance with safeguarding and quality assurance standards. This recruitment is an opportunity to enhance the Academy's talent pool, emphasising technological advancements, talent retention, and a commitment to Diversity, Equity, and Inclusion (DEI). The report will highlight key HR challenges, evaluate modern practices, and explore how managers can implement solutions, linking HR activities to measurable outcomes and strategic frameworks.</w:t>
      </w:r>
    </w:p>
    <w:p w14:paraId="5B5FCF76" w14:textId="77777777" w:rsidR="00270465" w:rsidRDefault="00270465" w:rsidP="00B56033">
      <w:pPr>
        <w:jc w:val="both"/>
        <w:rPr>
          <w:rFonts w:ascii="Arial" w:hAnsi="Arial" w:cs="Arial"/>
          <w:b/>
          <w:bCs/>
          <w:u w:val="single"/>
        </w:rPr>
      </w:pPr>
    </w:p>
    <w:p w14:paraId="6828842D" w14:textId="4DBA97C9" w:rsidR="00270465" w:rsidRDefault="00E2309D" w:rsidP="00B56033">
      <w:pPr>
        <w:jc w:val="both"/>
        <w:rPr>
          <w:rFonts w:ascii="Arial" w:hAnsi="Arial" w:cs="Arial"/>
          <w:b/>
          <w:bCs/>
          <w:u w:val="single"/>
        </w:rPr>
      </w:pPr>
      <w:r>
        <w:rPr>
          <w:rFonts w:ascii="Arial" w:hAnsi="Arial" w:cs="Arial"/>
          <w:b/>
          <w:bCs/>
          <w:noProof/>
          <w:u w:val="single"/>
        </w:rPr>
        <w:drawing>
          <wp:inline distT="0" distB="0" distL="0" distR="0" wp14:anchorId="0A5DD49D" wp14:editId="19C3917D">
            <wp:extent cx="5731510" cy="4597400"/>
            <wp:effectExtent l="0" t="0" r="2540" b="0"/>
            <wp:docPr id="909802209" name="Picture 4">
              <a:extLst xmlns:a="http://schemas.openxmlformats.org/drawingml/2006/main">
                <a:ext uri="{FF2B5EF4-FFF2-40B4-BE49-F238E27FC236}">
                  <a16:creationId xmlns:a16="http://schemas.microsoft.com/office/drawing/2014/main" id="{264EC450-F0D7-4819-8719-4D29F0285A7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802209" name="Picture 909802209"/>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4597400"/>
                    </a:xfrm>
                    <a:prstGeom prst="rect">
                      <a:avLst/>
                    </a:prstGeom>
                  </pic:spPr>
                </pic:pic>
              </a:graphicData>
            </a:graphic>
          </wp:inline>
        </w:drawing>
      </w:r>
    </w:p>
    <w:p w14:paraId="079E3842" w14:textId="77777777" w:rsidR="00270465" w:rsidRDefault="00270465" w:rsidP="00B56033">
      <w:pPr>
        <w:jc w:val="both"/>
        <w:rPr>
          <w:rFonts w:ascii="Arial" w:hAnsi="Arial" w:cs="Arial"/>
          <w:b/>
          <w:bCs/>
          <w:u w:val="single"/>
        </w:rPr>
      </w:pPr>
    </w:p>
    <w:p w14:paraId="12F7C0EF" w14:textId="77777777" w:rsidR="008817B1" w:rsidRDefault="008817B1" w:rsidP="00B56033">
      <w:pPr>
        <w:jc w:val="both"/>
        <w:rPr>
          <w:rFonts w:ascii="Arial" w:hAnsi="Arial" w:cs="Arial"/>
          <w:b/>
          <w:bCs/>
          <w:u w:val="single"/>
        </w:rPr>
      </w:pPr>
    </w:p>
    <w:p w14:paraId="3B0C415D" w14:textId="77777777" w:rsidR="008817B1" w:rsidRDefault="008817B1" w:rsidP="00B56033">
      <w:pPr>
        <w:jc w:val="both"/>
        <w:rPr>
          <w:rFonts w:ascii="Arial" w:hAnsi="Arial" w:cs="Arial"/>
          <w:b/>
          <w:bCs/>
          <w:u w:val="single"/>
        </w:rPr>
      </w:pPr>
    </w:p>
    <w:p w14:paraId="539FCD53" w14:textId="77777777" w:rsidR="008817B1" w:rsidRDefault="008817B1" w:rsidP="00B56033">
      <w:pPr>
        <w:jc w:val="both"/>
        <w:rPr>
          <w:rFonts w:ascii="Arial" w:hAnsi="Arial" w:cs="Arial"/>
          <w:b/>
          <w:bCs/>
          <w:u w:val="single"/>
        </w:rPr>
      </w:pPr>
    </w:p>
    <w:p w14:paraId="0BA921E1" w14:textId="77777777" w:rsidR="00E2309D" w:rsidRDefault="00E2309D" w:rsidP="00B56033">
      <w:pPr>
        <w:jc w:val="both"/>
        <w:rPr>
          <w:rFonts w:ascii="Arial" w:hAnsi="Arial" w:cs="Arial"/>
          <w:b/>
          <w:bCs/>
          <w:u w:val="single"/>
        </w:rPr>
      </w:pPr>
    </w:p>
    <w:p w14:paraId="4F7D7AB3" w14:textId="3384E099" w:rsidR="009D6A7C" w:rsidRPr="00B56033" w:rsidRDefault="00C17C92" w:rsidP="00B56033">
      <w:pPr>
        <w:jc w:val="both"/>
        <w:rPr>
          <w:rFonts w:ascii="Arial" w:hAnsi="Arial" w:cs="Arial"/>
          <w:b/>
          <w:bCs/>
          <w:u w:val="single"/>
        </w:rPr>
      </w:pPr>
      <w:r w:rsidRPr="00B56033">
        <w:rPr>
          <w:rFonts w:ascii="Arial" w:hAnsi="Arial" w:cs="Arial"/>
          <w:b/>
          <w:bCs/>
          <w:u w:val="single"/>
        </w:rPr>
        <w:lastRenderedPageBreak/>
        <w:t>Key HR Challenges</w:t>
      </w:r>
    </w:p>
    <w:p w14:paraId="37A01678" w14:textId="48841D55" w:rsidR="000577C3" w:rsidRPr="00260BD9" w:rsidRDefault="000577C3" w:rsidP="00260BD9">
      <w:pPr>
        <w:spacing w:after="120" w:line="240" w:lineRule="auto"/>
        <w:jc w:val="both"/>
        <w:outlineLvl w:val="1"/>
        <w:rPr>
          <w:rFonts w:ascii="Arial" w:eastAsia="Times New Roman" w:hAnsi="Arial" w:cs="Arial"/>
          <w:b/>
          <w:bCs/>
          <w:color w:val="1F1F1F"/>
          <w:kern w:val="0"/>
          <w:lang w:eastAsia="en-GB"/>
          <w14:ligatures w14:val="none"/>
        </w:rPr>
      </w:pPr>
      <w:r w:rsidRPr="00260BD9">
        <w:rPr>
          <w:rFonts w:ascii="Arial" w:eastAsia="Times New Roman" w:hAnsi="Arial" w:cs="Arial"/>
          <w:b/>
          <w:bCs/>
          <w:color w:val="1F1F1F"/>
          <w:kern w:val="0"/>
          <w:lang w:eastAsia="en-GB"/>
          <w14:ligatures w14:val="none"/>
        </w:rPr>
        <w:t>Meeting Technological Advancement</w:t>
      </w:r>
    </w:p>
    <w:p w14:paraId="2AFA04CF" w14:textId="5EE65431" w:rsidR="00F60F34" w:rsidRPr="00260BD9" w:rsidRDefault="004F090C" w:rsidP="00260BD9">
      <w:pPr>
        <w:pStyle w:val="NormalWeb"/>
        <w:jc w:val="both"/>
        <w:rPr>
          <w:rFonts w:ascii="Arial" w:hAnsi="Arial" w:cs="Arial"/>
        </w:rPr>
      </w:pPr>
      <w:r w:rsidRPr="00260BD9">
        <w:rPr>
          <w:rFonts w:ascii="Arial" w:hAnsi="Arial" w:cs="Arial"/>
        </w:rPr>
        <w:t>Technological advancement at Rootwings Academy is essential due to pressures in the AP sector, facing volatile funding influenced by local authority commissioning and per-pupil allocations. Council budgets require demonstrable value, efficiency, and measurable student outcomes</w:t>
      </w:r>
      <w:r w:rsidR="00500EAA">
        <w:rPr>
          <w:rFonts w:ascii="Arial" w:hAnsi="Arial" w:cs="Arial"/>
        </w:rPr>
        <w:t xml:space="preserve"> (CIPD,</w:t>
      </w:r>
      <w:r w:rsidR="00797C99">
        <w:rPr>
          <w:rFonts w:ascii="Arial" w:hAnsi="Arial" w:cs="Arial"/>
        </w:rPr>
        <w:t xml:space="preserve"> </w:t>
      </w:r>
      <w:r w:rsidR="00500EAA">
        <w:rPr>
          <w:rFonts w:ascii="Arial" w:hAnsi="Arial" w:cs="Arial"/>
        </w:rPr>
        <w:t>2023).</w:t>
      </w:r>
      <w:r w:rsidRPr="00260BD9">
        <w:rPr>
          <w:rFonts w:ascii="Arial" w:hAnsi="Arial" w:cs="Arial"/>
        </w:rPr>
        <w:t xml:space="preserve"> Investing in digital HR systems, </w:t>
      </w:r>
      <w:r w:rsidR="00500EAA">
        <w:rPr>
          <w:rFonts w:ascii="Arial" w:hAnsi="Arial" w:cs="Arial"/>
        </w:rPr>
        <w:t>such as AI-driven Applicant Tracking Systems (ATS), aims to reduce administrative workload, improve</w:t>
      </w:r>
      <w:r w:rsidRPr="00260BD9">
        <w:rPr>
          <w:rFonts w:ascii="Arial" w:hAnsi="Arial" w:cs="Arial"/>
        </w:rPr>
        <w:t xml:space="preserve"> recruitment accuracy, and demonstrate cost-effectiveness to commissioners and governing bodies.</w:t>
      </w:r>
    </w:p>
    <w:p w14:paraId="128D5C57" w14:textId="2EF64529" w:rsidR="00E93CBC" w:rsidRDefault="004E68F8" w:rsidP="00260BD9">
      <w:pPr>
        <w:pStyle w:val="NormalWeb"/>
        <w:jc w:val="both"/>
        <w:rPr>
          <w:rFonts w:ascii="Arial" w:hAnsi="Arial" w:cs="Arial"/>
        </w:rPr>
      </w:pPr>
      <w:r>
        <w:rPr>
          <w:rFonts w:ascii="Arial" w:hAnsi="Arial" w:cs="Arial"/>
        </w:rPr>
        <w:t xml:space="preserve">AP environments support vulnerable learners with SEMH needs and complex safeguarding histories. The Department for Education enforces strict recruitment standards, making manual systems prone to errors. Digitised workflows and Management Information Systems (MIS) </w:t>
      </w:r>
      <w:r w:rsidR="00CD29D9">
        <w:rPr>
          <w:rFonts w:ascii="Arial" w:hAnsi="Arial" w:cs="Arial"/>
        </w:rPr>
        <w:t>such as Arbour</w:t>
      </w:r>
      <w:r>
        <w:rPr>
          <w:rFonts w:ascii="Arial" w:hAnsi="Arial" w:cs="Arial"/>
        </w:rPr>
        <w:t xml:space="preserve"> or SIMS improve compliance and traceability for Ofsted inspections.</w:t>
      </w:r>
    </w:p>
    <w:p w14:paraId="3956D5B1" w14:textId="3580A4C2" w:rsidR="00E93CBC" w:rsidRDefault="00E93CBC" w:rsidP="00260BD9">
      <w:pPr>
        <w:pStyle w:val="NormalWeb"/>
        <w:jc w:val="both"/>
        <w:rPr>
          <w:rFonts w:ascii="Arial" w:hAnsi="Arial" w:cs="Arial"/>
        </w:rPr>
      </w:pPr>
      <w:r>
        <w:rPr>
          <w:rFonts w:ascii="Arial" w:hAnsi="Arial" w:cs="Arial"/>
        </w:rPr>
        <w:t>Weak data infrastructure can harm reporting and reputations. Implementing HR technology improves recruitment efficiency and defensibility, with real-time dashboards providing key workforce metrics critical for leadership and safeguarding.</w:t>
      </w:r>
    </w:p>
    <w:p w14:paraId="5AE621C7" w14:textId="2E96AA34" w:rsidR="00F60F34" w:rsidRPr="00260BD9" w:rsidRDefault="00E93CBC" w:rsidP="00260BD9">
      <w:pPr>
        <w:pStyle w:val="NormalWeb"/>
        <w:jc w:val="both"/>
        <w:rPr>
          <w:rFonts w:ascii="Arial" w:hAnsi="Arial" w:cs="Arial"/>
        </w:rPr>
      </w:pPr>
      <w:r>
        <w:rPr>
          <w:rFonts w:ascii="Arial" w:hAnsi="Arial" w:cs="Arial"/>
        </w:rPr>
        <w:t>Technological advancement in education faces challenges due to digital capability gaps among veteran educators. While experienced AP leaders excel in relational pedagogy, they often struggle with advanced MIS and predictive analytics. It's essential to identify candidates with emotional intelligence and digital skills while upskilling current staff to prevent digital stratification in leadership.</w:t>
      </w:r>
    </w:p>
    <w:p w14:paraId="2E448C80" w14:textId="77C16744" w:rsidR="003D4D53" w:rsidRDefault="00300CF6" w:rsidP="00260BD9">
      <w:pPr>
        <w:pStyle w:val="NormalWeb"/>
        <w:jc w:val="both"/>
        <w:rPr>
          <w:rFonts w:ascii="Arial" w:hAnsi="Arial" w:cs="Arial"/>
        </w:rPr>
      </w:pPr>
      <w:r>
        <w:rPr>
          <w:rFonts w:ascii="Arial" w:hAnsi="Arial" w:cs="Arial"/>
        </w:rPr>
        <w:t>The Equality Act</w:t>
      </w:r>
      <w:r w:rsidR="00CD29D9">
        <w:rPr>
          <w:rFonts w:ascii="Arial" w:hAnsi="Arial" w:cs="Arial"/>
        </w:rPr>
        <w:t xml:space="preserve"> 2010 states that </w:t>
      </w:r>
      <w:r w:rsidR="003D4D53">
        <w:rPr>
          <w:rFonts w:ascii="Arial" w:hAnsi="Arial" w:cs="Arial"/>
        </w:rPr>
        <w:t xml:space="preserve">UK GDPR data protection obligations heighten recruitment risks involving sensitive personal data. Inadequate system configurations or </w:t>
      </w:r>
      <w:r w:rsidR="00CD29D9">
        <w:rPr>
          <w:rFonts w:ascii="Arial" w:hAnsi="Arial" w:cs="Arial"/>
        </w:rPr>
        <w:t>insufficient</w:t>
      </w:r>
      <w:r w:rsidR="003D4D53">
        <w:rPr>
          <w:rFonts w:ascii="Arial" w:hAnsi="Arial" w:cs="Arial"/>
        </w:rPr>
        <w:t xml:space="preserve"> training can lead to legal penalties and reputational damage. Therefore, any implementation of AI and ATS must incorporate strong data protection protocols, encryption, access controls, and staff training.</w:t>
      </w:r>
    </w:p>
    <w:p w14:paraId="72E98863" w14:textId="7E1D0A55" w:rsidR="003D4D53" w:rsidRDefault="003D4D53" w:rsidP="00260BD9">
      <w:pPr>
        <w:pStyle w:val="NormalWeb"/>
        <w:jc w:val="both"/>
        <w:rPr>
          <w:rFonts w:ascii="Arial" w:hAnsi="Arial" w:cs="Arial"/>
        </w:rPr>
      </w:pPr>
      <w:r>
        <w:rPr>
          <w:rFonts w:ascii="Arial" w:hAnsi="Arial" w:cs="Arial"/>
        </w:rPr>
        <w:t>The shift to hybrid learning post-pandemic poses challenges, as AP settings increasingly rely on digital platforms for students with attendance issues. The new AP Manager must possess pedagogical leadership, digital curriculum skills, digital safeguarding expertise, and remote engagement analytics to adapt to changing educational needs.</w:t>
      </w:r>
    </w:p>
    <w:p w14:paraId="7B15F1D4" w14:textId="24FFC412" w:rsidR="0000144D" w:rsidRPr="00260BD9" w:rsidRDefault="00F714DC" w:rsidP="00260BD9">
      <w:pPr>
        <w:pStyle w:val="NormalWeb"/>
        <w:jc w:val="both"/>
        <w:rPr>
          <w:rFonts w:ascii="Arial" w:hAnsi="Arial" w:cs="Arial"/>
        </w:rPr>
      </w:pPr>
      <w:r>
        <w:rPr>
          <w:rFonts w:ascii="Arial" w:hAnsi="Arial" w:cs="Arial"/>
        </w:rPr>
        <w:t xml:space="preserve">Failure to </w:t>
      </w:r>
      <w:r w:rsidR="00CD29D9">
        <w:rPr>
          <w:rFonts w:ascii="Arial" w:hAnsi="Arial" w:cs="Arial"/>
        </w:rPr>
        <w:t>modernise</w:t>
      </w:r>
      <w:r>
        <w:rPr>
          <w:rFonts w:ascii="Arial" w:hAnsi="Arial" w:cs="Arial"/>
        </w:rPr>
        <w:t xml:space="preserve"> exposes Rootwings Academy to </w:t>
      </w:r>
      <w:r w:rsidR="00CD29D9">
        <w:rPr>
          <w:rFonts w:ascii="Arial" w:hAnsi="Arial" w:cs="Arial"/>
        </w:rPr>
        <w:t xml:space="preserve">recruitment risks and inefficiencies, threatening its </w:t>
      </w:r>
      <w:r>
        <w:rPr>
          <w:rFonts w:ascii="Arial" w:hAnsi="Arial" w:cs="Arial"/>
        </w:rPr>
        <w:t>financial resilience. Embracing technology like AI-enabled ATS and digital dashboards can help navigate funding volatility, regulatory scrutiny, workforce gaps, and evolving educational models, demonstrating a commitment to innovation and effective risk management.</w:t>
      </w:r>
    </w:p>
    <w:p w14:paraId="08214768" w14:textId="77777777" w:rsidR="006152AE" w:rsidRPr="00260BD9" w:rsidRDefault="006152AE" w:rsidP="00260BD9">
      <w:pPr>
        <w:spacing w:before="100" w:beforeAutospacing="1" w:after="100" w:afterAutospacing="1" w:line="240" w:lineRule="auto"/>
        <w:jc w:val="both"/>
        <w:rPr>
          <w:rFonts w:ascii="Arial" w:eastAsia="Times New Roman" w:hAnsi="Arial" w:cs="Arial"/>
          <w:kern w:val="0"/>
          <w:lang w:eastAsia="en-GB"/>
          <w14:ligatures w14:val="none"/>
        </w:rPr>
      </w:pPr>
      <w:r w:rsidRPr="00260BD9">
        <w:rPr>
          <w:rFonts w:ascii="Arial" w:eastAsia="Times New Roman" w:hAnsi="Arial" w:cs="Arial"/>
          <w:b/>
          <w:bCs/>
          <w:kern w:val="0"/>
          <w:lang w:eastAsia="en-GB"/>
          <w14:ligatures w14:val="none"/>
        </w:rPr>
        <w:t>Talent Acquisition and Retention</w:t>
      </w:r>
    </w:p>
    <w:p w14:paraId="3938F5A0" w14:textId="5E3F7287" w:rsidR="00567DAC" w:rsidRPr="00260BD9" w:rsidRDefault="00D560FF" w:rsidP="00260BD9">
      <w:pPr>
        <w:spacing w:after="0" w:line="240" w:lineRule="auto"/>
        <w:jc w:val="both"/>
        <w:rPr>
          <w:rFonts w:ascii="Arial" w:eastAsia="Times New Roman" w:hAnsi="Arial" w:cs="Arial"/>
          <w:color w:val="1F1F1F"/>
          <w:kern w:val="0"/>
          <w:lang w:eastAsia="en-GB"/>
          <w14:ligatures w14:val="none"/>
        </w:rPr>
      </w:pPr>
      <w:r>
        <w:rPr>
          <w:rFonts w:ascii="Arial" w:eastAsia="Times New Roman" w:hAnsi="Arial" w:cs="Arial"/>
          <w:color w:val="1F1F1F"/>
          <w:kern w:val="0"/>
          <w:lang w:eastAsia="en-GB"/>
          <w14:ligatures w14:val="none"/>
        </w:rPr>
        <w:t xml:space="preserve">The UK is experiencing a recruitment and retention crisis in education, particularly in Alternative Provision (AP). The AP Manager role at Rootwings requires Qualified </w:t>
      </w:r>
      <w:r>
        <w:rPr>
          <w:rFonts w:ascii="Arial" w:eastAsia="Times New Roman" w:hAnsi="Arial" w:cs="Arial"/>
          <w:color w:val="1F1F1F"/>
          <w:kern w:val="0"/>
          <w:lang w:eastAsia="en-GB"/>
          <w14:ligatures w14:val="none"/>
        </w:rPr>
        <w:lastRenderedPageBreak/>
        <w:t>Teacher Status (QTS), expertise in Special Educational Needs and Disabilities (SEND), and strong emotional intelligence to support vulnerable students. Staffing shortages in Pupil Referral Units (PRUs) and AP settings are often underreported, underscoring the urgent need for qualified professionals to help at-risk youth.</w:t>
      </w:r>
    </w:p>
    <w:p w14:paraId="1F9D6E69" w14:textId="15AB0043" w:rsidR="00B9384E" w:rsidRPr="00260BD9" w:rsidRDefault="00D560FF" w:rsidP="00260BD9">
      <w:pPr>
        <w:pStyle w:val="NormalWeb"/>
        <w:jc w:val="both"/>
        <w:rPr>
          <w:rFonts w:ascii="Arial" w:hAnsi="Arial" w:cs="Arial"/>
        </w:rPr>
      </w:pPr>
      <w:r>
        <w:rPr>
          <w:rFonts w:ascii="Arial" w:hAnsi="Arial" w:cs="Arial"/>
        </w:rPr>
        <w:t xml:space="preserve">Attracting and retaining high-quality talent in the Alternative Provision (AP) sector is challenging, especially in the fragile UK education </w:t>
      </w:r>
      <w:r w:rsidR="00C17C92">
        <w:rPr>
          <w:rFonts w:ascii="Arial" w:hAnsi="Arial" w:cs="Arial"/>
        </w:rPr>
        <w:t>labour</w:t>
      </w:r>
      <w:r>
        <w:rPr>
          <w:rFonts w:ascii="Arial" w:hAnsi="Arial" w:cs="Arial"/>
        </w:rPr>
        <w:t xml:space="preserve"> market. Rising teacher attrition rates, particularly within the first five years, are driven by workload intensity, accountability pressures, and well-being </w:t>
      </w:r>
      <w:proofErr w:type="gramStart"/>
      <w:r w:rsidR="008817B1">
        <w:rPr>
          <w:rFonts w:ascii="Arial" w:hAnsi="Arial" w:cs="Arial"/>
        </w:rPr>
        <w:t>concerns(</w:t>
      </w:r>
      <w:proofErr w:type="gramEnd"/>
      <w:r w:rsidR="008817B1">
        <w:rPr>
          <w:rFonts w:ascii="Arial" w:hAnsi="Arial" w:cs="Arial"/>
        </w:rPr>
        <w:t>CIPD</w:t>
      </w:r>
      <w:r w:rsidR="00C579EC">
        <w:rPr>
          <w:rFonts w:ascii="Arial" w:hAnsi="Arial" w:cs="Arial"/>
        </w:rPr>
        <w:t>, 2023).</w:t>
      </w:r>
      <w:r>
        <w:rPr>
          <w:rFonts w:ascii="Arial" w:hAnsi="Arial" w:cs="Arial"/>
        </w:rPr>
        <w:t xml:space="preserve"> In AP settings, these issues are </w:t>
      </w:r>
      <w:r w:rsidR="00C17C92">
        <w:rPr>
          <w:rFonts w:ascii="Arial" w:hAnsi="Arial" w:cs="Arial"/>
        </w:rPr>
        <w:t>exacerbated, leading to</w:t>
      </w:r>
      <w:r>
        <w:rPr>
          <w:rFonts w:ascii="Arial" w:hAnsi="Arial" w:cs="Arial"/>
        </w:rPr>
        <w:t xml:space="preserve"> burnout and high staff turnover.</w:t>
      </w:r>
    </w:p>
    <w:p w14:paraId="65233E68" w14:textId="3A694D5E" w:rsidR="00B9384E" w:rsidRPr="00260BD9" w:rsidRDefault="00B9384E" w:rsidP="00260BD9">
      <w:pPr>
        <w:pStyle w:val="NormalWeb"/>
        <w:jc w:val="both"/>
        <w:rPr>
          <w:rFonts w:ascii="Arial" w:hAnsi="Arial" w:cs="Arial"/>
        </w:rPr>
      </w:pPr>
      <w:r w:rsidRPr="00260BD9">
        <w:rPr>
          <w:rFonts w:ascii="Arial" w:hAnsi="Arial" w:cs="Arial"/>
        </w:rPr>
        <w:t>At Rootwings Academy, retention must be viewed in the context of competition from mainstream schools, multi-academy trusts, and specialist SEND provisions, all vying for the same qualified leaders. The volatility of Local Authority funding in AP further complicates long-term planning and stability, potentially deterring experienced leaders.</w:t>
      </w:r>
    </w:p>
    <w:p w14:paraId="13EDCAF8" w14:textId="66DD0BCC" w:rsidR="00D52C10" w:rsidRPr="00260BD9" w:rsidRDefault="00B9384E" w:rsidP="00260BD9">
      <w:pPr>
        <w:pStyle w:val="NormalWeb"/>
        <w:jc w:val="both"/>
        <w:rPr>
          <w:rFonts w:ascii="Arial" w:hAnsi="Arial" w:cs="Arial"/>
        </w:rPr>
      </w:pPr>
      <w:r w:rsidRPr="00260BD9">
        <w:rPr>
          <w:rFonts w:ascii="Arial" w:hAnsi="Arial" w:cs="Arial"/>
        </w:rPr>
        <w:t>To address these issues, a strategic retention framework is essential. Beyond competitive salaries, a Total Reward approach that includes professional autonomy, structured CPD, clinical supervision, flexible work arrangements, and wellbeing support is crucial. Employer branding should position Rootwings as a psychologically safe and developmental environment that fosters long-term leadership resilience in a competitive labour market.</w:t>
      </w:r>
    </w:p>
    <w:p w14:paraId="60365B96" w14:textId="60047EBF" w:rsidR="00D52C10" w:rsidRPr="00260BD9" w:rsidRDefault="006152AE" w:rsidP="00260BD9">
      <w:pPr>
        <w:spacing w:before="100" w:beforeAutospacing="1" w:after="100" w:afterAutospacing="1" w:line="240" w:lineRule="auto"/>
        <w:jc w:val="both"/>
        <w:rPr>
          <w:rFonts w:ascii="Arial" w:eastAsia="Times New Roman" w:hAnsi="Arial" w:cs="Arial"/>
          <w:b/>
          <w:bCs/>
          <w:kern w:val="0"/>
          <w:lang w:eastAsia="en-GB"/>
          <w14:ligatures w14:val="none"/>
        </w:rPr>
      </w:pPr>
      <w:r w:rsidRPr="00260BD9">
        <w:rPr>
          <w:rFonts w:ascii="Arial" w:eastAsia="Times New Roman" w:hAnsi="Arial" w:cs="Arial"/>
          <w:b/>
          <w:bCs/>
          <w:kern w:val="0"/>
          <w:lang w:eastAsia="en-GB"/>
          <w14:ligatures w14:val="none"/>
        </w:rPr>
        <w:t>Diversity, Equity and Inclusion (DEI)</w:t>
      </w:r>
    </w:p>
    <w:p w14:paraId="6B86DC4E" w14:textId="01541F15" w:rsidR="00592076" w:rsidRPr="00260BD9" w:rsidRDefault="00894EA7" w:rsidP="00260BD9">
      <w:pPr>
        <w:pStyle w:val="NormalWeb"/>
        <w:jc w:val="both"/>
        <w:rPr>
          <w:rFonts w:ascii="Arial" w:hAnsi="Arial" w:cs="Arial"/>
        </w:rPr>
      </w:pPr>
      <w:r>
        <w:rPr>
          <w:rFonts w:ascii="Arial" w:hAnsi="Arial" w:cs="Arial"/>
        </w:rPr>
        <w:t xml:space="preserve">Students in AP settings often come from minority ethnic backgrounds and lower socio-economic </w:t>
      </w:r>
      <w:r w:rsidR="00573526">
        <w:rPr>
          <w:rFonts w:ascii="Arial" w:hAnsi="Arial" w:cs="Arial"/>
        </w:rPr>
        <w:t>backgrounds, yet this diversity is rarely reflected</w:t>
      </w:r>
      <w:r>
        <w:rPr>
          <w:rFonts w:ascii="Arial" w:hAnsi="Arial" w:cs="Arial"/>
        </w:rPr>
        <w:t xml:space="preserve"> in senior leadership roles. Structural inequalities, such as limited access to mentoring and qualifications, hinder advancement into headship. Additional barriers</w:t>
      </w:r>
      <w:r w:rsidR="00090869">
        <w:rPr>
          <w:rFonts w:ascii="Arial" w:hAnsi="Arial" w:cs="Arial"/>
        </w:rPr>
        <w:t>, such as unpaid leadership placements and mobility constraints,</w:t>
      </w:r>
      <w:r>
        <w:rPr>
          <w:rFonts w:ascii="Arial" w:hAnsi="Arial" w:cs="Arial"/>
        </w:rPr>
        <w:t xml:space="preserve"> further restrict access to senior positions. Thus, the underrepresentation in leadership is a systemic pipeline issue, not just a recruitment problem.</w:t>
      </w:r>
    </w:p>
    <w:p w14:paraId="689CA5B7" w14:textId="5DAF6DF7" w:rsidR="006152AE" w:rsidRPr="00260BD9" w:rsidRDefault="00372408" w:rsidP="00260BD9">
      <w:pPr>
        <w:spacing w:after="0" w:line="24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Addressing unconscious bias in recruitment through methods like blind shortlisting and diverse panels treats symptoms, not causes. While Rootwings Academy can enhance shortlisting diversity, it may not lead to meaningful senior-level representation. True DEI requires systemic changes beyond recruitment, such as structured interviews, inclusive job descriptions, proactive leadership development, mentoring for underrepresented staff, and clear promotion criteria. Monitoring DEI metrics and pay equity is essential to identify stagnation. By overcoming recruitment and structural barriers, Rootwings can advance from compliance to leadership that reflects its student community and strengthens its competitive advantage as an inclusive employer.</w:t>
      </w:r>
    </w:p>
    <w:p w14:paraId="6448E9C1" w14:textId="39159030" w:rsidR="000577C3" w:rsidRDefault="000577C3" w:rsidP="00260BD9">
      <w:pPr>
        <w:spacing w:after="0" w:line="240" w:lineRule="auto"/>
        <w:jc w:val="both"/>
        <w:rPr>
          <w:rFonts w:ascii="Arial" w:eastAsia="Times New Roman" w:hAnsi="Arial" w:cs="Arial"/>
          <w:color w:val="1F1F1F"/>
          <w:kern w:val="0"/>
          <w:lang w:eastAsia="en-GB"/>
          <w14:ligatures w14:val="none"/>
        </w:rPr>
      </w:pPr>
    </w:p>
    <w:p w14:paraId="7983884D" w14:textId="77777777" w:rsidR="004E68F8" w:rsidRDefault="004E68F8" w:rsidP="00260BD9">
      <w:pPr>
        <w:spacing w:after="0" w:line="240" w:lineRule="auto"/>
        <w:jc w:val="both"/>
        <w:rPr>
          <w:rFonts w:ascii="Arial" w:eastAsia="Times New Roman" w:hAnsi="Arial" w:cs="Arial"/>
          <w:color w:val="1F1F1F"/>
          <w:kern w:val="0"/>
          <w:lang w:eastAsia="en-GB"/>
          <w14:ligatures w14:val="none"/>
        </w:rPr>
      </w:pPr>
    </w:p>
    <w:p w14:paraId="111C51A3" w14:textId="77777777" w:rsidR="004E68F8" w:rsidRDefault="004E68F8" w:rsidP="00260BD9">
      <w:pPr>
        <w:spacing w:after="0" w:line="240" w:lineRule="auto"/>
        <w:jc w:val="both"/>
        <w:rPr>
          <w:rFonts w:ascii="Arial" w:eastAsia="Times New Roman" w:hAnsi="Arial" w:cs="Arial"/>
          <w:color w:val="1F1F1F"/>
          <w:kern w:val="0"/>
          <w:lang w:eastAsia="en-GB"/>
          <w14:ligatures w14:val="none"/>
        </w:rPr>
      </w:pPr>
    </w:p>
    <w:p w14:paraId="3ED18377" w14:textId="77777777" w:rsidR="004E68F8" w:rsidRDefault="004E68F8" w:rsidP="00260BD9">
      <w:pPr>
        <w:spacing w:after="0" w:line="240" w:lineRule="auto"/>
        <w:jc w:val="both"/>
        <w:rPr>
          <w:rFonts w:ascii="Arial" w:eastAsia="Times New Roman" w:hAnsi="Arial" w:cs="Arial"/>
          <w:color w:val="1F1F1F"/>
          <w:kern w:val="0"/>
          <w:lang w:eastAsia="en-GB"/>
          <w14:ligatures w14:val="none"/>
        </w:rPr>
      </w:pPr>
    </w:p>
    <w:p w14:paraId="42687B10" w14:textId="77777777" w:rsidR="004E68F8" w:rsidRPr="00260BD9" w:rsidRDefault="004E68F8" w:rsidP="00260BD9">
      <w:pPr>
        <w:spacing w:after="0" w:line="240" w:lineRule="auto"/>
        <w:jc w:val="both"/>
        <w:rPr>
          <w:rFonts w:ascii="Arial" w:eastAsia="Times New Roman" w:hAnsi="Arial" w:cs="Arial"/>
          <w:color w:val="1F1F1F"/>
          <w:kern w:val="0"/>
          <w:lang w:eastAsia="en-GB"/>
          <w14:ligatures w14:val="none"/>
        </w:rPr>
      </w:pPr>
    </w:p>
    <w:p w14:paraId="7254E1CA" w14:textId="0D40ACD6" w:rsidR="00270465" w:rsidRDefault="00270465" w:rsidP="00260BD9">
      <w:pPr>
        <w:spacing w:after="120" w:line="240" w:lineRule="auto"/>
        <w:jc w:val="both"/>
        <w:outlineLvl w:val="1"/>
        <w:rPr>
          <w:rFonts w:ascii="Arial" w:eastAsia="Times New Roman" w:hAnsi="Arial" w:cs="Arial"/>
          <w:b/>
          <w:bCs/>
          <w:color w:val="1F1F1F"/>
          <w:kern w:val="0"/>
          <w:u w:val="single"/>
          <w:lang w:eastAsia="en-GB"/>
          <w14:ligatures w14:val="none"/>
        </w:rPr>
      </w:pPr>
    </w:p>
    <w:p w14:paraId="396A745B" w14:textId="347743CA" w:rsidR="00C45D49" w:rsidRPr="00B56033" w:rsidRDefault="00C45D49" w:rsidP="00260BD9">
      <w:pPr>
        <w:spacing w:after="120" w:line="240" w:lineRule="auto"/>
        <w:jc w:val="both"/>
        <w:outlineLvl w:val="1"/>
        <w:rPr>
          <w:rFonts w:ascii="Arial" w:eastAsia="Times New Roman" w:hAnsi="Arial" w:cs="Arial"/>
          <w:b/>
          <w:bCs/>
          <w:color w:val="1F1F1F"/>
          <w:kern w:val="0"/>
          <w:u w:val="single"/>
          <w:lang w:eastAsia="en-GB"/>
          <w14:ligatures w14:val="none"/>
        </w:rPr>
      </w:pPr>
      <w:r w:rsidRPr="00B56033">
        <w:rPr>
          <w:rFonts w:ascii="Arial" w:eastAsia="Times New Roman" w:hAnsi="Arial" w:cs="Arial"/>
          <w:b/>
          <w:bCs/>
          <w:color w:val="1F1F1F"/>
          <w:kern w:val="0"/>
          <w:u w:val="single"/>
          <w:lang w:eastAsia="en-GB"/>
          <w14:ligatures w14:val="none"/>
        </w:rPr>
        <w:lastRenderedPageBreak/>
        <w:t>Evaluation of Contemporary HR Practices</w:t>
      </w:r>
    </w:p>
    <w:p w14:paraId="75F42389" w14:textId="77777777" w:rsidR="00200C2F" w:rsidRPr="00260BD9" w:rsidRDefault="00200C2F" w:rsidP="00260BD9">
      <w:pPr>
        <w:spacing w:after="0" w:line="240" w:lineRule="auto"/>
        <w:jc w:val="both"/>
        <w:rPr>
          <w:rFonts w:ascii="Arial" w:eastAsia="Times New Roman" w:hAnsi="Arial" w:cs="Arial"/>
          <w:kern w:val="0"/>
          <w:lang w:eastAsia="en-GB"/>
          <w14:ligatures w14:val="none"/>
        </w:rPr>
      </w:pPr>
    </w:p>
    <w:p w14:paraId="5F842FF6" w14:textId="4FDE7299" w:rsidR="00376598" w:rsidRPr="00260BD9" w:rsidRDefault="000C105E" w:rsidP="00260BD9">
      <w:pPr>
        <w:spacing w:after="0" w:line="240" w:lineRule="auto"/>
        <w:jc w:val="both"/>
        <w:rPr>
          <w:rFonts w:ascii="Arial" w:eastAsia="Times New Roman" w:hAnsi="Arial" w:cs="Arial"/>
          <w:kern w:val="0"/>
          <w:lang w:eastAsia="en-GB"/>
          <w14:ligatures w14:val="none"/>
        </w:rPr>
      </w:pPr>
      <w:r w:rsidRPr="00260BD9">
        <w:rPr>
          <w:rFonts w:ascii="Arial" w:eastAsia="Times New Roman" w:hAnsi="Arial" w:cs="Arial"/>
          <w:kern w:val="0"/>
          <w:lang w:eastAsia="en-GB"/>
          <w14:ligatures w14:val="none"/>
        </w:rPr>
        <w:t xml:space="preserve">Transitioning from traditional personnel management to Strategic Human Resource Management (SHRM) is crucial for addressing the complexities </w:t>
      </w:r>
      <w:r w:rsidR="00863CD1">
        <w:rPr>
          <w:rFonts w:ascii="Arial" w:eastAsia="Times New Roman" w:hAnsi="Arial" w:cs="Arial"/>
          <w:kern w:val="0"/>
          <w:lang w:eastAsia="en-GB"/>
          <w14:ligatures w14:val="none"/>
        </w:rPr>
        <w:t>of the alternative provision sector (Armstrong and Taylor, 2023).</w:t>
      </w:r>
      <w:r w:rsidRPr="00260BD9">
        <w:rPr>
          <w:rFonts w:ascii="Arial" w:eastAsia="Times New Roman" w:hAnsi="Arial" w:cs="Arial"/>
          <w:kern w:val="0"/>
          <w:lang w:eastAsia="en-GB"/>
          <w14:ligatures w14:val="none"/>
        </w:rPr>
        <w:t xml:space="preserve"> The following section evaluates contemporary practices to mitigate the three core issues identified.</w:t>
      </w:r>
    </w:p>
    <w:p w14:paraId="237432DE" w14:textId="77777777" w:rsidR="002D09D3" w:rsidRPr="00260BD9" w:rsidRDefault="002D09D3" w:rsidP="00260BD9">
      <w:pPr>
        <w:spacing w:after="0" w:line="240" w:lineRule="auto"/>
        <w:jc w:val="both"/>
        <w:rPr>
          <w:rFonts w:ascii="Arial" w:eastAsia="Times New Roman" w:hAnsi="Arial" w:cs="Arial"/>
          <w:kern w:val="0"/>
          <w:lang w:eastAsia="en-GB"/>
          <w14:ligatures w14:val="none"/>
        </w:rPr>
      </w:pPr>
    </w:p>
    <w:p w14:paraId="0C2F7AFC" w14:textId="6E2CB88E" w:rsidR="00F743B8" w:rsidRPr="00260BD9" w:rsidRDefault="00091E69" w:rsidP="00260BD9">
      <w:pPr>
        <w:spacing w:after="0" w:line="240" w:lineRule="auto"/>
        <w:jc w:val="both"/>
        <w:rPr>
          <w:rFonts w:ascii="Arial" w:eastAsia="Times New Roman" w:hAnsi="Arial" w:cs="Arial"/>
          <w:b/>
          <w:bCs/>
          <w:kern w:val="0"/>
          <w:lang w:eastAsia="en-GB"/>
          <w14:ligatures w14:val="none"/>
        </w:rPr>
      </w:pPr>
      <w:r w:rsidRPr="00260BD9">
        <w:rPr>
          <w:rFonts w:ascii="Arial" w:eastAsia="Times New Roman" w:hAnsi="Arial" w:cs="Arial"/>
          <w:b/>
          <w:bCs/>
          <w:kern w:val="0"/>
          <w:lang w:eastAsia="en-GB"/>
          <w14:ligatures w14:val="none"/>
        </w:rPr>
        <w:t>Meeting Technological Ad</w:t>
      </w:r>
      <w:r w:rsidR="001035AB" w:rsidRPr="00260BD9">
        <w:rPr>
          <w:rFonts w:ascii="Arial" w:eastAsia="Times New Roman" w:hAnsi="Arial" w:cs="Arial"/>
          <w:b/>
          <w:bCs/>
          <w:kern w:val="0"/>
          <w:lang w:eastAsia="en-GB"/>
          <w14:ligatures w14:val="none"/>
        </w:rPr>
        <w:t>vancement</w:t>
      </w:r>
    </w:p>
    <w:p w14:paraId="278E7AD3" w14:textId="30BE0298" w:rsidR="00091E69" w:rsidRPr="00260BD9" w:rsidRDefault="00E40524" w:rsidP="00260BD9">
      <w:pPr>
        <w:pStyle w:val="NormalWeb"/>
        <w:jc w:val="both"/>
        <w:rPr>
          <w:rFonts w:ascii="Arial" w:hAnsi="Arial" w:cs="Arial"/>
        </w:rPr>
      </w:pPr>
      <w:r>
        <w:rPr>
          <w:rFonts w:ascii="Arial" w:hAnsi="Arial" w:cs="Arial"/>
        </w:rPr>
        <w:t xml:space="preserve">The adoption of Applicant Tracking Systems (ATS) and AI tools marks a shift to data-driven workforce planning. While ATS increases efficiency by parsing CVs and ranking candidates, it poses structural risks. If based on biased historical data, ATS may perpetuate demographic imbalances, </w:t>
      </w:r>
      <w:r w:rsidR="00F07B0E">
        <w:rPr>
          <w:rFonts w:ascii="Arial" w:hAnsi="Arial" w:cs="Arial"/>
        </w:rPr>
        <w:t>favouring</w:t>
      </w:r>
      <w:r>
        <w:rPr>
          <w:rFonts w:ascii="Arial" w:hAnsi="Arial" w:cs="Arial"/>
        </w:rPr>
        <w:t xml:space="preserve"> traditional career paths linked to higher socio-economic status and elite education.</w:t>
      </w:r>
    </w:p>
    <w:p w14:paraId="200AADF2" w14:textId="4873E3F2" w:rsidR="00091E69" w:rsidRPr="00260BD9" w:rsidRDefault="00F07B0E" w:rsidP="004D62EC">
      <w:pPr>
        <w:pStyle w:val="NormalWeb"/>
        <w:jc w:val="both"/>
        <w:rPr>
          <w:rFonts w:ascii="Arial" w:hAnsi="Arial" w:cs="Arial"/>
        </w:rPr>
      </w:pPr>
      <w:r>
        <w:rPr>
          <w:rFonts w:ascii="Arial" w:hAnsi="Arial" w:cs="Arial"/>
        </w:rPr>
        <w:t>Predictive analytics can forecast candidate performance and attrition, but may be biased and oversimplify human motivation, overlooking essential contextual factors like emotional labour and safety in high-stress environments.</w:t>
      </w:r>
    </w:p>
    <w:p w14:paraId="54BFE6B8" w14:textId="77777777" w:rsidR="00091E69" w:rsidRPr="00260BD9" w:rsidRDefault="00091E69" w:rsidP="00260BD9">
      <w:pPr>
        <w:pStyle w:val="NormalWeb"/>
        <w:jc w:val="both"/>
        <w:rPr>
          <w:rFonts w:ascii="Arial" w:hAnsi="Arial" w:cs="Arial"/>
        </w:rPr>
      </w:pPr>
      <w:r w:rsidRPr="00260BD9">
        <w:rPr>
          <w:rFonts w:ascii="Arial" w:hAnsi="Arial" w:cs="Arial"/>
        </w:rPr>
        <w:t>Virtual interviews and digital assessment platforms expand geographical reach and accessibility. However, digital literacy disparities may disadvantage candidates from lower-income backgrounds or those less technologically confident, subtly filtering the applicant pool. In addition, asynchronous video tools risk privileging candidates with greater presentation confidence rather than relational leadership competence.</w:t>
      </w:r>
    </w:p>
    <w:p w14:paraId="6102F776" w14:textId="77777777" w:rsidR="00091E69" w:rsidRPr="00260BD9" w:rsidRDefault="00091E69" w:rsidP="00260BD9">
      <w:pPr>
        <w:pStyle w:val="NormalWeb"/>
        <w:jc w:val="both"/>
        <w:rPr>
          <w:rFonts w:ascii="Arial" w:hAnsi="Arial" w:cs="Arial"/>
        </w:rPr>
      </w:pPr>
      <w:r w:rsidRPr="00260BD9">
        <w:rPr>
          <w:rFonts w:ascii="Arial" w:hAnsi="Arial" w:cs="Arial"/>
        </w:rPr>
        <w:t>Employee analytics platforms enhance engagement tracking and performance management, but excessive monitoring may generate surveillance perceptions, undermining psychological safety. Therefore, technological integration at Rootwings must be accompanied by bias audits, human oversight, transparent governance, and ethical design principles. Without critical scrutiny, digital efficiency may inadvertently entrench inequality rather than resolve it.</w:t>
      </w:r>
    </w:p>
    <w:p w14:paraId="23BE586E" w14:textId="5AA59AA0" w:rsidR="00C45D49" w:rsidRPr="00260BD9" w:rsidRDefault="00C45D49" w:rsidP="00260BD9">
      <w:pPr>
        <w:spacing w:after="120" w:line="240" w:lineRule="auto"/>
        <w:jc w:val="both"/>
        <w:outlineLvl w:val="2"/>
        <w:rPr>
          <w:rFonts w:ascii="Arial" w:eastAsia="Times New Roman" w:hAnsi="Arial" w:cs="Arial"/>
          <w:b/>
          <w:bCs/>
          <w:color w:val="1F1F1F"/>
          <w:kern w:val="0"/>
          <w:lang w:eastAsia="en-GB"/>
          <w14:ligatures w14:val="none"/>
        </w:rPr>
      </w:pPr>
      <w:r w:rsidRPr="00260BD9">
        <w:rPr>
          <w:rFonts w:ascii="Arial" w:eastAsia="Times New Roman" w:hAnsi="Arial" w:cs="Arial"/>
          <w:b/>
          <w:bCs/>
          <w:color w:val="1F1F1F"/>
          <w:kern w:val="0"/>
          <w:lang w:eastAsia="en-GB"/>
          <w14:ligatures w14:val="none"/>
        </w:rPr>
        <w:t>Talent Acquisition &amp; Retention</w:t>
      </w:r>
    </w:p>
    <w:p w14:paraId="2464AF01" w14:textId="13ABD904" w:rsidR="006A3915" w:rsidRPr="006A3915" w:rsidRDefault="00810644" w:rsidP="00260BD9">
      <w:pPr>
        <w:spacing w:before="100" w:beforeAutospacing="1" w:after="100" w:afterAutospacing="1" w:line="24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In a competitive education </w:t>
      </w:r>
      <w:r w:rsidR="008817B1">
        <w:rPr>
          <w:rFonts w:ascii="Arial" w:eastAsia="Times New Roman" w:hAnsi="Arial" w:cs="Arial"/>
          <w:kern w:val="0"/>
          <w:lang w:eastAsia="en-GB"/>
          <w14:ligatures w14:val="none"/>
        </w:rPr>
        <w:t>labour</w:t>
      </w:r>
      <w:r>
        <w:rPr>
          <w:rFonts w:ascii="Arial" w:eastAsia="Times New Roman" w:hAnsi="Arial" w:cs="Arial"/>
          <w:kern w:val="0"/>
          <w:lang w:eastAsia="en-GB"/>
          <w14:ligatures w14:val="none"/>
        </w:rPr>
        <w:t xml:space="preserve"> market, salary alone is insufficient to attract or retain an Alternative Provision (AP) Manager. A Total Reward framework combining transactional and relational aspects is essential. While pay may entice applicants, intrinsic motivators like professional growth and meaningful work are crucial for long-term retention, along with structured supervision and wellbeing initiatives.</w:t>
      </w:r>
    </w:p>
    <w:p w14:paraId="46957B12" w14:textId="6218736B" w:rsidR="002A1294" w:rsidRPr="00260BD9" w:rsidRDefault="002A1294" w:rsidP="00260BD9">
      <w:pPr>
        <w:spacing w:before="100" w:beforeAutospacing="1" w:after="100" w:afterAutospacing="1" w:line="240" w:lineRule="auto"/>
        <w:jc w:val="both"/>
        <w:rPr>
          <w:rFonts w:ascii="Arial" w:eastAsia="Times New Roman" w:hAnsi="Arial" w:cs="Arial"/>
          <w:kern w:val="0"/>
          <w:lang w:eastAsia="en-GB"/>
          <w14:ligatures w14:val="none"/>
        </w:rPr>
      </w:pPr>
      <w:r w:rsidRPr="00260BD9">
        <w:rPr>
          <w:rFonts w:ascii="Arial" w:eastAsia="Times New Roman" w:hAnsi="Arial" w:cs="Arial"/>
          <w:kern w:val="0"/>
          <w:lang w:eastAsia="en-GB"/>
          <w14:ligatures w14:val="none"/>
        </w:rPr>
        <w:t>Total Reward models pose challenges, as informal distribution of development opportunities can reinforce power hierarchies, limiting advancement for underrepresented groups. Transparency in Training Needs Analysis (TNA) is crucial for equitable access to opportunities</w:t>
      </w:r>
      <w:r w:rsidR="007A6398">
        <w:rPr>
          <w:rFonts w:ascii="Arial" w:eastAsia="Times New Roman" w:hAnsi="Arial" w:cs="Arial"/>
          <w:kern w:val="0"/>
          <w:lang w:eastAsia="en-GB"/>
          <w14:ligatures w14:val="none"/>
        </w:rPr>
        <w:t xml:space="preserve"> (Torrington et </w:t>
      </w:r>
      <w:r w:rsidR="006E76F5">
        <w:rPr>
          <w:rFonts w:ascii="Arial" w:eastAsia="Times New Roman" w:hAnsi="Arial" w:cs="Arial"/>
          <w:kern w:val="0"/>
          <w:lang w:eastAsia="en-GB"/>
          <w14:ligatures w14:val="none"/>
        </w:rPr>
        <w:t>al, 2020).</w:t>
      </w:r>
    </w:p>
    <w:p w14:paraId="3380B2BC" w14:textId="40549C24" w:rsidR="006A3915" w:rsidRPr="006A3915" w:rsidRDefault="006F4D07" w:rsidP="00260BD9">
      <w:pPr>
        <w:spacing w:before="100" w:beforeAutospacing="1" w:after="100" w:afterAutospacing="1" w:line="24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Competency-based selection methods, </w:t>
      </w:r>
      <w:r w:rsidR="008817B1">
        <w:rPr>
          <w:rFonts w:ascii="Arial" w:eastAsia="Times New Roman" w:hAnsi="Arial" w:cs="Arial"/>
          <w:kern w:val="0"/>
          <w:lang w:eastAsia="en-GB"/>
          <w14:ligatures w14:val="none"/>
        </w:rPr>
        <w:t>such as micro-teaching from Kolb’s Experiential Learning Theory, enhance predictive validity by assessing skills through simulations rather than</w:t>
      </w:r>
      <w:r>
        <w:rPr>
          <w:rFonts w:ascii="Arial" w:eastAsia="Times New Roman" w:hAnsi="Arial" w:cs="Arial"/>
          <w:kern w:val="0"/>
          <w:lang w:eastAsia="en-GB"/>
          <w14:ligatures w14:val="none"/>
        </w:rPr>
        <w:t xml:space="preserve"> self-reports. However, they may disadvantage non-traditional applicants. </w:t>
      </w:r>
      <w:r w:rsidR="008817B1">
        <w:rPr>
          <w:rFonts w:ascii="Arial" w:eastAsia="Times New Roman" w:hAnsi="Arial" w:cs="Arial"/>
          <w:kern w:val="0"/>
          <w:lang w:eastAsia="en-GB"/>
          <w14:ligatures w14:val="none"/>
        </w:rPr>
        <w:t>Emphasising</w:t>
      </w:r>
      <w:r>
        <w:rPr>
          <w:rFonts w:ascii="Arial" w:eastAsia="Times New Roman" w:hAnsi="Arial" w:cs="Arial"/>
          <w:kern w:val="0"/>
          <w:lang w:eastAsia="en-GB"/>
          <w14:ligatures w14:val="none"/>
        </w:rPr>
        <w:t xml:space="preserve"> cultural fit can perpetuate homogeneity, necessitating </w:t>
      </w:r>
      <w:r>
        <w:rPr>
          <w:rFonts w:ascii="Arial" w:eastAsia="Times New Roman" w:hAnsi="Arial" w:cs="Arial"/>
          <w:kern w:val="0"/>
          <w:lang w:eastAsia="en-GB"/>
          <w14:ligatures w14:val="none"/>
        </w:rPr>
        <w:lastRenderedPageBreak/>
        <w:t xml:space="preserve">equitable implementation and transparency to prevent </w:t>
      </w:r>
      <w:r w:rsidR="008817B1">
        <w:rPr>
          <w:rFonts w:ascii="Arial" w:eastAsia="Times New Roman" w:hAnsi="Arial" w:cs="Arial"/>
          <w:kern w:val="0"/>
          <w:lang w:eastAsia="en-GB"/>
          <w14:ligatures w14:val="none"/>
        </w:rPr>
        <w:t>the reinforcement of</w:t>
      </w:r>
      <w:r>
        <w:rPr>
          <w:rFonts w:ascii="Arial" w:eastAsia="Times New Roman" w:hAnsi="Arial" w:cs="Arial"/>
          <w:kern w:val="0"/>
          <w:lang w:eastAsia="en-GB"/>
          <w14:ligatures w14:val="none"/>
        </w:rPr>
        <w:t xml:space="preserve"> leadership inequalities.</w:t>
      </w:r>
    </w:p>
    <w:p w14:paraId="3F1CC755" w14:textId="1E21CDE5" w:rsidR="00C45D49" w:rsidRPr="00260BD9" w:rsidRDefault="00C45D49" w:rsidP="00260BD9">
      <w:pPr>
        <w:spacing w:after="120" w:line="240" w:lineRule="auto"/>
        <w:jc w:val="both"/>
        <w:outlineLvl w:val="2"/>
        <w:rPr>
          <w:rFonts w:ascii="Arial" w:eastAsia="Times New Roman" w:hAnsi="Arial" w:cs="Arial"/>
          <w:b/>
          <w:bCs/>
          <w:color w:val="1F1F1F"/>
          <w:kern w:val="0"/>
          <w:lang w:eastAsia="en-GB"/>
          <w14:ligatures w14:val="none"/>
        </w:rPr>
      </w:pPr>
      <w:r w:rsidRPr="00260BD9">
        <w:rPr>
          <w:rFonts w:ascii="Arial" w:eastAsia="Times New Roman" w:hAnsi="Arial" w:cs="Arial"/>
          <w:b/>
          <w:bCs/>
          <w:color w:val="1F1F1F"/>
          <w:kern w:val="0"/>
          <w:lang w:eastAsia="en-GB"/>
          <w14:ligatures w14:val="none"/>
        </w:rPr>
        <w:t>Diversity, Equity, and Inclusion (DEI</w:t>
      </w:r>
      <w:r w:rsidR="00CB2D4C">
        <w:rPr>
          <w:rFonts w:ascii="Arial" w:eastAsia="Times New Roman" w:hAnsi="Arial" w:cs="Arial"/>
          <w:b/>
          <w:bCs/>
          <w:color w:val="1F1F1F"/>
          <w:kern w:val="0"/>
          <w:lang w:eastAsia="en-GB"/>
          <w14:ligatures w14:val="none"/>
        </w:rPr>
        <w:t>)</w:t>
      </w:r>
    </w:p>
    <w:p w14:paraId="467CC184" w14:textId="5BC72EED" w:rsidR="00F64A94" w:rsidRPr="00260BD9" w:rsidRDefault="0094751C" w:rsidP="00260BD9">
      <w:pPr>
        <w:pStyle w:val="NormalWeb"/>
        <w:jc w:val="both"/>
        <w:rPr>
          <w:rFonts w:ascii="Arial" w:hAnsi="Arial" w:cs="Arial"/>
        </w:rPr>
      </w:pPr>
      <w:r>
        <w:rPr>
          <w:rFonts w:ascii="Arial" w:hAnsi="Arial" w:cs="Arial"/>
        </w:rPr>
        <w:t xml:space="preserve">Rootwings uses a scientific recruitment approach to enhance Diversity, Equity, and Inclusion (DEI) through methods like blind shortlisting, which aim to reduce bias. However, despite improved fairness </w:t>
      </w:r>
      <w:r w:rsidR="00CD29D9">
        <w:rPr>
          <w:rFonts w:ascii="Arial" w:hAnsi="Arial" w:cs="Arial"/>
        </w:rPr>
        <w:t>in trials, minority representation at senior levels remains low, suggesting deeper structural inequalities in decision-making</w:t>
      </w:r>
      <w:r>
        <w:rPr>
          <w:rFonts w:ascii="Arial" w:hAnsi="Arial" w:cs="Arial"/>
        </w:rPr>
        <w:t>.</w:t>
      </w:r>
    </w:p>
    <w:p w14:paraId="3B18C5D6" w14:textId="4C71D721" w:rsidR="00F64A94" w:rsidRPr="00260BD9" w:rsidRDefault="00B22F33" w:rsidP="00260BD9">
      <w:pPr>
        <w:pStyle w:val="NormalWeb"/>
        <w:jc w:val="both"/>
        <w:rPr>
          <w:rFonts w:ascii="Arial" w:hAnsi="Arial" w:cs="Arial"/>
        </w:rPr>
      </w:pPr>
      <w:r>
        <w:rPr>
          <w:rFonts w:ascii="Arial" w:hAnsi="Arial" w:cs="Arial"/>
        </w:rPr>
        <w:t xml:space="preserve">Diverse interview panels are intended to </w:t>
      </w:r>
      <w:r w:rsidR="00160539">
        <w:rPr>
          <w:rFonts w:ascii="Arial" w:hAnsi="Arial" w:cs="Arial"/>
        </w:rPr>
        <w:t>minimise</w:t>
      </w:r>
      <w:r>
        <w:rPr>
          <w:rFonts w:ascii="Arial" w:hAnsi="Arial" w:cs="Arial"/>
        </w:rPr>
        <w:t xml:space="preserve"> in-group bias, </w:t>
      </w:r>
      <w:r w:rsidR="00160539">
        <w:rPr>
          <w:rFonts w:ascii="Arial" w:hAnsi="Arial" w:cs="Arial"/>
        </w:rPr>
        <w:t>in line with</w:t>
      </w:r>
      <w:r>
        <w:rPr>
          <w:rFonts w:ascii="Arial" w:hAnsi="Arial" w:cs="Arial"/>
        </w:rPr>
        <w:t xml:space="preserve"> Social Identity Theory (Tajfel and Turner, 1979). However, diversity doesn’t guarantee fair outcomes if influenced by dominant </w:t>
      </w:r>
      <w:r w:rsidR="00160539">
        <w:rPr>
          <w:rFonts w:ascii="Arial" w:hAnsi="Arial" w:cs="Arial"/>
        </w:rPr>
        <w:t>organisational</w:t>
      </w:r>
      <w:r>
        <w:rPr>
          <w:rFonts w:ascii="Arial" w:hAnsi="Arial" w:cs="Arial"/>
        </w:rPr>
        <w:t xml:space="preserve"> norms. Without shared authority and structured scoring, panel diversity might remain symbolic rather than transformative.</w:t>
      </w:r>
    </w:p>
    <w:p w14:paraId="406A7743" w14:textId="1F6BE178" w:rsidR="00F64A94" w:rsidRPr="00260BD9" w:rsidRDefault="00160539" w:rsidP="00260BD9">
      <w:pPr>
        <w:pStyle w:val="NormalWeb"/>
        <w:jc w:val="both"/>
        <w:rPr>
          <w:rFonts w:ascii="Arial" w:hAnsi="Arial" w:cs="Arial"/>
        </w:rPr>
      </w:pPr>
      <w:r>
        <w:rPr>
          <w:rFonts w:ascii="Arial" w:hAnsi="Arial" w:cs="Arial"/>
        </w:rPr>
        <w:t xml:space="preserve">The distinction between equity and equality is </w:t>
      </w:r>
      <w:r w:rsidR="00CD29D9">
        <w:rPr>
          <w:rFonts w:ascii="Arial" w:hAnsi="Arial" w:cs="Arial"/>
        </w:rPr>
        <w:t>essential</w:t>
      </w:r>
      <w:r>
        <w:rPr>
          <w:rFonts w:ascii="Arial" w:hAnsi="Arial" w:cs="Arial"/>
        </w:rPr>
        <w:t xml:space="preserve">. Reasonable adjustments align with the Equality Act 2010 and reflect Adams’ (1965) Equity Theory, which emphasises fairness through proportional treatment. However, unclear equity practices may lead to perceptions of favouritism, threatening </w:t>
      </w:r>
      <w:r w:rsidR="00D00456">
        <w:rPr>
          <w:rFonts w:ascii="Arial" w:hAnsi="Arial" w:cs="Arial"/>
        </w:rPr>
        <w:t>organisational</w:t>
      </w:r>
      <w:r>
        <w:rPr>
          <w:rFonts w:ascii="Arial" w:hAnsi="Arial" w:cs="Arial"/>
        </w:rPr>
        <w:t xml:space="preserve"> cohesion due to opacity.</w:t>
      </w:r>
    </w:p>
    <w:p w14:paraId="4F6E1AFB" w14:textId="30441185" w:rsidR="00F64A94" w:rsidRPr="00260BD9" w:rsidRDefault="00D00456" w:rsidP="00260BD9">
      <w:pPr>
        <w:pStyle w:val="NormalWeb"/>
        <w:jc w:val="both"/>
        <w:rPr>
          <w:rFonts w:ascii="Arial" w:hAnsi="Arial" w:cs="Arial"/>
        </w:rPr>
      </w:pPr>
      <w:r>
        <w:rPr>
          <w:rFonts w:ascii="Arial" w:hAnsi="Arial" w:cs="Arial"/>
        </w:rPr>
        <w:t>Language auditing of job ads, using software to eliminate gender-coded terms, can broaden applicant pools. However, without focusing on progression pathways, mentoring, and promotion criteria, these efforts may be merely performative (Muller, 2018). Rootwings demonstrates procedural fairness, but meaningful change necessitates structural reforms that influence leadership representation and organisational culture.</w:t>
      </w:r>
    </w:p>
    <w:p w14:paraId="6D409DA5" w14:textId="74D6D6CC" w:rsidR="004342CC" w:rsidRDefault="00D00456" w:rsidP="00260BD9">
      <w:pPr>
        <w:spacing w:after="240" w:line="240" w:lineRule="auto"/>
        <w:jc w:val="both"/>
        <w:rPr>
          <w:rFonts w:ascii="Arial" w:eastAsia="Times New Roman" w:hAnsi="Arial" w:cs="Arial"/>
          <w:color w:val="1F1F1F"/>
          <w:kern w:val="0"/>
          <w:lang w:eastAsia="en-GB"/>
          <w14:ligatures w14:val="none"/>
        </w:rPr>
      </w:pPr>
      <w:r>
        <w:rPr>
          <w:rFonts w:ascii="Arial" w:eastAsia="Times New Roman" w:hAnsi="Arial" w:cs="Arial"/>
          <w:color w:val="1F1F1F"/>
          <w:kern w:val="0"/>
          <w:lang w:eastAsia="en-GB"/>
          <w14:ligatures w14:val="none"/>
        </w:rPr>
        <w:t>Rootwings Academy's contemporary HR practices focus on creating a resilient, tech-savvy, and inclusive workforce ready to meet the unique challenges of the alternative provision sector. The effectiveness of these practices can be evaluated using strategic performance frameworks, such as the Balanced Scorecard.</w:t>
      </w:r>
    </w:p>
    <w:p w14:paraId="5FBF584C" w14:textId="77777777" w:rsidR="0094751C" w:rsidRDefault="0094751C" w:rsidP="00260BD9">
      <w:pPr>
        <w:spacing w:after="240" w:line="240" w:lineRule="auto"/>
        <w:jc w:val="both"/>
        <w:rPr>
          <w:rFonts w:ascii="Arial" w:eastAsia="Times New Roman" w:hAnsi="Arial" w:cs="Arial"/>
          <w:color w:val="1F1F1F"/>
          <w:kern w:val="0"/>
          <w:lang w:eastAsia="en-GB"/>
          <w14:ligatures w14:val="none"/>
        </w:rPr>
      </w:pPr>
    </w:p>
    <w:p w14:paraId="2913C193" w14:textId="77777777" w:rsidR="0094751C" w:rsidRDefault="0094751C" w:rsidP="00260BD9">
      <w:pPr>
        <w:spacing w:after="240" w:line="240" w:lineRule="auto"/>
        <w:jc w:val="both"/>
        <w:rPr>
          <w:rFonts w:ascii="Arial" w:eastAsia="Times New Roman" w:hAnsi="Arial" w:cs="Arial"/>
          <w:color w:val="1F1F1F"/>
          <w:kern w:val="0"/>
          <w:lang w:eastAsia="en-GB"/>
          <w14:ligatures w14:val="none"/>
        </w:rPr>
      </w:pPr>
    </w:p>
    <w:p w14:paraId="7780D534" w14:textId="77777777" w:rsidR="0094751C" w:rsidRDefault="0094751C" w:rsidP="00260BD9">
      <w:pPr>
        <w:spacing w:after="240" w:line="240" w:lineRule="auto"/>
        <w:jc w:val="both"/>
        <w:rPr>
          <w:rFonts w:ascii="Arial" w:eastAsia="Times New Roman" w:hAnsi="Arial" w:cs="Arial"/>
          <w:color w:val="1F1F1F"/>
          <w:kern w:val="0"/>
          <w:lang w:eastAsia="en-GB"/>
          <w14:ligatures w14:val="none"/>
        </w:rPr>
      </w:pPr>
    </w:p>
    <w:p w14:paraId="20798888" w14:textId="77777777" w:rsidR="00F07B0E" w:rsidRDefault="00F07B0E" w:rsidP="00260BD9">
      <w:pPr>
        <w:spacing w:after="240" w:line="240" w:lineRule="auto"/>
        <w:jc w:val="both"/>
        <w:rPr>
          <w:rFonts w:ascii="Arial" w:eastAsia="Times New Roman" w:hAnsi="Arial" w:cs="Arial"/>
          <w:color w:val="1F1F1F"/>
          <w:kern w:val="0"/>
          <w:lang w:eastAsia="en-GB"/>
          <w14:ligatures w14:val="none"/>
        </w:rPr>
      </w:pPr>
    </w:p>
    <w:p w14:paraId="1296BDE7" w14:textId="77777777" w:rsidR="00F07B0E" w:rsidRDefault="00F07B0E" w:rsidP="00260BD9">
      <w:pPr>
        <w:spacing w:after="240" w:line="240" w:lineRule="auto"/>
        <w:jc w:val="both"/>
        <w:rPr>
          <w:rFonts w:ascii="Arial" w:eastAsia="Times New Roman" w:hAnsi="Arial" w:cs="Arial"/>
          <w:color w:val="1F1F1F"/>
          <w:kern w:val="0"/>
          <w:lang w:eastAsia="en-GB"/>
          <w14:ligatures w14:val="none"/>
        </w:rPr>
      </w:pPr>
    </w:p>
    <w:p w14:paraId="67387AB9" w14:textId="77777777" w:rsidR="00F07B0E" w:rsidRDefault="00F07B0E" w:rsidP="00260BD9">
      <w:pPr>
        <w:spacing w:after="240" w:line="240" w:lineRule="auto"/>
        <w:jc w:val="both"/>
        <w:rPr>
          <w:rFonts w:ascii="Arial" w:eastAsia="Times New Roman" w:hAnsi="Arial" w:cs="Arial"/>
          <w:color w:val="1F1F1F"/>
          <w:kern w:val="0"/>
          <w:lang w:eastAsia="en-GB"/>
          <w14:ligatures w14:val="none"/>
        </w:rPr>
      </w:pPr>
    </w:p>
    <w:p w14:paraId="5FBBEB56" w14:textId="77777777" w:rsidR="008817B1" w:rsidRDefault="008817B1" w:rsidP="00260BD9">
      <w:pPr>
        <w:spacing w:after="240" w:line="240" w:lineRule="auto"/>
        <w:jc w:val="both"/>
        <w:rPr>
          <w:rFonts w:ascii="Arial" w:eastAsia="Times New Roman" w:hAnsi="Arial" w:cs="Arial"/>
          <w:color w:val="1F1F1F"/>
          <w:kern w:val="0"/>
          <w:lang w:eastAsia="en-GB"/>
          <w14:ligatures w14:val="none"/>
        </w:rPr>
      </w:pPr>
    </w:p>
    <w:p w14:paraId="43DF39D2" w14:textId="77777777" w:rsidR="00F07B0E" w:rsidRPr="00260BD9" w:rsidRDefault="00F07B0E" w:rsidP="00260BD9">
      <w:pPr>
        <w:spacing w:after="240" w:line="240" w:lineRule="auto"/>
        <w:jc w:val="both"/>
        <w:rPr>
          <w:rFonts w:ascii="Arial" w:eastAsia="Times New Roman" w:hAnsi="Arial" w:cs="Arial"/>
          <w:color w:val="1F1F1F"/>
          <w:kern w:val="0"/>
          <w:lang w:eastAsia="en-GB"/>
          <w14:ligatures w14:val="none"/>
        </w:rPr>
      </w:pPr>
    </w:p>
    <w:p w14:paraId="45F83ACB" w14:textId="77777777" w:rsidR="00590B1E" w:rsidRDefault="00590B1E" w:rsidP="00260BD9">
      <w:pPr>
        <w:spacing w:after="240" w:line="240" w:lineRule="auto"/>
        <w:jc w:val="both"/>
        <w:rPr>
          <w:rFonts w:ascii="Arial" w:eastAsia="Times New Roman" w:hAnsi="Arial" w:cs="Arial"/>
          <w:color w:val="1F1F1F"/>
          <w:kern w:val="0"/>
          <w:lang w:eastAsia="en-GB"/>
          <w14:ligatures w14:val="none"/>
        </w:rPr>
      </w:pPr>
    </w:p>
    <w:p w14:paraId="76C6AE30" w14:textId="1E1C7D1B" w:rsidR="00FF7C91" w:rsidRPr="00F4620F" w:rsidRDefault="00FF7C91" w:rsidP="00260BD9">
      <w:pPr>
        <w:spacing w:before="100" w:beforeAutospacing="1" w:after="100" w:afterAutospacing="1" w:line="240" w:lineRule="auto"/>
        <w:jc w:val="both"/>
        <w:outlineLvl w:val="0"/>
        <w:rPr>
          <w:rFonts w:ascii="Arial" w:eastAsia="Times New Roman" w:hAnsi="Arial" w:cs="Arial"/>
          <w:b/>
          <w:bCs/>
          <w:kern w:val="36"/>
          <w:u w:val="single"/>
          <w:lang w:eastAsia="en-GB"/>
          <w14:ligatures w14:val="none"/>
        </w:rPr>
      </w:pPr>
      <w:r w:rsidRPr="00F4620F">
        <w:rPr>
          <w:rFonts w:ascii="Arial" w:eastAsia="Times New Roman" w:hAnsi="Arial" w:cs="Arial"/>
          <w:b/>
          <w:bCs/>
          <w:kern w:val="36"/>
          <w:u w:val="single"/>
          <w:lang w:eastAsia="en-GB"/>
          <w14:ligatures w14:val="none"/>
        </w:rPr>
        <w:lastRenderedPageBreak/>
        <w:t>A Critical Evaluation of How Departmental Managers at Rootwings Academy Can Ensure Urgent Implementation of Contemporary HR Practices</w:t>
      </w:r>
    </w:p>
    <w:p w14:paraId="3F156A43" w14:textId="50040BE4" w:rsidR="00FF7C91" w:rsidRPr="00260BD9" w:rsidRDefault="006D2BAF" w:rsidP="00260BD9">
      <w:pPr>
        <w:spacing w:before="100" w:beforeAutospacing="1" w:after="100" w:afterAutospacing="1" w:line="24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Rootwings Academy needs modern HR practices to support digital transformation, DEI, and quality leadership</w:t>
      </w:r>
      <w:r w:rsidR="00F4620F">
        <w:rPr>
          <w:rFonts w:ascii="Arial" w:eastAsia="Times New Roman" w:hAnsi="Arial" w:cs="Arial"/>
          <w:kern w:val="0"/>
          <w:lang w:eastAsia="en-GB"/>
          <w14:ligatures w14:val="none"/>
        </w:rPr>
        <w:t>, such as</w:t>
      </w:r>
      <w:r>
        <w:rPr>
          <w:rFonts w:ascii="Arial" w:eastAsia="Times New Roman" w:hAnsi="Arial" w:cs="Arial"/>
          <w:kern w:val="0"/>
          <w:lang w:eastAsia="en-GB"/>
          <w14:ligatures w14:val="none"/>
        </w:rPr>
        <w:t xml:space="preserve"> the AP Manager. Factors such as accountability and </w:t>
      </w:r>
      <w:r w:rsidR="00F4620F">
        <w:rPr>
          <w:rFonts w:ascii="Arial" w:eastAsia="Times New Roman" w:hAnsi="Arial" w:cs="Arial"/>
          <w:kern w:val="0"/>
          <w:lang w:eastAsia="en-GB"/>
          <w14:ligatures w14:val="none"/>
        </w:rPr>
        <w:t>labour</w:t>
      </w:r>
      <w:r>
        <w:rPr>
          <w:rFonts w:ascii="Arial" w:eastAsia="Times New Roman" w:hAnsi="Arial" w:cs="Arial"/>
          <w:kern w:val="0"/>
          <w:lang w:eastAsia="en-GB"/>
          <w14:ligatures w14:val="none"/>
        </w:rPr>
        <w:t xml:space="preserve"> market instability create a limited “window of opportunity” for reform. Kotter (1996) </w:t>
      </w:r>
      <w:r w:rsidR="00F4620F">
        <w:rPr>
          <w:rFonts w:ascii="Arial" w:eastAsia="Times New Roman" w:hAnsi="Arial" w:cs="Arial"/>
          <w:kern w:val="0"/>
          <w:lang w:eastAsia="en-GB"/>
          <w14:ligatures w14:val="none"/>
        </w:rPr>
        <w:t>emphasises</w:t>
      </w:r>
      <w:r>
        <w:rPr>
          <w:rFonts w:ascii="Arial" w:eastAsia="Times New Roman" w:hAnsi="Arial" w:cs="Arial"/>
          <w:kern w:val="0"/>
          <w:lang w:eastAsia="en-GB"/>
          <w14:ligatures w14:val="none"/>
        </w:rPr>
        <w:t xml:space="preserve"> that successful change starts with a strong sense of urgency to counter complacency. In education, reforms are often slow due to tradition and autonomy, so urgency must be managed to prevent mere symbolic compliance. Departmental managers are crucial for effectively implementing these policies.</w:t>
      </w:r>
    </w:p>
    <w:p w14:paraId="1FF1B60A" w14:textId="57050737" w:rsidR="00F4620F" w:rsidRDefault="00F4620F" w:rsidP="00260BD9">
      <w:pPr>
        <w:spacing w:before="100" w:beforeAutospacing="1" w:after="100" w:afterAutospacing="1" w:line="24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Rootwings must ethically govern AI-driven recruitment and Applicant Tracking Systems (ATS) to avoid perpetuating biases (Raghavan et al., 2020). Managers should implement oversight, conduct bias audits, and maintain human authority in selections. Integrating AI governance indicators into the Balanced Scorecard can measure digital adoption in terms of fairness and quality, but </w:t>
      </w:r>
      <w:r w:rsidR="00CD29D9">
        <w:rPr>
          <w:rFonts w:ascii="Arial" w:eastAsia="Times New Roman" w:hAnsi="Arial" w:cs="Arial"/>
          <w:kern w:val="0"/>
          <w:lang w:eastAsia="en-GB"/>
          <w14:ligatures w14:val="none"/>
        </w:rPr>
        <w:t>qualitative reviews should complement it</w:t>
      </w:r>
      <w:r>
        <w:rPr>
          <w:rFonts w:ascii="Arial" w:eastAsia="Times New Roman" w:hAnsi="Arial" w:cs="Arial"/>
          <w:kern w:val="0"/>
          <w:lang w:eastAsia="en-GB"/>
          <w14:ligatures w14:val="none"/>
        </w:rPr>
        <w:t xml:space="preserve"> to prevent performative accountability (Muller, 2018).</w:t>
      </w:r>
    </w:p>
    <w:p w14:paraId="525CC6A6" w14:textId="014FA366" w:rsidR="00F4620F" w:rsidRDefault="00F4620F" w:rsidP="00260BD9">
      <w:pPr>
        <w:spacing w:before="100" w:beforeAutospacing="1" w:after="100" w:afterAutospacing="1" w:line="24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Purcell and Hutchinson (2007) emphasise the role of front-line managers in shaping HRM performance. Resistance from middle managers to reforms, such as blind shortlisting, may arise due to perceived threats to norms. Social Identity Theory (Tajfel and Turner, 1979) highlights how in-group dynamics can hinder inclusion, underscoring the need for transparent communication about equity-based changes (Adams, 1965).</w:t>
      </w:r>
    </w:p>
    <w:p w14:paraId="260FB6DC" w14:textId="28969AF8" w:rsidR="00F4620F" w:rsidRDefault="00F4620F" w:rsidP="00260BD9">
      <w:pPr>
        <w:spacing w:before="100" w:beforeAutospacing="1" w:after="100" w:afterAutospacing="1" w:line="24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Retention strategies should focus on a Total Reward approach that combines competitive pay, professional development, wellbeing initiatives, and recognition. Herzberg’s Two-Factor Theory (1959) indicates that intrinsic motivators drive engagement more sustainably than financial incentives. Development opportunities must be equitably available, especially for underrepresented groups, as inclusive management is essential.</w:t>
      </w:r>
    </w:p>
    <w:p w14:paraId="5259E4E0" w14:textId="0F56A16A" w:rsidR="00C74D67" w:rsidRPr="00260BD9" w:rsidRDefault="00F4620F" w:rsidP="00260BD9">
      <w:pPr>
        <w:spacing w:before="100" w:beforeAutospacing="1" w:after="100" w:afterAutospacing="1" w:line="240" w:lineRule="auto"/>
        <w:jc w:val="both"/>
        <w:rPr>
          <w:rFonts w:ascii="Arial" w:hAnsi="Arial" w:cs="Arial"/>
        </w:rPr>
      </w:pPr>
      <w:r>
        <w:rPr>
          <w:rFonts w:ascii="Arial" w:eastAsia="Times New Roman" w:hAnsi="Arial" w:cs="Arial"/>
          <w:kern w:val="0"/>
          <w:lang w:eastAsia="en-GB"/>
          <w14:ligatures w14:val="none"/>
        </w:rPr>
        <w:t>Resistance from middle managers and reform fatigue pose challenges. Kotter (1996) notes that a lack of visible short-term wins can dampen momentum. To sustain engagement, Rootwings should implement changes in stages, demonstrating benefits such as reduced time-to-hire and improved compliance metrics.</w:t>
      </w:r>
    </w:p>
    <w:p w14:paraId="47C97BD1" w14:textId="1D1D7578" w:rsidR="000B3D46" w:rsidRPr="00260BD9" w:rsidRDefault="000B3D46" w:rsidP="00260BD9">
      <w:pPr>
        <w:pStyle w:val="NormalWeb"/>
        <w:jc w:val="both"/>
        <w:rPr>
          <w:rFonts w:ascii="Arial" w:hAnsi="Arial" w:cs="Arial"/>
        </w:rPr>
      </w:pPr>
      <w:r w:rsidRPr="00260BD9">
        <w:rPr>
          <w:rFonts w:ascii="Arial" w:hAnsi="Arial" w:cs="Arial"/>
        </w:rPr>
        <w:t xml:space="preserve">The Four-Stage Learning Agreement provides a structured implementation mechanism by clarifying expectations, diagnosing digital and DEI capability gaps, applying reforms in practice, and reviewing outcomes. This embeds accountability at the managerial level, preventing HR modernisation from remaining </w:t>
      </w:r>
      <w:r w:rsidR="00A5518F" w:rsidRPr="00260BD9">
        <w:rPr>
          <w:rFonts w:ascii="Arial" w:hAnsi="Arial" w:cs="Arial"/>
        </w:rPr>
        <w:t xml:space="preserve">an </w:t>
      </w:r>
      <w:r w:rsidRPr="00260BD9">
        <w:rPr>
          <w:rFonts w:ascii="Arial" w:hAnsi="Arial" w:cs="Arial"/>
        </w:rPr>
        <w:t>abstract strategy.</w:t>
      </w:r>
    </w:p>
    <w:p w14:paraId="33A43BA7" w14:textId="77777777" w:rsidR="00A5518F" w:rsidRPr="00260BD9" w:rsidRDefault="00A5518F" w:rsidP="00260BD9">
      <w:pPr>
        <w:pStyle w:val="NormalWeb"/>
        <w:jc w:val="both"/>
        <w:rPr>
          <w:rFonts w:ascii="Arial" w:hAnsi="Arial" w:cs="Arial"/>
        </w:rPr>
      </w:pPr>
      <w:r w:rsidRPr="00260BD9">
        <w:rPr>
          <w:rFonts w:ascii="Arial" w:hAnsi="Arial" w:cs="Arial"/>
        </w:rPr>
        <w:t xml:space="preserve">Urgency is crucial for Rootwings Academy, as delays in implementing contemporary HR practices may weaken its competitive position, heighten safeguarding exposure, and increase vulnerability during inspection. However, urgency must be balanced with ethical scrutiny and cultural engagement to prevent superficial or reactive reform. When departmental managers actively embrace their role as HR agents—translating strategic objectives into consistent, accountable practice—HR reforms can evolve </w:t>
      </w:r>
      <w:r w:rsidRPr="00260BD9">
        <w:rPr>
          <w:rFonts w:ascii="Arial" w:hAnsi="Arial" w:cs="Arial"/>
        </w:rPr>
        <w:lastRenderedPageBreak/>
        <w:t>from symbolic compliance into sustainable organisational transformation (Purcell and Hutchinson, 2007).</w:t>
      </w:r>
    </w:p>
    <w:p w14:paraId="3E914637" w14:textId="3A310443" w:rsidR="00A5518F" w:rsidRPr="00260BD9" w:rsidRDefault="00F4620F" w:rsidP="00260BD9">
      <w:pPr>
        <w:pStyle w:val="NormalWeb"/>
        <w:jc w:val="both"/>
        <w:rPr>
          <w:rFonts w:ascii="Arial" w:hAnsi="Arial" w:cs="Arial"/>
        </w:rPr>
      </w:pPr>
      <w:r>
        <w:rPr>
          <w:rFonts w:ascii="Arial" w:hAnsi="Arial" w:cs="Arial"/>
        </w:rPr>
        <w:t>Effective communication of the DEI rationale is crucial to avoid misinterpretations of equity-based interventions. Adams’ (1965) Equity Theory suggests that perceptions of fairness depend on the proportionality between inputs and outcomes, rather than on identical treatment. Therefore, departmental managers should transparently articulate the justification for differentiated support mechanisms, using data dashboards, stakeholder briefings, and performance evidence to build legitimacy and sustain trust.</w:t>
      </w:r>
    </w:p>
    <w:p w14:paraId="7292D406" w14:textId="0C471119" w:rsidR="002D62C7" w:rsidRDefault="002D62C7" w:rsidP="00260BD9">
      <w:pPr>
        <w:spacing w:before="100" w:beforeAutospacing="1" w:after="100" w:afterAutospacing="1" w:line="240" w:lineRule="auto"/>
        <w:jc w:val="both"/>
        <w:rPr>
          <w:rFonts w:ascii="Arial" w:eastAsia="Times New Roman" w:hAnsi="Arial" w:cs="Arial"/>
          <w:b/>
          <w:bCs/>
          <w:kern w:val="0"/>
          <w:lang w:eastAsia="en-GB"/>
          <w14:ligatures w14:val="none"/>
        </w:rPr>
      </w:pPr>
    </w:p>
    <w:p w14:paraId="03D6E8DB" w14:textId="613977F1" w:rsidR="002D62C7" w:rsidRDefault="002D62C7" w:rsidP="00260BD9">
      <w:pPr>
        <w:spacing w:before="100" w:beforeAutospacing="1" w:after="100" w:afterAutospacing="1" w:line="240" w:lineRule="auto"/>
        <w:jc w:val="both"/>
        <w:rPr>
          <w:rFonts w:ascii="Arial" w:eastAsia="Times New Roman" w:hAnsi="Arial" w:cs="Arial"/>
          <w:b/>
          <w:bCs/>
          <w:kern w:val="0"/>
          <w:lang w:eastAsia="en-GB"/>
          <w14:ligatures w14:val="none"/>
        </w:rPr>
      </w:pPr>
    </w:p>
    <w:p w14:paraId="0333EE9B" w14:textId="1D679E70" w:rsidR="002D62C7" w:rsidRDefault="00494924" w:rsidP="00260BD9">
      <w:pPr>
        <w:spacing w:before="100" w:beforeAutospacing="1" w:after="100" w:afterAutospacing="1" w:line="240" w:lineRule="auto"/>
        <w:jc w:val="both"/>
        <w:rPr>
          <w:rFonts w:ascii="Arial" w:eastAsia="Times New Roman" w:hAnsi="Arial" w:cs="Arial"/>
          <w:b/>
          <w:bCs/>
          <w:kern w:val="0"/>
          <w:lang w:eastAsia="en-GB"/>
          <w14:ligatures w14:val="none"/>
        </w:rPr>
      </w:pPr>
      <w:r>
        <w:rPr>
          <w:rFonts w:ascii="Arial" w:eastAsia="Times New Roman" w:hAnsi="Arial" w:cs="Arial"/>
          <w:b/>
          <w:bCs/>
          <w:noProof/>
          <w:kern w:val="0"/>
          <w:lang w:eastAsia="en-GB"/>
        </w:rPr>
        <w:drawing>
          <wp:anchor distT="0" distB="0" distL="114300" distR="114300" simplePos="0" relativeHeight="251658241" behindDoc="0" locked="0" layoutInCell="1" allowOverlap="1" wp14:anchorId="34E14C28" wp14:editId="2738DC28">
            <wp:simplePos x="0" y="0"/>
            <wp:positionH relativeFrom="margin">
              <wp:posOffset>-327660</wp:posOffset>
            </wp:positionH>
            <wp:positionV relativeFrom="margin">
              <wp:posOffset>2682240</wp:posOffset>
            </wp:positionV>
            <wp:extent cx="6248400" cy="4757420"/>
            <wp:effectExtent l="0" t="0" r="0" b="5080"/>
            <wp:wrapSquare wrapText="bothSides"/>
            <wp:docPr id="17416723" name="Picture 2">
              <a:extLst xmlns:a="http://schemas.openxmlformats.org/drawingml/2006/main">
                <a:ext uri="{FF2B5EF4-FFF2-40B4-BE49-F238E27FC236}">
                  <a16:creationId xmlns:a16="http://schemas.microsoft.com/office/drawing/2014/main" id="{D712691B-72C3-4FCF-8CF2-901758FF6CF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6723" name="Picture 17416723"/>
                    <pic:cNvPicPr/>
                  </pic:nvPicPr>
                  <pic:blipFill rotWithShape="1">
                    <a:blip r:embed="rId8" cstate="print">
                      <a:extLst>
                        <a:ext uri="{28A0092B-C50C-407E-A947-70E740481C1C}">
                          <a14:useLocalDpi xmlns:a14="http://schemas.microsoft.com/office/drawing/2010/main" val="0"/>
                        </a:ext>
                      </a:extLst>
                    </a:blip>
                    <a:srcRect l="1746" r="2803"/>
                    <a:stretch>
                      <a:fillRect/>
                    </a:stretch>
                  </pic:blipFill>
                  <pic:spPr bwMode="auto">
                    <a:xfrm>
                      <a:off x="0" y="0"/>
                      <a:ext cx="6248400" cy="47574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A65F63C" w14:textId="77777777" w:rsidR="002D62C7" w:rsidRDefault="002D62C7" w:rsidP="00260BD9">
      <w:pPr>
        <w:spacing w:before="100" w:beforeAutospacing="1" w:after="100" w:afterAutospacing="1" w:line="240" w:lineRule="auto"/>
        <w:jc w:val="both"/>
        <w:rPr>
          <w:rFonts w:ascii="Arial" w:eastAsia="Times New Roman" w:hAnsi="Arial" w:cs="Arial"/>
          <w:b/>
          <w:bCs/>
          <w:kern w:val="0"/>
          <w:lang w:eastAsia="en-GB"/>
          <w14:ligatures w14:val="none"/>
        </w:rPr>
      </w:pPr>
    </w:p>
    <w:p w14:paraId="5B28FA32" w14:textId="77777777" w:rsidR="002D62C7" w:rsidRDefault="002D62C7" w:rsidP="00260BD9">
      <w:pPr>
        <w:spacing w:before="100" w:beforeAutospacing="1" w:after="100" w:afterAutospacing="1" w:line="240" w:lineRule="auto"/>
        <w:jc w:val="both"/>
        <w:rPr>
          <w:rFonts w:ascii="Arial" w:eastAsia="Times New Roman" w:hAnsi="Arial" w:cs="Arial"/>
          <w:b/>
          <w:bCs/>
          <w:kern w:val="0"/>
          <w:lang w:eastAsia="en-GB"/>
          <w14:ligatures w14:val="none"/>
        </w:rPr>
      </w:pPr>
    </w:p>
    <w:p w14:paraId="2A90A7C3" w14:textId="56062A9E" w:rsidR="003F393B" w:rsidRDefault="004B51DC" w:rsidP="003F393B">
      <w:pPr>
        <w:spacing w:before="100" w:beforeAutospacing="1" w:after="100" w:afterAutospacing="1" w:line="240" w:lineRule="auto"/>
        <w:jc w:val="both"/>
        <w:rPr>
          <w:rFonts w:ascii="Arial" w:eastAsia="Times New Roman" w:hAnsi="Arial" w:cs="Arial"/>
          <w:b/>
          <w:bCs/>
          <w:kern w:val="0"/>
          <w:lang w:eastAsia="en-GB"/>
          <w14:ligatures w14:val="none"/>
        </w:rPr>
      </w:pPr>
      <w:r>
        <w:rPr>
          <w:rFonts w:ascii="Arial" w:eastAsia="Times New Roman" w:hAnsi="Arial" w:cs="Arial"/>
          <w:b/>
          <w:bCs/>
          <w:noProof/>
          <w:kern w:val="0"/>
          <w:lang w:eastAsia="en-GB"/>
        </w:rPr>
        <w:lastRenderedPageBreak/>
        <w:drawing>
          <wp:anchor distT="0" distB="0" distL="114300" distR="114300" simplePos="0" relativeHeight="251658242" behindDoc="0" locked="0" layoutInCell="1" allowOverlap="1" wp14:anchorId="50E875C6" wp14:editId="6307A1F0">
            <wp:simplePos x="914400" y="914400"/>
            <wp:positionH relativeFrom="margin">
              <wp:align>center</wp:align>
            </wp:positionH>
            <wp:positionV relativeFrom="margin">
              <wp:align>bottom</wp:align>
            </wp:positionV>
            <wp:extent cx="6000750" cy="9568022"/>
            <wp:effectExtent l="0" t="0" r="0" b="0"/>
            <wp:wrapSquare wrapText="bothSides"/>
            <wp:docPr id="186196027" name="Picture 2">
              <a:extLst xmlns:a="http://schemas.openxmlformats.org/drawingml/2006/main">
                <a:ext uri="{FF2B5EF4-FFF2-40B4-BE49-F238E27FC236}">
                  <a16:creationId xmlns:a16="http://schemas.microsoft.com/office/drawing/2014/main" id="{E0F57571-C265-4C56-B409-9768D5BD7CE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96027" name="Picture 186196027"/>
                    <pic:cNvPicPr/>
                  </pic:nvPicPr>
                  <pic:blipFill>
                    <a:blip r:embed="rId9">
                      <a:extLst>
                        <a:ext uri="{28A0092B-C50C-407E-A947-70E740481C1C}">
                          <a14:useLocalDpi xmlns:a14="http://schemas.microsoft.com/office/drawing/2010/main" val="0"/>
                        </a:ext>
                      </a:extLst>
                    </a:blip>
                    <a:stretch>
                      <a:fillRect/>
                    </a:stretch>
                  </pic:blipFill>
                  <pic:spPr>
                    <a:xfrm>
                      <a:off x="0" y="0"/>
                      <a:ext cx="6000750" cy="9568022"/>
                    </a:xfrm>
                    <a:prstGeom prst="rect">
                      <a:avLst/>
                    </a:prstGeom>
                  </pic:spPr>
                </pic:pic>
              </a:graphicData>
            </a:graphic>
          </wp:anchor>
        </w:drawing>
      </w:r>
    </w:p>
    <w:p w14:paraId="4F9C8F0D" w14:textId="74242AF3" w:rsidR="003F393B" w:rsidRDefault="004B51DC" w:rsidP="003F393B">
      <w:pPr>
        <w:spacing w:before="100" w:beforeAutospacing="1" w:after="100" w:afterAutospacing="1" w:line="240" w:lineRule="auto"/>
        <w:jc w:val="both"/>
        <w:rPr>
          <w:rFonts w:ascii="Arial" w:eastAsia="Times New Roman" w:hAnsi="Arial" w:cs="Arial"/>
          <w:b/>
          <w:bCs/>
          <w:kern w:val="0"/>
          <w:lang w:eastAsia="en-GB"/>
          <w14:ligatures w14:val="none"/>
        </w:rPr>
      </w:pPr>
      <w:r>
        <w:rPr>
          <w:rFonts w:ascii="Arial" w:eastAsia="Times New Roman" w:hAnsi="Arial" w:cs="Arial"/>
          <w:b/>
          <w:bCs/>
          <w:noProof/>
          <w:kern w:val="0"/>
          <w:lang w:eastAsia="en-GB"/>
        </w:rPr>
        <w:lastRenderedPageBreak/>
        <w:drawing>
          <wp:anchor distT="0" distB="0" distL="114300" distR="114300" simplePos="0" relativeHeight="251658240" behindDoc="0" locked="0" layoutInCell="1" allowOverlap="1" wp14:anchorId="0D8065F3" wp14:editId="7296ED68">
            <wp:simplePos x="0" y="0"/>
            <wp:positionH relativeFrom="margin">
              <wp:posOffset>-248920</wp:posOffset>
            </wp:positionH>
            <wp:positionV relativeFrom="margin">
              <wp:posOffset>-669290</wp:posOffset>
            </wp:positionV>
            <wp:extent cx="6225540" cy="9532620"/>
            <wp:effectExtent l="0" t="0" r="3810" b="0"/>
            <wp:wrapSquare wrapText="bothSides"/>
            <wp:docPr id="1710379738" name="Picture 3">
              <a:extLst xmlns:a="http://schemas.openxmlformats.org/drawingml/2006/main">
                <a:ext uri="{FF2B5EF4-FFF2-40B4-BE49-F238E27FC236}">
                  <a16:creationId xmlns:a16="http://schemas.microsoft.com/office/drawing/2014/main" id="{7F64358E-F816-4EBC-BA04-6E11D7BBB0C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379738" name="Picture 1710379738"/>
                    <pic:cNvPicPr/>
                  </pic:nvPicPr>
                  <pic:blipFill>
                    <a:blip r:embed="rId10">
                      <a:extLst>
                        <a:ext uri="{28A0092B-C50C-407E-A947-70E740481C1C}">
                          <a14:useLocalDpi xmlns:a14="http://schemas.microsoft.com/office/drawing/2010/main" val="0"/>
                        </a:ext>
                      </a:extLst>
                    </a:blip>
                    <a:stretch>
                      <a:fillRect/>
                    </a:stretch>
                  </pic:blipFill>
                  <pic:spPr>
                    <a:xfrm>
                      <a:off x="0" y="0"/>
                      <a:ext cx="6225540" cy="9532620"/>
                    </a:xfrm>
                    <a:prstGeom prst="rect">
                      <a:avLst/>
                    </a:prstGeom>
                  </pic:spPr>
                </pic:pic>
              </a:graphicData>
            </a:graphic>
          </wp:anchor>
        </w:drawing>
      </w:r>
    </w:p>
    <w:p w14:paraId="0433B957" w14:textId="41B4EA1A" w:rsidR="003F393B" w:rsidRPr="009D7D0F" w:rsidRDefault="009D7D0F" w:rsidP="003F393B">
      <w:pPr>
        <w:spacing w:before="100" w:beforeAutospacing="1" w:after="100" w:afterAutospacing="1" w:line="240" w:lineRule="auto"/>
        <w:jc w:val="both"/>
        <w:rPr>
          <w:rFonts w:ascii="Arial" w:hAnsi="Arial" w:cs="Arial"/>
          <w:b/>
          <w:bCs/>
        </w:rPr>
      </w:pPr>
      <w:r w:rsidRPr="009D7D0F">
        <w:rPr>
          <w:rFonts w:ascii="Arial" w:hAnsi="Arial" w:cs="Arial"/>
          <w:b/>
          <w:bCs/>
        </w:rPr>
        <w:lastRenderedPageBreak/>
        <w:t>Conclusion</w:t>
      </w:r>
    </w:p>
    <w:p w14:paraId="02A56233" w14:textId="0A80A482" w:rsidR="00B312E3" w:rsidRPr="00260BD9" w:rsidRDefault="00B312E3" w:rsidP="003F393B">
      <w:pPr>
        <w:spacing w:before="100" w:beforeAutospacing="1" w:after="100" w:afterAutospacing="1" w:line="240" w:lineRule="auto"/>
        <w:jc w:val="both"/>
        <w:rPr>
          <w:rFonts w:ascii="Arial" w:hAnsi="Arial" w:cs="Arial"/>
        </w:rPr>
      </w:pPr>
      <w:r w:rsidRPr="00260BD9">
        <w:rPr>
          <w:rFonts w:ascii="Arial" w:hAnsi="Arial" w:cs="Arial"/>
        </w:rPr>
        <w:t>For Rootwings Academy, adopting modern HR practices is essential for accountability, funding stability, and responding to labour market challenges. Successful reform demands alignment of technology, talent strategy, and leadership capability. While the Balanced Scorecard ensures strategic oversight, AI governance and inclusive recruitment processes operationalise fairness.</w:t>
      </w:r>
    </w:p>
    <w:p w14:paraId="751195B7" w14:textId="0C5AD6D1" w:rsidR="00B312E3" w:rsidRPr="00260BD9" w:rsidRDefault="00B312E3" w:rsidP="00260BD9">
      <w:pPr>
        <w:pStyle w:val="NormalWeb"/>
        <w:jc w:val="both"/>
        <w:rPr>
          <w:rFonts w:ascii="Arial" w:hAnsi="Arial" w:cs="Arial"/>
        </w:rPr>
      </w:pPr>
      <w:r w:rsidRPr="00260BD9">
        <w:rPr>
          <w:rFonts w:ascii="Arial" w:hAnsi="Arial" w:cs="Arial"/>
        </w:rPr>
        <w:t>However, mere measurement won't lead to transformation. The Four-Stage Learning Agreement is vital for ensuring departmental managers embrace ethical responsibility and inclusive leadership. By integrating reflective learning with performance metrics, Rootwings can foster genuine ethical leadership.</w:t>
      </w:r>
    </w:p>
    <w:p w14:paraId="4C4EEFBA" w14:textId="65C87AA6" w:rsidR="00D85AD3" w:rsidRPr="00260BD9" w:rsidRDefault="00B312E3" w:rsidP="00260BD9">
      <w:pPr>
        <w:pStyle w:val="NormalWeb"/>
        <w:jc w:val="both"/>
        <w:rPr>
          <w:rFonts w:ascii="Arial" w:hAnsi="Arial" w:cs="Arial"/>
        </w:rPr>
      </w:pPr>
      <w:r w:rsidRPr="00260BD9">
        <w:rPr>
          <w:rFonts w:ascii="Arial" w:hAnsi="Arial" w:cs="Arial"/>
        </w:rPr>
        <w:t>This approach allows technological advancement, retention strategies, and DEI reforms to work together, strengthening the organisation's resilience and supporting long-term excellence in the Alternative Provision sector.</w:t>
      </w:r>
    </w:p>
    <w:p w14:paraId="6AE6582D" w14:textId="77777777" w:rsidR="003C4148" w:rsidRPr="00260BD9" w:rsidRDefault="003C4148" w:rsidP="00260BD9">
      <w:pPr>
        <w:spacing w:after="0" w:line="240" w:lineRule="auto"/>
        <w:jc w:val="both"/>
        <w:outlineLvl w:val="3"/>
        <w:rPr>
          <w:rFonts w:ascii="Arial" w:eastAsia="Times New Roman" w:hAnsi="Arial" w:cs="Arial"/>
          <w:b/>
          <w:bCs/>
          <w:color w:val="1F1F1F"/>
          <w:kern w:val="0"/>
          <w:bdr w:val="none" w:sz="0" w:space="0" w:color="auto" w:frame="1"/>
          <w:lang w:eastAsia="en-GB"/>
          <w14:ligatures w14:val="none"/>
        </w:rPr>
      </w:pPr>
      <w:r w:rsidRPr="00260BD9">
        <w:rPr>
          <w:rFonts w:ascii="Arial" w:eastAsia="Times New Roman" w:hAnsi="Arial" w:cs="Arial"/>
          <w:b/>
          <w:bCs/>
          <w:color w:val="1F1F1F"/>
          <w:kern w:val="0"/>
          <w:bdr w:val="none" w:sz="0" w:space="0" w:color="auto" w:frame="1"/>
          <w:lang w:eastAsia="en-GB"/>
          <w14:ligatures w14:val="none"/>
        </w:rPr>
        <w:t>Recommendations</w:t>
      </w:r>
    </w:p>
    <w:p w14:paraId="16BF471A" w14:textId="77777777" w:rsidR="002516DA" w:rsidRPr="00260BD9" w:rsidRDefault="002516DA" w:rsidP="00260BD9">
      <w:pPr>
        <w:spacing w:after="0" w:line="240" w:lineRule="auto"/>
        <w:jc w:val="both"/>
        <w:outlineLvl w:val="3"/>
        <w:rPr>
          <w:rFonts w:ascii="Arial" w:eastAsia="Times New Roman" w:hAnsi="Arial" w:cs="Arial"/>
          <w:b/>
          <w:bCs/>
          <w:color w:val="1F1F1F"/>
          <w:kern w:val="0"/>
          <w:lang w:eastAsia="en-GB"/>
          <w14:ligatures w14:val="none"/>
        </w:rPr>
      </w:pPr>
    </w:p>
    <w:p w14:paraId="21D1B521" w14:textId="2CFC86AE" w:rsidR="003C4148" w:rsidRPr="00260BD9" w:rsidRDefault="003C4148" w:rsidP="00260BD9">
      <w:pPr>
        <w:numPr>
          <w:ilvl w:val="0"/>
          <w:numId w:val="12"/>
        </w:numPr>
        <w:spacing w:after="0" w:line="240" w:lineRule="auto"/>
        <w:jc w:val="both"/>
        <w:rPr>
          <w:rFonts w:ascii="Arial" w:eastAsia="Times New Roman" w:hAnsi="Arial" w:cs="Arial"/>
          <w:color w:val="1F1F1F"/>
          <w:kern w:val="0"/>
          <w:lang w:eastAsia="en-GB"/>
          <w14:ligatures w14:val="none"/>
        </w:rPr>
      </w:pPr>
      <w:r w:rsidRPr="00260BD9">
        <w:rPr>
          <w:rFonts w:ascii="Arial" w:eastAsia="Times New Roman" w:hAnsi="Arial" w:cs="Arial"/>
          <w:color w:val="1F1F1F"/>
          <w:kern w:val="0"/>
          <w:lang w:eastAsia="en-GB"/>
          <w14:ligatures w14:val="none"/>
        </w:rPr>
        <w:t xml:space="preserve">Conduct a </w:t>
      </w:r>
      <w:r w:rsidRPr="00F4620F">
        <w:rPr>
          <w:rFonts w:ascii="Arial" w:eastAsia="Times New Roman" w:hAnsi="Arial" w:cs="Arial"/>
          <w:color w:val="1F1F1F"/>
          <w:kern w:val="0"/>
          <w:bdr w:val="none" w:sz="0" w:space="0" w:color="auto" w:frame="1"/>
          <w:lang w:eastAsia="en-GB"/>
          <w14:ligatures w14:val="none"/>
        </w:rPr>
        <w:t>TNA</w:t>
      </w:r>
      <w:r w:rsidRPr="00F4620F">
        <w:rPr>
          <w:rFonts w:ascii="Arial" w:eastAsia="Times New Roman" w:hAnsi="Arial" w:cs="Arial"/>
          <w:color w:val="1F1F1F"/>
          <w:kern w:val="0"/>
          <w:lang w:eastAsia="en-GB"/>
          <w14:ligatures w14:val="none"/>
        </w:rPr>
        <w:t xml:space="preserve"> </w:t>
      </w:r>
      <w:r w:rsidRPr="00260BD9">
        <w:rPr>
          <w:rFonts w:ascii="Arial" w:eastAsia="Times New Roman" w:hAnsi="Arial" w:cs="Arial"/>
          <w:color w:val="1F1F1F"/>
          <w:kern w:val="0"/>
          <w:lang w:eastAsia="en-GB"/>
          <w14:ligatures w14:val="none"/>
        </w:rPr>
        <w:t>for all leadership roles to identify gaps in technological and DEI competencies</w:t>
      </w:r>
      <w:r w:rsidR="002516DA" w:rsidRPr="00260BD9">
        <w:rPr>
          <w:rFonts w:ascii="Arial" w:eastAsia="Times New Roman" w:hAnsi="Arial" w:cs="Arial"/>
          <w:color w:val="1F1F1F"/>
          <w:kern w:val="0"/>
          <w:lang w:eastAsia="en-GB"/>
          <w14:ligatures w14:val="none"/>
        </w:rPr>
        <w:t xml:space="preserve"> (Immediate)</w:t>
      </w:r>
    </w:p>
    <w:p w14:paraId="7A33A961" w14:textId="04D97BEA" w:rsidR="002516DA" w:rsidRPr="00260BD9" w:rsidRDefault="002516DA" w:rsidP="00260BD9">
      <w:pPr>
        <w:numPr>
          <w:ilvl w:val="0"/>
          <w:numId w:val="12"/>
        </w:numPr>
        <w:spacing w:after="0" w:line="240" w:lineRule="auto"/>
        <w:jc w:val="both"/>
        <w:rPr>
          <w:rFonts w:ascii="Arial" w:eastAsia="Times New Roman" w:hAnsi="Arial" w:cs="Arial"/>
          <w:color w:val="1F1F1F"/>
          <w:kern w:val="0"/>
          <w:lang w:eastAsia="en-GB"/>
          <w14:ligatures w14:val="none"/>
        </w:rPr>
      </w:pPr>
      <w:r w:rsidRPr="001D4651">
        <w:rPr>
          <w:rFonts w:ascii="Arial" w:eastAsia="Times New Roman" w:hAnsi="Arial" w:cs="Arial"/>
          <w:kern w:val="0"/>
          <w:lang w:eastAsia="en-GB"/>
          <w14:ligatures w14:val="none"/>
        </w:rPr>
        <w:t xml:space="preserve">Operationalise the </w:t>
      </w:r>
      <w:r w:rsidR="00DE2018">
        <w:rPr>
          <w:rFonts w:ascii="Arial" w:eastAsia="Times New Roman" w:hAnsi="Arial" w:cs="Arial"/>
          <w:kern w:val="0"/>
          <w:lang w:eastAsia="en-GB"/>
          <w14:ligatures w14:val="none"/>
        </w:rPr>
        <w:t>Four</w:t>
      </w:r>
      <w:r w:rsidRPr="001D4651">
        <w:rPr>
          <w:rFonts w:ascii="Arial" w:eastAsia="Times New Roman" w:hAnsi="Arial" w:cs="Arial"/>
          <w:kern w:val="0"/>
          <w:lang w:eastAsia="en-GB"/>
          <w14:ligatures w14:val="none"/>
        </w:rPr>
        <w:t>-Stage Learning Agreement (Immediate Implementation Tool)</w:t>
      </w:r>
    </w:p>
    <w:p w14:paraId="0417B6FE" w14:textId="555B4068" w:rsidR="002516DA" w:rsidRPr="00260BD9" w:rsidRDefault="002516DA" w:rsidP="00260BD9">
      <w:pPr>
        <w:pStyle w:val="ListParagraph"/>
        <w:numPr>
          <w:ilvl w:val="0"/>
          <w:numId w:val="12"/>
        </w:numPr>
        <w:spacing w:after="0" w:line="240" w:lineRule="auto"/>
        <w:jc w:val="both"/>
        <w:rPr>
          <w:rFonts w:ascii="Arial" w:eastAsia="Times New Roman" w:hAnsi="Arial" w:cs="Arial"/>
          <w:color w:val="1F1F1F"/>
          <w:kern w:val="0"/>
          <w:lang w:eastAsia="en-GB"/>
          <w14:ligatures w14:val="none"/>
        </w:rPr>
      </w:pPr>
      <w:r w:rsidRPr="001D4651">
        <w:rPr>
          <w:rFonts w:ascii="Arial" w:eastAsia="Times New Roman" w:hAnsi="Arial" w:cs="Arial"/>
          <w:kern w:val="0"/>
          <w:lang w:eastAsia="en-GB"/>
          <w14:ligatures w14:val="none"/>
        </w:rPr>
        <w:t>Embed Blind Shortlisting and Structured Competency Interviews (Immediate)</w:t>
      </w:r>
    </w:p>
    <w:p w14:paraId="7A6C0EA0" w14:textId="79C23CD5" w:rsidR="00674A5C" w:rsidRPr="00260BD9" w:rsidRDefault="00674A5C" w:rsidP="00260BD9">
      <w:pPr>
        <w:pStyle w:val="ListParagraph"/>
        <w:numPr>
          <w:ilvl w:val="0"/>
          <w:numId w:val="12"/>
        </w:numPr>
        <w:spacing w:after="0" w:line="240" w:lineRule="auto"/>
        <w:jc w:val="both"/>
        <w:rPr>
          <w:rFonts w:ascii="Arial" w:eastAsia="Times New Roman" w:hAnsi="Arial" w:cs="Arial"/>
          <w:color w:val="1F1F1F"/>
          <w:kern w:val="0"/>
          <w:lang w:eastAsia="en-GB"/>
          <w14:ligatures w14:val="none"/>
        </w:rPr>
      </w:pPr>
      <w:r w:rsidRPr="001D4651">
        <w:rPr>
          <w:rFonts w:ascii="Arial" w:eastAsia="Times New Roman" w:hAnsi="Arial" w:cs="Arial"/>
          <w:kern w:val="0"/>
          <w:lang w:eastAsia="en-GB"/>
          <w14:ligatures w14:val="none"/>
        </w:rPr>
        <w:t>Establish an Ethical Digital HR Governance Framework (Immediate–3 Months)</w:t>
      </w:r>
    </w:p>
    <w:p w14:paraId="4696379D" w14:textId="77777777" w:rsidR="002516DA" w:rsidRPr="00260BD9" w:rsidRDefault="00674A5C" w:rsidP="00260BD9">
      <w:pPr>
        <w:pStyle w:val="ListParagraph"/>
        <w:numPr>
          <w:ilvl w:val="0"/>
          <w:numId w:val="12"/>
        </w:numPr>
        <w:spacing w:after="0" w:line="240" w:lineRule="auto"/>
        <w:jc w:val="both"/>
        <w:rPr>
          <w:rFonts w:ascii="Arial" w:eastAsia="Times New Roman" w:hAnsi="Arial" w:cs="Arial"/>
          <w:color w:val="1F1F1F"/>
          <w:kern w:val="0"/>
          <w:lang w:eastAsia="en-GB"/>
          <w14:ligatures w14:val="none"/>
        </w:rPr>
      </w:pPr>
      <w:r w:rsidRPr="00260BD9">
        <w:rPr>
          <w:rFonts w:ascii="Arial" w:eastAsia="Times New Roman" w:hAnsi="Arial" w:cs="Arial"/>
          <w:kern w:val="0"/>
          <w:lang w:eastAsia="en-GB"/>
          <w14:ligatures w14:val="none"/>
        </w:rPr>
        <w:t>Develop a Transparent Leadership Pipeline Strategy (Short-Term – 6 Months)</w:t>
      </w:r>
    </w:p>
    <w:p w14:paraId="04316E03" w14:textId="6BAEC917" w:rsidR="002516DA" w:rsidRPr="00260BD9" w:rsidRDefault="002516DA" w:rsidP="00260BD9">
      <w:pPr>
        <w:pStyle w:val="ListParagraph"/>
        <w:numPr>
          <w:ilvl w:val="0"/>
          <w:numId w:val="12"/>
        </w:numPr>
        <w:spacing w:after="0" w:line="240" w:lineRule="auto"/>
        <w:jc w:val="both"/>
        <w:rPr>
          <w:rFonts w:ascii="Arial" w:eastAsia="Times New Roman" w:hAnsi="Arial" w:cs="Arial"/>
          <w:color w:val="1F1F1F"/>
          <w:kern w:val="0"/>
          <w:lang w:eastAsia="en-GB"/>
          <w14:ligatures w14:val="none"/>
        </w:rPr>
      </w:pPr>
      <w:r w:rsidRPr="00260BD9">
        <w:rPr>
          <w:rFonts w:ascii="Arial" w:eastAsia="Times New Roman" w:hAnsi="Arial" w:cs="Arial"/>
          <w:kern w:val="0"/>
          <w:lang w:eastAsia="en-GB"/>
          <w14:ligatures w14:val="none"/>
        </w:rPr>
        <w:t>Implement a Strategic Total Reward Framework (Short–Medium Term)</w:t>
      </w:r>
    </w:p>
    <w:p w14:paraId="1BEAC0DB" w14:textId="77777777" w:rsidR="002516DA" w:rsidRPr="00260BD9" w:rsidRDefault="002516DA" w:rsidP="00260BD9">
      <w:pPr>
        <w:pStyle w:val="ListParagraph"/>
        <w:numPr>
          <w:ilvl w:val="0"/>
          <w:numId w:val="12"/>
        </w:numPr>
        <w:spacing w:before="100" w:beforeAutospacing="1" w:after="100" w:afterAutospacing="1" w:line="240" w:lineRule="auto"/>
        <w:jc w:val="both"/>
        <w:outlineLvl w:val="1"/>
        <w:rPr>
          <w:rFonts w:ascii="Arial" w:eastAsia="Times New Roman" w:hAnsi="Arial" w:cs="Arial"/>
          <w:kern w:val="0"/>
          <w:lang w:eastAsia="en-GB"/>
          <w14:ligatures w14:val="none"/>
        </w:rPr>
      </w:pPr>
      <w:r w:rsidRPr="00260BD9">
        <w:rPr>
          <w:rFonts w:ascii="Arial" w:eastAsia="Times New Roman" w:hAnsi="Arial" w:cs="Arial"/>
          <w:kern w:val="0"/>
          <w:lang w:eastAsia="en-GB"/>
          <w14:ligatures w14:val="none"/>
        </w:rPr>
        <w:t>Create a Sense of Structured Urgency (Ongoing)</w:t>
      </w:r>
    </w:p>
    <w:p w14:paraId="52C21FA7" w14:textId="77777777" w:rsidR="001D4651" w:rsidRPr="001D4651" w:rsidRDefault="001D4651" w:rsidP="00260BD9">
      <w:pPr>
        <w:spacing w:before="100" w:beforeAutospacing="1" w:after="100" w:afterAutospacing="1" w:line="240" w:lineRule="auto"/>
        <w:jc w:val="both"/>
        <w:rPr>
          <w:rFonts w:ascii="Arial" w:eastAsia="Times New Roman" w:hAnsi="Arial" w:cs="Arial"/>
          <w:kern w:val="0"/>
          <w:lang w:eastAsia="en-GB"/>
          <w14:ligatures w14:val="none"/>
        </w:rPr>
      </w:pPr>
      <w:r w:rsidRPr="001D4651">
        <w:rPr>
          <w:rFonts w:ascii="Arial" w:eastAsia="Times New Roman" w:hAnsi="Arial" w:cs="Arial"/>
          <w:kern w:val="0"/>
          <w:lang w:eastAsia="en-GB"/>
          <w14:ligatures w14:val="none"/>
        </w:rPr>
        <w:t>By integrating ethical digital governance, structural DEI reform, strategic retention mechanisms, and staged managerial accountability, Rootwings Academy can transition from reactive compliance to proactive organisational resilience. These recommendations ensure contemporary HR practices are not adopted symbolically, but embedded as interconnected drivers of safeguarding strength, inspection readiness, and long-term sustainability.</w:t>
      </w:r>
    </w:p>
    <w:p w14:paraId="2FB50372" w14:textId="10F68CB0" w:rsidR="00BE4DED" w:rsidRPr="001119D7" w:rsidRDefault="00405441" w:rsidP="00260BD9">
      <w:pPr>
        <w:spacing w:before="100" w:beforeAutospacing="1" w:after="100" w:afterAutospacing="1" w:line="240" w:lineRule="auto"/>
        <w:jc w:val="both"/>
        <w:rPr>
          <w:rFonts w:ascii="Arial" w:eastAsia="Times New Roman" w:hAnsi="Arial" w:cs="Arial"/>
          <w:kern w:val="0"/>
          <w:lang w:eastAsia="en-GB"/>
          <w14:ligatures w14:val="none"/>
        </w:rPr>
      </w:pPr>
      <w:r w:rsidRPr="001119D7">
        <w:rPr>
          <w:rFonts w:ascii="Arial" w:hAnsi="Arial" w:cs="Arial"/>
        </w:rPr>
        <w:t>In a sector defined by volatility, accountability, and labour market fragility, HR modernisation at Rootwings is not optional reform but institutional risk mitigation.</w:t>
      </w:r>
    </w:p>
    <w:p w14:paraId="434BBCC9" w14:textId="77777777" w:rsidR="00513B70" w:rsidRDefault="00513B70" w:rsidP="00260BD9">
      <w:pPr>
        <w:spacing w:before="100" w:beforeAutospacing="1" w:after="100" w:afterAutospacing="1" w:line="240" w:lineRule="auto"/>
        <w:jc w:val="both"/>
        <w:rPr>
          <w:rFonts w:ascii="Arial" w:eastAsia="Times New Roman" w:hAnsi="Arial" w:cs="Arial"/>
          <w:kern w:val="0"/>
          <w:lang w:eastAsia="en-GB"/>
          <w14:ligatures w14:val="none"/>
        </w:rPr>
      </w:pPr>
    </w:p>
    <w:p w14:paraId="379338E0" w14:textId="66180A30" w:rsidR="004F52D5" w:rsidRPr="00260BD9" w:rsidRDefault="004F52D5" w:rsidP="00260BD9">
      <w:pPr>
        <w:spacing w:after="0" w:line="240" w:lineRule="auto"/>
        <w:jc w:val="both"/>
        <w:rPr>
          <w:rFonts w:ascii="Arial" w:eastAsia="Times New Roman" w:hAnsi="Arial" w:cs="Arial"/>
          <w:color w:val="1F1F1F"/>
          <w:kern w:val="0"/>
          <w:lang w:eastAsia="en-GB"/>
          <w14:ligatures w14:val="none"/>
        </w:rPr>
      </w:pPr>
    </w:p>
    <w:p w14:paraId="7716C56E" w14:textId="77777777" w:rsidR="004F52D5" w:rsidRPr="00260BD9" w:rsidRDefault="004F52D5" w:rsidP="00260BD9">
      <w:pPr>
        <w:spacing w:after="0" w:line="240" w:lineRule="auto"/>
        <w:jc w:val="both"/>
        <w:rPr>
          <w:rFonts w:ascii="Arial" w:eastAsia="Times New Roman" w:hAnsi="Arial" w:cs="Arial"/>
          <w:color w:val="1F1F1F"/>
          <w:kern w:val="0"/>
          <w:lang w:eastAsia="en-GB"/>
          <w14:ligatures w14:val="none"/>
        </w:rPr>
      </w:pPr>
    </w:p>
    <w:p w14:paraId="1DF3737E" w14:textId="77777777" w:rsidR="004F52D5" w:rsidRPr="00260BD9" w:rsidRDefault="004F52D5" w:rsidP="00260BD9">
      <w:pPr>
        <w:spacing w:after="0" w:line="240" w:lineRule="auto"/>
        <w:jc w:val="both"/>
        <w:rPr>
          <w:rFonts w:ascii="Arial" w:eastAsia="Times New Roman" w:hAnsi="Arial" w:cs="Arial"/>
          <w:color w:val="1F1F1F"/>
          <w:kern w:val="0"/>
          <w:lang w:eastAsia="en-GB"/>
          <w14:ligatures w14:val="none"/>
        </w:rPr>
      </w:pPr>
    </w:p>
    <w:p w14:paraId="36884915" w14:textId="77777777" w:rsidR="004F52D5" w:rsidRPr="00260BD9" w:rsidRDefault="004F52D5" w:rsidP="00260BD9">
      <w:pPr>
        <w:spacing w:after="0" w:line="240" w:lineRule="auto"/>
        <w:jc w:val="both"/>
        <w:rPr>
          <w:rFonts w:ascii="Arial" w:eastAsia="Times New Roman" w:hAnsi="Arial" w:cs="Arial"/>
          <w:color w:val="1F1F1F"/>
          <w:kern w:val="0"/>
          <w:lang w:eastAsia="en-GB"/>
          <w14:ligatures w14:val="none"/>
        </w:rPr>
      </w:pPr>
    </w:p>
    <w:p w14:paraId="33393D97" w14:textId="77777777" w:rsidR="004F52D5" w:rsidRPr="00260BD9" w:rsidRDefault="004F52D5" w:rsidP="00260BD9">
      <w:pPr>
        <w:spacing w:after="0" w:line="240" w:lineRule="auto"/>
        <w:jc w:val="both"/>
        <w:rPr>
          <w:rFonts w:ascii="Arial" w:eastAsia="Times New Roman" w:hAnsi="Arial" w:cs="Arial"/>
          <w:color w:val="1F1F1F"/>
          <w:kern w:val="0"/>
          <w:lang w:eastAsia="en-GB"/>
          <w14:ligatures w14:val="none"/>
        </w:rPr>
      </w:pPr>
    </w:p>
    <w:p w14:paraId="3554F58A" w14:textId="77777777" w:rsidR="004F52D5" w:rsidRPr="00260BD9" w:rsidRDefault="004F52D5" w:rsidP="00260BD9">
      <w:pPr>
        <w:spacing w:after="0" w:line="240" w:lineRule="auto"/>
        <w:jc w:val="both"/>
        <w:rPr>
          <w:rFonts w:ascii="Arial" w:eastAsia="Times New Roman" w:hAnsi="Arial" w:cs="Arial"/>
          <w:color w:val="1F1F1F"/>
          <w:kern w:val="0"/>
          <w:lang w:eastAsia="en-GB"/>
          <w14:ligatures w14:val="none"/>
        </w:rPr>
      </w:pPr>
    </w:p>
    <w:p w14:paraId="527B7B96" w14:textId="77777777" w:rsidR="004F52D5" w:rsidRPr="00260BD9" w:rsidRDefault="004F52D5" w:rsidP="00260BD9">
      <w:pPr>
        <w:spacing w:after="0" w:line="240" w:lineRule="auto"/>
        <w:jc w:val="both"/>
        <w:rPr>
          <w:rFonts w:ascii="Arial" w:eastAsia="Times New Roman" w:hAnsi="Arial" w:cs="Arial"/>
          <w:color w:val="1F1F1F"/>
          <w:kern w:val="0"/>
          <w:lang w:eastAsia="en-GB"/>
          <w14:ligatures w14:val="none"/>
        </w:rPr>
      </w:pPr>
    </w:p>
    <w:p w14:paraId="69FB2516" w14:textId="77777777" w:rsidR="004F52D5" w:rsidRPr="00260BD9" w:rsidRDefault="004F52D5" w:rsidP="00260BD9">
      <w:pPr>
        <w:spacing w:after="0" w:line="240" w:lineRule="auto"/>
        <w:jc w:val="both"/>
        <w:rPr>
          <w:rFonts w:ascii="Arial" w:eastAsia="Times New Roman" w:hAnsi="Arial" w:cs="Arial"/>
          <w:color w:val="1F1F1F"/>
          <w:kern w:val="0"/>
          <w:lang w:eastAsia="en-GB"/>
          <w14:ligatures w14:val="none"/>
        </w:rPr>
      </w:pPr>
    </w:p>
    <w:p w14:paraId="16EE5728" w14:textId="77777777" w:rsidR="004F52D5" w:rsidRPr="00260BD9" w:rsidRDefault="004F52D5" w:rsidP="00260BD9">
      <w:pPr>
        <w:spacing w:after="0" w:line="240" w:lineRule="auto"/>
        <w:jc w:val="both"/>
        <w:rPr>
          <w:rFonts w:ascii="Arial" w:eastAsia="Times New Roman" w:hAnsi="Arial" w:cs="Arial"/>
          <w:color w:val="1F1F1F"/>
          <w:kern w:val="0"/>
          <w:lang w:eastAsia="en-GB"/>
          <w14:ligatures w14:val="none"/>
        </w:rPr>
      </w:pPr>
    </w:p>
    <w:p w14:paraId="1B081037" w14:textId="77777777" w:rsidR="004F52D5" w:rsidRPr="00260BD9" w:rsidRDefault="004F52D5" w:rsidP="00260BD9">
      <w:pPr>
        <w:spacing w:after="0" w:line="240" w:lineRule="auto"/>
        <w:jc w:val="both"/>
        <w:rPr>
          <w:rFonts w:ascii="Arial" w:eastAsia="Times New Roman" w:hAnsi="Arial" w:cs="Arial"/>
          <w:color w:val="1F1F1F"/>
          <w:kern w:val="0"/>
          <w:lang w:eastAsia="en-GB"/>
          <w14:ligatures w14:val="none"/>
        </w:rPr>
      </w:pPr>
    </w:p>
    <w:p w14:paraId="2D2B3A14" w14:textId="77777777" w:rsidR="004F52D5" w:rsidRPr="00260BD9" w:rsidRDefault="004F52D5" w:rsidP="00260BD9">
      <w:pPr>
        <w:spacing w:after="0" w:line="240" w:lineRule="auto"/>
        <w:jc w:val="both"/>
        <w:rPr>
          <w:rFonts w:ascii="Arial" w:eastAsia="Times New Roman" w:hAnsi="Arial" w:cs="Arial"/>
          <w:color w:val="1F1F1F"/>
          <w:kern w:val="0"/>
          <w:lang w:eastAsia="en-GB"/>
          <w14:ligatures w14:val="none"/>
        </w:rPr>
      </w:pPr>
    </w:p>
    <w:p w14:paraId="04CFD0E7" w14:textId="4AD94F4A" w:rsidR="00082A6E" w:rsidRDefault="00082A6E" w:rsidP="00260BD9">
      <w:pPr>
        <w:spacing w:after="120" w:line="240" w:lineRule="auto"/>
        <w:jc w:val="both"/>
        <w:outlineLvl w:val="1"/>
        <w:rPr>
          <w:rFonts w:ascii="Arial" w:eastAsia="Arial" w:hAnsi="Arial" w:cs="Arial"/>
          <w:lang w:eastAsia="en-GB"/>
        </w:rPr>
      </w:pPr>
    </w:p>
    <w:p w14:paraId="2F8FBE95" w14:textId="77777777" w:rsidR="00D973A9" w:rsidRDefault="00D973A9" w:rsidP="00260BD9">
      <w:pPr>
        <w:spacing w:after="120" w:line="240" w:lineRule="auto"/>
        <w:jc w:val="both"/>
        <w:outlineLvl w:val="1"/>
        <w:rPr>
          <w:rFonts w:ascii="Arial" w:eastAsia="Arial" w:hAnsi="Arial" w:cs="Arial"/>
          <w:lang w:eastAsia="en-GB"/>
        </w:rPr>
      </w:pPr>
    </w:p>
    <w:p w14:paraId="694DBCD0" w14:textId="0DEB1BB0" w:rsidR="00D973A9" w:rsidRPr="00AB02E1" w:rsidRDefault="00C03C57" w:rsidP="00260BD9">
      <w:pPr>
        <w:spacing w:after="120" w:line="240" w:lineRule="auto"/>
        <w:jc w:val="both"/>
        <w:outlineLvl w:val="1"/>
        <w:rPr>
          <w:rFonts w:ascii="Arial" w:eastAsia="Times New Roman" w:hAnsi="Arial" w:cs="Arial"/>
          <w:b/>
          <w:bCs/>
          <w:color w:val="1F1F1F"/>
          <w:kern w:val="0"/>
          <w:u w:val="single"/>
          <w:lang w:eastAsia="en-GB"/>
          <w14:ligatures w14:val="none"/>
        </w:rPr>
      </w:pPr>
      <w:r w:rsidRPr="00AB02E1">
        <w:rPr>
          <w:rFonts w:ascii="Arial" w:eastAsia="Times New Roman" w:hAnsi="Arial" w:cs="Arial"/>
          <w:b/>
          <w:bCs/>
          <w:color w:val="1F1F1F"/>
          <w:kern w:val="0"/>
          <w:u w:val="single"/>
          <w:lang w:eastAsia="en-GB"/>
          <w14:ligatures w14:val="none"/>
        </w:rPr>
        <w:t>References</w:t>
      </w:r>
    </w:p>
    <w:p w14:paraId="30FE9E59" w14:textId="77777777" w:rsidR="00C03C57" w:rsidRPr="00047341" w:rsidRDefault="00C03C57" w:rsidP="00C03C57">
      <w:pPr>
        <w:rPr>
          <w:rFonts w:ascii="Arial" w:hAnsi="Arial" w:cs="Arial"/>
          <w:sz w:val="22"/>
          <w:szCs w:val="22"/>
          <w:lang w:eastAsia="en-GB"/>
        </w:rPr>
      </w:pPr>
      <w:r w:rsidRPr="00047341">
        <w:rPr>
          <w:rFonts w:ascii="Arial" w:hAnsi="Arial" w:cs="Arial"/>
          <w:sz w:val="22"/>
          <w:szCs w:val="22"/>
          <w:lang w:eastAsia="en-GB"/>
        </w:rPr>
        <w:t xml:space="preserve">Adams, J.S. (1965) ‘Inequity in social exchange’, </w:t>
      </w:r>
      <w:r w:rsidRPr="00047341">
        <w:rPr>
          <w:rFonts w:ascii="Arial" w:hAnsi="Arial" w:cs="Arial"/>
          <w:i/>
          <w:iCs/>
          <w:sz w:val="22"/>
          <w:szCs w:val="22"/>
          <w:lang w:eastAsia="en-GB"/>
        </w:rPr>
        <w:t>Advances in Experimental Social Psychology</w:t>
      </w:r>
      <w:r w:rsidRPr="00047341">
        <w:rPr>
          <w:rFonts w:ascii="Arial" w:hAnsi="Arial" w:cs="Arial"/>
          <w:sz w:val="22"/>
          <w:szCs w:val="22"/>
          <w:lang w:eastAsia="en-GB"/>
        </w:rPr>
        <w:t>, 2, pp. 267–299.</w:t>
      </w:r>
    </w:p>
    <w:p w14:paraId="330D9220" w14:textId="552322D8" w:rsidR="00C03C57" w:rsidRPr="00047341" w:rsidRDefault="00C03C57" w:rsidP="00C03C57">
      <w:pPr>
        <w:rPr>
          <w:rFonts w:ascii="Arial" w:hAnsi="Arial" w:cs="Arial"/>
          <w:sz w:val="22"/>
          <w:szCs w:val="22"/>
          <w:lang w:eastAsia="en-GB"/>
        </w:rPr>
      </w:pPr>
      <w:r w:rsidRPr="00047341">
        <w:rPr>
          <w:rFonts w:ascii="Arial" w:hAnsi="Arial" w:cs="Arial"/>
          <w:sz w:val="22"/>
          <w:szCs w:val="22"/>
          <w:lang w:eastAsia="en-GB"/>
        </w:rPr>
        <w:t>Armstrong, M. and Taylor, S. (2023)</w:t>
      </w:r>
      <w:r w:rsidR="00CD29D9">
        <w:rPr>
          <w:rFonts w:ascii="Arial" w:hAnsi="Arial" w:cs="Arial"/>
          <w:sz w:val="22"/>
          <w:szCs w:val="22"/>
          <w:lang w:eastAsia="en-GB"/>
        </w:rPr>
        <w:t>.</w:t>
      </w:r>
      <w:r w:rsidRPr="00047341">
        <w:rPr>
          <w:rFonts w:ascii="Arial" w:hAnsi="Arial" w:cs="Arial"/>
          <w:sz w:val="22"/>
          <w:szCs w:val="22"/>
          <w:lang w:eastAsia="en-GB"/>
        </w:rPr>
        <w:t xml:space="preserve"> </w:t>
      </w:r>
      <w:r w:rsidRPr="00047341">
        <w:rPr>
          <w:rFonts w:ascii="Arial" w:hAnsi="Arial" w:cs="Arial"/>
          <w:i/>
          <w:iCs/>
          <w:sz w:val="22"/>
          <w:szCs w:val="22"/>
          <w:lang w:eastAsia="en-GB"/>
        </w:rPr>
        <w:t>Armstrong's Handbook of Human Resource Management Practice</w:t>
      </w:r>
      <w:r w:rsidRPr="00047341">
        <w:rPr>
          <w:rFonts w:ascii="Arial" w:hAnsi="Arial" w:cs="Arial"/>
          <w:sz w:val="22"/>
          <w:szCs w:val="22"/>
          <w:lang w:eastAsia="en-GB"/>
        </w:rPr>
        <w:t xml:space="preserve">. 16th </w:t>
      </w:r>
      <w:proofErr w:type="spellStart"/>
      <w:r w:rsidRPr="00047341">
        <w:rPr>
          <w:rFonts w:ascii="Arial" w:hAnsi="Arial" w:cs="Arial"/>
          <w:sz w:val="22"/>
          <w:szCs w:val="22"/>
          <w:lang w:eastAsia="en-GB"/>
        </w:rPr>
        <w:t>edn</w:t>
      </w:r>
      <w:proofErr w:type="spellEnd"/>
      <w:r w:rsidRPr="00047341">
        <w:rPr>
          <w:rFonts w:ascii="Arial" w:hAnsi="Arial" w:cs="Arial"/>
          <w:sz w:val="22"/>
          <w:szCs w:val="22"/>
          <w:lang w:eastAsia="en-GB"/>
        </w:rPr>
        <w:t>. London: Kogan Page.</w:t>
      </w:r>
    </w:p>
    <w:p w14:paraId="17579B54" w14:textId="77777777" w:rsidR="00C03C57" w:rsidRPr="00047341" w:rsidRDefault="00C03C57" w:rsidP="00C03C57">
      <w:pPr>
        <w:rPr>
          <w:rFonts w:ascii="Arial" w:hAnsi="Arial" w:cs="Arial"/>
          <w:sz w:val="22"/>
          <w:szCs w:val="22"/>
          <w:lang w:eastAsia="en-GB"/>
        </w:rPr>
      </w:pPr>
      <w:r w:rsidRPr="00047341">
        <w:rPr>
          <w:rFonts w:ascii="Arial" w:hAnsi="Arial" w:cs="Arial"/>
          <w:sz w:val="22"/>
          <w:szCs w:val="22"/>
          <w:lang w:eastAsia="en-GB"/>
        </w:rPr>
        <w:t xml:space="preserve">Chartered Institute of Personnel and Development (CIPD) (2023) </w:t>
      </w:r>
      <w:r w:rsidRPr="00047341">
        <w:rPr>
          <w:rFonts w:ascii="Arial" w:hAnsi="Arial" w:cs="Arial"/>
          <w:i/>
          <w:iCs/>
          <w:sz w:val="22"/>
          <w:szCs w:val="22"/>
          <w:lang w:eastAsia="en-GB"/>
        </w:rPr>
        <w:t>Good Work Index 2023</w:t>
      </w:r>
      <w:r w:rsidRPr="00047341">
        <w:rPr>
          <w:rFonts w:ascii="Arial" w:hAnsi="Arial" w:cs="Arial"/>
          <w:sz w:val="22"/>
          <w:szCs w:val="22"/>
          <w:lang w:eastAsia="en-GB"/>
        </w:rPr>
        <w:t>. London: CIPD.</w:t>
      </w:r>
    </w:p>
    <w:p w14:paraId="16EE9F83" w14:textId="3F2F002D" w:rsidR="00C03C57" w:rsidRPr="00047341" w:rsidRDefault="00C03C57" w:rsidP="00C03C57">
      <w:pPr>
        <w:rPr>
          <w:rFonts w:ascii="Arial" w:hAnsi="Arial" w:cs="Arial"/>
          <w:sz w:val="22"/>
          <w:szCs w:val="22"/>
          <w:lang w:eastAsia="en-GB"/>
        </w:rPr>
      </w:pPr>
      <w:r w:rsidRPr="00047341">
        <w:rPr>
          <w:rFonts w:ascii="Arial" w:hAnsi="Arial" w:cs="Arial"/>
          <w:sz w:val="22"/>
          <w:szCs w:val="22"/>
          <w:lang w:eastAsia="en-GB"/>
        </w:rPr>
        <w:t>Chartered Institute of Personnel and Development (CIPD) (2024)</w:t>
      </w:r>
      <w:r w:rsidR="00CD29D9">
        <w:rPr>
          <w:rFonts w:ascii="Arial" w:hAnsi="Arial" w:cs="Arial"/>
          <w:sz w:val="22"/>
          <w:szCs w:val="22"/>
          <w:lang w:eastAsia="en-GB"/>
        </w:rPr>
        <w:t>.</w:t>
      </w:r>
      <w:r w:rsidRPr="00047341">
        <w:rPr>
          <w:rFonts w:ascii="Arial" w:hAnsi="Arial" w:cs="Arial"/>
          <w:sz w:val="22"/>
          <w:szCs w:val="22"/>
          <w:lang w:eastAsia="en-GB"/>
        </w:rPr>
        <w:t xml:space="preserve"> </w:t>
      </w:r>
      <w:r w:rsidRPr="00047341">
        <w:rPr>
          <w:rFonts w:ascii="Arial" w:hAnsi="Arial" w:cs="Arial"/>
          <w:i/>
          <w:iCs/>
          <w:sz w:val="22"/>
          <w:szCs w:val="22"/>
          <w:lang w:eastAsia="en-GB"/>
        </w:rPr>
        <w:t>Inclusion and diversity in the workplace</w:t>
      </w:r>
      <w:r w:rsidRPr="00047341">
        <w:rPr>
          <w:rFonts w:ascii="Arial" w:hAnsi="Arial" w:cs="Arial"/>
          <w:sz w:val="22"/>
          <w:szCs w:val="22"/>
          <w:lang w:eastAsia="en-GB"/>
        </w:rPr>
        <w:t xml:space="preserve">. [online] Available at: </w:t>
      </w:r>
      <w:hyperlink r:id="rId11" w:tgtFrame="_new" w:history="1">
        <w:r w:rsidRPr="00047341">
          <w:rPr>
            <w:rFonts w:ascii="Arial" w:hAnsi="Arial" w:cs="Arial"/>
            <w:color w:val="0000FF"/>
            <w:sz w:val="22"/>
            <w:szCs w:val="22"/>
            <w:u w:val="single"/>
            <w:lang w:eastAsia="en-GB"/>
          </w:rPr>
          <w:t>https://www.cipd.org</w:t>
        </w:r>
      </w:hyperlink>
      <w:r w:rsidRPr="00047341">
        <w:rPr>
          <w:rFonts w:ascii="Arial" w:hAnsi="Arial" w:cs="Arial"/>
          <w:sz w:val="22"/>
          <w:szCs w:val="22"/>
          <w:lang w:eastAsia="en-GB"/>
        </w:rPr>
        <w:t xml:space="preserve"> (Accessed: 26 January 2026).</w:t>
      </w:r>
    </w:p>
    <w:p w14:paraId="5B6A2EB1" w14:textId="77777777" w:rsidR="00C03C57" w:rsidRPr="00047341" w:rsidRDefault="00C03C57" w:rsidP="00C03C57">
      <w:pPr>
        <w:rPr>
          <w:rFonts w:ascii="Arial" w:hAnsi="Arial" w:cs="Arial"/>
          <w:sz w:val="22"/>
          <w:szCs w:val="22"/>
          <w:lang w:eastAsia="en-GB"/>
        </w:rPr>
      </w:pPr>
      <w:r w:rsidRPr="00047341">
        <w:rPr>
          <w:rFonts w:ascii="Arial" w:hAnsi="Arial" w:cs="Arial"/>
          <w:sz w:val="22"/>
          <w:szCs w:val="22"/>
          <w:lang w:eastAsia="en-GB"/>
        </w:rPr>
        <w:t xml:space="preserve">Department for Education (2025) </w:t>
      </w:r>
      <w:r w:rsidRPr="00047341">
        <w:rPr>
          <w:rFonts w:ascii="Arial" w:hAnsi="Arial" w:cs="Arial"/>
          <w:i/>
          <w:iCs/>
          <w:sz w:val="22"/>
          <w:szCs w:val="22"/>
          <w:lang w:eastAsia="en-GB"/>
        </w:rPr>
        <w:t>Keeping Children Safe in Education (KCSIE) 2025</w:t>
      </w:r>
      <w:r w:rsidRPr="00047341">
        <w:rPr>
          <w:rFonts w:ascii="Arial" w:hAnsi="Arial" w:cs="Arial"/>
          <w:sz w:val="22"/>
          <w:szCs w:val="22"/>
          <w:lang w:eastAsia="en-GB"/>
        </w:rPr>
        <w:t>. London: HMSO.</w:t>
      </w:r>
    </w:p>
    <w:p w14:paraId="138E2ECB" w14:textId="552F63CD" w:rsidR="00C03C57" w:rsidRPr="00047341" w:rsidRDefault="00C03C57" w:rsidP="00C03C57">
      <w:pPr>
        <w:rPr>
          <w:rFonts w:ascii="Arial" w:hAnsi="Arial" w:cs="Arial"/>
          <w:sz w:val="22"/>
          <w:szCs w:val="22"/>
          <w:lang w:eastAsia="en-GB"/>
        </w:rPr>
      </w:pPr>
      <w:r w:rsidRPr="00047341">
        <w:rPr>
          <w:rFonts w:ascii="Arial" w:hAnsi="Arial" w:cs="Arial"/>
          <w:sz w:val="22"/>
          <w:szCs w:val="22"/>
          <w:lang w:eastAsia="en-GB"/>
        </w:rPr>
        <w:t xml:space="preserve">Equality Act 2010. c.15. </w:t>
      </w:r>
      <w:r w:rsidR="00231C28" w:rsidRPr="00047341">
        <w:rPr>
          <w:rFonts w:ascii="Arial" w:hAnsi="Arial" w:cs="Arial"/>
          <w:sz w:val="22"/>
          <w:szCs w:val="22"/>
          <w:lang w:eastAsia="en-GB"/>
        </w:rPr>
        <w:t>London</w:t>
      </w:r>
      <w:r w:rsidR="00A9600A" w:rsidRPr="00047341">
        <w:rPr>
          <w:rFonts w:ascii="Arial" w:hAnsi="Arial" w:cs="Arial"/>
          <w:sz w:val="22"/>
          <w:szCs w:val="22"/>
          <w:lang w:eastAsia="en-GB"/>
        </w:rPr>
        <w:t xml:space="preserve">: The Stationery Office. </w:t>
      </w:r>
      <w:r w:rsidRPr="00047341">
        <w:rPr>
          <w:rFonts w:ascii="Arial" w:hAnsi="Arial" w:cs="Arial"/>
          <w:sz w:val="22"/>
          <w:szCs w:val="22"/>
          <w:lang w:eastAsia="en-GB"/>
        </w:rPr>
        <w:t xml:space="preserve">Available at: </w:t>
      </w:r>
      <w:hyperlink r:id="rId12" w:tgtFrame="_new" w:history="1">
        <w:r w:rsidRPr="00047341">
          <w:rPr>
            <w:rFonts w:ascii="Arial" w:hAnsi="Arial" w:cs="Arial"/>
            <w:color w:val="0000FF"/>
            <w:sz w:val="22"/>
            <w:szCs w:val="22"/>
            <w:u w:val="single"/>
            <w:lang w:eastAsia="en-GB"/>
          </w:rPr>
          <w:t>https://www.legislation.gov.uk/ukpga/2010/15/contents</w:t>
        </w:r>
      </w:hyperlink>
      <w:r w:rsidRPr="00047341">
        <w:rPr>
          <w:rFonts w:ascii="Arial" w:hAnsi="Arial" w:cs="Arial"/>
          <w:sz w:val="22"/>
          <w:szCs w:val="22"/>
          <w:lang w:eastAsia="en-GB"/>
        </w:rPr>
        <w:t>(Accessed:</w:t>
      </w:r>
      <w:r w:rsidR="00A95CFA" w:rsidRPr="00047341">
        <w:rPr>
          <w:rFonts w:ascii="Arial" w:hAnsi="Arial" w:cs="Arial"/>
          <w:sz w:val="22"/>
          <w:szCs w:val="22"/>
          <w:lang w:eastAsia="en-GB"/>
        </w:rPr>
        <w:t>14</w:t>
      </w:r>
      <w:r w:rsidR="003C5343" w:rsidRPr="00047341">
        <w:rPr>
          <w:rFonts w:ascii="Arial" w:hAnsi="Arial" w:cs="Arial"/>
          <w:sz w:val="22"/>
          <w:szCs w:val="22"/>
          <w:lang w:eastAsia="en-GB"/>
        </w:rPr>
        <w:t xml:space="preserve"> </w:t>
      </w:r>
      <w:r w:rsidR="00D76766" w:rsidRPr="00047341">
        <w:rPr>
          <w:rFonts w:ascii="Arial" w:hAnsi="Arial" w:cs="Arial"/>
          <w:sz w:val="22"/>
          <w:szCs w:val="22"/>
          <w:lang w:eastAsia="en-GB"/>
        </w:rPr>
        <w:t>February 2026</w:t>
      </w:r>
      <w:r w:rsidRPr="00047341">
        <w:rPr>
          <w:rFonts w:ascii="Arial" w:hAnsi="Arial" w:cs="Arial"/>
          <w:sz w:val="22"/>
          <w:szCs w:val="22"/>
          <w:lang w:eastAsia="en-GB"/>
        </w:rPr>
        <w:t>)</w:t>
      </w:r>
    </w:p>
    <w:p w14:paraId="4F52FCBD" w14:textId="437322E4" w:rsidR="00CE7FAB" w:rsidRPr="00047341" w:rsidRDefault="00CE7FAB" w:rsidP="00C03C57">
      <w:pPr>
        <w:rPr>
          <w:rFonts w:ascii="Arial" w:hAnsi="Arial" w:cs="Arial"/>
          <w:sz w:val="22"/>
          <w:szCs w:val="22"/>
          <w:lang w:eastAsia="en-GB"/>
        </w:rPr>
      </w:pPr>
      <w:r w:rsidRPr="00047341">
        <w:rPr>
          <w:rFonts w:ascii="Arial" w:hAnsi="Arial" w:cs="Arial"/>
          <w:sz w:val="22"/>
          <w:szCs w:val="22"/>
        </w:rPr>
        <w:t>Herzberg, F. (1959)</w:t>
      </w:r>
      <w:r w:rsidR="00CD29D9">
        <w:rPr>
          <w:rFonts w:ascii="Arial" w:hAnsi="Arial" w:cs="Arial"/>
          <w:sz w:val="22"/>
          <w:szCs w:val="22"/>
        </w:rPr>
        <w:t>.</w:t>
      </w:r>
      <w:r w:rsidRPr="00047341">
        <w:rPr>
          <w:rFonts w:ascii="Arial" w:hAnsi="Arial" w:cs="Arial"/>
          <w:sz w:val="22"/>
          <w:szCs w:val="22"/>
        </w:rPr>
        <w:t xml:space="preserve"> </w:t>
      </w:r>
      <w:r w:rsidRPr="00047341">
        <w:rPr>
          <w:rStyle w:val="Emphasis"/>
          <w:rFonts w:ascii="Arial" w:hAnsi="Arial" w:cs="Arial"/>
          <w:sz w:val="22"/>
          <w:szCs w:val="22"/>
        </w:rPr>
        <w:t>The Motivation to Work</w:t>
      </w:r>
      <w:r w:rsidRPr="00047341">
        <w:rPr>
          <w:rFonts w:ascii="Arial" w:hAnsi="Arial" w:cs="Arial"/>
          <w:sz w:val="22"/>
          <w:szCs w:val="22"/>
        </w:rPr>
        <w:t>. New York: Wiley.</w:t>
      </w:r>
    </w:p>
    <w:p w14:paraId="50A5EA33" w14:textId="77777777" w:rsidR="00C03C57" w:rsidRPr="00047341" w:rsidRDefault="00C03C57" w:rsidP="00C03C57">
      <w:pPr>
        <w:rPr>
          <w:rFonts w:ascii="Arial" w:hAnsi="Arial" w:cs="Arial"/>
          <w:sz w:val="22"/>
          <w:szCs w:val="22"/>
          <w:lang w:eastAsia="en-GB"/>
        </w:rPr>
      </w:pPr>
      <w:r w:rsidRPr="00047341">
        <w:rPr>
          <w:rFonts w:ascii="Arial" w:hAnsi="Arial" w:cs="Arial"/>
          <w:sz w:val="22"/>
          <w:szCs w:val="22"/>
          <w:lang w:eastAsia="en-GB"/>
        </w:rPr>
        <w:t xml:space="preserve">Kaplan, R.S. and Norton, D.P. (1992) ‘The Balanced Scorecard: Measures that drive performance’, </w:t>
      </w:r>
      <w:r w:rsidRPr="00047341">
        <w:rPr>
          <w:rFonts w:ascii="Arial" w:hAnsi="Arial" w:cs="Arial"/>
          <w:i/>
          <w:iCs/>
          <w:sz w:val="22"/>
          <w:szCs w:val="22"/>
          <w:lang w:eastAsia="en-GB"/>
        </w:rPr>
        <w:t>Harvard Business Review</w:t>
      </w:r>
      <w:r w:rsidRPr="00047341">
        <w:rPr>
          <w:rFonts w:ascii="Arial" w:hAnsi="Arial" w:cs="Arial"/>
          <w:sz w:val="22"/>
          <w:szCs w:val="22"/>
          <w:lang w:eastAsia="en-GB"/>
        </w:rPr>
        <w:t>, 70(1), pp. 71–79.</w:t>
      </w:r>
    </w:p>
    <w:p w14:paraId="123612E2" w14:textId="18D7D589" w:rsidR="00C92B4E" w:rsidRPr="00047341" w:rsidRDefault="00C92B4E" w:rsidP="00C03C57">
      <w:pPr>
        <w:rPr>
          <w:rFonts w:ascii="Arial" w:hAnsi="Arial" w:cs="Arial"/>
          <w:sz w:val="22"/>
          <w:szCs w:val="22"/>
          <w:lang w:eastAsia="en-GB"/>
        </w:rPr>
      </w:pPr>
      <w:r w:rsidRPr="00047341">
        <w:rPr>
          <w:rFonts w:ascii="Arial" w:hAnsi="Arial" w:cs="Arial"/>
          <w:sz w:val="22"/>
          <w:szCs w:val="22"/>
        </w:rPr>
        <w:t xml:space="preserve">Kaplan, R.S. and Norton, D.P. (2004) </w:t>
      </w:r>
      <w:r w:rsidRPr="00047341">
        <w:rPr>
          <w:rStyle w:val="Emphasis"/>
          <w:rFonts w:ascii="Arial" w:hAnsi="Arial" w:cs="Arial"/>
          <w:sz w:val="22"/>
          <w:szCs w:val="22"/>
        </w:rPr>
        <w:t xml:space="preserve">Strategy-Focused </w:t>
      </w:r>
      <w:r w:rsidR="00047341">
        <w:rPr>
          <w:rStyle w:val="Emphasis"/>
          <w:rFonts w:ascii="Arial" w:hAnsi="Arial" w:cs="Arial"/>
          <w:sz w:val="22"/>
          <w:szCs w:val="22"/>
        </w:rPr>
        <w:t>Organisation</w:t>
      </w:r>
      <w:r w:rsidRPr="00047341">
        <w:rPr>
          <w:rFonts w:ascii="Arial" w:hAnsi="Arial" w:cs="Arial"/>
          <w:sz w:val="22"/>
          <w:szCs w:val="22"/>
        </w:rPr>
        <w:t>. Boston: Harvard Business School Press.</w:t>
      </w:r>
    </w:p>
    <w:p w14:paraId="0816992C" w14:textId="00191BEF" w:rsidR="00C03C57" w:rsidRPr="00047341" w:rsidRDefault="00C03C57" w:rsidP="00C03C57">
      <w:pPr>
        <w:rPr>
          <w:rFonts w:ascii="Arial" w:hAnsi="Arial" w:cs="Arial"/>
          <w:sz w:val="22"/>
          <w:szCs w:val="22"/>
          <w:lang w:eastAsia="en-GB"/>
        </w:rPr>
      </w:pPr>
      <w:r w:rsidRPr="00047341">
        <w:rPr>
          <w:rFonts w:ascii="Arial" w:hAnsi="Arial" w:cs="Arial"/>
          <w:sz w:val="22"/>
          <w:szCs w:val="22"/>
          <w:lang w:eastAsia="en-GB"/>
        </w:rPr>
        <w:t>Kolb, D.A. (2014)</w:t>
      </w:r>
      <w:r w:rsidR="00CD29D9">
        <w:rPr>
          <w:rFonts w:ascii="Arial" w:hAnsi="Arial" w:cs="Arial"/>
          <w:sz w:val="22"/>
          <w:szCs w:val="22"/>
          <w:lang w:eastAsia="en-GB"/>
        </w:rPr>
        <w:t>.</w:t>
      </w:r>
      <w:r w:rsidRPr="00047341">
        <w:rPr>
          <w:rFonts w:ascii="Arial" w:hAnsi="Arial" w:cs="Arial"/>
          <w:sz w:val="22"/>
          <w:szCs w:val="22"/>
          <w:lang w:eastAsia="en-GB"/>
        </w:rPr>
        <w:t xml:space="preserve"> </w:t>
      </w:r>
      <w:r w:rsidRPr="00047341">
        <w:rPr>
          <w:rFonts w:ascii="Arial" w:hAnsi="Arial" w:cs="Arial"/>
          <w:i/>
          <w:iCs/>
          <w:sz w:val="22"/>
          <w:szCs w:val="22"/>
          <w:lang w:eastAsia="en-GB"/>
        </w:rPr>
        <w:t>Experiential Learning: Experience as the Source of Learning and Development</w:t>
      </w:r>
      <w:r w:rsidRPr="00047341">
        <w:rPr>
          <w:rFonts w:ascii="Arial" w:hAnsi="Arial" w:cs="Arial"/>
          <w:sz w:val="22"/>
          <w:szCs w:val="22"/>
          <w:lang w:eastAsia="en-GB"/>
        </w:rPr>
        <w:t xml:space="preserve">. 2nd </w:t>
      </w:r>
      <w:proofErr w:type="spellStart"/>
      <w:r w:rsidRPr="00047341">
        <w:rPr>
          <w:rFonts w:ascii="Arial" w:hAnsi="Arial" w:cs="Arial"/>
          <w:sz w:val="22"/>
          <w:szCs w:val="22"/>
          <w:lang w:eastAsia="en-GB"/>
        </w:rPr>
        <w:t>edn</w:t>
      </w:r>
      <w:proofErr w:type="spellEnd"/>
      <w:r w:rsidRPr="00047341">
        <w:rPr>
          <w:rFonts w:ascii="Arial" w:hAnsi="Arial" w:cs="Arial"/>
          <w:sz w:val="22"/>
          <w:szCs w:val="22"/>
          <w:lang w:eastAsia="en-GB"/>
        </w:rPr>
        <w:t>. New Jersey: Pearson Education.</w:t>
      </w:r>
    </w:p>
    <w:p w14:paraId="03C5BFC4" w14:textId="2B2FFCA9" w:rsidR="00047341" w:rsidRPr="008817B1" w:rsidRDefault="00C03C57" w:rsidP="008817B1">
      <w:pPr>
        <w:rPr>
          <w:rFonts w:ascii="Arial" w:hAnsi="Arial" w:cs="Arial"/>
          <w:sz w:val="22"/>
          <w:szCs w:val="22"/>
          <w:lang w:eastAsia="en-GB"/>
        </w:rPr>
      </w:pPr>
      <w:r w:rsidRPr="00047341">
        <w:rPr>
          <w:rFonts w:ascii="Arial" w:hAnsi="Arial" w:cs="Arial"/>
          <w:sz w:val="22"/>
          <w:szCs w:val="22"/>
          <w:lang w:eastAsia="en-GB"/>
        </w:rPr>
        <w:t>Kotter, J.P. (1996)</w:t>
      </w:r>
      <w:r w:rsidR="00CD29D9">
        <w:rPr>
          <w:rFonts w:ascii="Arial" w:hAnsi="Arial" w:cs="Arial"/>
          <w:sz w:val="22"/>
          <w:szCs w:val="22"/>
          <w:lang w:eastAsia="en-GB"/>
        </w:rPr>
        <w:t>.</w:t>
      </w:r>
      <w:r w:rsidRPr="00047341">
        <w:rPr>
          <w:rFonts w:ascii="Arial" w:hAnsi="Arial" w:cs="Arial"/>
          <w:sz w:val="22"/>
          <w:szCs w:val="22"/>
          <w:lang w:eastAsia="en-GB"/>
        </w:rPr>
        <w:t xml:space="preserve"> </w:t>
      </w:r>
      <w:r w:rsidRPr="00047341">
        <w:rPr>
          <w:rFonts w:ascii="Arial" w:hAnsi="Arial" w:cs="Arial"/>
          <w:i/>
          <w:iCs/>
          <w:sz w:val="22"/>
          <w:szCs w:val="22"/>
          <w:lang w:eastAsia="en-GB"/>
        </w:rPr>
        <w:t>Leading Change</w:t>
      </w:r>
      <w:r w:rsidRPr="00047341">
        <w:rPr>
          <w:rFonts w:ascii="Arial" w:hAnsi="Arial" w:cs="Arial"/>
          <w:sz w:val="22"/>
          <w:szCs w:val="22"/>
          <w:lang w:eastAsia="en-GB"/>
        </w:rPr>
        <w:t>. Boston: Harvard Business School Press.</w:t>
      </w:r>
    </w:p>
    <w:p w14:paraId="7D71A67C" w14:textId="705502D4" w:rsidR="00C03C57" w:rsidRPr="00047341" w:rsidRDefault="00C03C57" w:rsidP="00C03C57">
      <w:pPr>
        <w:rPr>
          <w:rFonts w:ascii="Arial" w:hAnsi="Arial" w:cs="Arial"/>
          <w:sz w:val="22"/>
          <w:szCs w:val="22"/>
          <w:lang w:eastAsia="en-GB"/>
        </w:rPr>
      </w:pPr>
      <w:r w:rsidRPr="00047341">
        <w:rPr>
          <w:rFonts w:ascii="Arial" w:hAnsi="Arial" w:cs="Arial"/>
          <w:sz w:val="22"/>
          <w:szCs w:val="22"/>
          <w:lang w:eastAsia="en-GB"/>
        </w:rPr>
        <w:t>Muller, J.Z. (2018)</w:t>
      </w:r>
      <w:r w:rsidR="00CD29D9">
        <w:rPr>
          <w:rFonts w:ascii="Arial" w:hAnsi="Arial" w:cs="Arial"/>
          <w:sz w:val="22"/>
          <w:szCs w:val="22"/>
          <w:lang w:eastAsia="en-GB"/>
        </w:rPr>
        <w:t>.</w:t>
      </w:r>
      <w:r w:rsidRPr="00047341">
        <w:rPr>
          <w:rFonts w:ascii="Arial" w:hAnsi="Arial" w:cs="Arial"/>
          <w:sz w:val="22"/>
          <w:szCs w:val="22"/>
          <w:lang w:eastAsia="en-GB"/>
        </w:rPr>
        <w:t xml:space="preserve"> </w:t>
      </w:r>
      <w:r w:rsidRPr="00047341">
        <w:rPr>
          <w:rFonts w:ascii="Arial" w:hAnsi="Arial" w:cs="Arial"/>
          <w:i/>
          <w:iCs/>
          <w:sz w:val="22"/>
          <w:szCs w:val="22"/>
          <w:lang w:eastAsia="en-GB"/>
        </w:rPr>
        <w:t>The Tyranny of Metrics</w:t>
      </w:r>
      <w:r w:rsidRPr="00047341">
        <w:rPr>
          <w:rFonts w:ascii="Arial" w:hAnsi="Arial" w:cs="Arial"/>
          <w:sz w:val="22"/>
          <w:szCs w:val="22"/>
          <w:lang w:eastAsia="en-GB"/>
        </w:rPr>
        <w:t>. Princeton: Princeton University Press.</w:t>
      </w:r>
    </w:p>
    <w:p w14:paraId="0C0CE08E" w14:textId="6C01892C" w:rsidR="00C03C57" w:rsidRPr="00047341" w:rsidRDefault="00C03C57" w:rsidP="00C03C57">
      <w:pPr>
        <w:rPr>
          <w:rFonts w:ascii="Arial" w:hAnsi="Arial" w:cs="Arial"/>
          <w:sz w:val="22"/>
          <w:szCs w:val="22"/>
          <w:lang w:eastAsia="en-GB"/>
        </w:rPr>
      </w:pPr>
      <w:r w:rsidRPr="00047341">
        <w:rPr>
          <w:rFonts w:ascii="Arial" w:hAnsi="Arial" w:cs="Arial"/>
          <w:sz w:val="22"/>
          <w:szCs w:val="22"/>
          <w:lang w:eastAsia="en-GB"/>
        </w:rPr>
        <w:t>Mullins, L.J. (2023)</w:t>
      </w:r>
      <w:r w:rsidR="00CD29D9">
        <w:rPr>
          <w:rFonts w:ascii="Arial" w:hAnsi="Arial" w:cs="Arial"/>
          <w:sz w:val="22"/>
          <w:szCs w:val="22"/>
          <w:lang w:eastAsia="en-GB"/>
        </w:rPr>
        <w:t>.</w:t>
      </w:r>
      <w:r w:rsidRPr="00047341">
        <w:rPr>
          <w:rFonts w:ascii="Arial" w:hAnsi="Arial" w:cs="Arial"/>
          <w:sz w:val="22"/>
          <w:szCs w:val="22"/>
          <w:lang w:eastAsia="en-GB"/>
        </w:rPr>
        <w:t xml:space="preserve"> </w:t>
      </w:r>
      <w:r w:rsidRPr="00047341">
        <w:rPr>
          <w:rFonts w:ascii="Arial" w:hAnsi="Arial" w:cs="Arial"/>
          <w:i/>
          <w:iCs/>
          <w:sz w:val="22"/>
          <w:szCs w:val="22"/>
          <w:lang w:eastAsia="en-GB"/>
        </w:rPr>
        <w:t>Management and Organisational Behaviour</w:t>
      </w:r>
      <w:r w:rsidRPr="00047341">
        <w:rPr>
          <w:rFonts w:ascii="Arial" w:hAnsi="Arial" w:cs="Arial"/>
          <w:sz w:val="22"/>
          <w:szCs w:val="22"/>
          <w:lang w:eastAsia="en-GB"/>
        </w:rPr>
        <w:t xml:space="preserve">. 13th </w:t>
      </w:r>
      <w:proofErr w:type="spellStart"/>
      <w:r w:rsidRPr="00047341">
        <w:rPr>
          <w:rFonts w:ascii="Arial" w:hAnsi="Arial" w:cs="Arial"/>
          <w:sz w:val="22"/>
          <w:szCs w:val="22"/>
          <w:lang w:eastAsia="en-GB"/>
        </w:rPr>
        <w:t>edn</w:t>
      </w:r>
      <w:proofErr w:type="spellEnd"/>
      <w:r w:rsidRPr="00047341">
        <w:rPr>
          <w:rFonts w:ascii="Arial" w:hAnsi="Arial" w:cs="Arial"/>
          <w:sz w:val="22"/>
          <w:szCs w:val="22"/>
          <w:lang w:eastAsia="en-GB"/>
        </w:rPr>
        <w:t>. London: Pearson.</w:t>
      </w:r>
    </w:p>
    <w:p w14:paraId="1A9535EF" w14:textId="77777777" w:rsidR="00C03C57" w:rsidRPr="00047341" w:rsidRDefault="00C03C57" w:rsidP="00C03C57">
      <w:pPr>
        <w:rPr>
          <w:rFonts w:ascii="Arial" w:hAnsi="Arial" w:cs="Arial"/>
          <w:sz w:val="22"/>
          <w:szCs w:val="22"/>
          <w:lang w:eastAsia="en-GB"/>
        </w:rPr>
      </w:pPr>
      <w:r w:rsidRPr="00047341">
        <w:rPr>
          <w:rFonts w:ascii="Arial" w:hAnsi="Arial" w:cs="Arial"/>
          <w:sz w:val="22"/>
          <w:szCs w:val="22"/>
          <w:lang w:eastAsia="en-GB"/>
        </w:rPr>
        <w:t xml:space="preserve">Purcell, J. and Hutchinson, S. (2007) ‘Front-line managers as agents in the HRM-performance causal chain’, </w:t>
      </w:r>
      <w:r w:rsidRPr="00047341">
        <w:rPr>
          <w:rFonts w:ascii="Arial" w:hAnsi="Arial" w:cs="Arial"/>
          <w:i/>
          <w:iCs/>
          <w:sz w:val="22"/>
          <w:szCs w:val="22"/>
          <w:lang w:eastAsia="en-GB"/>
        </w:rPr>
        <w:t>Human Resource Management Journal</w:t>
      </w:r>
      <w:r w:rsidRPr="00047341">
        <w:rPr>
          <w:rFonts w:ascii="Arial" w:hAnsi="Arial" w:cs="Arial"/>
          <w:sz w:val="22"/>
          <w:szCs w:val="22"/>
          <w:lang w:eastAsia="en-GB"/>
        </w:rPr>
        <w:t>, 17(1), pp. 3–20.</w:t>
      </w:r>
    </w:p>
    <w:p w14:paraId="6942CE70" w14:textId="77777777" w:rsidR="00C03C57" w:rsidRPr="00047341" w:rsidRDefault="00C03C57" w:rsidP="00C03C57">
      <w:pPr>
        <w:rPr>
          <w:rFonts w:ascii="Arial" w:hAnsi="Arial" w:cs="Arial"/>
          <w:sz w:val="22"/>
          <w:szCs w:val="22"/>
          <w:lang w:eastAsia="en-GB"/>
        </w:rPr>
      </w:pPr>
      <w:r w:rsidRPr="00047341">
        <w:rPr>
          <w:rFonts w:ascii="Arial" w:hAnsi="Arial" w:cs="Arial"/>
          <w:sz w:val="22"/>
          <w:szCs w:val="22"/>
          <w:lang w:eastAsia="en-GB"/>
        </w:rPr>
        <w:t xml:space="preserve">Raghavan, M., Barocas, S., Kleinberg, J. and Levy, K. (2020) ‘Mitigating bias in algorithmic hiring’, </w:t>
      </w:r>
      <w:r w:rsidRPr="00047341">
        <w:rPr>
          <w:rFonts w:ascii="Arial" w:hAnsi="Arial" w:cs="Arial"/>
          <w:i/>
          <w:iCs/>
          <w:sz w:val="22"/>
          <w:szCs w:val="22"/>
          <w:lang w:eastAsia="en-GB"/>
        </w:rPr>
        <w:t>Proceedings of the 2020 Conference on Fairness, Accountability, and Transparency</w:t>
      </w:r>
      <w:r w:rsidRPr="00047341">
        <w:rPr>
          <w:rFonts w:ascii="Arial" w:hAnsi="Arial" w:cs="Arial"/>
          <w:sz w:val="22"/>
          <w:szCs w:val="22"/>
          <w:lang w:eastAsia="en-GB"/>
        </w:rPr>
        <w:t>, pp. 469–481.</w:t>
      </w:r>
    </w:p>
    <w:p w14:paraId="09ECC5FF" w14:textId="7754C4B5" w:rsidR="00C03C57" w:rsidRPr="00047341" w:rsidRDefault="00C03C57" w:rsidP="00C03C57">
      <w:pPr>
        <w:rPr>
          <w:rFonts w:ascii="Arial" w:hAnsi="Arial" w:cs="Arial"/>
          <w:sz w:val="22"/>
          <w:szCs w:val="22"/>
          <w:lang w:eastAsia="en-GB"/>
        </w:rPr>
      </w:pPr>
      <w:r w:rsidRPr="00047341">
        <w:rPr>
          <w:rFonts w:ascii="Arial" w:hAnsi="Arial" w:cs="Arial"/>
          <w:sz w:val="22"/>
          <w:szCs w:val="22"/>
          <w:lang w:eastAsia="en-GB"/>
        </w:rPr>
        <w:t xml:space="preserve">Tajfel, H. and Turner, J.C. (1979) ‘An integrative theory of intergroup conflict’, in Austin, W.G. and </w:t>
      </w:r>
      <w:proofErr w:type="spellStart"/>
      <w:r w:rsidRPr="00047341">
        <w:rPr>
          <w:rFonts w:ascii="Arial" w:hAnsi="Arial" w:cs="Arial"/>
          <w:sz w:val="22"/>
          <w:szCs w:val="22"/>
          <w:lang w:eastAsia="en-GB"/>
        </w:rPr>
        <w:t>Worchel</w:t>
      </w:r>
      <w:proofErr w:type="spellEnd"/>
      <w:r w:rsidRPr="00047341">
        <w:rPr>
          <w:rFonts w:ascii="Arial" w:hAnsi="Arial" w:cs="Arial"/>
          <w:sz w:val="22"/>
          <w:szCs w:val="22"/>
          <w:lang w:eastAsia="en-GB"/>
        </w:rPr>
        <w:t xml:space="preserve">, S. (eds.) </w:t>
      </w:r>
      <w:r w:rsidRPr="00047341">
        <w:rPr>
          <w:rFonts w:ascii="Arial" w:hAnsi="Arial" w:cs="Arial"/>
          <w:i/>
          <w:iCs/>
          <w:sz w:val="22"/>
          <w:szCs w:val="22"/>
          <w:lang w:eastAsia="en-GB"/>
        </w:rPr>
        <w:t>The Social Psychology of Intergroup Relations</w:t>
      </w:r>
      <w:r w:rsidRPr="00047341">
        <w:rPr>
          <w:rFonts w:ascii="Arial" w:hAnsi="Arial" w:cs="Arial"/>
          <w:sz w:val="22"/>
          <w:szCs w:val="22"/>
          <w:lang w:eastAsia="en-GB"/>
        </w:rPr>
        <w:t>. Monterey: Brooks/Cole.</w:t>
      </w:r>
    </w:p>
    <w:p w14:paraId="579D237C" w14:textId="36418F9A" w:rsidR="00C03C57" w:rsidRPr="00047341" w:rsidRDefault="00C03C57" w:rsidP="00C03C57">
      <w:pPr>
        <w:rPr>
          <w:rFonts w:ascii="Arial" w:hAnsi="Arial" w:cs="Arial"/>
          <w:sz w:val="22"/>
          <w:szCs w:val="22"/>
          <w:lang w:eastAsia="en-GB"/>
        </w:rPr>
      </w:pPr>
      <w:r w:rsidRPr="00047341">
        <w:rPr>
          <w:rFonts w:ascii="Arial" w:hAnsi="Arial" w:cs="Arial"/>
          <w:sz w:val="22"/>
          <w:szCs w:val="22"/>
          <w:lang w:eastAsia="en-GB"/>
        </w:rPr>
        <w:t>Torrington, D., Hall, L., Taylor, S. and Atkinson, C. (2020)</w:t>
      </w:r>
      <w:r w:rsidR="00CD29D9">
        <w:rPr>
          <w:rFonts w:ascii="Arial" w:hAnsi="Arial" w:cs="Arial"/>
          <w:sz w:val="22"/>
          <w:szCs w:val="22"/>
          <w:lang w:eastAsia="en-GB"/>
        </w:rPr>
        <w:t>.</w:t>
      </w:r>
      <w:r w:rsidRPr="00047341">
        <w:rPr>
          <w:rFonts w:ascii="Arial" w:hAnsi="Arial" w:cs="Arial"/>
          <w:sz w:val="22"/>
          <w:szCs w:val="22"/>
          <w:lang w:eastAsia="en-GB"/>
        </w:rPr>
        <w:t xml:space="preserve"> </w:t>
      </w:r>
      <w:r w:rsidRPr="00047341">
        <w:rPr>
          <w:rFonts w:ascii="Arial" w:hAnsi="Arial" w:cs="Arial"/>
          <w:i/>
          <w:iCs/>
          <w:sz w:val="22"/>
          <w:szCs w:val="22"/>
          <w:lang w:eastAsia="en-GB"/>
        </w:rPr>
        <w:t>Human Resource Management</w:t>
      </w:r>
      <w:r w:rsidRPr="00047341">
        <w:rPr>
          <w:rFonts w:ascii="Arial" w:hAnsi="Arial" w:cs="Arial"/>
          <w:sz w:val="22"/>
          <w:szCs w:val="22"/>
          <w:lang w:eastAsia="en-GB"/>
        </w:rPr>
        <w:t xml:space="preserve">. 11th </w:t>
      </w:r>
      <w:proofErr w:type="spellStart"/>
      <w:r w:rsidRPr="00047341">
        <w:rPr>
          <w:rFonts w:ascii="Arial" w:hAnsi="Arial" w:cs="Arial"/>
          <w:sz w:val="22"/>
          <w:szCs w:val="22"/>
          <w:lang w:eastAsia="en-GB"/>
        </w:rPr>
        <w:t>edn</w:t>
      </w:r>
      <w:proofErr w:type="spellEnd"/>
      <w:r w:rsidRPr="00047341">
        <w:rPr>
          <w:rFonts w:ascii="Arial" w:hAnsi="Arial" w:cs="Arial"/>
          <w:sz w:val="22"/>
          <w:szCs w:val="22"/>
          <w:lang w:eastAsia="en-GB"/>
        </w:rPr>
        <w:t>. Harlow: Pearson.</w:t>
      </w:r>
    </w:p>
    <w:sectPr w:rsidR="00C03C57" w:rsidRPr="000473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F669A"/>
    <w:multiLevelType w:val="multilevel"/>
    <w:tmpl w:val="EE62D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406F40"/>
    <w:multiLevelType w:val="hybridMultilevel"/>
    <w:tmpl w:val="3A68092E"/>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5F256E4"/>
    <w:multiLevelType w:val="multilevel"/>
    <w:tmpl w:val="4470D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2611D9"/>
    <w:multiLevelType w:val="hybridMultilevel"/>
    <w:tmpl w:val="B2029EAC"/>
    <w:lvl w:ilvl="0" w:tplc="B23E76BC">
      <w:start w:val="1"/>
      <w:numFmt w:val="bullet"/>
      <w:lvlText w:val="•"/>
      <w:lvlJc w:val="left"/>
      <w:pPr>
        <w:tabs>
          <w:tab w:val="num" w:pos="720"/>
        </w:tabs>
        <w:ind w:left="720" w:hanging="360"/>
      </w:pPr>
      <w:rPr>
        <w:rFonts w:ascii="Times New Roman" w:hAnsi="Times New Roman" w:hint="default"/>
      </w:rPr>
    </w:lvl>
    <w:lvl w:ilvl="1" w:tplc="98CEA186" w:tentative="1">
      <w:start w:val="1"/>
      <w:numFmt w:val="bullet"/>
      <w:lvlText w:val="•"/>
      <w:lvlJc w:val="left"/>
      <w:pPr>
        <w:tabs>
          <w:tab w:val="num" w:pos="1440"/>
        </w:tabs>
        <w:ind w:left="1440" w:hanging="360"/>
      </w:pPr>
      <w:rPr>
        <w:rFonts w:ascii="Times New Roman" w:hAnsi="Times New Roman" w:hint="default"/>
      </w:rPr>
    </w:lvl>
    <w:lvl w:ilvl="2" w:tplc="424CB0E6" w:tentative="1">
      <w:start w:val="1"/>
      <w:numFmt w:val="bullet"/>
      <w:lvlText w:val="•"/>
      <w:lvlJc w:val="left"/>
      <w:pPr>
        <w:tabs>
          <w:tab w:val="num" w:pos="2160"/>
        </w:tabs>
        <w:ind w:left="2160" w:hanging="360"/>
      </w:pPr>
      <w:rPr>
        <w:rFonts w:ascii="Times New Roman" w:hAnsi="Times New Roman" w:hint="default"/>
      </w:rPr>
    </w:lvl>
    <w:lvl w:ilvl="3" w:tplc="E284812C" w:tentative="1">
      <w:start w:val="1"/>
      <w:numFmt w:val="bullet"/>
      <w:lvlText w:val="•"/>
      <w:lvlJc w:val="left"/>
      <w:pPr>
        <w:tabs>
          <w:tab w:val="num" w:pos="2880"/>
        </w:tabs>
        <w:ind w:left="2880" w:hanging="360"/>
      </w:pPr>
      <w:rPr>
        <w:rFonts w:ascii="Times New Roman" w:hAnsi="Times New Roman" w:hint="default"/>
      </w:rPr>
    </w:lvl>
    <w:lvl w:ilvl="4" w:tplc="FD94DBF2" w:tentative="1">
      <w:start w:val="1"/>
      <w:numFmt w:val="bullet"/>
      <w:lvlText w:val="•"/>
      <w:lvlJc w:val="left"/>
      <w:pPr>
        <w:tabs>
          <w:tab w:val="num" w:pos="3600"/>
        </w:tabs>
        <w:ind w:left="3600" w:hanging="360"/>
      </w:pPr>
      <w:rPr>
        <w:rFonts w:ascii="Times New Roman" w:hAnsi="Times New Roman" w:hint="default"/>
      </w:rPr>
    </w:lvl>
    <w:lvl w:ilvl="5" w:tplc="5E2409B2" w:tentative="1">
      <w:start w:val="1"/>
      <w:numFmt w:val="bullet"/>
      <w:lvlText w:val="•"/>
      <w:lvlJc w:val="left"/>
      <w:pPr>
        <w:tabs>
          <w:tab w:val="num" w:pos="4320"/>
        </w:tabs>
        <w:ind w:left="4320" w:hanging="360"/>
      </w:pPr>
      <w:rPr>
        <w:rFonts w:ascii="Times New Roman" w:hAnsi="Times New Roman" w:hint="default"/>
      </w:rPr>
    </w:lvl>
    <w:lvl w:ilvl="6" w:tplc="50F4FCEC" w:tentative="1">
      <w:start w:val="1"/>
      <w:numFmt w:val="bullet"/>
      <w:lvlText w:val="•"/>
      <w:lvlJc w:val="left"/>
      <w:pPr>
        <w:tabs>
          <w:tab w:val="num" w:pos="5040"/>
        </w:tabs>
        <w:ind w:left="5040" w:hanging="360"/>
      </w:pPr>
      <w:rPr>
        <w:rFonts w:ascii="Times New Roman" w:hAnsi="Times New Roman" w:hint="default"/>
      </w:rPr>
    </w:lvl>
    <w:lvl w:ilvl="7" w:tplc="8DA80B9E" w:tentative="1">
      <w:start w:val="1"/>
      <w:numFmt w:val="bullet"/>
      <w:lvlText w:val="•"/>
      <w:lvlJc w:val="left"/>
      <w:pPr>
        <w:tabs>
          <w:tab w:val="num" w:pos="5760"/>
        </w:tabs>
        <w:ind w:left="5760" w:hanging="360"/>
      </w:pPr>
      <w:rPr>
        <w:rFonts w:ascii="Times New Roman" w:hAnsi="Times New Roman" w:hint="default"/>
      </w:rPr>
    </w:lvl>
    <w:lvl w:ilvl="8" w:tplc="156C2DC8"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069A722B"/>
    <w:multiLevelType w:val="multilevel"/>
    <w:tmpl w:val="35380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731B2F"/>
    <w:multiLevelType w:val="multilevel"/>
    <w:tmpl w:val="4358D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2E41EF"/>
    <w:multiLevelType w:val="hybridMultilevel"/>
    <w:tmpl w:val="B41C0416"/>
    <w:lvl w:ilvl="0" w:tplc="9B6610D8">
      <w:start w:val="1"/>
      <w:numFmt w:val="decimal"/>
      <w:lvlText w:val="%1."/>
      <w:lvlJc w:val="left"/>
      <w:pPr>
        <w:ind w:left="756" w:hanging="396"/>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32B0B64"/>
    <w:multiLevelType w:val="multilevel"/>
    <w:tmpl w:val="6E7285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5E5150C"/>
    <w:multiLevelType w:val="multilevel"/>
    <w:tmpl w:val="2AAA3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72645CA"/>
    <w:multiLevelType w:val="hybridMultilevel"/>
    <w:tmpl w:val="65E8D760"/>
    <w:lvl w:ilvl="0" w:tplc="747C1858">
      <w:start w:val="1"/>
      <w:numFmt w:val="decimal"/>
      <w:lvlText w:val="%1."/>
      <w:lvlJc w:val="left"/>
      <w:pPr>
        <w:ind w:left="360" w:hanging="360"/>
      </w:pPr>
      <w:rPr>
        <w:rFonts w:eastAsia="Times New Roman" w:hint="default"/>
        <w:color w:val="1F1F1F"/>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17CA4D7F"/>
    <w:multiLevelType w:val="multilevel"/>
    <w:tmpl w:val="8102A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7D56AB6"/>
    <w:multiLevelType w:val="multilevel"/>
    <w:tmpl w:val="3AD8C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A9F03DE"/>
    <w:multiLevelType w:val="multilevel"/>
    <w:tmpl w:val="14961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BED0569"/>
    <w:multiLevelType w:val="multilevel"/>
    <w:tmpl w:val="6F7A1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C7F5EA3"/>
    <w:multiLevelType w:val="hybridMultilevel"/>
    <w:tmpl w:val="9C108E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442281"/>
    <w:multiLevelType w:val="hybridMultilevel"/>
    <w:tmpl w:val="50427456"/>
    <w:lvl w:ilvl="0" w:tplc="1D665604">
      <w:start w:val="1"/>
      <w:numFmt w:val="decimal"/>
      <w:lvlText w:val="%1."/>
      <w:lvlJc w:val="left"/>
      <w:pPr>
        <w:ind w:left="720" w:hanging="360"/>
      </w:pPr>
      <w:rPr>
        <w:rFonts w:ascii="Arial" w:eastAsia="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F5E1EB6"/>
    <w:multiLevelType w:val="multilevel"/>
    <w:tmpl w:val="CCA09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5C5385A"/>
    <w:multiLevelType w:val="hybridMultilevel"/>
    <w:tmpl w:val="891C9562"/>
    <w:lvl w:ilvl="0" w:tplc="FFFFFFFF">
      <w:start w:val="1"/>
      <w:numFmt w:val="decimal"/>
      <w:lvlText w:val="%1."/>
      <w:lvlJc w:val="left"/>
      <w:pPr>
        <w:ind w:left="720" w:hanging="360"/>
      </w:pPr>
      <w:rPr>
        <w:rFonts w:ascii="Arial" w:eastAsia="Arial" w:hAnsi="Arial" w:cs="Aria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274F427A"/>
    <w:multiLevelType w:val="multilevel"/>
    <w:tmpl w:val="156E85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7A82520"/>
    <w:multiLevelType w:val="multilevel"/>
    <w:tmpl w:val="D7881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8C7257B"/>
    <w:multiLevelType w:val="multilevel"/>
    <w:tmpl w:val="73F623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1A07D45"/>
    <w:multiLevelType w:val="multilevel"/>
    <w:tmpl w:val="28EEAD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34063DA"/>
    <w:multiLevelType w:val="multilevel"/>
    <w:tmpl w:val="DFFE9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BD92589"/>
    <w:multiLevelType w:val="multilevel"/>
    <w:tmpl w:val="467A08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FB379D4"/>
    <w:multiLevelType w:val="multilevel"/>
    <w:tmpl w:val="1DDE3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6626C83"/>
    <w:multiLevelType w:val="multilevel"/>
    <w:tmpl w:val="4AB68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8B879E0"/>
    <w:multiLevelType w:val="multilevel"/>
    <w:tmpl w:val="8D94E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D267639"/>
    <w:multiLevelType w:val="multilevel"/>
    <w:tmpl w:val="77A44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F552C61"/>
    <w:multiLevelType w:val="multilevel"/>
    <w:tmpl w:val="95F8E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43964DC"/>
    <w:multiLevelType w:val="multilevel"/>
    <w:tmpl w:val="3A36B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4B57653"/>
    <w:multiLevelType w:val="multilevel"/>
    <w:tmpl w:val="503A2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B8B3362"/>
    <w:multiLevelType w:val="multilevel"/>
    <w:tmpl w:val="08306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CAF5EA0"/>
    <w:multiLevelType w:val="multilevel"/>
    <w:tmpl w:val="615A2F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D763C9F"/>
    <w:multiLevelType w:val="multilevel"/>
    <w:tmpl w:val="AB184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4A66DDC"/>
    <w:multiLevelType w:val="multilevel"/>
    <w:tmpl w:val="9FECB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7951B0B"/>
    <w:multiLevelType w:val="multilevel"/>
    <w:tmpl w:val="73F623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B637094"/>
    <w:multiLevelType w:val="multilevel"/>
    <w:tmpl w:val="54D28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BDE7B67"/>
    <w:multiLevelType w:val="multilevel"/>
    <w:tmpl w:val="E834B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BF14053"/>
    <w:multiLevelType w:val="multilevel"/>
    <w:tmpl w:val="C9D23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F45065D"/>
    <w:multiLevelType w:val="multilevel"/>
    <w:tmpl w:val="78782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3456416"/>
    <w:multiLevelType w:val="multilevel"/>
    <w:tmpl w:val="C0005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4D27275"/>
    <w:multiLevelType w:val="multilevel"/>
    <w:tmpl w:val="A36AA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579040C"/>
    <w:multiLevelType w:val="multilevel"/>
    <w:tmpl w:val="F82C36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F344A91"/>
    <w:multiLevelType w:val="multilevel"/>
    <w:tmpl w:val="A3627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16755495">
    <w:abstractNumId w:val="42"/>
  </w:num>
  <w:num w:numId="2" w16cid:durableId="1148982136">
    <w:abstractNumId w:val="22"/>
  </w:num>
  <w:num w:numId="3" w16cid:durableId="1153106030">
    <w:abstractNumId w:val="1"/>
  </w:num>
  <w:num w:numId="4" w16cid:durableId="1155874006">
    <w:abstractNumId w:val="33"/>
  </w:num>
  <w:num w:numId="5" w16cid:durableId="1171212178">
    <w:abstractNumId w:val="13"/>
  </w:num>
  <w:num w:numId="6" w16cid:durableId="126243289">
    <w:abstractNumId w:val="23"/>
  </w:num>
  <w:num w:numId="7" w16cid:durableId="1340234997">
    <w:abstractNumId w:val="3"/>
  </w:num>
  <w:num w:numId="8" w16cid:durableId="1403481931">
    <w:abstractNumId w:val="43"/>
  </w:num>
  <w:num w:numId="9" w16cid:durableId="141502796">
    <w:abstractNumId w:val="25"/>
  </w:num>
  <w:num w:numId="10" w16cid:durableId="1563904173">
    <w:abstractNumId w:val="11"/>
  </w:num>
  <w:num w:numId="11" w16cid:durableId="1575817940">
    <w:abstractNumId w:val="10"/>
  </w:num>
  <w:num w:numId="12" w16cid:durableId="1617370770">
    <w:abstractNumId w:val="7"/>
  </w:num>
  <w:num w:numId="13" w16cid:durableId="1639263510">
    <w:abstractNumId w:val="8"/>
  </w:num>
  <w:num w:numId="14" w16cid:durableId="1695227223">
    <w:abstractNumId w:val="21"/>
  </w:num>
  <w:num w:numId="15" w16cid:durableId="1712263959">
    <w:abstractNumId w:val="28"/>
  </w:num>
  <w:num w:numId="16" w16cid:durableId="1712412091">
    <w:abstractNumId w:val="37"/>
  </w:num>
  <w:num w:numId="17" w16cid:durableId="17237910">
    <w:abstractNumId w:val="20"/>
  </w:num>
  <w:num w:numId="18" w16cid:durableId="1764909046">
    <w:abstractNumId w:val="36"/>
  </w:num>
  <w:num w:numId="19" w16cid:durableId="1766420663">
    <w:abstractNumId w:val="4"/>
  </w:num>
  <w:num w:numId="20" w16cid:durableId="1786532765">
    <w:abstractNumId w:val="0"/>
  </w:num>
  <w:num w:numId="21" w16cid:durableId="1901283948">
    <w:abstractNumId w:val="2"/>
  </w:num>
  <w:num w:numId="22" w16cid:durableId="1906794548">
    <w:abstractNumId w:val="16"/>
  </w:num>
  <w:num w:numId="23" w16cid:durableId="1909799465">
    <w:abstractNumId w:val="32"/>
  </w:num>
  <w:num w:numId="24" w16cid:durableId="2024282408">
    <w:abstractNumId w:val="27"/>
  </w:num>
  <w:num w:numId="25" w16cid:durableId="21711713">
    <w:abstractNumId w:val="41"/>
  </w:num>
  <w:num w:numId="26" w16cid:durableId="243027989">
    <w:abstractNumId w:val="17"/>
  </w:num>
  <w:num w:numId="27" w16cid:durableId="248806860">
    <w:abstractNumId w:val="6"/>
  </w:num>
  <w:num w:numId="28" w16cid:durableId="252084070">
    <w:abstractNumId w:val="31"/>
  </w:num>
  <w:num w:numId="29" w16cid:durableId="255360605">
    <w:abstractNumId w:val="26"/>
  </w:num>
  <w:num w:numId="30" w16cid:durableId="316349267">
    <w:abstractNumId w:val="34"/>
  </w:num>
  <w:num w:numId="31" w16cid:durableId="329261811">
    <w:abstractNumId w:val="19"/>
  </w:num>
  <w:num w:numId="32" w16cid:durableId="36511134">
    <w:abstractNumId w:val="12"/>
  </w:num>
  <w:num w:numId="33" w16cid:durableId="512378672">
    <w:abstractNumId w:val="5"/>
  </w:num>
  <w:num w:numId="34" w16cid:durableId="54861548">
    <w:abstractNumId w:val="40"/>
  </w:num>
  <w:num w:numId="35" w16cid:durableId="566573379">
    <w:abstractNumId w:val="38"/>
  </w:num>
  <w:num w:numId="36" w16cid:durableId="611211218">
    <w:abstractNumId w:val="39"/>
  </w:num>
  <w:num w:numId="37" w16cid:durableId="636885522">
    <w:abstractNumId w:val="24"/>
  </w:num>
  <w:num w:numId="38" w16cid:durableId="691345400">
    <w:abstractNumId w:val="9"/>
  </w:num>
  <w:num w:numId="39" w16cid:durableId="714281282">
    <w:abstractNumId w:val="14"/>
  </w:num>
  <w:num w:numId="40" w16cid:durableId="752898548">
    <w:abstractNumId w:val="18"/>
  </w:num>
  <w:num w:numId="41" w16cid:durableId="775562899">
    <w:abstractNumId w:val="29"/>
  </w:num>
  <w:num w:numId="42" w16cid:durableId="791898529">
    <w:abstractNumId w:val="30"/>
  </w:num>
  <w:num w:numId="43" w16cid:durableId="839127465">
    <w:abstractNumId w:val="35"/>
  </w:num>
  <w:num w:numId="44" w16cid:durableId="857162689">
    <w:abstractNumId w:val="15"/>
  </w:num>
  <w:numIdMacAtCleanup w:val="2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26B"/>
    <w:rsid w:val="00000A85"/>
    <w:rsid w:val="0000144D"/>
    <w:rsid w:val="00012EE3"/>
    <w:rsid w:val="000207DD"/>
    <w:rsid w:val="000239B0"/>
    <w:rsid w:val="00024C5A"/>
    <w:rsid w:val="000364AB"/>
    <w:rsid w:val="0003748A"/>
    <w:rsid w:val="0004708D"/>
    <w:rsid w:val="00047341"/>
    <w:rsid w:val="000577C3"/>
    <w:rsid w:val="00061ADA"/>
    <w:rsid w:val="00066B62"/>
    <w:rsid w:val="00082A6E"/>
    <w:rsid w:val="00085271"/>
    <w:rsid w:val="00085681"/>
    <w:rsid w:val="00090869"/>
    <w:rsid w:val="00091E69"/>
    <w:rsid w:val="00094F0C"/>
    <w:rsid w:val="000A3680"/>
    <w:rsid w:val="000B0FBE"/>
    <w:rsid w:val="000B27B5"/>
    <w:rsid w:val="000B3D46"/>
    <w:rsid w:val="000B6A91"/>
    <w:rsid w:val="000C105E"/>
    <w:rsid w:val="000C30AA"/>
    <w:rsid w:val="000C6AF0"/>
    <w:rsid w:val="000D5641"/>
    <w:rsid w:val="000D5B93"/>
    <w:rsid w:val="000E57DF"/>
    <w:rsid w:val="000E649B"/>
    <w:rsid w:val="00101B53"/>
    <w:rsid w:val="001035AB"/>
    <w:rsid w:val="00105998"/>
    <w:rsid w:val="0010680C"/>
    <w:rsid w:val="001119D7"/>
    <w:rsid w:val="00111D39"/>
    <w:rsid w:val="001171C3"/>
    <w:rsid w:val="00124A86"/>
    <w:rsid w:val="00141FA3"/>
    <w:rsid w:val="001524FF"/>
    <w:rsid w:val="00160539"/>
    <w:rsid w:val="00176002"/>
    <w:rsid w:val="001A5B2B"/>
    <w:rsid w:val="001B1D7D"/>
    <w:rsid w:val="001D4651"/>
    <w:rsid w:val="001D467A"/>
    <w:rsid w:val="001E4338"/>
    <w:rsid w:val="001E5C4E"/>
    <w:rsid w:val="001F7757"/>
    <w:rsid w:val="00200C2F"/>
    <w:rsid w:val="00202C96"/>
    <w:rsid w:val="00212A28"/>
    <w:rsid w:val="00221395"/>
    <w:rsid w:val="00224F72"/>
    <w:rsid w:val="0023005A"/>
    <w:rsid w:val="00230607"/>
    <w:rsid w:val="00230E68"/>
    <w:rsid w:val="00231C28"/>
    <w:rsid w:val="0023545D"/>
    <w:rsid w:val="002516DA"/>
    <w:rsid w:val="0025495A"/>
    <w:rsid w:val="00260BD9"/>
    <w:rsid w:val="0026513C"/>
    <w:rsid w:val="002665AF"/>
    <w:rsid w:val="00270465"/>
    <w:rsid w:val="00271803"/>
    <w:rsid w:val="00276A88"/>
    <w:rsid w:val="00282B0F"/>
    <w:rsid w:val="00286BF8"/>
    <w:rsid w:val="002A1294"/>
    <w:rsid w:val="002A7C92"/>
    <w:rsid w:val="002B281A"/>
    <w:rsid w:val="002B5C1C"/>
    <w:rsid w:val="002C533F"/>
    <w:rsid w:val="002D09D3"/>
    <w:rsid w:val="002D33E9"/>
    <w:rsid w:val="002D405D"/>
    <w:rsid w:val="002D62C7"/>
    <w:rsid w:val="002E5E07"/>
    <w:rsid w:val="002E6082"/>
    <w:rsid w:val="002F3C03"/>
    <w:rsid w:val="002F6365"/>
    <w:rsid w:val="002F658A"/>
    <w:rsid w:val="00300CF6"/>
    <w:rsid w:val="0030310B"/>
    <w:rsid w:val="00303540"/>
    <w:rsid w:val="00305253"/>
    <w:rsid w:val="003110E3"/>
    <w:rsid w:val="0031128A"/>
    <w:rsid w:val="00311E25"/>
    <w:rsid w:val="003211E6"/>
    <w:rsid w:val="0032501E"/>
    <w:rsid w:val="00354F57"/>
    <w:rsid w:val="003570B2"/>
    <w:rsid w:val="00372408"/>
    <w:rsid w:val="00372762"/>
    <w:rsid w:val="00376598"/>
    <w:rsid w:val="00376FF7"/>
    <w:rsid w:val="0039257B"/>
    <w:rsid w:val="00394B8F"/>
    <w:rsid w:val="003A57EA"/>
    <w:rsid w:val="003C4148"/>
    <w:rsid w:val="003C5343"/>
    <w:rsid w:val="003C5960"/>
    <w:rsid w:val="003D4D53"/>
    <w:rsid w:val="003D718A"/>
    <w:rsid w:val="003E653C"/>
    <w:rsid w:val="003E75A9"/>
    <w:rsid w:val="003F339C"/>
    <w:rsid w:val="003F393B"/>
    <w:rsid w:val="00401B4F"/>
    <w:rsid w:val="004048E7"/>
    <w:rsid w:val="00405441"/>
    <w:rsid w:val="00405CCD"/>
    <w:rsid w:val="004123AC"/>
    <w:rsid w:val="0042168F"/>
    <w:rsid w:val="00425A3C"/>
    <w:rsid w:val="004342CC"/>
    <w:rsid w:val="00436209"/>
    <w:rsid w:val="00436957"/>
    <w:rsid w:val="00451A41"/>
    <w:rsid w:val="004661C1"/>
    <w:rsid w:val="00467CC2"/>
    <w:rsid w:val="00474A7D"/>
    <w:rsid w:val="004869FE"/>
    <w:rsid w:val="00490623"/>
    <w:rsid w:val="00494924"/>
    <w:rsid w:val="004951B9"/>
    <w:rsid w:val="004B51DC"/>
    <w:rsid w:val="004D1936"/>
    <w:rsid w:val="004D5096"/>
    <w:rsid w:val="004D62EC"/>
    <w:rsid w:val="004D6E0D"/>
    <w:rsid w:val="004E37A0"/>
    <w:rsid w:val="004E68F8"/>
    <w:rsid w:val="004E717E"/>
    <w:rsid w:val="004F090C"/>
    <w:rsid w:val="004F52D5"/>
    <w:rsid w:val="00500EAA"/>
    <w:rsid w:val="00512C05"/>
    <w:rsid w:val="00513B70"/>
    <w:rsid w:val="00522FEE"/>
    <w:rsid w:val="0052582F"/>
    <w:rsid w:val="00536CD0"/>
    <w:rsid w:val="00541963"/>
    <w:rsid w:val="00547594"/>
    <w:rsid w:val="00551416"/>
    <w:rsid w:val="00551E99"/>
    <w:rsid w:val="00552620"/>
    <w:rsid w:val="005562E3"/>
    <w:rsid w:val="00567DAC"/>
    <w:rsid w:val="00573526"/>
    <w:rsid w:val="005739E5"/>
    <w:rsid w:val="005741F9"/>
    <w:rsid w:val="00590B1E"/>
    <w:rsid w:val="00592076"/>
    <w:rsid w:val="005A229F"/>
    <w:rsid w:val="005B2562"/>
    <w:rsid w:val="005C4CEC"/>
    <w:rsid w:val="005E0B24"/>
    <w:rsid w:val="005E2613"/>
    <w:rsid w:val="005E6D19"/>
    <w:rsid w:val="006054C8"/>
    <w:rsid w:val="00605A70"/>
    <w:rsid w:val="006152AE"/>
    <w:rsid w:val="0063328E"/>
    <w:rsid w:val="006379B2"/>
    <w:rsid w:val="00646529"/>
    <w:rsid w:val="00663C76"/>
    <w:rsid w:val="00673E50"/>
    <w:rsid w:val="00674A5C"/>
    <w:rsid w:val="0068551A"/>
    <w:rsid w:val="00697C42"/>
    <w:rsid w:val="006A3915"/>
    <w:rsid w:val="006A4624"/>
    <w:rsid w:val="006A6204"/>
    <w:rsid w:val="006B4F90"/>
    <w:rsid w:val="006B5D22"/>
    <w:rsid w:val="006B5D6E"/>
    <w:rsid w:val="006C7215"/>
    <w:rsid w:val="006D2A00"/>
    <w:rsid w:val="006D2BAF"/>
    <w:rsid w:val="006E28E1"/>
    <w:rsid w:val="006E76F5"/>
    <w:rsid w:val="006F4D07"/>
    <w:rsid w:val="00705C13"/>
    <w:rsid w:val="007175AD"/>
    <w:rsid w:val="007260CC"/>
    <w:rsid w:val="0073572E"/>
    <w:rsid w:val="007359DD"/>
    <w:rsid w:val="0073793F"/>
    <w:rsid w:val="00742833"/>
    <w:rsid w:val="0075187C"/>
    <w:rsid w:val="00751F67"/>
    <w:rsid w:val="00752E36"/>
    <w:rsid w:val="00755F26"/>
    <w:rsid w:val="00757D12"/>
    <w:rsid w:val="00766BF8"/>
    <w:rsid w:val="00772E45"/>
    <w:rsid w:val="0077753C"/>
    <w:rsid w:val="0078019D"/>
    <w:rsid w:val="00786E16"/>
    <w:rsid w:val="0079296E"/>
    <w:rsid w:val="00797C99"/>
    <w:rsid w:val="00797EE8"/>
    <w:rsid w:val="007A1D65"/>
    <w:rsid w:val="007A6398"/>
    <w:rsid w:val="007B3FDD"/>
    <w:rsid w:val="007C4D0D"/>
    <w:rsid w:val="007D6AC7"/>
    <w:rsid w:val="00805E37"/>
    <w:rsid w:val="00810644"/>
    <w:rsid w:val="00814B14"/>
    <w:rsid w:val="00821439"/>
    <w:rsid w:val="0082671F"/>
    <w:rsid w:val="00831ACC"/>
    <w:rsid w:val="0084066E"/>
    <w:rsid w:val="0085494E"/>
    <w:rsid w:val="00863CD1"/>
    <w:rsid w:val="00870E2C"/>
    <w:rsid w:val="0087340C"/>
    <w:rsid w:val="008817B1"/>
    <w:rsid w:val="00894EA7"/>
    <w:rsid w:val="008A6231"/>
    <w:rsid w:val="008B2309"/>
    <w:rsid w:val="008C0C63"/>
    <w:rsid w:val="008E32C8"/>
    <w:rsid w:val="008E705B"/>
    <w:rsid w:val="009104DF"/>
    <w:rsid w:val="0092031F"/>
    <w:rsid w:val="00922516"/>
    <w:rsid w:val="00942C32"/>
    <w:rsid w:val="00946EDC"/>
    <w:rsid w:val="0094751C"/>
    <w:rsid w:val="0095258B"/>
    <w:rsid w:val="00956114"/>
    <w:rsid w:val="0096004D"/>
    <w:rsid w:val="00960F57"/>
    <w:rsid w:val="00964478"/>
    <w:rsid w:val="009672AA"/>
    <w:rsid w:val="00970D4A"/>
    <w:rsid w:val="00974433"/>
    <w:rsid w:val="009774E1"/>
    <w:rsid w:val="00983595"/>
    <w:rsid w:val="00984E9E"/>
    <w:rsid w:val="009900B7"/>
    <w:rsid w:val="0099108C"/>
    <w:rsid w:val="00994D22"/>
    <w:rsid w:val="009A0EC6"/>
    <w:rsid w:val="009C2344"/>
    <w:rsid w:val="009C27EF"/>
    <w:rsid w:val="009D6A7C"/>
    <w:rsid w:val="009D726B"/>
    <w:rsid w:val="009D7D0F"/>
    <w:rsid w:val="009F27F6"/>
    <w:rsid w:val="00A0477C"/>
    <w:rsid w:val="00A06FBC"/>
    <w:rsid w:val="00A13224"/>
    <w:rsid w:val="00A2144F"/>
    <w:rsid w:val="00A546B6"/>
    <w:rsid w:val="00A5518F"/>
    <w:rsid w:val="00A55EF0"/>
    <w:rsid w:val="00A67355"/>
    <w:rsid w:val="00A72D73"/>
    <w:rsid w:val="00A9418B"/>
    <w:rsid w:val="00A95CFA"/>
    <w:rsid w:val="00A9600A"/>
    <w:rsid w:val="00AA7D54"/>
    <w:rsid w:val="00AB02E1"/>
    <w:rsid w:val="00AB4D78"/>
    <w:rsid w:val="00AC10F7"/>
    <w:rsid w:val="00AC4327"/>
    <w:rsid w:val="00AC5AAC"/>
    <w:rsid w:val="00AC66EB"/>
    <w:rsid w:val="00AD3D85"/>
    <w:rsid w:val="00AD5ED5"/>
    <w:rsid w:val="00AF6109"/>
    <w:rsid w:val="00B02E5D"/>
    <w:rsid w:val="00B150C3"/>
    <w:rsid w:val="00B22F33"/>
    <w:rsid w:val="00B2504B"/>
    <w:rsid w:val="00B312E3"/>
    <w:rsid w:val="00B37754"/>
    <w:rsid w:val="00B45FB4"/>
    <w:rsid w:val="00B468BB"/>
    <w:rsid w:val="00B50184"/>
    <w:rsid w:val="00B537E2"/>
    <w:rsid w:val="00B56033"/>
    <w:rsid w:val="00B57C0A"/>
    <w:rsid w:val="00B611DF"/>
    <w:rsid w:val="00B65532"/>
    <w:rsid w:val="00B80255"/>
    <w:rsid w:val="00B80FF4"/>
    <w:rsid w:val="00B87676"/>
    <w:rsid w:val="00B9384E"/>
    <w:rsid w:val="00BC39A0"/>
    <w:rsid w:val="00BE46AC"/>
    <w:rsid w:val="00BE4DED"/>
    <w:rsid w:val="00BE6444"/>
    <w:rsid w:val="00BE6E60"/>
    <w:rsid w:val="00C03C57"/>
    <w:rsid w:val="00C17C92"/>
    <w:rsid w:val="00C337F1"/>
    <w:rsid w:val="00C4002A"/>
    <w:rsid w:val="00C421BE"/>
    <w:rsid w:val="00C425CE"/>
    <w:rsid w:val="00C45D49"/>
    <w:rsid w:val="00C549FB"/>
    <w:rsid w:val="00C579EC"/>
    <w:rsid w:val="00C74D67"/>
    <w:rsid w:val="00C74F32"/>
    <w:rsid w:val="00C90183"/>
    <w:rsid w:val="00C90FA0"/>
    <w:rsid w:val="00C92B4E"/>
    <w:rsid w:val="00CA72CC"/>
    <w:rsid w:val="00CB2D4C"/>
    <w:rsid w:val="00CB67F8"/>
    <w:rsid w:val="00CB77B7"/>
    <w:rsid w:val="00CC237C"/>
    <w:rsid w:val="00CD29D9"/>
    <w:rsid w:val="00CD38E9"/>
    <w:rsid w:val="00CE7FAB"/>
    <w:rsid w:val="00CF257F"/>
    <w:rsid w:val="00D00456"/>
    <w:rsid w:val="00D03F87"/>
    <w:rsid w:val="00D1036C"/>
    <w:rsid w:val="00D10CFD"/>
    <w:rsid w:val="00D21B1B"/>
    <w:rsid w:val="00D3529B"/>
    <w:rsid w:val="00D4435F"/>
    <w:rsid w:val="00D466B8"/>
    <w:rsid w:val="00D52C10"/>
    <w:rsid w:val="00D560FF"/>
    <w:rsid w:val="00D76766"/>
    <w:rsid w:val="00D80E5D"/>
    <w:rsid w:val="00D85AD3"/>
    <w:rsid w:val="00D9018A"/>
    <w:rsid w:val="00D903C5"/>
    <w:rsid w:val="00D9433F"/>
    <w:rsid w:val="00D943B5"/>
    <w:rsid w:val="00D94443"/>
    <w:rsid w:val="00D94D15"/>
    <w:rsid w:val="00D973A9"/>
    <w:rsid w:val="00DB418A"/>
    <w:rsid w:val="00DC3D2B"/>
    <w:rsid w:val="00DD56F3"/>
    <w:rsid w:val="00DE2018"/>
    <w:rsid w:val="00E01F21"/>
    <w:rsid w:val="00E021FF"/>
    <w:rsid w:val="00E023C4"/>
    <w:rsid w:val="00E0505E"/>
    <w:rsid w:val="00E1232A"/>
    <w:rsid w:val="00E20D3B"/>
    <w:rsid w:val="00E2309D"/>
    <w:rsid w:val="00E3284D"/>
    <w:rsid w:val="00E3599F"/>
    <w:rsid w:val="00E3651D"/>
    <w:rsid w:val="00E40524"/>
    <w:rsid w:val="00E67A14"/>
    <w:rsid w:val="00E91633"/>
    <w:rsid w:val="00E93CBC"/>
    <w:rsid w:val="00EA5BD5"/>
    <w:rsid w:val="00EB1B2B"/>
    <w:rsid w:val="00EB61A8"/>
    <w:rsid w:val="00EB73DF"/>
    <w:rsid w:val="00ED2BBF"/>
    <w:rsid w:val="00EE43A2"/>
    <w:rsid w:val="00EF163A"/>
    <w:rsid w:val="00EF33CB"/>
    <w:rsid w:val="00EF49E7"/>
    <w:rsid w:val="00F07B0E"/>
    <w:rsid w:val="00F15CFB"/>
    <w:rsid w:val="00F35B38"/>
    <w:rsid w:val="00F35CD0"/>
    <w:rsid w:val="00F440BC"/>
    <w:rsid w:val="00F4620F"/>
    <w:rsid w:val="00F55467"/>
    <w:rsid w:val="00F60F34"/>
    <w:rsid w:val="00F6155F"/>
    <w:rsid w:val="00F64A94"/>
    <w:rsid w:val="00F656D6"/>
    <w:rsid w:val="00F714DC"/>
    <w:rsid w:val="00F743B8"/>
    <w:rsid w:val="00F76EAC"/>
    <w:rsid w:val="00F92957"/>
    <w:rsid w:val="00F9735E"/>
    <w:rsid w:val="00FA1B2D"/>
    <w:rsid w:val="00FD1599"/>
    <w:rsid w:val="00FD5DE2"/>
    <w:rsid w:val="00FF7C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D3D69A"/>
  <w15:chartTrackingRefBased/>
  <w15:docId w15:val="{A8165C2B-97C6-4DC0-BDDB-422C39EF37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16DA"/>
  </w:style>
  <w:style w:type="paragraph" w:styleId="Heading1">
    <w:name w:val="heading 1"/>
    <w:basedOn w:val="Normal"/>
    <w:next w:val="Normal"/>
    <w:link w:val="Heading1Char"/>
    <w:uiPriority w:val="9"/>
    <w:qFormat/>
    <w:rsid w:val="009D72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D72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D72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72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72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72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72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72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72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72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D72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D72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72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72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72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72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72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726B"/>
    <w:rPr>
      <w:rFonts w:eastAsiaTheme="majorEastAsia" w:cstheme="majorBidi"/>
      <w:color w:val="272727" w:themeColor="text1" w:themeTint="D8"/>
    </w:rPr>
  </w:style>
  <w:style w:type="paragraph" w:styleId="Title">
    <w:name w:val="Title"/>
    <w:basedOn w:val="Normal"/>
    <w:next w:val="Normal"/>
    <w:link w:val="TitleChar"/>
    <w:uiPriority w:val="10"/>
    <w:qFormat/>
    <w:rsid w:val="009D72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72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72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72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726B"/>
    <w:pPr>
      <w:spacing w:before="160"/>
      <w:jc w:val="center"/>
    </w:pPr>
    <w:rPr>
      <w:i/>
      <w:iCs/>
      <w:color w:val="404040" w:themeColor="text1" w:themeTint="BF"/>
    </w:rPr>
  </w:style>
  <w:style w:type="character" w:customStyle="1" w:styleId="QuoteChar">
    <w:name w:val="Quote Char"/>
    <w:basedOn w:val="DefaultParagraphFont"/>
    <w:link w:val="Quote"/>
    <w:uiPriority w:val="29"/>
    <w:rsid w:val="009D726B"/>
    <w:rPr>
      <w:i/>
      <w:iCs/>
      <w:color w:val="404040" w:themeColor="text1" w:themeTint="BF"/>
    </w:rPr>
  </w:style>
  <w:style w:type="paragraph" w:styleId="ListParagraph">
    <w:name w:val="List Paragraph"/>
    <w:basedOn w:val="Normal"/>
    <w:uiPriority w:val="34"/>
    <w:qFormat/>
    <w:rsid w:val="009D726B"/>
    <w:pPr>
      <w:ind w:left="720"/>
      <w:contextualSpacing/>
    </w:pPr>
  </w:style>
  <w:style w:type="character" w:styleId="IntenseEmphasis">
    <w:name w:val="Intense Emphasis"/>
    <w:basedOn w:val="DefaultParagraphFont"/>
    <w:uiPriority w:val="21"/>
    <w:qFormat/>
    <w:rsid w:val="009D726B"/>
    <w:rPr>
      <w:i/>
      <w:iCs/>
      <w:color w:val="0F4761" w:themeColor="accent1" w:themeShade="BF"/>
    </w:rPr>
  </w:style>
  <w:style w:type="paragraph" w:styleId="IntenseQuote">
    <w:name w:val="Intense Quote"/>
    <w:basedOn w:val="Normal"/>
    <w:next w:val="Normal"/>
    <w:link w:val="IntenseQuoteChar"/>
    <w:uiPriority w:val="30"/>
    <w:qFormat/>
    <w:rsid w:val="009D72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726B"/>
    <w:rPr>
      <w:i/>
      <w:iCs/>
      <w:color w:val="0F4761" w:themeColor="accent1" w:themeShade="BF"/>
    </w:rPr>
  </w:style>
  <w:style w:type="character" w:styleId="IntenseReference">
    <w:name w:val="Intense Reference"/>
    <w:basedOn w:val="DefaultParagraphFont"/>
    <w:uiPriority w:val="32"/>
    <w:qFormat/>
    <w:rsid w:val="009D726B"/>
    <w:rPr>
      <w:b/>
      <w:bCs/>
      <w:smallCaps/>
      <w:color w:val="0F4761" w:themeColor="accent1" w:themeShade="BF"/>
      <w:spacing w:val="5"/>
    </w:rPr>
  </w:style>
  <w:style w:type="character" w:styleId="Strong">
    <w:name w:val="Strong"/>
    <w:basedOn w:val="DefaultParagraphFont"/>
    <w:uiPriority w:val="22"/>
    <w:qFormat/>
    <w:rsid w:val="0003748A"/>
    <w:rPr>
      <w:b/>
      <w:bCs/>
    </w:rPr>
  </w:style>
  <w:style w:type="paragraph" w:styleId="NormalWeb">
    <w:name w:val="Normal (Web)"/>
    <w:basedOn w:val="Normal"/>
    <w:uiPriority w:val="99"/>
    <w:unhideWhenUsed/>
    <w:rsid w:val="00512C0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512C05"/>
    <w:rPr>
      <w:color w:val="0000FF"/>
      <w:u w:val="single"/>
    </w:rPr>
  </w:style>
  <w:style w:type="character" w:customStyle="1" w:styleId="citation-428">
    <w:name w:val="citation-428"/>
    <w:basedOn w:val="DefaultParagraphFont"/>
    <w:rsid w:val="006A4624"/>
  </w:style>
  <w:style w:type="character" w:customStyle="1" w:styleId="citation-427">
    <w:name w:val="citation-427"/>
    <w:basedOn w:val="DefaultParagraphFont"/>
    <w:rsid w:val="006A4624"/>
  </w:style>
  <w:style w:type="character" w:customStyle="1" w:styleId="citation-426">
    <w:name w:val="citation-426"/>
    <w:basedOn w:val="DefaultParagraphFont"/>
    <w:rsid w:val="006A4624"/>
  </w:style>
  <w:style w:type="character" w:styleId="Emphasis">
    <w:name w:val="Emphasis"/>
    <w:basedOn w:val="DefaultParagraphFont"/>
    <w:uiPriority w:val="20"/>
    <w:qFormat/>
    <w:rsid w:val="00DB418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www.legislation.gov.uk/ukpga/2010/15/content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cipd.org" TargetMode="External"/><Relationship Id="rId5" Type="http://schemas.openxmlformats.org/officeDocument/2006/relationships/webSettings" Target="webSettings.xml"/><Relationship Id="rId10" Type="http://schemas.openxmlformats.org/officeDocument/2006/relationships/image" Target="media/image5.jpg"/><Relationship Id="rId4" Type="http://schemas.openxmlformats.org/officeDocument/2006/relationships/settings" Target="settings.xml"/><Relationship Id="rId9" Type="http://schemas.openxmlformats.org/officeDocument/2006/relationships/image" Target="media/image4.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F3D512A-7950-4262-933B-87318539E2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6185</TotalTime>
  <Pages>12</Pages>
  <Words>2913</Words>
  <Characters>16607</Characters>
  <Application>Microsoft Office Word</Application>
  <DocSecurity>0</DocSecurity>
  <Lines>138</Lines>
  <Paragraphs>38</Paragraphs>
  <ScaleCrop>false</ScaleCrop>
  <Company/>
  <LinksUpToDate>false</LinksUpToDate>
  <CharactersWithSpaces>19482</CharactersWithSpaces>
  <SharedDoc>false</SharedDoc>
  <HLinks>
    <vt:vector size="24" baseType="variant">
      <vt:variant>
        <vt:i4>5636189</vt:i4>
      </vt:variant>
      <vt:variant>
        <vt:i4>3</vt:i4>
      </vt:variant>
      <vt:variant>
        <vt:i4>0</vt:i4>
      </vt:variant>
      <vt:variant>
        <vt:i4>5</vt:i4>
      </vt:variant>
      <vt:variant>
        <vt:lpwstr>https://www.legislation.gov.uk/ukpga/2010/15/contents</vt:lpwstr>
      </vt:variant>
      <vt:variant>
        <vt:lpwstr/>
      </vt:variant>
      <vt:variant>
        <vt:i4>5046287</vt:i4>
      </vt:variant>
      <vt:variant>
        <vt:i4>0</vt:i4>
      </vt:variant>
      <vt:variant>
        <vt:i4>0</vt:i4>
      </vt:variant>
      <vt:variant>
        <vt:i4>5</vt:i4>
      </vt:variant>
      <vt:variant>
        <vt:lpwstr>https://www.cipd.org/</vt:lpwstr>
      </vt:variant>
      <vt:variant>
        <vt:lpwstr/>
      </vt:variant>
      <vt:variant>
        <vt:i4>5636189</vt:i4>
      </vt:variant>
      <vt:variant>
        <vt:i4>3</vt:i4>
      </vt:variant>
      <vt:variant>
        <vt:i4>0</vt:i4>
      </vt:variant>
      <vt:variant>
        <vt:i4>5</vt:i4>
      </vt:variant>
      <vt:variant>
        <vt:lpwstr>https://www.legislation.gov.uk/ukpga/2010/15/contents</vt:lpwstr>
      </vt:variant>
      <vt:variant>
        <vt:lpwstr/>
      </vt:variant>
      <vt:variant>
        <vt:i4>5046287</vt:i4>
      </vt:variant>
      <vt:variant>
        <vt:i4>0</vt:i4>
      </vt:variant>
      <vt:variant>
        <vt:i4>0</vt:i4>
      </vt:variant>
      <vt:variant>
        <vt:i4>5</vt:i4>
      </vt:variant>
      <vt:variant>
        <vt:lpwstr>https://www.cipd.org/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T2 DABIZZLE</dc:creator>
  <cp:keywords/>
  <dc:description/>
  <cp:lastModifiedBy>T2 DABIZZLE</cp:lastModifiedBy>
  <cp:revision>400</cp:revision>
  <dcterms:created xsi:type="dcterms:W3CDTF">2026-01-26T02:13:00Z</dcterms:created>
  <dcterms:modified xsi:type="dcterms:W3CDTF">2026-02-14T23:28:00Z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246ae39f-174f-43ee-9274-f9424498f8c9</vt:lpwstr>
  </property>
</Properties>
</file>