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4FAF7"/>
  <w:body>
    <w:p w14:paraId="55AC4712" w14:textId="61F23846" w:rsidR="00FF36E2" w:rsidRPr="00F8668D" w:rsidRDefault="007D4816" w:rsidP="00956A67">
      <w:pPr>
        <w:pStyle w:val="Title"/>
        <w:spacing w:line="360" w:lineRule="auto"/>
        <w:jc w:val="center"/>
        <w:rPr>
          <w:rFonts w:ascii="Arial" w:hAnsi="Arial" w:cs="Arial"/>
          <w:color w:val="2D473F"/>
          <w:sz w:val="48"/>
          <w:szCs w:val="48"/>
        </w:rPr>
      </w:pPr>
      <w:r w:rsidRPr="00F8668D">
        <w:rPr>
          <w:rFonts w:ascii="Arial" w:hAnsi="Arial" w:cs="Arial"/>
          <w:color w:val="2D473F"/>
          <w:sz w:val="48"/>
          <w:szCs w:val="48"/>
        </w:rPr>
        <w:t>Sustainable Growth Strategies for SMEs in the Health Food Sector: A Case Study of The Rude Health Company</w:t>
      </w:r>
    </w:p>
    <w:p w14:paraId="10992FDD" w14:textId="77777777" w:rsidR="007D4816" w:rsidRPr="00F8668D" w:rsidRDefault="007D4816" w:rsidP="007D4816">
      <w:pPr>
        <w:jc w:val="center"/>
        <w:rPr>
          <w:rFonts w:ascii="Arial" w:hAnsi="Arial" w:cs="Arial"/>
          <w:color w:val="2D473F"/>
          <w:sz w:val="48"/>
          <w:szCs w:val="48"/>
        </w:rPr>
      </w:pPr>
    </w:p>
    <w:p w14:paraId="39A3EB86" w14:textId="19CA4F34" w:rsidR="00F278BA" w:rsidRDefault="001D4491" w:rsidP="00956A67">
      <w:pPr>
        <w:jc w:val="center"/>
        <w:rPr>
          <w:rFonts w:ascii="Arial" w:hAnsi="Arial" w:cs="Arial"/>
          <w:color w:val="2D473F"/>
          <w:sz w:val="48"/>
          <w:szCs w:val="48"/>
        </w:rPr>
      </w:pPr>
      <w:r>
        <w:rPr>
          <w:rFonts w:ascii="Arial" w:hAnsi="Arial" w:cs="Arial"/>
          <w:noProof/>
          <w:color w:val="2D473F"/>
          <w:sz w:val="48"/>
          <w:szCs w:val="48"/>
        </w:rPr>
        <w:drawing>
          <wp:inline distT="0" distB="0" distL="0" distR="0" wp14:anchorId="014D44A1" wp14:editId="3B85777E">
            <wp:extent cx="5244029" cy="3836699"/>
            <wp:effectExtent l="0" t="0" r="0" b="0"/>
            <wp:docPr id="171337617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3376179" name="Picture 1713376179"/>
                    <pic:cNvPicPr/>
                  </pic:nvPicPr>
                  <pic:blipFill>
                    <a:blip r:embed="rId11">
                      <a:extLst>
                        <a:ext uri="{28A0092B-C50C-407E-A947-70E740481C1C}">
                          <a14:useLocalDpi xmlns:a14="http://schemas.microsoft.com/office/drawing/2010/main" val="0"/>
                        </a:ext>
                      </a:extLst>
                    </a:blip>
                    <a:stretch>
                      <a:fillRect/>
                    </a:stretch>
                  </pic:blipFill>
                  <pic:spPr>
                    <a:xfrm>
                      <a:off x="0" y="0"/>
                      <a:ext cx="5269549" cy="3855370"/>
                    </a:xfrm>
                    <a:prstGeom prst="ellipse">
                      <a:avLst/>
                    </a:prstGeom>
                    <a:ln>
                      <a:noFill/>
                    </a:ln>
                    <a:effectLst>
                      <a:softEdge rad="112500"/>
                    </a:effectLst>
                  </pic:spPr>
                </pic:pic>
              </a:graphicData>
            </a:graphic>
          </wp:inline>
        </w:drawing>
      </w:r>
    </w:p>
    <w:p w14:paraId="75BA9FDA" w14:textId="77777777" w:rsidR="00A1697F" w:rsidRDefault="00A1697F" w:rsidP="00A1697F">
      <w:pPr>
        <w:jc w:val="center"/>
        <w:rPr>
          <w:rFonts w:ascii="Arial" w:hAnsi="Arial" w:cs="Arial"/>
          <w:color w:val="2B4F40"/>
          <w:sz w:val="18"/>
          <w:szCs w:val="18"/>
        </w:rPr>
      </w:pPr>
      <w:r>
        <w:rPr>
          <w:rFonts w:ascii="Arial" w:hAnsi="Arial" w:cs="Arial"/>
          <w:color w:val="2B4F40"/>
          <w:sz w:val="18"/>
          <w:szCs w:val="18"/>
        </w:rPr>
        <w:t>Picture 1</w:t>
      </w:r>
    </w:p>
    <w:p w14:paraId="7421E848" w14:textId="74BF9B6D" w:rsidR="006432C4" w:rsidRDefault="00A1697F" w:rsidP="00A1697F">
      <w:pPr>
        <w:jc w:val="center"/>
        <w:rPr>
          <w:rFonts w:ascii="Arial" w:hAnsi="Arial" w:cs="Arial"/>
          <w:color w:val="2B4F40"/>
          <w:sz w:val="18"/>
          <w:szCs w:val="18"/>
        </w:rPr>
      </w:pPr>
      <w:r w:rsidRPr="00A1697F">
        <w:rPr>
          <w:rFonts w:ascii="Arial" w:hAnsi="Arial" w:cs="Arial"/>
          <w:color w:val="2B4F40"/>
          <w:sz w:val="18"/>
          <w:szCs w:val="18"/>
        </w:rPr>
        <w:t>Source: Internet</w:t>
      </w:r>
    </w:p>
    <w:p w14:paraId="192CD622" w14:textId="77777777" w:rsidR="00A1697F" w:rsidRPr="00A1697F" w:rsidRDefault="00A1697F" w:rsidP="00A1697F">
      <w:pPr>
        <w:jc w:val="center"/>
        <w:rPr>
          <w:rFonts w:ascii="Arial" w:hAnsi="Arial" w:cs="Arial"/>
          <w:color w:val="2B4F40"/>
          <w:sz w:val="18"/>
          <w:szCs w:val="18"/>
        </w:rPr>
      </w:pPr>
    </w:p>
    <w:tbl>
      <w:tblPr>
        <w:tblStyle w:val="TableGrid"/>
        <w:tblW w:w="9362" w:type="dxa"/>
        <w:tblBorders>
          <w:top w:val="single" w:sz="4" w:space="0" w:color="2D473F"/>
          <w:left w:val="single" w:sz="4" w:space="0" w:color="2D473F"/>
          <w:bottom w:val="single" w:sz="4" w:space="0" w:color="2D473F"/>
          <w:right w:val="single" w:sz="4" w:space="0" w:color="2D473F"/>
          <w:insideH w:val="single" w:sz="4" w:space="0" w:color="2D473F"/>
          <w:insideV w:val="single" w:sz="4" w:space="0" w:color="2D473F"/>
        </w:tblBorders>
        <w:shd w:val="clear" w:color="auto" w:fill="E7F5EE"/>
        <w:tblLook w:val="04A0" w:firstRow="1" w:lastRow="0" w:firstColumn="1" w:lastColumn="0" w:noHBand="0" w:noVBand="1"/>
      </w:tblPr>
      <w:tblGrid>
        <w:gridCol w:w="4681"/>
        <w:gridCol w:w="4681"/>
      </w:tblGrid>
      <w:tr w:rsidR="00F8668D" w:rsidRPr="00F8668D" w14:paraId="0D5B7905" w14:textId="77777777" w:rsidTr="00614EEA">
        <w:trPr>
          <w:trHeight w:val="392"/>
        </w:trPr>
        <w:tc>
          <w:tcPr>
            <w:tcW w:w="4681" w:type="dxa"/>
            <w:shd w:val="clear" w:color="auto" w:fill="E7F5EE"/>
          </w:tcPr>
          <w:p w14:paraId="5D6513CC" w14:textId="30127BAB" w:rsidR="00F76889" w:rsidRPr="00F8668D" w:rsidRDefault="00F76889" w:rsidP="00956A67">
            <w:pPr>
              <w:spacing w:line="360" w:lineRule="auto"/>
              <w:jc w:val="center"/>
              <w:rPr>
                <w:rFonts w:ascii="Arial" w:hAnsi="Arial" w:cs="Arial"/>
                <w:color w:val="2D473F"/>
              </w:rPr>
            </w:pPr>
            <w:r w:rsidRPr="00F8668D">
              <w:rPr>
                <w:rFonts w:ascii="Arial" w:hAnsi="Arial" w:cs="Arial"/>
                <w:color w:val="2D473F"/>
              </w:rPr>
              <w:t>Student name</w:t>
            </w:r>
          </w:p>
        </w:tc>
        <w:tc>
          <w:tcPr>
            <w:tcW w:w="4681" w:type="dxa"/>
            <w:shd w:val="clear" w:color="auto" w:fill="E7F5EE"/>
          </w:tcPr>
          <w:p w14:paraId="09B55A72" w14:textId="4E280A84" w:rsidR="00F76889" w:rsidRPr="00F8668D" w:rsidRDefault="00F76889" w:rsidP="00956A67">
            <w:pPr>
              <w:spacing w:line="360" w:lineRule="auto"/>
              <w:jc w:val="center"/>
              <w:rPr>
                <w:rFonts w:ascii="Arial" w:hAnsi="Arial" w:cs="Arial"/>
                <w:color w:val="2D473F"/>
              </w:rPr>
            </w:pPr>
            <w:r w:rsidRPr="00F8668D">
              <w:rPr>
                <w:rFonts w:ascii="Arial" w:hAnsi="Arial" w:cs="Arial"/>
                <w:color w:val="2D473F"/>
              </w:rPr>
              <w:t>Yordanka Kancheva</w:t>
            </w:r>
          </w:p>
        </w:tc>
      </w:tr>
      <w:tr w:rsidR="00F8668D" w:rsidRPr="00F8668D" w14:paraId="3870ECFC" w14:textId="77777777" w:rsidTr="00614EEA">
        <w:trPr>
          <w:trHeight w:val="392"/>
        </w:trPr>
        <w:tc>
          <w:tcPr>
            <w:tcW w:w="4681" w:type="dxa"/>
            <w:shd w:val="clear" w:color="auto" w:fill="E7F5EE"/>
          </w:tcPr>
          <w:p w14:paraId="093E71BD" w14:textId="1694F000" w:rsidR="00F76889" w:rsidRPr="00F8668D" w:rsidRDefault="00F76889" w:rsidP="00956A67">
            <w:pPr>
              <w:spacing w:line="360" w:lineRule="auto"/>
              <w:jc w:val="center"/>
              <w:rPr>
                <w:rFonts w:ascii="Arial" w:hAnsi="Arial" w:cs="Arial"/>
                <w:color w:val="2D473F"/>
              </w:rPr>
            </w:pPr>
            <w:r w:rsidRPr="00F8668D">
              <w:rPr>
                <w:rFonts w:ascii="Arial" w:hAnsi="Arial" w:cs="Arial"/>
                <w:color w:val="2D473F"/>
              </w:rPr>
              <w:t>Student number</w:t>
            </w:r>
          </w:p>
        </w:tc>
        <w:tc>
          <w:tcPr>
            <w:tcW w:w="4681" w:type="dxa"/>
            <w:shd w:val="clear" w:color="auto" w:fill="E7F5EE"/>
          </w:tcPr>
          <w:p w14:paraId="3B9E06A0" w14:textId="6D2745E1" w:rsidR="00F76889" w:rsidRPr="00F8668D" w:rsidRDefault="00F76889" w:rsidP="00956A67">
            <w:pPr>
              <w:spacing w:line="360" w:lineRule="auto"/>
              <w:jc w:val="center"/>
              <w:rPr>
                <w:rFonts w:ascii="Arial" w:hAnsi="Arial" w:cs="Arial"/>
                <w:color w:val="2D473F"/>
              </w:rPr>
            </w:pPr>
            <w:r w:rsidRPr="00F8668D">
              <w:rPr>
                <w:rFonts w:ascii="Arial" w:hAnsi="Arial" w:cs="Arial"/>
                <w:color w:val="2D473F"/>
              </w:rPr>
              <w:t>2017633</w:t>
            </w:r>
          </w:p>
        </w:tc>
      </w:tr>
      <w:tr w:rsidR="00F8668D" w:rsidRPr="00F8668D" w14:paraId="510884A6" w14:textId="77777777" w:rsidTr="00614EEA">
        <w:trPr>
          <w:trHeight w:val="766"/>
        </w:trPr>
        <w:tc>
          <w:tcPr>
            <w:tcW w:w="4681" w:type="dxa"/>
            <w:shd w:val="clear" w:color="auto" w:fill="E7F5EE"/>
          </w:tcPr>
          <w:p w14:paraId="5F40569D" w14:textId="742168BB" w:rsidR="00F76889" w:rsidRPr="00F8668D" w:rsidRDefault="00F76889" w:rsidP="00956A67">
            <w:pPr>
              <w:spacing w:line="360" w:lineRule="auto"/>
              <w:jc w:val="center"/>
              <w:rPr>
                <w:rFonts w:ascii="Arial" w:hAnsi="Arial" w:cs="Arial"/>
                <w:color w:val="2D473F"/>
              </w:rPr>
            </w:pPr>
            <w:r w:rsidRPr="00F8668D">
              <w:rPr>
                <w:rFonts w:ascii="Arial" w:hAnsi="Arial" w:cs="Arial"/>
                <w:color w:val="2D473F"/>
              </w:rPr>
              <w:t>Module name</w:t>
            </w:r>
          </w:p>
        </w:tc>
        <w:tc>
          <w:tcPr>
            <w:tcW w:w="4681" w:type="dxa"/>
            <w:shd w:val="clear" w:color="auto" w:fill="E7F5EE"/>
          </w:tcPr>
          <w:p w14:paraId="4247A16C" w14:textId="158B6099" w:rsidR="00F76889" w:rsidRPr="00F8668D" w:rsidRDefault="00F76889" w:rsidP="00956A67">
            <w:pPr>
              <w:spacing w:line="360" w:lineRule="auto"/>
              <w:jc w:val="center"/>
              <w:rPr>
                <w:rFonts w:ascii="Arial" w:hAnsi="Arial" w:cs="Arial"/>
                <w:color w:val="2D473F"/>
              </w:rPr>
            </w:pPr>
            <w:r w:rsidRPr="00F8668D">
              <w:rPr>
                <w:rFonts w:ascii="Arial" w:hAnsi="Arial" w:cs="Arial"/>
                <w:color w:val="2D473F"/>
              </w:rPr>
              <w:t>Strategic Management for SMEs (BMSW6104_BIRM)</w:t>
            </w:r>
          </w:p>
        </w:tc>
      </w:tr>
      <w:tr w:rsidR="00F8668D" w:rsidRPr="00F8668D" w14:paraId="3B15BE1F" w14:textId="77777777" w:rsidTr="00614EEA">
        <w:trPr>
          <w:trHeight w:val="392"/>
        </w:trPr>
        <w:tc>
          <w:tcPr>
            <w:tcW w:w="4681" w:type="dxa"/>
            <w:shd w:val="clear" w:color="auto" w:fill="E7F5EE"/>
          </w:tcPr>
          <w:p w14:paraId="4ED5BB08" w14:textId="7839C5B0" w:rsidR="00F76889" w:rsidRPr="00F8668D" w:rsidRDefault="00F76889" w:rsidP="00956A67">
            <w:pPr>
              <w:spacing w:line="360" w:lineRule="auto"/>
              <w:jc w:val="center"/>
              <w:rPr>
                <w:rFonts w:ascii="Arial" w:hAnsi="Arial" w:cs="Arial"/>
                <w:color w:val="2D473F"/>
              </w:rPr>
            </w:pPr>
            <w:r w:rsidRPr="00F8668D">
              <w:rPr>
                <w:rFonts w:ascii="Arial" w:hAnsi="Arial" w:cs="Arial"/>
                <w:color w:val="2D473F"/>
              </w:rPr>
              <w:t>Lecture name</w:t>
            </w:r>
          </w:p>
        </w:tc>
        <w:tc>
          <w:tcPr>
            <w:tcW w:w="4681" w:type="dxa"/>
            <w:shd w:val="clear" w:color="auto" w:fill="E7F5EE"/>
          </w:tcPr>
          <w:p w14:paraId="7874FCDE" w14:textId="0B568A79" w:rsidR="00F76889" w:rsidRPr="00F8668D" w:rsidRDefault="00C8402B" w:rsidP="00956A67">
            <w:pPr>
              <w:spacing w:line="360" w:lineRule="auto"/>
              <w:jc w:val="center"/>
              <w:rPr>
                <w:rFonts w:ascii="Arial" w:hAnsi="Arial" w:cs="Arial"/>
                <w:color w:val="2D473F"/>
              </w:rPr>
            </w:pPr>
            <w:r w:rsidRPr="00C8402B">
              <w:rPr>
                <w:rFonts w:ascii="Arial" w:hAnsi="Arial" w:cs="Arial"/>
                <w:color w:val="2D473F"/>
              </w:rPr>
              <w:t>Abdallah Naser</w:t>
            </w:r>
          </w:p>
        </w:tc>
      </w:tr>
    </w:tbl>
    <w:p w14:paraId="22F3E8DF" w14:textId="77777777" w:rsidR="00F278BA" w:rsidRPr="00F8668D" w:rsidRDefault="00F278BA" w:rsidP="00DD5896">
      <w:pPr>
        <w:rPr>
          <w:rFonts w:ascii="Arial" w:hAnsi="Arial" w:cs="Arial"/>
          <w:color w:val="2D473F"/>
        </w:rPr>
      </w:pPr>
    </w:p>
    <w:sdt>
      <w:sdtPr>
        <w:rPr>
          <w:rFonts w:asciiTheme="minorHAnsi" w:eastAsiaTheme="minorHAnsi" w:hAnsiTheme="minorHAnsi" w:cstheme="minorBidi"/>
          <w:color w:val="2D473F"/>
          <w:kern w:val="2"/>
          <w:sz w:val="22"/>
          <w:szCs w:val="22"/>
          <w:lang w:val="en-GB"/>
          <w14:ligatures w14:val="standardContextual"/>
        </w:rPr>
        <w:id w:val="-555085387"/>
        <w:docPartObj>
          <w:docPartGallery w:val="Table of Contents"/>
          <w:docPartUnique/>
        </w:docPartObj>
      </w:sdtPr>
      <w:sdtEndPr>
        <w:rPr>
          <w:b/>
          <w:bCs/>
          <w:noProof/>
        </w:rPr>
      </w:sdtEndPr>
      <w:sdtContent>
        <w:p w14:paraId="4BB8BBDA" w14:textId="7235AF22" w:rsidR="00DD5896" w:rsidRPr="00F8668D" w:rsidRDefault="00DD5896" w:rsidP="00614EEA">
          <w:pPr>
            <w:pStyle w:val="TOCHeading"/>
            <w:shd w:val="clear" w:color="auto" w:fill="E7F5EE"/>
            <w:rPr>
              <w:rFonts w:ascii="Arial" w:hAnsi="Arial" w:cs="Arial"/>
              <w:color w:val="2D473F"/>
              <w:sz w:val="36"/>
              <w:szCs w:val="36"/>
            </w:rPr>
          </w:pPr>
          <w:r w:rsidRPr="00F8668D">
            <w:rPr>
              <w:rFonts w:ascii="Arial" w:hAnsi="Arial" w:cs="Arial"/>
              <w:color w:val="2D473F"/>
              <w:sz w:val="36"/>
              <w:szCs w:val="36"/>
            </w:rPr>
            <w:t>Table of Contents</w:t>
          </w:r>
        </w:p>
        <w:p w14:paraId="18F6D9E3" w14:textId="77777777" w:rsidR="0015029D" w:rsidRPr="00F8668D" w:rsidRDefault="0015029D" w:rsidP="0015029D">
          <w:pPr>
            <w:pStyle w:val="TOC1"/>
            <w:rPr>
              <w:color w:val="2D473F"/>
            </w:rPr>
          </w:pPr>
        </w:p>
        <w:p w14:paraId="2872D592" w14:textId="77777777" w:rsidR="0015029D" w:rsidRPr="004C4730" w:rsidRDefault="0015029D" w:rsidP="004C4730">
          <w:pPr>
            <w:pStyle w:val="TOC1"/>
            <w:spacing w:line="360" w:lineRule="auto"/>
            <w:rPr>
              <w:rFonts w:ascii="Arial" w:hAnsi="Arial" w:cs="Arial"/>
              <w:color w:val="2B4F40"/>
            </w:rPr>
          </w:pPr>
        </w:p>
        <w:p w14:paraId="5BE52395" w14:textId="32679F01" w:rsidR="00094972" w:rsidRPr="00094972" w:rsidRDefault="00DD5896" w:rsidP="00956A67">
          <w:pPr>
            <w:pStyle w:val="TOC1"/>
            <w:spacing w:line="360" w:lineRule="auto"/>
            <w:rPr>
              <w:rFonts w:ascii="Arial" w:eastAsiaTheme="minorEastAsia" w:hAnsi="Arial" w:cs="Arial"/>
              <w:noProof/>
              <w:color w:val="2B4F40"/>
              <w:sz w:val="24"/>
              <w:szCs w:val="24"/>
              <w:lang w:val="bg-BG" w:eastAsia="bg-BG"/>
            </w:rPr>
          </w:pPr>
          <w:r w:rsidRPr="004C4730">
            <w:rPr>
              <w:rFonts w:ascii="Arial" w:hAnsi="Arial" w:cs="Arial"/>
              <w:color w:val="2B4F40"/>
            </w:rPr>
            <w:fldChar w:fldCharType="begin"/>
          </w:r>
          <w:r w:rsidRPr="004C4730">
            <w:rPr>
              <w:rFonts w:ascii="Arial" w:hAnsi="Arial" w:cs="Arial"/>
              <w:color w:val="2B4F40"/>
            </w:rPr>
            <w:instrText xml:space="preserve"> TOC \o "1-3" \h \z \u </w:instrText>
          </w:r>
          <w:r w:rsidRPr="004C4730">
            <w:rPr>
              <w:rFonts w:ascii="Arial" w:hAnsi="Arial" w:cs="Arial"/>
              <w:color w:val="2B4F40"/>
            </w:rPr>
            <w:fldChar w:fldCharType="separate"/>
          </w:r>
          <w:hyperlink w:anchor="_Toc171288896" w:history="1">
            <w:r w:rsidR="00094972" w:rsidRPr="00094972">
              <w:rPr>
                <w:rStyle w:val="Hyperlink"/>
                <w:rFonts w:ascii="Arial" w:hAnsi="Arial" w:cs="Arial"/>
                <w:noProof/>
                <w:color w:val="2B4F40"/>
              </w:rPr>
              <w:t>Introduction</w:t>
            </w:r>
            <w:r w:rsidR="00094972" w:rsidRPr="00094972">
              <w:rPr>
                <w:rFonts w:ascii="Arial" w:hAnsi="Arial" w:cs="Arial"/>
                <w:noProof/>
                <w:webHidden/>
                <w:color w:val="2B4F40"/>
              </w:rPr>
              <w:tab/>
            </w:r>
            <w:r w:rsidR="00094972" w:rsidRPr="00094972">
              <w:rPr>
                <w:rFonts w:ascii="Arial" w:hAnsi="Arial" w:cs="Arial"/>
                <w:noProof/>
                <w:webHidden/>
                <w:color w:val="2B4F40"/>
              </w:rPr>
              <w:fldChar w:fldCharType="begin"/>
            </w:r>
            <w:r w:rsidR="00094972" w:rsidRPr="00094972">
              <w:rPr>
                <w:rFonts w:ascii="Arial" w:hAnsi="Arial" w:cs="Arial"/>
                <w:noProof/>
                <w:webHidden/>
                <w:color w:val="2B4F40"/>
              </w:rPr>
              <w:instrText xml:space="preserve"> PAGEREF _Toc171288896 \h </w:instrText>
            </w:r>
            <w:r w:rsidR="00094972" w:rsidRPr="00094972">
              <w:rPr>
                <w:rFonts w:ascii="Arial" w:hAnsi="Arial" w:cs="Arial"/>
                <w:noProof/>
                <w:webHidden/>
                <w:color w:val="2B4F40"/>
              </w:rPr>
            </w:r>
            <w:r w:rsidR="00094972" w:rsidRPr="00094972">
              <w:rPr>
                <w:rFonts w:ascii="Arial" w:hAnsi="Arial" w:cs="Arial"/>
                <w:noProof/>
                <w:webHidden/>
                <w:color w:val="2B4F40"/>
              </w:rPr>
              <w:fldChar w:fldCharType="separate"/>
            </w:r>
            <w:r w:rsidR="00094972" w:rsidRPr="00094972">
              <w:rPr>
                <w:rFonts w:ascii="Arial" w:hAnsi="Arial" w:cs="Arial"/>
                <w:noProof/>
                <w:webHidden/>
                <w:color w:val="2B4F40"/>
              </w:rPr>
              <w:t>3</w:t>
            </w:r>
            <w:r w:rsidR="00094972" w:rsidRPr="00094972">
              <w:rPr>
                <w:rFonts w:ascii="Arial" w:hAnsi="Arial" w:cs="Arial"/>
                <w:noProof/>
                <w:webHidden/>
                <w:color w:val="2B4F40"/>
              </w:rPr>
              <w:fldChar w:fldCharType="end"/>
            </w:r>
          </w:hyperlink>
        </w:p>
        <w:p w14:paraId="0092FB60" w14:textId="2988CF8D" w:rsidR="00094972" w:rsidRPr="00094972" w:rsidRDefault="00C16ECD" w:rsidP="00956A67">
          <w:pPr>
            <w:pStyle w:val="TOC1"/>
            <w:spacing w:line="360" w:lineRule="auto"/>
            <w:rPr>
              <w:rFonts w:ascii="Arial" w:eastAsiaTheme="minorEastAsia" w:hAnsi="Arial" w:cs="Arial"/>
              <w:noProof/>
              <w:color w:val="2B4F40"/>
              <w:sz w:val="24"/>
              <w:szCs w:val="24"/>
              <w:lang w:val="bg-BG" w:eastAsia="bg-BG"/>
            </w:rPr>
          </w:pPr>
          <w:hyperlink w:anchor="_Toc171288897" w:history="1">
            <w:r w:rsidR="00094972" w:rsidRPr="00094972">
              <w:rPr>
                <w:rStyle w:val="Hyperlink"/>
                <w:rFonts w:ascii="Arial" w:hAnsi="Arial" w:cs="Arial"/>
                <w:noProof/>
                <w:color w:val="2B4F40"/>
              </w:rPr>
              <w:t>Analysis of The Rude Health Company’s Vision and Strategic Alignment</w:t>
            </w:r>
            <w:r w:rsidR="00094972" w:rsidRPr="00094972">
              <w:rPr>
                <w:rFonts w:ascii="Arial" w:hAnsi="Arial" w:cs="Arial"/>
                <w:noProof/>
                <w:webHidden/>
                <w:color w:val="2B4F40"/>
              </w:rPr>
              <w:tab/>
            </w:r>
            <w:r w:rsidR="00094972" w:rsidRPr="00094972">
              <w:rPr>
                <w:rFonts w:ascii="Arial" w:hAnsi="Arial" w:cs="Arial"/>
                <w:noProof/>
                <w:webHidden/>
                <w:color w:val="2B4F40"/>
              </w:rPr>
              <w:fldChar w:fldCharType="begin"/>
            </w:r>
            <w:r w:rsidR="00094972" w:rsidRPr="00094972">
              <w:rPr>
                <w:rFonts w:ascii="Arial" w:hAnsi="Arial" w:cs="Arial"/>
                <w:noProof/>
                <w:webHidden/>
                <w:color w:val="2B4F40"/>
              </w:rPr>
              <w:instrText xml:space="preserve"> PAGEREF _Toc171288897 \h </w:instrText>
            </w:r>
            <w:r w:rsidR="00094972" w:rsidRPr="00094972">
              <w:rPr>
                <w:rFonts w:ascii="Arial" w:hAnsi="Arial" w:cs="Arial"/>
                <w:noProof/>
                <w:webHidden/>
                <w:color w:val="2B4F40"/>
              </w:rPr>
            </w:r>
            <w:r w:rsidR="00094972" w:rsidRPr="00094972">
              <w:rPr>
                <w:rFonts w:ascii="Arial" w:hAnsi="Arial" w:cs="Arial"/>
                <w:noProof/>
                <w:webHidden/>
                <w:color w:val="2B4F40"/>
              </w:rPr>
              <w:fldChar w:fldCharType="separate"/>
            </w:r>
            <w:r w:rsidR="00094972" w:rsidRPr="00094972">
              <w:rPr>
                <w:rFonts w:ascii="Arial" w:hAnsi="Arial" w:cs="Arial"/>
                <w:noProof/>
                <w:webHidden/>
                <w:color w:val="2B4F40"/>
              </w:rPr>
              <w:t>4</w:t>
            </w:r>
            <w:r w:rsidR="00094972" w:rsidRPr="00094972">
              <w:rPr>
                <w:rFonts w:ascii="Arial" w:hAnsi="Arial" w:cs="Arial"/>
                <w:noProof/>
                <w:webHidden/>
                <w:color w:val="2B4F40"/>
              </w:rPr>
              <w:fldChar w:fldCharType="end"/>
            </w:r>
          </w:hyperlink>
        </w:p>
        <w:p w14:paraId="21C24919" w14:textId="3593C8AD" w:rsidR="00094972" w:rsidRPr="00094972" w:rsidRDefault="00C16ECD" w:rsidP="00956A67">
          <w:pPr>
            <w:pStyle w:val="TOC1"/>
            <w:spacing w:line="360" w:lineRule="auto"/>
            <w:rPr>
              <w:rFonts w:ascii="Arial" w:eastAsiaTheme="minorEastAsia" w:hAnsi="Arial" w:cs="Arial"/>
              <w:noProof/>
              <w:color w:val="2B4F40"/>
              <w:sz w:val="24"/>
              <w:szCs w:val="24"/>
              <w:lang w:val="bg-BG" w:eastAsia="bg-BG"/>
            </w:rPr>
          </w:pPr>
          <w:hyperlink w:anchor="_Toc171288898" w:history="1">
            <w:r w:rsidR="00094972" w:rsidRPr="00094972">
              <w:rPr>
                <w:rStyle w:val="Hyperlink"/>
                <w:rFonts w:ascii="Arial" w:hAnsi="Arial" w:cs="Arial"/>
                <w:noProof/>
                <w:color w:val="2B4F40"/>
              </w:rPr>
              <w:t>Environmental Analysis</w:t>
            </w:r>
            <w:r w:rsidR="00094972" w:rsidRPr="00094972">
              <w:rPr>
                <w:rFonts w:ascii="Arial" w:hAnsi="Arial" w:cs="Arial"/>
                <w:noProof/>
                <w:webHidden/>
                <w:color w:val="2B4F40"/>
              </w:rPr>
              <w:tab/>
            </w:r>
            <w:r w:rsidR="00094972" w:rsidRPr="00094972">
              <w:rPr>
                <w:rFonts w:ascii="Arial" w:hAnsi="Arial" w:cs="Arial"/>
                <w:noProof/>
                <w:webHidden/>
                <w:color w:val="2B4F40"/>
              </w:rPr>
              <w:fldChar w:fldCharType="begin"/>
            </w:r>
            <w:r w:rsidR="00094972" w:rsidRPr="00094972">
              <w:rPr>
                <w:rFonts w:ascii="Arial" w:hAnsi="Arial" w:cs="Arial"/>
                <w:noProof/>
                <w:webHidden/>
                <w:color w:val="2B4F40"/>
              </w:rPr>
              <w:instrText xml:space="preserve"> PAGEREF _Toc171288898 \h </w:instrText>
            </w:r>
            <w:r w:rsidR="00094972" w:rsidRPr="00094972">
              <w:rPr>
                <w:rFonts w:ascii="Arial" w:hAnsi="Arial" w:cs="Arial"/>
                <w:noProof/>
                <w:webHidden/>
                <w:color w:val="2B4F40"/>
              </w:rPr>
            </w:r>
            <w:r w:rsidR="00094972" w:rsidRPr="00094972">
              <w:rPr>
                <w:rFonts w:ascii="Arial" w:hAnsi="Arial" w:cs="Arial"/>
                <w:noProof/>
                <w:webHidden/>
                <w:color w:val="2B4F40"/>
              </w:rPr>
              <w:fldChar w:fldCharType="separate"/>
            </w:r>
            <w:r w:rsidR="00094972" w:rsidRPr="00094972">
              <w:rPr>
                <w:rFonts w:ascii="Arial" w:hAnsi="Arial" w:cs="Arial"/>
                <w:noProof/>
                <w:webHidden/>
                <w:color w:val="2B4F40"/>
              </w:rPr>
              <w:t>6</w:t>
            </w:r>
            <w:r w:rsidR="00094972" w:rsidRPr="00094972">
              <w:rPr>
                <w:rFonts w:ascii="Arial" w:hAnsi="Arial" w:cs="Arial"/>
                <w:noProof/>
                <w:webHidden/>
                <w:color w:val="2B4F40"/>
              </w:rPr>
              <w:fldChar w:fldCharType="end"/>
            </w:r>
          </w:hyperlink>
        </w:p>
        <w:p w14:paraId="357B18E7" w14:textId="0C64F48C" w:rsidR="00094972" w:rsidRPr="00094972" w:rsidRDefault="00C16ECD" w:rsidP="00956A67">
          <w:pPr>
            <w:pStyle w:val="TOC2"/>
            <w:tabs>
              <w:tab w:val="left" w:pos="720"/>
              <w:tab w:val="right" w:leader="dot" w:pos="9350"/>
            </w:tabs>
            <w:spacing w:line="360" w:lineRule="auto"/>
            <w:rPr>
              <w:rFonts w:ascii="Arial" w:eastAsiaTheme="minorEastAsia" w:hAnsi="Arial" w:cs="Arial"/>
              <w:noProof/>
              <w:color w:val="2B4F40"/>
              <w:sz w:val="24"/>
              <w:szCs w:val="24"/>
              <w:lang w:val="bg-BG" w:eastAsia="bg-BG"/>
            </w:rPr>
          </w:pPr>
          <w:hyperlink w:anchor="_Toc171288899" w:history="1">
            <w:r w:rsidR="00094972" w:rsidRPr="00094972">
              <w:rPr>
                <w:rStyle w:val="Hyperlink"/>
                <w:rFonts w:ascii="Arial" w:hAnsi="Arial" w:cs="Arial"/>
                <w:noProof/>
                <w:color w:val="2B4F40"/>
              </w:rPr>
              <w:t>1.</w:t>
            </w:r>
            <w:r w:rsidR="00094972" w:rsidRPr="00094972">
              <w:rPr>
                <w:rFonts w:ascii="Arial" w:eastAsiaTheme="minorEastAsia" w:hAnsi="Arial" w:cs="Arial"/>
                <w:noProof/>
                <w:color w:val="2B4F40"/>
                <w:sz w:val="24"/>
                <w:szCs w:val="24"/>
                <w:lang w:val="bg-BG" w:eastAsia="bg-BG"/>
              </w:rPr>
              <w:tab/>
            </w:r>
            <w:r w:rsidR="00094972" w:rsidRPr="00094972">
              <w:rPr>
                <w:rStyle w:val="Hyperlink"/>
                <w:rFonts w:ascii="Arial" w:hAnsi="Arial" w:cs="Arial"/>
                <w:noProof/>
                <w:color w:val="2B4F40"/>
              </w:rPr>
              <w:t>PESTLE Analysis</w:t>
            </w:r>
            <w:r w:rsidR="00094972" w:rsidRPr="00094972">
              <w:rPr>
                <w:rFonts w:ascii="Arial" w:hAnsi="Arial" w:cs="Arial"/>
                <w:noProof/>
                <w:webHidden/>
                <w:color w:val="2B4F40"/>
              </w:rPr>
              <w:tab/>
            </w:r>
            <w:r w:rsidR="00094972" w:rsidRPr="00094972">
              <w:rPr>
                <w:rFonts w:ascii="Arial" w:hAnsi="Arial" w:cs="Arial"/>
                <w:noProof/>
                <w:webHidden/>
                <w:color w:val="2B4F40"/>
              </w:rPr>
              <w:fldChar w:fldCharType="begin"/>
            </w:r>
            <w:r w:rsidR="00094972" w:rsidRPr="00094972">
              <w:rPr>
                <w:rFonts w:ascii="Arial" w:hAnsi="Arial" w:cs="Arial"/>
                <w:noProof/>
                <w:webHidden/>
                <w:color w:val="2B4F40"/>
              </w:rPr>
              <w:instrText xml:space="preserve"> PAGEREF _Toc171288899 \h </w:instrText>
            </w:r>
            <w:r w:rsidR="00094972" w:rsidRPr="00094972">
              <w:rPr>
                <w:rFonts w:ascii="Arial" w:hAnsi="Arial" w:cs="Arial"/>
                <w:noProof/>
                <w:webHidden/>
                <w:color w:val="2B4F40"/>
              </w:rPr>
            </w:r>
            <w:r w:rsidR="00094972" w:rsidRPr="00094972">
              <w:rPr>
                <w:rFonts w:ascii="Arial" w:hAnsi="Arial" w:cs="Arial"/>
                <w:noProof/>
                <w:webHidden/>
                <w:color w:val="2B4F40"/>
              </w:rPr>
              <w:fldChar w:fldCharType="separate"/>
            </w:r>
            <w:r w:rsidR="00094972" w:rsidRPr="00094972">
              <w:rPr>
                <w:rFonts w:ascii="Arial" w:hAnsi="Arial" w:cs="Arial"/>
                <w:noProof/>
                <w:webHidden/>
                <w:color w:val="2B4F40"/>
              </w:rPr>
              <w:t>6</w:t>
            </w:r>
            <w:r w:rsidR="00094972" w:rsidRPr="00094972">
              <w:rPr>
                <w:rFonts w:ascii="Arial" w:hAnsi="Arial" w:cs="Arial"/>
                <w:noProof/>
                <w:webHidden/>
                <w:color w:val="2B4F40"/>
              </w:rPr>
              <w:fldChar w:fldCharType="end"/>
            </w:r>
          </w:hyperlink>
        </w:p>
        <w:p w14:paraId="4E772C92" w14:textId="216C8A9F" w:rsidR="00094972" w:rsidRPr="00094972" w:rsidRDefault="00C16ECD" w:rsidP="00956A67">
          <w:pPr>
            <w:pStyle w:val="TOC2"/>
            <w:tabs>
              <w:tab w:val="left" w:pos="720"/>
              <w:tab w:val="right" w:leader="dot" w:pos="9350"/>
            </w:tabs>
            <w:spacing w:line="360" w:lineRule="auto"/>
            <w:rPr>
              <w:rFonts w:ascii="Arial" w:eastAsiaTheme="minorEastAsia" w:hAnsi="Arial" w:cs="Arial"/>
              <w:noProof/>
              <w:color w:val="2B4F40"/>
              <w:sz w:val="24"/>
              <w:szCs w:val="24"/>
              <w:lang w:val="bg-BG" w:eastAsia="bg-BG"/>
            </w:rPr>
          </w:pPr>
          <w:hyperlink w:anchor="_Toc171288900" w:history="1">
            <w:r w:rsidR="00094972" w:rsidRPr="00094972">
              <w:rPr>
                <w:rStyle w:val="Hyperlink"/>
                <w:rFonts w:ascii="Arial" w:hAnsi="Arial" w:cs="Arial"/>
                <w:noProof/>
                <w:color w:val="2B4F40"/>
              </w:rPr>
              <w:t>2.</w:t>
            </w:r>
            <w:r w:rsidR="00094972" w:rsidRPr="00094972">
              <w:rPr>
                <w:rFonts w:ascii="Arial" w:eastAsiaTheme="minorEastAsia" w:hAnsi="Arial" w:cs="Arial"/>
                <w:noProof/>
                <w:color w:val="2B4F40"/>
                <w:sz w:val="24"/>
                <w:szCs w:val="24"/>
                <w:lang w:val="bg-BG" w:eastAsia="bg-BG"/>
              </w:rPr>
              <w:tab/>
            </w:r>
            <w:r w:rsidR="00094972" w:rsidRPr="00094972">
              <w:rPr>
                <w:rStyle w:val="Hyperlink"/>
                <w:rFonts w:ascii="Arial" w:hAnsi="Arial" w:cs="Arial"/>
                <w:noProof/>
                <w:color w:val="2B4F40"/>
              </w:rPr>
              <w:t>SWOT Analysis</w:t>
            </w:r>
            <w:r w:rsidR="00094972" w:rsidRPr="00094972">
              <w:rPr>
                <w:rFonts w:ascii="Arial" w:hAnsi="Arial" w:cs="Arial"/>
                <w:noProof/>
                <w:webHidden/>
                <w:color w:val="2B4F40"/>
              </w:rPr>
              <w:tab/>
            </w:r>
            <w:r w:rsidR="00094972" w:rsidRPr="00094972">
              <w:rPr>
                <w:rFonts w:ascii="Arial" w:hAnsi="Arial" w:cs="Arial"/>
                <w:noProof/>
                <w:webHidden/>
                <w:color w:val="2B4F40"/>
              </w:rPr>
              <w:fldChar w:fldCharType="begin"/>
            </w:r>
            <w:r w:rsidR="00094972" w:rsidRPr="00094972">
              <w:rPr>
                <w:rFonts w:ascii="Arial" w:hAnsi="Arial" w:cs="Arial"/>
                <w:noProof/>
                <w:webHidden/>
                <w:color w:val="2B4F40"/>
              </w:rPr>
              <w:instrText xml:space="preserve"> PAGEREF _Toc171288900 \h </w:instrText>
            </w:r>
            <w:r w:rsidR="00094972" w:rsidRPr="00094972">
              <w:rPr>
                <w:rFonts w:ascii="Arial" w:hAnsi="Arial" w:cs="Arial"/>
                <w:noProof/>
                <w:webHidden/>
                <w:color w:val="2B4F40"/>
              </w:rPr>
            </w:r>
            <w:r w:rsidR="00094972" w:rsidRPr="00094972">
              <w:rPr>
                <w:rFonts w:ascii="Arial" w:hAnsi="Arial" w:cs="Arial"/>
                <w:noProof/>
                <w:webHidden/>
                <w:color w:val="2B4F40"/>
              </w:rPr>
              <w:fldChar w:fldCharType="separate"/>
            </w:r>
            <w:r w:rsidR="00094972" w:rsidRPr="00094972">
              <w:rPr>
                <w:rFonts w:ascii="Arial" w:hAnsi="Arial" w:cs="Arial"/>
                <w:noProof/>
                <w:webHidden/>
                <w:color w:val="2B4F40"/>
              </w:rPr>
              <w:t>10</w:t>
            </w:r>
            <w:r w:rsidR="00094972" w:rsidRPr="00094972">
              <w:rPr>
                <w:rFonts w:ascii="Arial" w:hAnsi="Arial" w:cs="Arial"/>
                <w:noProof/>
                <w:webHidden/>
                <w:color w:val="2B4F40"/>
              </w:rPr>
              <w:fldChar w:fldCharType="end"/>
            </w:r>
          </w:hyperlink>
        </w:p>
        <w:p w14:paraId="4CF5CCAF" w14:textId="4A13F7E9" w:rsidR="00094972" w:rsidRPr="00094972" w:rsidRDefault="00C16ECD" w:rsidP="00956A67">
          <w:pPr>
            <w:pStyle w:val="TOC1"/>
            <w:spacing w:line="360" w:lineRule="auto"/>
            <w:rPr>
              <w:rFonts w:ascii="Arial" w:eastAsiaTheme="minorEastAsia" w:hAnsi="Arial" w:cs="Arial"/>
              <w:noProof/>
              <w:color w:val="2B4F40"/>
              <w:sz w:val="24"/>
              <w:szCs w:val="24"/>
              <w:lang w:val="bg-BG" w:eastAsia="bg-BG"/>
            </w:rPr>
          </w:pPr>
          <w:hyperlink w:anchor="_Toc171288901" w:history="1">
            <w:r w:rsidR="00094972" w:rsidRPr="00094972">
              <w:rPr>
                <w:rStyle w:val="Hyperlink"/>
                <w:rFonts w:ascii="Arial" w:hAnsi="Arial" w:cs="Arial"/>
                <w:noProof/>
                <w:color w:val="2B4F40"/>
              </w:rPr>
              <w:t>Stakeholder Analysis</w:t>
            </w:r>
            <w:r w:rsidR="00094972" w:rsidRPr="00094972">
              <w:rPr>
                <w:rFonts w:ascii="Arial" w:hAnsi="Arial" w:cs="Arial"/>
                <w:noProof/>
                <w:webHidden/>
                <w:color w:val="2B4F40"/>
              </w:rPr>
              <w:tab/>
            </w:r>
            <w:r w:rsidR="00094972" w:rsidRPr="00094972">
              <w:rPr>
                <w:rFonts w:ascii="Arial" w:hAnsi="Arial" w:cs="Arial"/>
                <w:noProof/>
                <w:webHidden/>
                <w:color w:val="2B4F40"/>
              </w:rPr>
              <w:fldChar w:fldCharType="begin"/>
            </w:r>
            <w:r w:rsidR="00094972" w:rsidRPr="00094972">
              <w:rPr>
                <w:rFonts w:ascii="Arial" w:hAnsi="Arial" w:cs="Arial"/>
                <w:noProof/>
                <w:webHidden/>
                <w:color w:val="2B4F40"/>
              </w:rPr>
              <w:instrText xml:space="preserve"> PAGEREF _Toc171288901 \h </w:instrText>
            </w:r>
            <w:r w:rsidR="00094972" w:rsidRPr="00094972">
              <w:rPr>
                <w:rFonts w:ascii="Arial" w:hAnsi="Arial" w:cs="Arial"/>
                <w:noProof/>
                <w:webHidden/>
                <w:color w:val="2B4F40"/>
              </w:rPr>
            </w:r>
            <w:r w:rsidR="00094972" w:rsidRPr="00094972">
              <w:rPr>
                <w:rFonts w:ascii="Arial" w:hAnsi="Arial" w:cs="Arial"/>
                <w:noProof/>
                <w:webHidden/>
                <w:color w:val="2B4F40"/>
              </w:rPr>
              <w:fldChar w:fldCharType="separate"/>
            </w:r>
            <w:r w:rsidR="00094972" w:rsidRPr="00094972">
              <w:rPr>
                <w:rFonts w:ascii="Arial" w:hAnsi="Arial" w:cs="Arial"/>
                <w:noProof/>
                <w:webHidden/>
                <w:color w:val="2B4F40"/>
              </w:rPr>
              <w:t>13</w:t>
            </w:r>
            <w:r w:rsidR="00094972" w:rsidRPr="00094972">
              <w:rPr>
                <w:rFonts w:ascii="Arial" w:hAnsi="Arial" w:cs="Arial"/>
                <w:noProof/>
                <w:webHidden/>
                <w:color w:val="2B4F40"/>
              </w:rPr>
              <w:fldChar w:fldCharType="end"/>
            </w:r>
          </w:hyperlink>
        </w:p>
        <w:p w14:paraId="0CBA21C8" w14:textId="480899E6" w:rsidR="00094972" w:rsidRPr="00094972" w:rsidRDefault="00C16ECD" w:rsidP="00956A67">
          <w:pPr>
            <w:pStyle w:val="TOC2"/>
            <w:tabs>
              <w:tab w:val="left" w:pos="720"/>
              <w:tab w:val="right" w:leader="dot" w:pos="9350"/>
            </w:tabs>
            <w:spacing w:line="360" w:lineRule="auto"/>
            <w:rPr>
              <w:rFonts w:ascii="Arial" w:eastAsiaTheme="minorEastAsia" w:hAnsi="Arial" w:cs="Arial"/>
              <w:noProof/>
              <w:color w:val="2B4F40"/>
              <w:sz w:val="24"/>
              <w:szCs w:val="24"/>
              <w:lang w:val="bg-BG" w:eastAsia="bg-BG"/>
            </w:rPr>
          </w:pPr>
          <w:hyperlink w:anchor="_Toc171288902" w:history="1">
            <w:r w:rsidR="00094972" w:rsidRPr="00094972">
              <w:rPr>
                <w:rStyle w:val="Hyperlink"/>
                <w:rFonts w:ascii="Arial" w:hAnsi="Arial" w:cs="Arial"/>
                <w:noProof/>
                <w:color w:val="2B4F40"/>
              </w:rPr>
              <w:t>1.</w:t>
            </w:r>
            <w:r w:rsidR="00094972" w:rsidRPr="00094972">
              <w:rPr>
                <w:rFonts w:ascii="Arial" w:eastAsiaTheme="minorEastAsia" w:hAnsi="Arial" w:cs="Arial"/>
                <w:noProof/>
                <w:color w:val="2B4F40"/>
                <w:sz w:val="24"/>
                <w:szCs w:val="24"/>
                <w:lang w:val="bg-BG" w:eastAsia="bg-BG"/>
              </w:rPr>
              <w:tab/>
            </w:r>
            <w:r w:rsidR="00094972" w:rsidRPr="00094972">
              <w:rPr>
                <w:rStyle w:val="Hyperlink"/>
                <w:rFonts w:ascii="Arial" w:hAnsi="Arial" w:cs="Arial"/>
                <w:noProof/>
                <w:color w:val="2B4F40"/>
              </w:rPr>
              <w:t>Key Stakeholders. Expectations and Power</w:t>
            </w:r>
            <w:r w:rsidR="00094972" w:rsidRPr="00094972">
              <w:rPr>
                <w:rFonts w:ascii="Arial" w:hAnsi="Arial" w:cs="Arial"/>
                <w:noProof/>
                <w:webHidden/>
                <w:color w:val="2B4F40"/>
              </w:rPr>
              <w:tab/>
            </w:r>
            <w:r w:rsidR="00094972" w:rsidRPr="00094972">
              <w:rPr>
                <w:rFonts w:ascii="Arial" w:hAnsi="Arial" w:cs="Arial"/>
                <w:noProof/>
                <w:webHidden/>
                <w:color w:val="2B4F40"/>
              </w:rPr>
              <w:fldChar w:fldCharType="begin"/>
            </w:r>
            <w:r w:rsidR="00094972" w:rsidRPr="00094972">
              <w:rPr>
                <w:rFonts w:ascii="Arial" w:hAnsi="Arial" w:cs="Arial"/>
                <w:noProof/>
                <w:webHidden/>
                <w:color w:val="2B4F40"/>
              </w:rPr>
              <w:instrText xml:space="preserve"> PAGEREF _Toc171288902 \h </w:instrText>
            </w:r>
            <w:r w:rsidR="00094972" w:rsidRPr="00094972">
              <w:rPr>
                <w:rFonts w:ascii="Arial" w:hAnsi="Arial" w:cs="Arial"/>
                <w:noProof/>
                <w:webHidden/>
                <w:color w:val="2B4F40"/>
              </w:rPr>
            </w:r>
            <w:r w:rsidR="00094972" w:rsidRPr="00094972">
              <w:rPr>
                <w:rFonts w:ascii="Arial" w:hAnsi="Arial" w:cs="Arial"/>
                <w:noProof/>
                <w:webHidden/>
                <w:color w:val="2B4F40"/>
              </w:rPr>
              <w:fldChar w:fldCharType="separate"/>
            </w:r>
            <w:r w:rsidR="00094972" w:rsidRPr="00094972">
              <w:rPr>
                <w:rFonts w:ascii="Arial" w:hAnsi="Arial" w:cs="Arial"/>
                <w:noProof/>
                <w:webHidden/>
                <w:color w:val="2B4F40"/>
              </w:rPr>
              <w:t>13</w:t>
            </w:r>
            <w:r w:rsidR="00094972" w:rsidRPr="00094972">
              <w:rPr>
                <w:rFonts w:ascii="Arial" w:hAnsi="Arial" w:cs="Arial"/>
                <w:noProof/>
                <w:webHidden/>
                <w:color w:val="2B4F40"/>
              </w:rPr>
              <w:fldChar w:fldCharType="end"/>
            </w:r>
          </w:hyperlink>
        </w:p>
        <w:p w14:paraId="5BAE9EB7" w14:textId="20A8616A" w:rsidR="00094972" w:rsidRPr="00094972" w:rsidRDefault="00C16ECD" w:rsidP="00956A67">
          <w:pPr>
            <w:pStyle w:val="TOC2"/>
            <w:tabs>
              <w:tab w:val="left" w:pos="720"/>
              <w:tab w:val="right" w:leader="dot" w:pos="9350"/>
            </w:tabs>
            <w:spacing w:line="360" w:lineRule="auto"/>
            <w:rPr>
              <w:rFonts w:ascii="Arial" w:eastAsiaTheme="minorEastAsia" w:hAnsi="Arial" w:cs="Arial"/>
              <w:noProof/>
              <w:color w:val="2B4F40"/>
              <w:sz w:val="24"/>
              <w:szCs w:val="24"/>
              <w:lang w:val="bg-BG" w:eastAsia="bg-BG"/>
            </w:rPr>
          </w:pPr>
          <w:hyperlink w:anchor="_Toc171288903" w:history="1">
            <w:r w:rsidR="00094972" w:rsidRPr="00094972">
              <w:rPr>
                <w:rStyle w:val="Hyperlink"/>
                <w:rFonts w:ascii="Arial" w:hAnsi="Arial" w:cs="Arial"/>
                <w:noProof/>
                <w:color w:val="2B4F40"/>
              </w:rPr>
              <w:t>2.</w:t>
            </w:r>
            <w:r w:rsidR="00094972" w:rsidRPr="00094972">
              <w:rPr>
                <w:rFonts w:ascii="Arial" w:eastAsiaTheme="minorEastAsia" w:hAnsi="Arial" w:cs="Arial"/>
                <w:noProof/>
                <w:color w:val="2B4F40"/>
                <w:sz w:val="24"/>
                <w:szCs w:val="24"/>
                <w:lang w:val="bg-BG" w:eastAsia="bg-BG"/>
              </w:rPr>
              <w:tab/>
            </w:r>
            <w:r w:rsidR="00094972" w:rsidRPr="00094972">
              <w:rPr>
                <w:rStyle w:val="Hyperlink"/>
                <w:rFonts w:ascii="Arial" w:hAnsi="Arial" w:cs="Arial"/>
                <w:noProof/>
                <w:color w:val="2B4F40"/>
              </w:rPr>
              <w:t>Critical Evaluation of Stakeholder Power and Interests</w:t>
            </w:r>
            <w:r w:rsidR="00094972" w:rsidRPr="00094972">
              <w:rPr>
                <w:rFonts w:ascii="Arial" w:hAnsi="Arial" w:cs="Arial"/>
                <w:noProof/>
                <w:webHidden/>
                <w:color w:val="2B4F40"/>
              </w:rPr>
              <w:tab/>
            </w:r>
            <w:r w:rsidR="00094972" w:rsidRPr="00094972">
              <w:rPr>
                <w:rFonts w:ascii="Arial" w:hAnsi="Arial" w:cs="Arial"/>
                <w:noProof/>
                <w:webHidden/>
                <w:color w:val="2B4F40"/>
              </w:rPr>
              <w:fldChar w:fldCharType="begin"/>
            </w:r>
            <w:r w:rsidR="00094972" w:rsidRPr="00094972">
              <w:rPr>
                <w:rFonts w:ascii="Arial" w:hAnsi="Arial" w:cs="Arial"/>
                <w:noProof/>
                <w:webHidden/>
                <w:color w:val="2B4F40"/>
              </w:rPr>
              <w:instrText xml:space="preserve"> PAGEREF _Toc171288903 \h </w:instrText>
            </w:r>
            <w:r w:rsidR="00094972" w:rsidRPr="00094972">
              <w:rPr>
                <w:rFonts w:ascii="Arial" w:hAnsi="Arial" w:cs="Arial"/>
                <w:noProof/>
                <w:webHidden/>
                <w:color w:val="2B4F40"/>
              </w:rPr>
            </w:r>
            <w:r w:rsidR="00094972" w:rsidRPr="00094972">
              <w:rPr>
                <w:rFonts w:ascii="Arial" w:hAnsi="Arial" w:cs="Arial"/>
                <w:noProof/>
                <w:webHidden/>
                <w:color w:val="2B4F40"/>
              </w:rPr>
              <w:fldChar w:fldCharType="separate"/>
            </w:r>
            <w:r w:rsidR="00094972" w:rsidRPr="00094972">
              <w:rPr>
                <w:rFonts w:ascii="Arial" w:hAnsi="Arial" w:cs="Arial"/>
                <w:noProof/>
                <w:webHidden/>
                <w:color w:val="2B4F40"/>
              </w:rPr>
              <w:t>14</w:t>
            </w:r>
            <w:r w:rsidR="00094972" w:rsidRPr="00094972">
              <w:rPr>
                <w:rFonts w:ascii="Arial" w:hAnsi="Arial" w:cs="Arial"/>
                <w:noProof/>
                <w:webHidden/>
                <w:color w:val="2B4F40"/>
              </w:rPr>
              <w:fldChar w:fldCharType="end"/>
            </w:r>
          </w:hyperlink>
        </w:p>
        <w:p w14:paraId="550BC100" w14:textId="5619FB04" w:rsidR="00094972" w:rsidRPr="00094972" w:rsidRDefault="00C16ECD" w:rsidP="00956A67">
          <w:pPr>
            <w:pStyle w:val="TOC1"/>
            <w:spacing w:line="360" w:lineRule="auto"/>
            <w:rPr>
              <w:rFonts w:ascii="Arial" w:eastAsiaTheme="minorEastAsia" w:hAnsi="Arial" w:cs="Arial"/>
              <w:noProof/>
              <w:color w:val="2B4F40"/>
              <w:sz w:val="24"/>
              <w:szCs w:val="24"/>
              <w:lang w:val="bg-BG" w:eastAsia="bg-BG"/>
            </w:rPr>
          </w:pPr>
          <w:hyperlink w:anchor="_Toc171288904" w:history="1">
            <w:r w:rsidR="00094972" w:rsidRPr="00094972">
              <w:rPr>
                <w:rStyle w:val="Hyperlink"/>
                <w:rFonts w:ascii="Arial" w:hAnsi="Arial" w:cs="Arial"/>
                <w:noProof/>
                <w:color w:val="2B4F40"/>
              </w:rPr>
              <w:t>Strategic Growth Choices</w:t>
            </w:r>
            <w:r w:rsidR="00094972" w:rsidRPr="00094972">
              <w:rPr>
                <w:rFonts w:ascii="Arial" w:hAnsi="Arial" w:cs="Arial"/>
                <w:noProof/>
                <w:webHidden/>
                <w:color w:val="2B4F40"/>
              </w:rPr>
              <w:tab/>
            </w:r>
            <w:r w:rsidR="00094972" w:rsidRPr="00094972">
              <w:rPr>
                <w:rFonts w:ascii="Arial" w:hAnsi="Arial" w:cs="Arial"/>
                <w:noProof/>
                <w:webHidden/>
                <w:color w:val="2B4F40"/>
              </w:rPr>
              <w:fldChar w:fldCharType="begin"/>
            </w:r>
            <w:r w:rsidR="00094972" w:rsidRPr="00094972">
              <w:rPr>
                <w:rFonts w:ascii="Arial" w:hAnsi="Arial" w:cs="Arial"/>
                <w:noProof/>
                <w:webHidden/>
                <w:color w:val="2B4F40"/>
              </w:rPr>
              <w:instrText xml:space="preserve"> PAGEREF _Toc171288904 \h </w:instrText>
            </w:r>
            <w:r w:rsidR="00094972" w:rsidRPr="00094972">
              <w:rPr>
                <w:rFonts w:ascii="Arial" w:hAnsi="Arial" w:cs="Arial"/>
                <w:noProof/>
                <w:webHidden/>
                <w:color w:val="2B4F40"/>
              </w:rPr>
            </w:r>
            <w:r w:rsidR="00094972" w:rsidRPr="00094972">
              <w:rPr>
                <w:rFonts w:ascii="Arial" w:hAnsi="Arial" w:cs="Arial"/>
                <w:noProof/>
                <w:webHidden/>
                <w:color w:val="2B4F40"/>
              </w:rPr>
              <w:fldChar w:fldCharType="separate"/>
            </w:r>
            <w:r w:rsidR="00094972" w:rsidRPr="00094972">
              <w:rPr>
                <w:rFonts w:ascii="Arial" w:hAnsi="Arial" w:cs="Arial"/>
                <w:noProof/>
                <w:webHidden/>
                <w:color w:val="2B4F40"/>
              </w:rPr>
              <w:t>15</w:t>
            </w:r>
            <w:r w:rsidR="00094972" w:rsidRPr="00094972">
              <w:rPr>
                <w:rFonts w:ascii="Arial" w:hAnsi="Arial" w:cs="Arial"/>
                <w:noProof/>
                <w:webHidden/>
                <w:color w:val="2B4F40"/>
              </w:rPr>
              <w:fldChar w:fldCharType="end"/>
            </w:r>
          </w:hyperlink>
        </w:p>
        <w:p w14:paraId="3EF7F3C4" w14:textId="5CFE3DFE" w:rsidR="00094972" w:rsidRPr="00094972" w:rsidRDefault="00C16ECD" w:rsidP="00956A67">
          <w:pPr>
            <w:pStyle w:val="TOC2"/>
            <w:tabs>
              <w:tab w:val="left" w:pos="720"/>
              <w:tab w:val="right" w:leader="dot" w:pos="9350"/>
            </w:tabs>
            <w:spacing w:line="360" w:lineRule="auto"/>
            <w:rPr>
              <w:rFonts w:ascii="Arial" w:eastAsiaTheme="minorEastAsia" w:hAnsi="Arial" w:cs="Arial"/>
              <w:noProof/>
              <w:color w:val="2B4F40"/>
              <w:sz w:val="24"/>
              <w:szCs w:val="24"/>
              <w:lang w:val="bg-BG" w:eastAsia="bg-BG"/>
            </w:rPr>
          </w:pPr>
          <w:hyperlink w:anchor="_Toc171288905" w:history="1">
            <w:r w:rsidR="00094972" w:rsidRPr="00094972">
              <w:rPr>
                <w:rStyle w:val="Hyperlink"/>
                <w:rFonts w:ascii="Arial" w:hAnsi="Arial" w:cs="Arial"/>
                <w:noProof/>
                <w:color w:val="2B4F40"/>
              </w:rPr>
              <w:t>1.</w:t>
            </w:r>
            <w:r w:rsidR="00094972" w:rsidRPr="00094972">
              <w:rPr>
                <w:rFonts w:ascii="Arial" w:eastAsiaTheme="minorEastAsia" w:hAnsi="Arial" w:cs="Arial"/>
                <w:noProof/>
                <w:color w:val="2B4F40"/>
                <w:sz w:val="24"/>
                <w:szCs w:val="24"/>
                <w:lang w:val="bg-BG" w:eastAsia="bg-BG"/>
              </w:rPr>
              <w:tab/>
            </w:r>
            <w:r w:rsidR="00094972" w:rsidRPr="00094972">
              <w:rPr>
                <w:rStyle w:val="Hyperlink"/>
                <w:rFonts w:ascii="Arial" w:hAnsi="Arial" w:cs="Arial"/>
                <w:noProof/>
                <w:color w:val="2B4F40"/>
              </w:rPr>
              <w:t>Strategic Models</w:t>
            </w:r>
            <w:r w:rsidR="00094972" w:rsidRPr="00094972">
              <w:rPr>
                <w:rFonts w:ascii="Arial" w:hAnsi="Arial" w:cs="Arial"/>
                <w:noProof/>
                <w:webHidden/>
                <w:color w:val="2B4F40"/>
              </w:rPr>
              <w:tab/>
            </w:r>
            <w:r w:rsidR="00094972" w:rsidRPr="00094972">
              <w:rPr>
                <w:rFonts w:ascii="Arial" w:hAnsi="Arial" w:cs="Arial"/>
                <w:noProof/>
                <w:webHidden/>
                <w:color w:val="2B4F40"/>
              </w:rPr>
              <w:fldChar w:fldCharType="begin"/>
            </w:r>
            <w:r w:rsidR="00094972" w:rsidRPr="00094972">
              <w:rPr>
                <w:rFonts w:ascii="Arial" w:hAnsi="Arial" w:cs="Arial"/>
                <w:noProof/>
                <w:webHidden/>
                <w:color w:val="2B4F40"/>
              </w:rPr>
              <w:instrText xml:space="preserve"> PAGEREF _Toc171288905 \h </w:instrText>
            </w:r>
            <w:r w:rsidR="00094972" w:rsidRPr="00094972">
              <w:rPr>
                <w:rFonts w:ascii="Arial" w:hAnsi="Arial" w:cs="Arial"/>
                <w:noProof/>
                <w:webHidden/>
                <w:color w:val="2B4F40"/>
              </w:rPr>
            </w:r>
            <w:r w:rsidR="00094972" w:rsidRPr="00094972">
              <w:rPr>
                <w:rFonts w:ascii="Arial" w:hAnsi="Arial" w:cs="Arial"/>
                <w:noProof/>
                <w:webHidden/>
                <w:color w:val="2B4F40"/>
              </w:rPr>
              <w:fldChar w:fldCharType="separate"/>
            </w:r>
            <w:r w:rsidR="00094972" w:rsidRPr="00094972">
              <w:rPr>
                <w:rFonts w:ascii="Arial" w:hAnsi="Arial" w:cs="Arial"/>
                <w:noProof/>
                <w:webHidden/>
                <w:color w:val="2B4F40"/>
              </w:rPr>
              <w:t>15</w:t>
            </w:r>
            <w:r w:rsidR="00094972" w:rsidRPr="00094972">
              <w:rPr>
                <w:rFonts w:ascii="Arial" w:hAnsi="Arial" w:cs="Arial"/>
                <w:noProof/>
                <w:webHidden/>
                <w:color w:val="2B4F40"/>
              </w:rPr>
              <w:fldChar w:fldCharType="end"/>
            </w:r>
          </w:hyperlink>
        </w:p>
        <w:p w14:paraId="494F8D14" w14:textId="17BA1CC9" w:rsidR="00094972" w:rsidRPr="00094972" w:rsidRDefault="00C16ECD" w:rsidP="00956A67">
          <w:pPr>
            <w:pStyle w:val="TOC2"/>
            <w:tabs>
              <w:tab w:val="left" w:pos="720"/>
              <w:tab w:val="right" w:leader="dot" w:pos="9350"/>
            </w:tabs>
            <w:spacing w:line="360" w:lineRule="auto"/>
            <w:rPr>
              <w:rFonts w:ascii="Arial" w:eastAsiaTheme="minorEastAsia" w:hAnsi="Arial" w:cs="Arial"/>
              <w:noProof/>
              <w:color w:val="2B4F40"/>
              <w:sz w:val="24"/>
              <w:szCs w:val="24"/>
              <w:lang w:val="bg-BG" w:eastAsia="bg-BG"/>
            </w:rPr>
          </w:pPr>
          <w:hyperlink w:anchor="_Toc171288906" w:history="1">
            <w:r w:rsidR="00094972" w:rsidRPr="00094972">
              <w:rPr>
                <w:rStyle w:val="Hyperlink"/>
                <w:rFonts w:ascii="Arial" w:hAnsi="Arial" w:cs="Arial"/>
                <w:noProof/>
                <w:color w:val="2B4F40"/>
              </w:rPr>
              <w:t>2.</w:t>
            </w:r>
            <w:r w:rsidR="00094972" w:rsidRPr="00094972">
              <w:rPr>
                <w:rFonts w:ascii="Arial" w:eastAsiaTheme="minorEastAsia" w:hAnsi="Arial" w:cs="Arial"/>
                <w:noProof/>
                <w:color w:val="2B4F40"/>
                <w:sz w:val="24"/>
                <w:szCs w:val="24"/>
                <w:lang w:val="bg-BG" w:eastAsia="bg-BG"/>
              </w:rPr>
              <w:tab/>
            </w:r>
            <w:r w:rsidR="00094972" w:rsidRPr="00094972">
              <w:rPr>
                <w:rStyle w:val="Hyperlink"/>
                <w:rFonts w:ascii="Arial" w:hAnsi="Arial" w:cs="Arial"/>
                <w:noProof/>
                <w:color w:val="2B4F40"/>
              </w:rPr>
              <w:t>Proposed Strategy</w:t>
            </w:r>
            <w:r w:rsidR="00094972" w:rsidRPr="00094972">
              <w:rPr>
                <w:rFonts w:ascii="Arial" w:hAnsi="Arial" w:cs="Arial"/>
                <w:noProof/>
                <w:webHidden/>
                <w:color w:val="2B4F40"/>
              </w:rPr>
              <w:tab/>
            </w:r>
            <w:r w:rsidR="00094972" w:rsidRPr="00094972">
              <w:rPr>
                <w:rFonts w:ascii="Arial" w:hAnsi="Arial" w:cs="Arial"/>
                <w:noProof/>
                <w:webHidden/>
                <w:color w:val="2B4F40"/>
              </w:rPr>
              <w:fldChar w:fldCharType="begin"/>
            </w:r>
            <w:r w:rsidR="00094972" w:rsidRPr="00094972">
              <w:rPr>
                <w:rFonts w:ascii="Arial" w:hAnsi="Arial" w:cs="Arial"/>
                <w:noProof/>
                <w:webHidden/>
                <w:color w:val="2B4F40"/>
              </w:rPr>
              <w:instrText xml:space="preserve"> PAGEREF _Toc171288906 \h </w:instrText>
            </w:r>
            <w:r w:rsidR="00094972" w:rsidRPr="00094972">
              <w:rPr>
                <w:rFonts w:ascii="Arial" w:hAnsi="Arial" w:cs="Arial"/>
                <w:noProof/>
                <w:webHidden/>
                <w:color w:val="2B4F40"/>
              </w:rPr>
            </w:r>
            <w:r w:rsidR="00094972" w:rsidRPr="00094972">
              <w:rPr>
                <w:rFonts w:ascii="Arial" w:hAnsi="Arial" w:cs="Arial"/>
                <w:noProof/>
                <w:webHidden/>
                <w:color w:val="2B4F40"/>
              </w:rPr>
              <w:fldChar w:fldCharType="separate"/>
            </w:r>
            <w:r w:rsidR="00094972" w:rsidRPr="00094972">
              <w:rPr>
                <w:rFonts w:ascii="Arial" w:hAnsi="Arial" w:cs="Arial"/>
                <w:noProof/>
                <w:webHidden/>
                <w:color w:val="2B4F40"/>
              </w:rPr>
              <w:t>16</w:t>
            </w:r>
            <w:r w:rsidR="00094972" w:rsidRPr="00094972">
              <w:rPr>
                <w:rFonts w:ascii="Arial" w:hAnsi="Arial" w:cs="Arial"/>
                <w:noProof/>
                <w:webHidden/>
                <w:color w:val="2B4F40"/>
              </w:rPr>
              <w:fldChar w:fldCharType="end"/>
            </w:r>
          </w:hyperlink>
        </w:p>
        <w:p w14:paraId="0BE4212B" w14:textId="201C662E" w:rsidR="00094972" w:rsidRPr="00094972" w:rsidRDefault="00C16ECD" w:rsidP="00956A67">
          <w:pPr>
            <w:pStyle w:val="TOC1"/>
            <w:spacing w:line="360" w:lineRule="auto"/>
            <w:rPr>
              <w:rFonts w:ascii="Arial" w:eastAsiaTheme="minorEastAsia" w:hAnsi="Arial" w:cs="Arial"/>
              <w:noProof/>
              <w:color w:val="2B4F40"/>
              <w:sz w:val="24"/>
              <w:szCs w:val="24"/>
              <w:lang w:val="bg-BG" w:eastAsia="bg-BG"/>
            </w:rPr>
          </w:pPr>
          <w:hyperlink w:anchor="_Toc171288907" w:history="1">
            <w:r w:rsidR="00094972" w:rsidRPr="00094972">
              <w:rPr>
                <w:rStyle w:val="Hyperlink"/>
                <w:rFonts w:ascii="Arial" w:hAnsi="Arial" w:cs="Arial"/>
                <w:noProof/>
                <w:color w:val="2B4F40"/>
              </w:rPr>
              <w:t>Key Strategic Recommendations for Future Developments and Implementation</w:t>
            </w:r>
            <w:r w:rsidR="00094972" w:rsidRPr="00094972">
              <w:rPr>
                <w:rFonts w:ascii="Arial" w:hAnsi="Arial" w:cs="Arial"/>
                <w:noProof/>
                <w:webHidden/>
                <w:color w:val="2B4F40"/>
              </w:rPr>
              <w:tab/>
            </w:r>
            <w:r w:rsidR="00094972" w:rsidRPr="00094972">
              <w:rPr>
                <w:rFonts w:ascii="Arial" w:hAnsi="Arial" w:cs="Arial"/>
                <w:noProof/>
                <w:webHidden/>
                <w:color w:val="2B4F40"/>
              </w:rPr>
              <w:fldChar w:fldCharType="begin"/>
            </w:r>
            <w:r w:rsidR="00094972" w:rsidRPr="00094972">
              <w:rPr>
                <w:rFonts w:ascii="Arial" w:hAnsi="Arial" w:cs="Arial"/>
                <w:noProof/>
                <w:webHidden/>
                <w:color w:val="2B4F40"/>
              </w:rPr>
              <w:instrText xml:space="preserve"> PAGEREF _Toc171288907 \h </w:instrText>
            </w:r>
            <w:r w:rsidR="00094972" w:rsidRPr="00094972">
              <w:rPr>
                <w:rFonts w:ascii="Arial" w:hAnsi="Arial" w:cs="Arial"/>
                <w:noProof/>
                <w:webHidden/>
                <w:color w:val="2B4F40"/>
              </w:rPr>
            </w:r>
            <w:r w:rsidR="00094972" w:rsidRPr="00094972">
              <w:rPr>
                <w:rFonts w:ascii="Arial" w:hAnsi="Arial" w:cs="Arial"/>
                <w:noProof/>
                <w:webHidden/>
                <w:color w:val="2B4F40"/>
              </w:rPr>
              <w:fldChar w:fldCharType="separate"/>
            </w:r>
            <w:r w:rsidR="00094972" w:rsidRPr="00094972">
              <w:rPr>
                <w:rFonts w:ascii="Arial" w:hAnsi="Arial" w:cs="Arial"/>
                <w:noProof/>
                <w:webHidden/>
                <w:color w:val="2B4F40"/>
              </w:rPr>
              <w:t>16</w:t>
            </w:r>
            <w:r w:rsidR="00094972" w:rsidRPr="00094972">
              <w:rPr>
                <w:rFonts w:ascii="Arial" w:hAnsi="Arial" w:cs="Arial"/>
                <w:noProof/>
                <w:webHidden/>
                <w:color w:val="2B4F40"/>
              </w:rPr>
              <w:fldChar w:fldCharType="end"/>
            </w:r>
          </w:hyperlink>
        </w:p>
        <w:p w14:paraId="49D92D7C" w14:textId="6F492269" w:rsidR="00094972" w:rsidRPr="00094972" w:rsidRDefault="00C16ECD" w:rsidP="00956A67">
          <w:pPr>
            <w:pStyle w:val="TOC1"/>
            <w:spacing w:line="360" w:lineRule="auto"/>
            <w:rPr>
              <w:rFonts w:ascii="Arial" w:eastAsiaTheme="minorEastAsia" w:hAnsi="Arial" w:cs="Arial"/>
              <w:noProof/>
              <w:color w:val="2B4F40"/>
              <w:sz w:val="24"/>
              <w:szCs w:val="24"/>
              <w:lang w:val="bg-BG" w:eastAsia="bg-BG"/>
            </w:rPr>
          </w:pPr>
          <w:hyperlink w:anchor="_Toc171288908" w:history="1">
            <w:r w:rsidR="00094972" w:rsidRPr="00094972">
              <w:rPr>
                <w:rStyle w:val="Hyperlink"/>
                <w:rFonts w:ascii="Arial" w:hAnsi="Arial" w:cs="Arial"/>
                <w:noProof/>
                <w:color w:val="2B4F40"/>
              </w:rPr>
              <w:t>Conclusion</w:t>
            </w:r>
            <w:r w:rsidR="00094972" w:rsidRPr="00094972">
              <w:rPr>
                <w:rFonts w:ascii="Arial" w:hAnsi="Arial" w:cs="Arial"/>
                <w:noProof/>
                <w:webHidden/>
                <w:color w:val="2B4F40"/>
              </w:rPr>
              <w:tab/>
            </w:r>
            <w:r w:rsidR="00094972" w:rsidRPr="00094972">
              <w:rPr>
                <w:rFonts w:ascii="Arial" w:hAnsi="Arial" w:cs="Arial"/>
                <w:noProof/>
                <w:webHidden/>
                <w:color w:val="2B4F40"/>
              </w:rPr>
              <w:fldChar w:fldCharType="begin"/>
            </w:r>
            <w:r w:rsidR="00094972" w:rsidRPr="00094972">
              <w:rPr>
                <w:rFonts w:ascii="Arial" w:hAnsi="Arial" w:cs="Arial"/>
                <w:noProof/>
                <w:webHidden/>
                <w:color w:val="2B4F40"/>
              </w:rPr>
              <w:instrText xml:space="preserve"> PAGEREF _Toc171288908 \h </w:instrText>
            </w:r>
            <w:r w:rsidR="00094972" w:rsidRPr="00094972">
              <w:rPr>
                <w:rFonts w:ascii="Arial" w:hAnsi="Arial" w:cs="Arial"/>
                <w:noProof/>
                <w:webHidden/>
                <w:color w:val="2B4F40"/>
              </w:rPr>
            </w:r>
            <w:r w:rsidR="00094972" w:rsidRPr="00094972">
              <w:rPr>
                <w:rFonts w:ascii="Arial" w:hAnsi="Arial" w:cs="Arial"/>
                <w:noProof/>
                <w:webHidden/>
                <w:color w:val="2B4F40"/>
              </w:rPr>
              <w:fldChar w:fldCharType="separate"/>
            </w:r>
            <w:r w:rsidR="00094972" w:rsidRPr="00094972">
              <w:rPr>
                <w:rFonts w:ascii="Arial" w:hAnsi="Arial" w:cs="Arial"/>
                <w:noProof/>
                <w:webHidden/>
                <w:color w:val="2B4F40"/>
              </w:rPr>
              <w:t>18</w:t>
            </w:r>
            <w:r w:rsidR="00094972" w:rsidRPr="00094972">
              <w:rPr>
                <w:rFonts w:ascii="Arial" w:hAnsi="Arial" w:cs="Arial"/>
                <w:noProof/>
                <w:webHidden/>
                <w:color w:val="2B4F40"/>
              </w:rPr>
              <w:fldChar w:fldCharType="end"/>
            </w:r>
          </w:hyperlink>
        </w:p>
        <w:p w14:paraId="2BB2D719" w14:textId="18DE31A8" w:rsidR="00094972" w:rsidRDefault="00C16ECD" w:rsidP="00956A67">
          <w:pPr>
            <w:pStyle w:val="TOC1"/>
            <w:spacing w:line="360" w:lineRule="auto"/>
            <w:rPr>
              <w:rFonts w:eastAsiaTheme="minorEastAsia"/>
              <w:noProof/>
              <w:sz w:val="24"/>
              <w:szCs w:val="24"/>
              <w:lang w:val="bg-BG" w:eastAsia="bg-BG"/>
            </w:rPr>
          </w:pPr>
          <w:hyperlink w:anchor="_Toc171288909" w:history="1">
            <w:r w:rsidR="00094972" w:rsidRPr="00094972">
              <w:rPr>
                <w:rStyle w:val="Hyperlink"/>
                <w:rFonts w:ascii="Arial" w:hAnsi="Arial" w:cs="Arial"/>
                <w:noProof/>
                <w:color w:val="2B4F40"/>
              </w:rPr>
              <w:t>List of references</w:t>
            </w:r>
            <w:r w:rsidR="00094972" w:rsidRPr="00094972">
              <w:rPr>
                <w:rFonts w:ascii="Arial" w:hAnsi="Arial" w:cs="Arial"/>
                <w:noProof/>
                <w:webHidden/>
                <w:color w:val="2B4F40"/>
              </w:rPr>
              <w:tab/>
            </w:r>
            <w:r w:rsidR="00094972" w:rsidRPr="00094972">
              <w:rPr>
                <w:rFonts w:ascii="Arial" w:hAnsi="Arial" w:cs="Arial"/>
                <w:noProof/>
                <w:webHidden/>
                <w:color w:val="2B4F40"/>
              </w:rPr>
              <w:fldChar w:fldCharType="begin"/>
            </w:r>
            <w:r w:rsidR="00094972" w:rsidRPr="00094972">
              <w:rPr>
                <w:rFonts w:ascii="Arial" w:hAnsi="Arial" w:cs="Arial"/>
                <w:noProof/>
                <w:webHidden/>
                <w:color w:val="2B4F40"/>
              </w:rPr>
              <w:instrText xml:space="preserve"> PAGEREF _Toc171288909 \h </w:instrText>
            </w:r>
            <w:r w:rsidR="00094972" w:rsidRPr="00094972">
              <w:rPr>
                <w:rFonts w:ascii="Arial" w:hAnsi="Arial" w:cs="Arial"/>
                <w:noProof/>
                <w:webHidden/>
                <w:color w:val="2B4F40"/>
              </w:rPr>
            </w:r>
            <w:r w:rsidR="00094972" w:rsidRPr="00094972">
              <w:rPr>
                <w:rFonts w:ascii="Arial" w:hAnsi="Arial" w:cs="Arial"/>
                <w:noProof/>
                <w:webHidden/>
                <w:color w:val="2B4F40"/>
              </w:rPr>
              <w:fldChar w:fldCharType="separate"/>
            </w:r>
            <w:r w:rsidR="00094972" w:rsidRPr="00094972">
              <w:rPr>
                <w:rFonts w:ascii="Arial" w:hAnsi="Arial" w:cs="Arial"/>
                <w:noProof/>
                <w:webHidden/>
                <w:color w:val="2B4F40"/>
              </w:rPr>
              <w:t>19</w:t>
            </w:r>
            <w:r w:rsidR="00094972" w:rsidRPr="00094972">
              <w:rPr>
                <w:rFonts w:ascii="Arial" w:hAnsi="Arial" w:cs="Arial"/>
                <w:noProof/>
                <w:webHidden/>
                <w:color w:val="2B4F40"/>
              </w:rPr>
              <w:fldChar w:fldCharType="end"/>
            </w:r>
          </w:hyperlink>
        </w:p>
        <w:p w14:paraId="090B75D6" w14:textId="06F2A6E3" w:rsidR="00DD5896" w:rsidRPr="00F8668D" w:rsidRDefault="00DD5896" w:rsidP="004C4730">
          <w:pPr>
            <w:spacing w:line="360" w:lineRule="auto"/>
            <w:rPr>
              <w:color w:val="2D473F"/>
            </w:rPr>
          </w:pPr>
          <w:r w:rsidRPr="004C4730">
            <w:rPr>
              <w:rFonts w:ascii="Arial" w:hAnsi="Arial" w:cs="Arial"/>
              <w:b/>
              <w:bCs/>
              <w:noProof/>
              <w:color w:val="2B4F40"/>
            </w:rPr>
            <w:fldChar w:fldCharType="end"/>
          </w:r>
        </w:p>
      </w:sdtContent>
    </w:sdt>
    <w:p w14:paraId="1AD3F564" w14:textId="77777777" w:rsidR="00DD5896" w:rsidRPr="00F8668D" w:rsidRDefault="00DD5896" w:rsidP="00DD5896">
      <w:pPr>
        <w:rPr>
          <w:rFonts w:ascii="Arial" w:hAnsi="Arial" w:cs="Arial"/>
          <w:color w:val="2D473F"/>
        </w:rPr>
      </w:pPr>
    </w:p>
    <w:p w14:paraId="419FC610" w14:textId="77777777" w:rsidR="002E7309" w:rsidRPr="00F8668D" w:rsidRDefault="002E7309" w:rsidP="00DD5896">
      <w:pPr>
        <w:rPr>
          <w:rFonts w:ascii="Arial" w:hAnsi="Arial" w:cs="Arial"/>
          <w:color w:val="2D473F"/>
        </w:rPr>
      </w:pPr>
    </w:p>
    <w:p w14:paraId="682E96E6" w14:textId="77777777" w:rsidR="002E7309" w:rsidRPr="00F8668D" w:rsidRDefault="002E7309" w:rsidP="00DD5896">
      <w:pPr>
        <w:rPr>
          <w:rFonts w:ascii="Arial" w:hAnsi="Arial" w:cs="Arial"/>
          <w:color w:val="2D473F"/>
        </w:rPr>
      </w:pPr>
    </w:p>
    <w:p w14:paraId="20221F25" w14:textId="77777777" w:rsidR="002E7309" w:rsidRPr="00F8668D" w:rsidRDefault="002E7309" w:rsidP="00DD5896">
      <w:pPr>
        <w:rPr>
          <w:rFonts w:ascii="Arial" w:hAnsi="Arial" w:cs="Arial"/>
          <w:color w:val="2D473F"/>
        </w:rPr>
      </w:pPr>
    </w:p>
    <w:p w14:paraId="36079FA2" w14:textId="77777777" w:rsidR="002E7309" w:rsidRPr="00F8668D" w:rsidRDefault="002E7309" w:rsidP="00DD5896">
      <w:pPr>
        <w:rPr>
          <w:rFonts w:ascii="Arial" w:hAnsi="Arial" w:cs="Arial"/>
          <w:color w:val="2D473F"/>
        </w:rPr>
      </w:pPr>
    </w:p>
    <w:p w14:paraId="283E696A" w14:textId="77777777" w:rsidR="002E7309" w:rsidRDefault="002E7309" w:rsidP="00DD5896">
      <w:pPr>
        <w:rPr>
          <w:rFonts w:ascii="Arial" w:hAnsi="Arial" w:cs="Arial"/>
          <w:color w:val="2D473F"/>
        </w:rPr>
      </w:pPr>
    </w:p>
    <w:p w14:paraId="10E7239E" w14:textId="77777777" w:rsidR="00294BE1" w:rsidRDefault="00294BE1" w:rsidP="00DD5896">
      <w:pPr>
        <w:rPr>
          <w:rFonts w:ascii="Arial" w:hAnsi="Arial" w:cs="Arial"/>
          <w:color w:val="2D473F"/>
        </w:rPr>
      </w:pPr>
    </w:p>
    <w:p w14:paraId="0C7FF14E" w14:textId="77777777" w:rsidR="00294BE1" w:rsidRPr="00F8668D" w:rsidRDefault="00294BE1" w:rsidP="00DD5896">
      <w:pPr>
        <w:rPr>
          <w:rFonts w:ascii="Arial" w:hAnsi="Arial" w:cs="Arial"/>
          <w:color w:val="2D473F"/>
        </w:rPr>
      </w:pPr>
    </w:p>
    <w:p w14:paraId="1786D24F" w14:textId="77777777" w:rsidR="002E7309" w:rsidRPr="00F8668D" w:rsidRDefault="002E7309" w:rsidP="00DD5896">
      <w:pPr>
        <w:rPr>
          <w:rFonts w:ascii="Arial" w:hAnsi="Arial" w:cs="Arial"/>
          <w:color w:val="2D473F"/>
        </w:rPr>
      </w:pPr>
    </w:p>
    <w:p w14:paraId="48362A52" w14:textId="78B2A2CA" w:rsidR="002E7309" w:rsidRPr="00F8668D" w:rsidRDefault="002E7309" w:rsidP="00614EEA">
      <w:pPr>
        <w:pStyle w:val="Heading1"/>
        <w:shd w:val="clear" w:color="auto" w:fill="E7F5EE"/>
        <w:rPr>
          <w:rFonts w:ascii="Arial" w:hAnsi="Arial" w:cs="Arial"/>
          <w:color w:val="2D473F"/>
          <w:sz w:val="36"/>
          <w:szCs w:val="36"/>
        </w:rPr>
      </w:pPr>
      <w:bookmarkStart w:id="0" w:name="_Toc171288896"/>
      <w:r w:rsidRPr="00F8668D">
        <w:rPr>
          <w:rFonts w:ascii="Arial" w:hAnsi="Arial" w:cs="Arial"/>
          <w:color w:val="2D473F"/>
          <w:sz w:val="36"/>
          <w:szCs w:val="36"/>
        </w:rPr>
        <w:lastRenderedPageBreak/>
        <w:t>Introduction</w:t>
      </w:r>
      <w:bookmarkEnd w:id="0"/>
    </w:p>
    <w:p w14:paraId="676DCC69" w14:textId="0530B21B" w:rsidR="002E7309" w:rsidRPr="00F8668D" w:rsidRDefault="00265CBE" w:rsidP="00DD5896">
      <w:pPr>
        <w:rPr>
          <w:rFonts w:ascii="Arial" w:hAnsi="Arial" w:cs="Arial"/>
          <w:color w:val="2D473F"/>
        </w:rPr>
      </w:pPr>
      <w:r w:rsidRPr="00F8668D">
        <w:rPr>
          <w:rFonts w:ascii="Arial" w:hAnsi="Arial" w:cs="Arial"/>
          <w:color w:val="2D473F"/>
        </w:rPr>
        <w:t xml:space="preserve"> </w:t>
      </w:r>
    </w:p>
    <w:p w14:paraId="41F8FE02" w14:textId="7E8633BF" w:rsidR="00265CBE" w:rsidRPr="00360F10" w:rsidRDefault="00265CBE" w:rsidP="00360F10">
      <w:pPr>
        <w:spacing w:line="360" w:lineRule="auto"/>
        <w:rPr>
          <w:rFonts w:ascii="Arial" w:hAnsi="Arial" w:cs="Arial"/>
          <w:color w:val="2B4F40"/>
        </w:rPr>
      </w:pPr>
    </w:p>
    <w:p w14:paraId="453554B3" w14:textId="5587B23D" w:rsidR="00360F10" w:rsidRPr="003B13C2" w:rsidRDefault="00360F10" w:rsidP="003B13C2">
      <w:pPr>
        <w:spacing w:line="360" w:lineRule="auto"/>
        <w:rPr>
          <w:rFonts w:ascii="Arial" w:hAnsi="Arial" w:cs="Arial"/>
          <w:color w:val="2B4F40"/>
        </w:rPr>
      </w:pPr>
      <w:r w:rsidRPr="003B13C2">
        <w:rPr>
          <w:rFonts w:ascii="Arial" w:hAnsi="Arial" w:cs="Arial"/>
          <w:color w:val="2B4F40"/>
        </w:rPr>
        <w:t>The Rude Health Company, founded in 2005 in London by Nick and Camilla Barnard, has established itself as a pioneering force in the health food industry. What began as a mission to revolutionise breakfast with the creation of delicious and nutritious cereals has expanded into a diverse range of products, including dairy-free drinks, snacks, and pantry essentials. Rude Health's core philosophy revolves around celebrating real, honest food made with sustainable ingredients, free from artificial additives and preservatives (Rude Health, 2023).</w:t>
      </w:r>
    </w:p>
    <w:p w14:paraId="40330D1A" w14:textId="51CDC12D" w:rsidR="00360F10" w:rsidRPr="003B13C2" w:rsidRDefault="00360F10" w:rsidP="003B13C2">
      <w:pPr>
        <w:spacing w:line="360" w:lineRule="auto"/>
        <w:rPr>
          <w:rFonts w:ascii="Arial" w:hAnsi="Arial" w:cs="Arial"/>
          <w:color w:val="2B4F40"/>
        </w:rPr>
      </w:pPr>
      <w:r w:rsidRPr="003B13C2">
        <w:rPr>
          <w:rFonts w:ascii="Arial" w:hAnsi="Arial" w:cs="Arial"/>
          <w:color w:val="2B4F40"/>
        </w:rPr>
        <w:t>Rude Health's vision is to inspire everyone to enjoy food that is both tasty and nourishing, while also being kind to the planet. This vision is reflected in every aspect of the company’s operations, from the meticulous selection of whole ingredients to environmentally conscious production practices and innovative packaging solutions. The company prides itself on its commitment to organic farming, supporting methods that are better for the environment and promoting biodiversity (Rude Health, 2023).</w:t>
      </w:r>
    </w:p>
    <w:p w14:paraId="018A79DD" w14:textId="77777777" w:rsidR="00360F10" w:rsidRPr="003B13C2" w:rsidRDefault="00360F10" w:rsidP="003B13C2">
      <w:pPr>
        <w:spacing w:line="360" w:lineRule="auto"/>
        <w:rPr>
          <w:rFonts w:ascii="Arial" w:hAnsi="Arial" w:cs="Arial"/>
          <w:color w:val="2B4F40"/>
        </w:rPr>
      </w:pPr>
      <w:r w:rsidRPr="003B13C2">
        <w:rPr>
          <w:rFonts w:ascii="Arial" w:hAnsi="Arial" w:cs="Arial"/>
          <w:color w:val="2B4F40"/>
        </w:rPr>
        <w:t>This report will provide an in-depth analysis of The Rude Health Company’s strategic management, examining how its vision is integrated into its strategic plans and actions. It will explore the company's objectives, the resources utilised to achieve these objectives, and the contributions of various organisational functions in maximising value. Additionally, the report will employ tools such as PESTLE and SWOT to critically analyse the company's external and internal environments, identifying the key opportunities and threats shaping the health food industry. Moreover, a stakeholder analysis will be conducted to evaluate the expectations and power dynamics of different stakeholders, and to propose a sustainable strategy that addresses their interests while ensuring the long-term success of the organisation.</w:t>
      </w:r>
    </w:p>
    <w:p w14:paraId="7063F287" w14:textId="7D7C2FE0" w:rsidR="002E7309" w:rsidRPr="00F8668D" w:rsidRDefault="00A1697F" w:rsidP="002E7309">
      <w:pPr>
        <w:rPr>
          <w:rFonts w:ascii="Arial" w:hAnsi="Arial" w:cs="Arial"/>
          <w:color w:val="2D473F"/>
        </w:rPr>
      </w:pPr>
      <w:r w:rsidRPr="00F8668D">
        <w:rPr>
          <w:rFonts w:ascii="Arial" w:hAnsi="Arial" w:cs="Arial"/>
          <w:noProof/>
          <w:color w:val="2D473F"/>
        </w:rPr>
        <w:drawing>
          <wp:anchor distT="0" distB="0" distL="114300" distR="114300" simplePos="0" relativeHeight="251658240" behindDoc="0" locked="0" layoutInCell="1" allowOverlap="1" wp14:anchorId="3EFF5D7F" wp14:editId="405412B2">
            <wp:simplePos x="0" y="0"/>
            <wp:positionH relativeFrom="margin">
              <wp:posOffset>1416050</wp:posOffset>
            </wp:positionH>
            <wp:positionV relativeFrom="margin">
              <wp:posOffset>6463030</wp:posOffset>
            </wp:positionV>
            <wp:extent cx="3107690" cy="1416050"/>
            <wp:effectExtent l="0" t="0" r="0" b="0"/>
            <wp:wrapSquare wrapText="bothSides"/>
            <wp:docPr id="1158605264" name="Picture 5" descr="A cartoon of a mout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605264" name="Picture 5" descr="A cartoon of a mouth&#10;&#10;Description automatically generated"/>
                    <pic:cNvPicPr/>
                  </pic:nvPicPr>
                  <pic:blipFill>
                    <a:blip r:embed="rId12">
                      <a:alphaModFix amt="20000"/>
                      <a:extLst>
                        <a:ext uri="{BEBA8EAE-BF5A-486C-A8C5-ECC9F3942E4B}">
                          <a14:imgProps xmlns:a14="http://schemas.microsoft.com/office/drawing/2010/main">
                            <a14:imgLayer r:embed="rId13">
                              <a14:imgEffect>
                                <a14:colorTemperature colorTemp="11200"/>
                              </a14:imgEffect>
                            </a14:imgLayer>
                          </a14:imgProps>
                        </a:ext>
                        <a:ext uri="{28A0092B-C50C-407E-A947-70E740481C1C}">
                          <a14:useLocalDpi xmlns:a14="http://schemas.microsoft.com/office/drawing/2010/main" val="0"/>
                        </a:ext>
                      </a:extLst>
                    </a:blip>
                    <a:stretch>
                      <a:fillRect/>
                    </a:stretch>
                  </pic:blipFill>
                  <pic:spPr>
                    <a:xfrm>
                      <a:off x="0" y="0"/>
                      <a:ext cx="3107690" cy="1416050"/>
                    </a:xfrm>
                    <a:prstGeom prst="ellipse">
                      <a:avLst/>
                    </a:prstGeom>
                    <a:ln>
                      <a:noFill/>
                    </a:ln>
                    <a:effectLst>
                      <a:softEdge rad="112500"/>
                    </a:effectLst>
                  </pic:spPr>
                </pic:pic>
              </a:graphicData>
            </a:graphic>
            <wp14:sizeRelV relativeFrom="margin">
              <wp14:pctHeight>0</wp14:pctHeight>
            </wp14:sizeRelV>
          </wp:anchor>
        </w:drawing>
      </w:r>
    </w:p>
    <w:p w14:paraId="7916AA30" w14:textId="77777777" w:rsidR="002E7309" w:rsidRPr="00F8668D" w:rsidRDefault="002E7309" w:rsidP="002E7309">
      <w:pPr>
        <w:rPr>
          <w:rFonts w:ascii="Arial" w:hAnsi="Arial" w:cs="Arial"/>
          <w:color w:val="2D473F"/>
        </w:rPr>
      </w:pPr>
    </w:p>
    <w:p w14:paraId="13D55A80" w14:textId="77777777" w:rsidR="002E7309" w:rsidRPr="00F8668D" w:rsidRDefault="002E7309" w:rsidP="002E7309">
      <w:pPr>
        <w:rPr>
          <w:rFonts w:ascii="Arial" w:hAnsi="Arial" w:cs="Arial"/>
          <w:color w:val="2D473F"/>
        </w:rPr>
      </w:pPr>
    </w:p>
    <w:p w14:paraId="6D7EAB5A" w14:textId="77777777" w:rsidR="002E7309" w:rsidRPr="00F8668D" w:rsidRDefault="002E7309" w:rsidP="002E7309">
      <w:pPr>
        <w:rPr>
          <w:rFonts w:ascii="Arial" w:hAnsi="Arial" w:cs="Arial"/>
          <w:color w:val="2D473F"/>
        </w:rPr>
      </w:pPr>
    </w:p>
    <w:p w14:paraId="715A35C9" w14:textId="77777777" w:rsidR="002E7309" w:rsidRPr="00F8668D" w:rsidRDefault="002E7309" w:rsidP="002E7309">
      <w:pPr>
        <w:rPr>
          <w:rFonts w:ascii="Arial" w:hAnsi="Arial" w:cs="Arial"/>
          <w:color w:val="2D473F"/>
        </w:rPr>
      </w:pPr>
    </w:p>
    <w:p w14:paraId="025CF2E8" w14:textId="77777777" w:rsidR="002E7309" w:rsidRPr="00F8668D" w:rsidRDefault="002E7309" w:rsidP="002E7309">
      <w:pPr>
        <w:rPr>
          <w:rFonts w:ascii="Arial" w:hAnsi="Arial" w:cs="Arial"/>
          <w:color w:val="2D473F"/>
        </w:rPr>
      </w:pPr>
    </w:p>
    <w:p w14:paraId="16A4B658" w14:textId="5D78AE38" w:rsidR="00360F10" w:rsidRPr="00A1697F" w:rsidRDefault="00A1697F" w:rsidP="00360F10">
      <w:pPr>
        <w:jc w:val="center"/>
        <w:rPr>
          <w:rFonts w:ascii="Arial" w:hAnsi="Arial" w:cs="Arial"/>
          <w:color w:val="2B4F40"/>
        </w:rPr>
      </w:pPr>
      <w:r w:rsidRPr="00A1697F">
        <w:rPr>
          <w:rFonts w:ascii="Arial" w:hAnsi="Arial" w:cs="Arial"/>
          <w:color w:val="2B4F40"/>
        </w:rPr>
        <w:t>Picture 2 Source: Internet</w:t>
      </w:r>
    </w:p>
    <w:p w14:paraId="5827E887" w14:textId="77777777" w:rsidR="0015029D" w:rsidRPr="00F8668D" w:rsidRDefault="0015029D" w:rsidP="00614EEA">
      <w:pPr>
        <w:pStyle w:val="Heading1"/>
        <w:shd w:val="clear" w:color="auto" w:fill="E7F5EE"/>
        <w:rPr>
          <w:rFonts w:ascii="Arial" w:hAnsi="Arial" w:cs="Arial"/>
          <w:color w:val="2D473F"/>
          <w:sz w:val="36"/>
          <w:szCs w:val="36"/>
        </w:rPr>
      </w:pPr>
      <w:bookmarkStart w:id="1" w:name="_Toc171288897"/>
      <w:r w:rsidRPr="00F8668D">
        <w:rPr>
          <w:rFonts w:ascii="Arial" w:hAnsi="Arial" w:cs="Arial"/>
          <w:color w:val="2D473F"/>
          <w:sz w:val="36"/>
          <w:szCs w:val="36"/>
        </w:rPr>
        <w:lastRenderedPageBreak/>
        <w:t>Analysis of The Rude Health Company’s Vision and Strategic Alignment</w:t>
      </w:r>
      <w:bookmarkEnd w:id="1"/>
    </w:p>
    <w:p w14:paraId="2019096C" w14:textId="77777777" w:rsidR="0015029D" w:rsidRDefault="0015029D" w:rsidP="0015029D">
      <w:pPr>
        <w:spacing w:line="360" w:lineRule="auto"/>
        <w:rPr>
          <w:rFonts w:ascii="Arial" w:hAnsi="Arial" w:cs="Arial"/>
          <w:color w:val="2D473F"/>
        </w:rPr>
      </w:pPr>
    </w:p>
    <w:p w14:paraId="70B6A5D1" w14:textId="269F2763" w:rsidR="00707849" w:rsidRPr="00F8668D" w:rsidRDefault="00707849" w:rsidP="00707849">
      <w:pPr>
        <w:spacing w:line="360" w:lineRule="auto"/>
        <w:rPr>
          <w:rFonts w:ascii="Arial" w:hAnsi="Arial" w:cs="Arial"/>
          <w:color w:val="2D473F"/>
        </w:rPr>
      </w:pPr>
      <w:r>
        <w:rPr>
          <w:rFonts w:ascii="Arial" w:hAnsi="Arial" w:cs="Arial"/>
          <w:noProof/>
          <w:color w:val="2D473F"/>
        </w:rPr>
        <w:drawing>
          <wp:inline distT="0" distB="0" distL="0" distR="0" wp14:anchorId="42B6CD04" wp14:editId="217A6DF4">
            <wp:extent cx="5859631" cy="1849046"/>
            <wp:effectExtent l="57150" t="0" r="46355" b="0"/>
            <wp:docPr id="565041719"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02CCCFCB" w14:textId="03914411" w:rsidR="00A1697F" w:rsidRDefault="00A1697F" w:rsidP="00CE08CD">
      <w:pPr>
        <w:spacing w:line="360" w:lineRule="auto"/>
        <w:jc w:val="center"/>
        <w:rPr>
          <w:rFonts w:ascii="Arial" w:hAnsi="Arial" w:cs="Arial"/>
          <w:color w:val="2D473F"/>
        </w:rPr>
      </w:pPr>
      <w:r w:rsidRPr="00707849">
        <w:rPr>
          <w:rFonts w:ascii="Arial" w:hAnsi="Arial" w:cs="Arial"/>
          <w:color w:val="2D473F"/>
        </w:rPr>
        <w:t>Figure 1</w:t>
      </w:r>
      <w:r>
        <w:rPr>
          <w:rFonts w:ascii="Arial" w:hAnsi="Arial" w:cs="Arial"/>
          <w:color w:val="2D473F"/>
        </w:rPr>
        <w:t xml:space="preserve">, </w:t>
      </w:r>
      <w:r w:rsidRPr="00707849">
        <w:rPr>
          <w:rFonts w:ascii="Arial" w:hAnsi="Arial" w:cs="Arial"/>
          <w:color w:val="2D473F"/>
        </w:rPr>
        <w:t>The Strategic Management Process</w:t>
      </w:r>
    </w:p>
    <w:p w14:paraId="5800B72B" w14:textId="2C037366" w:rsidR="00A1697F" w:rsidRDefault="00A1697F" w:rsidP="00CE08CD">
      <w:pPr>
        <w:spacing w:line="360" w:lineRule="auto"/>
        <w:jc w:val="center"/>
        <w:rPr>
          <w:rFonts w:ascii="Arial" w:hAnsi="Arial" w:cs="Arial"/>
          <w:color w:val="2D473F"/>
          <w:u w:val="single"/>
        </w:rPr>
      </w:pPr>
      <w:r>
        <w:rPr>
          <w:rFonts w:ascii="Arial" w:hAnsi="Arial" w:cs="Arial"/>
          <w:color w:val="2D473F"/>
        </w:rPr>
        <w:t xml:space="preserve">Source: </w:t>
      </w:r>
      <w:r w:rsidR="00CE08CD" w:rsidRPr="00CE08CD">
        <w:rPr>
          <w:rFonts w:ascii="Arial" w:hAnsi="Arial" w:cs="Arial"/>
          <w:color w:val="2D473F"/>
        </w:rPr>
        <w:t>(Barney</w:t>
      </w:r>
      <w:r w:rsidR="00CE08CD">
        <w:rPr>
          <w:rFonts w:ascii="Arial" w:hAnsi="Arial" w:cs="Arial"/>
          <w:color w:val="2D473F"/>
        </w:rPr>
        <w:t xml:space="preserve"> and</w:t>
      </w:r>
      <w:r w:rsidR="00CE08CD" w:rsidRPr="00CE08CD">
        <w:rPr>
          <w:rFonts w:ascii="Arial" w:hAnsi="Arial" w:cs="Arial"/>
          <w:color w:val="2D473F"/>
        </w:rPr>
        <w:t xml:space="preserve"> Hesterly, 2018, p. 27)</w:t>
      </w:r>
    </w:p>
    <w:p w14:paraId="055E126A" w14:textId="77777777" w:rsidR="00CE08CD" w:rsidRDefault="00CE08CD" w:rsidP="00812246">
      <w:pPr>
        <w:spacing w:line="360" w:lineRule="auto"/>
        <w:rPr>
          <w:rFonts w:ascii="Arial" w:hAnsi="Arial" w:cs="Arial"/>
          <w:color w:val="2D473F"/>
          <w:u w:val="single"/>
        </w:rPr>
      </w:pPr>
    </w:p>
    <w:p w14:paraId="72A493AC" w14:textId="28352582" w:rsidR="006F7B54" w:rsidRPr="003B13C2" w:rsidRDefault="006F7B54" w:rsidP="003B13C2">
      <w:pPr>
        <w:spacing w:line="360" w:lineRule="auto"/>
        <w:rPr>
          <w:rFonts w:ascii="Arial" w:hAnsi="Arial" w:cs="Arial"/>
          <w:color w:val="2B4F40"/>
        </w:rPr>
      </w:pPr>
      <w:r w:rsidRPr="003B13C2">
        <w:rPr>
          <w:rFonts w:ascii="Arial" w:hAnsi="Arial" w:cs="Arial"/>
          <w:color w:val="2B4F40"/>
        </w:rPr>
        <w:t>Figure 1 illustrates the Strategic Management Process, a comprehensive approach that organisations use to formulate and implement strategies to achieve their objectives and sustain competitive advantage. According to Barney and Hesterly (2018, p. 27), this process involves several key steps: defining the mission and vision of the organisation, performing an external and internal analysis to identify opportunities, threats, strengths, and weaknesses, formulating strategies to leverage strengths and opportunities while mitigating weaknesses and threats, implementing the chosen strategies, and continuously monitoring and evaluating the outcomes to ensure alignment with the organisational goals. This iterative process ensures that the organisation remains adaptive and responsive to changes in the competitive environment (Barney and Hesterly, 2018, p. 27).</w:t>
      </w:r>
    </w:p>
    <w:p w14:paraId="0A72ACA5" w14:textId="04F52CA6" w:rsidR="00812246" w:rsidRPr="003B13C2" w:rsidRDefault="00CE08CD" w:rsidP="003B13C2">
      <w:pPr>
        <w:spacing w:line="360" w:lineRule="auto"/>
        <w:rPr>
          <w:rFonts w:ascii="Arial" w:hAnsi="Arial" w:cs="Arial"/>
          <w:color w:val="2B4F40"/>
          <w:u w:val="single"/>
        </w:rPr>
      </w:pPr>
      <w:r w:rsidRPr="003B13C2">
        <w:rPr>
          <w:rFonts w:ascii="Arial" w:hAnsi="Arial" w:cs="Arial"/>
          <w:color w:val="2B4F40"/>
          <w:u w:val="single"/>
        </w:rPr>
        <w:t>V</w:t>
      </w:r>
      <w:r w:rsidR="00812246" w:rsidRPr="003B13C2">
        <w:rPr>
          <w:rFonts w:ascii="Arial" w:hAnsi="Arial" w:cs="Arial"/>
          <w:color w:val="2B4F40"/>
          <w:u w:val="single"/>
        </w:rPr>
        <w:t>ision and Mission of The Rude Health Company</w:t>
      </w:r>
    </w:p>
    <w:p w14:paraId="5356E803" w14:textId="2629AF41" w:rsidR="00766632" w:rsidRPr="003B13C2" w:rsidRDefault="00766632" w:rsidP="003B13C2">
      <w:pPr>
        <w:spacing w:line="360" w:lineRule="auto"/>
        <w:rPr>
          <w:rFonts w:ascii="Arial" w:hAnsi="Arial" w:cs="Arial"/>
          <w:color w:val="2B4F40"/>
        </w:rPr>
      </w:pPr>
      <w:r w:rsidRPr="003B13C2">
        <w:rPr>
          <w:rFonts w:ascii="Arial" w:hAnsi="Arial" w:cs="Arial"/>
          <w:color w:val="2B4F40"/>
        </w:rPr>
        <w:t xml:space="preserve">The Rude Health Company envisions a world where everyone enjoys delicious and nutritious food made from sustainably sourced ingredients with minimal environmental impact. This vision underscores their commitment to promoting health, sustainable agriculture, and reducing the environmental footprint of food production (Rude Health, 2023). A significant challenge is </w:t>
      </w:r>
      <w:r w:rsidRPr="003B13C2">
        <w:rPr>
          <w:rFonts w:ascii="Arial" w:hAnsi="Arial" w:cs="Arial"/>
          <w:color w:val="2B4F40"/>
        </w:rPr>
        <w:lastRenderedPageBreak/>
        <w:t>sourcing high-quality, sustainable ingredients without compromising taste or nutrition, such as using organic oats for porridges.</w:t>
      </w:r>
    </w:p>
    <w:p w14:paraId="2F142674" w14:textId="480F9BDC" w:rsidR="004C040C" w:rsidRPr="003B13C2" w:rsidRDefault="00766632" w:rsidP="003B13C2">
      <w:pPr>
        <w:spacing w:line="360" w:lineRule="auto"/>
        <w:rPr>
          <w:rFonts w:ascii="Arial" w:hAnsi="Arial" w:cs="Arial"/>
          <w:color w:val="2B4F40"/>
        </w:rPr>
      </w:pPr>
      <w:r w:rsidRPr="003B13C2">
        <w:rPr>
          <w:rFonts w:ascii="Arial" w:hAnsi="Arial" w:cs="Arial"/>
          <w:color w:val="2B4F40"/>
        </w:rPr>
        <w:t>The company's mission is to revolutionise the food industry by offering high-quality, wholesome products that nourish the body and respect the planet. They aim to educate and inspire consumers to make healthier food choices, champion sustainable farming, and promote ethical production methods. This mission is evident in their diverse range of products, like dairy-free milk alternatives, catering to the growing demand for plant-based options. Ensuring these products remain competitively priced while upholding ethical standards, such as sustainable almond sourcing, is an ongoing challenge.</w:t>
      </w:r>
    </w:p>
    <w:p w14:paraId="2AE80772" w14:textId="4B7BABE6" w:rsidR="00766632" w:rsidRPr="003B13C2" w:rsidRDefault="006F7B54" w:rsidP="003B13C2">
      <w:pPr>
        <w:spacing w:line="360" w:lineRule="auto"/>
        <w:rPr>
          <w:rFonts w:ascii="Arial" w:hAnsi="Arial" w:cs="Arial"/>
          <w:color w:val="2B4F40"/>
          <w:u w:val="single"/>
        </w:rPr>
      </w:pPr>
      <w:r w:rsidRPr="003B13C2">
        <w:rPr>
          <w:rFonts w:ascii="Arial" w:hAnsi="Arial" w:cs="Arial"/>
          <w:color w:val="2B4F40"/>
          <w:u w:val="single"/>
        </w:rPr>
        <w:t>Alignment with Strategic Plans and Actions. Recent Objectives and Leadership Focus</w:t>
      </w:r>
    </w:p>
    <w:p w14:paraId="33848B98" w14:textId="4CB7FD90" w:rsidR="00766632" w:rsidRPr="003B13C2" w:rsidRDefault="00766632" w:rsidP="003B13C2">
      <w:pPr>
        <w:spacing w:line="360" w:lineRule="auto"/>
        <w:rPr>
          <w:rFonts w:ascii="Arial" w:hAnsi="Arial" w:cs="Arial"/>
          <w:color w:val="2B4F40"/>
        </w:rPr>
      </w:pPr>
      <w:r w:rsidRPr="003B13C2">
        <w:rPr>
          <w:rFonts w:ascii="Arial" w:hAnsi="Arial" w:cs="Arial"/>
          <w:color w:val="2B4F40"/>
        </w:rPr>
        <w:t>Under its current strategic direction, The Rude Health Company focuses on market expansion, entrepreneurial goals, and responding to consumer trends in health and sustainability. This strategy aims to boost market share, drive product innovation, and strengthen brand loyalty (Kotler and Keller, 2012). However, balancing growth with maintaining sustainability commitments presents challenges.</w:t>
      </w:r>
    </w:p>
    <w:p w14:paraId="43A2309B" w14:textId="49875581" w:rsidR="00766632" w:rsidRPr="003B13C2" w:rsidRDefault="00766632" w:rsidP="003B13C2">
      <w:pPr>
        <w:spacing w:line="360" w:lineRule="auto"/>
        <w:rPr>
          <w:rFonts w:ascii="Arial" w:hAnsi="Arial" w:cs="Arial"/>
          <w:color w:val="2B4F40"/>
        </w:rPr>
      </w:pPr>
      <w:r w:rsidRPr="003B13C2">
        <w:rPr>
          <w:rFonts w:ascii="Arial" w:hAnsi="Arial" w:cs="Arial"/>
          <w:color w:val="2B4F40"/>
        </w:rPr>
        <w:t>Rude Health has expanded into new markets and demographics, establishing international distribution channels to meet global demand for organic products (Euromonitor International, 2022). This expansion involves logistical and regulatory challenges, which can strain resources and risk diluting the brand's core values. Continuous product innovation, such as plant-based beverages, is essential for relevance but demands constant investment and risk-taking (Mintel, 2020).</w:t>
      </w:r>
    </w:p>
    <w:p w14:paraId="77699471" w14:textId="67E807AF" w:rsidR="00766632" w:rsidRPr="003B13C2" w:rsidRDefault="00766632" w:rsidP="003B13C2">
      <w:pPr>
        <w:spacing w:line="360" w:lineRule="auto"/>
        <w:rPr>
          <w:rFonts w:ascii="Arial" w:hAnsi="Arial" w:cs="Arial"/>
          <w:color w:val="2B4F40"/>
        </w:rPr>
      </w:pPr>
      <w:r w:rsidRPr="003B13C2">
        <w:rPr>
          <w:rFonts w:ascii="Arial" w:hAnsi="Arial" w:cs="Arial"/>
          <w:color w:val="2B4F40"/>
        </w:rPr>
        <w:t>To enhance brand visibility, Rude Health utilises digital marketing and collaborates with influencers to engage health-conscious consumers (Chaffey and Ellis-Chadwick, 2019). Significant investments in R&amp;D and marketing bolster brand presence, though these costs can strain financial resources, requiring careful budget management (Aaker and Keller, 1990).</w:t>
      </w:r>
    </w:p>
    <w:p w14:paraId="3057AE1F" w14:textId="627E82E6" w:rsidR="00766632" w:rsidRPr="003B13C2" w:rsidRDefault="00766632" w:rsidP="003B13C2">
      <w:pPr>
        <w:spacing w:line="360" w:lineRule="auto"/>
        <w:rPr>
          <w:rFonts w:ascii="Arial" w:hAnsi="Arial" w:cs="Arial"/>
          <w:color w:val="2B4F40"/>
        </w:rPr>
      </w:pPr>
      <w:r w:rsidRPr="003B13C2">
        <w:rPr>
          <w:rFonts w:ascii="Arial" w:hAnsi="Arial" w:cs="Arial"/>
          <w:color w:val="2B4F40"/>
        </w:rPr>
        <w:t>Rude Health prioritises recruiting and retaining talent aligned with its sustainability ethos, supported by comprehensive training programmes (Becker and Gerhart, 1996). Advanced manufacturing technologies and robust supply chain systems enhance production efficiency and maintain quality standards (Christopher, 2016). Sustainable sourcing practices ensure product integrity, though sourcing reliable sustainable ingredients remains challenging (Hart, 1995).</w:t>
      </w:r>
    </w:p>
    <w:p w14:paraId="0B417697" w14:textId="7FEB4585" w:rsidR="003C11D2" w:rsidRPr="00F8668D" w:rsidRDefault="003C11D2" w:rsidP="00614EEA">
      <w:pPr>
        <w:pStyle w:val="Heading1"/>
        <w:shd w:val="clear" w:color="auto" w:fill="E7F5EE"/>
        <w:rPr>
          <w:rFonts w:ascii="Arial" w:hAnsi="Arial" w:cs="Arial"/>
          <w:color w:val="2D473F"/>
          <w:sz w:val="36"/>
          <w:szCs w:val="36"/>
        </w:rPr>
      </w:pPr>
      <w:bookmarkStart w:id="2" w:name="_Toc171288898"/>
      <w:r w:rsidRPr="00F8668D">
        <w:rPr>
          <w:rFonts w:ascii="Arial" w:hAnsi="Arial" w:cs="Arial"/>
          <w:color w:val="2D473F"/>
          <w:sz w:val="36"/>
          <w:szCs w:val="36"/>
        </w:rPr>
        <w:lastRenderedPageBreak/>
        <w:t>Environmental Analysis</w:t>
      </w:r>
      <w:bookmarkEnd w:id="2"/>
    </w:p>
    <w:p w14:paraId="44A04E95" w14:textId="77777777" w:rsidR="000B4756" w:rsidRDefault="000B4756" w:rsidP="000B4756">
      <w:pPr>
        <w:spacing w:line="360" w:lineRule="auto"/>
        <w:rPr>
          <w:rFonts w:ascii="Arial" w:hAnsi="Arial" w:cs="Arial"/>
          <w:color w:val="2D473F"/>
        </w:rPr>
      </w:pPr>
    </w:p>
    <w:p w14:paraId="0EF60118" w14:textId="52E80672" w:rsidR="000B4756" w:rsidRPr="003B13C2" w:rsidRDefault="000B4756" w:rsidP="003B13C2">
      <w:pPr>
        <w:spacing w:line="360" w:lineRule="auto"/>
        <w:rPr>
          <w:rFonts w:ascii="Arial" w:hAnsi="Arial" w:cs="Arial"/>
          <w:color w:val="2B4F40"/>
        </w:rPr>
      </w:pPr>
      <w:r w:rsidRPr="003B13C2">
        <w:rPr>
          <w:rFonts w:ascii="Arial" w:hAnsi="Arial" w:cs="Arial"/>
          <w:color w:val="2B4F40"/>
        </w:rPr>
        <w:t>The Rude Health Company operates within the dynamic health food industry, where consumer preferences, regulatory frameworks, technological advancements, and socio-economic factors all play significant roles in shaping its business environment. This analysis employs the PESTLE framework to examine the external factors impacting Rude Health, followed by a SWOT analysis to delve into its internal strengths and weaknesses, as well as external opportunities and threats.</w:t>
      </w:r>
    </w:p>
    <w:p w14:paraId="58D66319" w14:textId="32A1B070" w:rsidR="000B4756" w:rsidRDefault="003C11D2" w:rsidP="000B4756">
      <w:pPr>
        <w:pStyle w:val="Heading2"/>
        <w:numPr>
          <w:ilvl w:val="0"/>
          <w:numId w:val="4"/>
        </w:numPr>
        <w:rPr>
          <w:rFonts w:ascii="Arial" w:hAnsi="Arial" w:cs="Arial"/>
          <w:color w:val="2D473F"/>
        </w:rPr>
      </w:pPr>
      <w:bookmarkStart w:id="3" w:name="_Toc171288899"/>
      <w:r w:rsidRPr="00F8668D">
        <w:rPr>
          <w:rFonts w:ascii="Arial" w:hAnsi="Arial" w:cs="Arial"/>
          <w:color w:val="2D473F"/>
        </w:rPr>
        <w:t>PESTLE Analysis</w:t>
      </w:r>
      <w:bookmarkEnd w:id="3"/>
    </w:p>
    <w:p w14:paraId="4B5B30A3" w14:textId="77777777" w:rsidR="000B4756" w:rsidRPr="000B4756" w:rsidRDefault="000B4756" w:rsidP="000B4756"/>
    <w:p w14:paraId="6A30FACA" w14:textId="680B8222" w:rsidR="000B4756" w:rsidRPr="003B13C2" w:rsidRDefault="000B4756" w:rsidP="003B13C2">
      <w:pPr>
        <w:spacing w:line="360" w:lineRule="auto"/>
        <w:rPr>
          <w:rFonts w:ascii="Arial" w:hAnsi="Arial" w:cs="Arial"/>
          <w:color w:val="2B4F40"/>
        </w:rPr>
      </w:pPr>
      <w:r w:rsidRPr="003B13C2">
        <w:rPr>
          <w:rFonts w:ascii="Arial" w:hAnsi="Arial" w:cs="Arial"/>
          <w:color w:val="2B4F40"/>
        </w:rPr>
        <w:t xml:space="preserve">The PESTLE analysis is a strategic tool used to examine the external environment in which a business operates. It encompasses Political, Economic, Social, Technological, Legal, and Environmental factors that impact the organization (Johnson et al., 2008). </w:t>
      </w:r>
    </w:p>
    <w:p w14:paraId="74120DFE" w14:textId="77777777" w:rsidR="000B4756" w:rsidRPr="003B13C2" w:rsidRDefault="000B4756" w:rsidP="003B13C2">
      <w:pPr>
        <w:spacing w:line="360" w:lineRule="auto"/>
        <w:rPr>
          <w:rFonts w:ascii="Arial" w:hAnsi="Arial" w:cs="Arial"/>
          <w:color w:val="2B4F40"/>
          <w:u w:val="single"/>
        </w:rPr>
      </w:pPr>
      <w:r w:rsidRPr="003B13C2">
        <w:rPr>
          <w:rFonts w:ascii="Arial" w:hAnsi="Arial" w:cs="Arial"/>
          <w:color w:val="2B4F40"/>
          <w:u w:val="single"/>
        </w:rPr>
        <w:t>Political Factors</w:t>
      </w:r>
    </w:p>
    <w:p w14:paraId="3727DDCB" w14:textId="49C546D1" w:rsidR="000B4756" w:rsidRPr="003B13C2" w:rsidRDefault="000B4756" w:rsidP="003B13C2">
      <w:pPr>
        <w:spacing w:line="360" w:lineRule="auto"/>
        <w:rPr>
          <w:rFonts w:ascii="Arial" w:hAnsi="Arial" w:cs="Arial"/>
          <w:color w:val="2B4F40"/>
        </w:rPr>
      </w:pPr>
      <w:r w:rsidRPr="003B13C2">
        <w:rPr>
          <w:rFonts w:ascii="Arial" w:hAnsi="Arial" w:cs="Arial"/>
          <w:color w:val="2B4F40"/>
        </w:rPr>
        <w:t xml:space="preserve">Political factors refer to the influence of government policies and regulations on businesses. </w:t>
      </w:r>
    </w:p>
    <w:p w14:paraId="0F748765" w14:textId="533A44C2" w:rsidR="000B4756" w:rsidRPr="003B13C2" w:rsidRDefault="000B4756" w:rsidP="003B13C2">
      <w:pPr>
        <w:pStyle w:val="ListParagraph"/>
        <w:numPr>
          <w:ilvl w:val="0"/>
          <w:numId w:val="14"/>
        </w:numPr>
        <w:spacing w:line="360" w:lineRule="auto"/>
        <w:rPr>
          <w:rFonts w:ascii="Arial" w:hAnsi="Arial" w:cs="Arial"/>
          <w:color w:val="2B4F40"/>
        </w:rPr>
      </w:pPr>
      <w:r w:rsidRPr="003B13C2">
        <w:rPr>
          <w:rFonts w:ascii="Arial" w:hAnsi="Arial" w:cs="Arial"/>
          <w:color w:val="2B4F40"/>
        </w:rPr>
        <w:t xml:space="preserve">Regulations and Compliance: The food industry is heavily regulated, particularly regarding food safety, labelling, and health claims. </w:t>
      </w:r>
    </w:p>
    <w:p w14:paraId="7B1F8924" w14:textId="22AF8BCE" w:rsidR="000B4756" w:rsidRPr="003B13C2" w:rsidRDefault="000B4756" w:rsidP="003B13C2">
      <w:pPr>
        <w:spacing w:line="360" w:lineRule="auto"/>
        <w:rPr>
          <w:rFonts w:ascii="Arial" w:hAnsi="Arial" w:cs="Arial"/>
          <w:color w:val="2B4F40"/>
        </w:rPr>
      </w:pPr>
      <w:r w:rsidRPr="003B13C2">
        <w:rPr>
          <w:rFonts w:ascii="Arial" w:hAnsi="Arial" w:cs="Arial"/>
          <w:color w:val="2B4F40"/>
        </w:rPr>
        <w:t>The Rude Health Company complies with stringent UK and EU regulations enforced by bodies like the European Food Safety Authority (EFSA). This compliance ensures that their products meet high standards of safety and nutritional claims, enhancing consumer trust and market acceptance (European Food Safety Authority, 2021).</w:t>
      </w:r>
    </w:p>
    <w:p w14:paraId="1E9506DB" w14:textId="78396B4B" w:rsidR="000B4756" w:rsidRPr="003B13C2" w:rsidRDefault="000B4756" w:rsidP="003B13C2">
      <w:pPr>
        <w:pStyle w:val="ListParagraph"/>
        <w:numPr>
          <w:ilvl w:val="0"/>
          <w:numId w:val="14"/>
        </w:numPr>
        <w:spacing w:line="360" w:lineRule="auto"/>
        <w:rPr>
          <w:rFonts w:ascii="Arial" w:hAnsi="Arial" w:cs="Arial"/>
          <w:color w:val="2B4F40"/>
        </w:rPr>
      </w:pPr>
      <w:r w:rsidRPr="003B13C2">
        <w:rPr>
          <w:rFonts w:ascii="Arial" w:hAnsi="Arial" w:cs="Arial"/>
          <w:color w:val="2B4F40"/>
        </w:rPr>
        <w:t>Brexit Implications: Following Brexit, Rude Health navigates new trade regulations and tariffs impacting its supply chain. To mitigate these challenges, the company may explore local sourcing alternatives or adjust pricing strategies to maintain competitiveness in both UK and European markets (Bailey and Tomlinson, 2017).</w:t>
      </w:r>
    </w:p>
    <w:p w14:paraId="5634C611" w14:textId="77777777" w:rsidR="000B4756" w:rsidRPr="003B13C2" w:rsidRDefault="000B4756" w:rsidP="003B13C2">
      <w:pPr>
        <w:spacing w:line="360" w:lineRule="auto"/>
        <w:rPr>
          <w:rFonts w:ascii="Arial" w:hAnsi="Arial" w:cs="Arial"/>
          <w:color w:val="2B4F40"/>
          <w:u w:val="single"/>
        </w:rPr>
      </w:pPr>
      <w:r w:rsidRPr="003B13C2">
        <w:rPr>
          <w:rFonts w:ascii="Arial" w:hAnsi="Arial" w:cs="Arial"/>
          <w:color w:val="2B4F40"/>
          <w:u w:val="single"/>
        </w:rPr>
        <w:t>Economic Factors</w:t>
      </w:r>
    </w:p>
    <w:p w14:paraId="17F6D42C" w14:textId="4DD60405" w:rsidR="000B4756" w:rsidRPr="003B13C2" w:rsidRDefault="000B4756" w:rsidP="003B13C2">
      <w:pPr>
        <w:spacing w:line="360" w:lineRule="auto"/>
        <w:rPr>
          <w:rFonts w:ascii="Arial" w:hAnsi="Arial" w:cs="Arial"/>
          <w:color w:val="2B4F40"/>
        </w:rPr>
      </w:pPr>
      <w:r w:rsidRPr="003B13C2">
        <w:rPr>
          <w:rFonts w:ascii="Arial" w:hAnsi="Arial" w:cs="Arial"/>
          <w:color w:val="2B4F40"/>
        </w:rPr>
        <w:t>Economic factors influence consumer spending patterns, purchasing power, and market demand:</w:t>
      </w:r>
    </w:p>
    <w:p w14:paraId="0698C7C6" w14:textId="3071AAFF" w:rsidR="000B4756" w:rsidRPr="003B13C2" w:rsidRDefault="000B4756" w:rsidP="003B13C2">
      <w:pPr>
        <w:pStyle w:val="ListParagraph"/>
        <w:numPr>
          <w:ilvl w:val="0"/>
          <w:numId w:val="14"/>
        </w:numPr>
        <w:spacing w:line="360" w:lineRule="auto"/>
        <w:rPr>
          <w:rFonts w:ascii="Arial" w:hAnsi="Arial" w:cs="Arial"/>
          <w:color w:val="2B4F40"/>
        </w:rPr>
      </w:pPr>
      <w:r w:rsidRPr="003B13C2">
        <w:rPr>
          <w:rFonts w:ascii="Arial" w:hAnsi="Arial" w:cs="Arial"/>
          <w:color w:val="2B4F40"/>
        </w:rPr>
        <w:lastRenderedPageBreak/>
        <w:t>Consumer Spending: The economic downturns or fluctuations in disposable income as observed recently can affect consumer willingness to spend on premium health food products and they may shift towards more budget-friendly options. Rude Health monitors economic indicators such as disposable income trends and consumer confidence levels to adapt pricing strategies and product offerings, accordingly, ensuring continued consumer engagement and sales growth.</w:t>
      </w:r>
    </w:p>
    <w:p w14:paraId="0CD6A082" w14:textId="14E686E1" w:rsidR="000B4756" w:rsidRPr="003B13C2" w:rsidRDefault="000B4756" w:rsidP="003B13C2">
      <w:pPr>
        <w:pStyle w:val="ListParagraph"/>
        <w:numPr>
          <w:ilvl w:val="0"/>
          <w:numId w:val="14"/>
        </w:numPr>
        <w:spacing w:line="360" w:lineRule="auto"/>
        <w:rPr>
          <w:rFonts w:ascii="Arial" w:hAnsi="Arial" w:cs="Arial"/>
          <w:color w:val="2B4F40"/>
        </w:rPr>
      </w:pPr>
      <w:r w:rsidRPr="003B13C2">
        <w:rPr>
          <w:rFonts w:ascii="Arial" w:hAnsi="Arial" w:cs="Arial"/>
          <w:color w:val="2B4F40"/>
        </w:rPr>
        <w:t>Cost of Ingredients: Fluctuations in commodity prices for organic and sustainable ingredients directly influence Rude Health’s production costs. For instance, increases in the cost of almonds (used in their dairy-free drinks) impact pricing strategies and profit margins, requiring agile financial planning and supplier management.</w:t>
      </w:r>
    </w:p>
    <w:p w14:paraId="20D845F0" w14:textId="77777777" w:rsidR="000B4756" w:rsidRPr="003B13C2" w:rsidRDefault="000B4756" w:rsidP="003B13C2">
      <w:pPr>
        <w:spacing w:line="360" w:lineRule="auto"/>
        <w:rPr>
          <w:rFonts w:ascii="Arial" w:hAnsi="Arial" w:cs="Arial"/>
          <w:color w:val="2B4F40"/>
          <w:u w:val="single"/>
        </w:rPr>
      </w:pPr>
      <w:r w:rsidRPr="003B13C2">
        <w:rPr>
          <w:rFonts w:ascii="Arial" w:hAnsi="Arial" w:cs="Arial"/>
          <w:color w:val="2B4F40"/>
          <w:u w:val="single"/>
        </w:rPr>
        <w:t>Social Factors</w:t>
      </w:r>
    </w:p>
    <w:p w14:paraId="23FFD032" w14:textId="4F64419F" w:rsidR="000B4756" w:rsidRPr="003B13C2" w:rsidRDefault="000B4756" w:rsidP="003B13C2">
      <w:pPr>
        <w:spacing w:line="360" w:lineRule="auto"/>
        <w:rPr>
          <w:rFonts w:ascii="Arial" w:hAnsi="Arial" w:cs="Arial"/>
          <w:color w:val="2B4F40"/>
        </w:rPr>
      </w:pPr>
      <w:r w:rsidRPr="003B13C2">
        <w:rPr>
          <w:rFonts w:ascii="Arial" w:hAnsi="Arial" w:cs="Arial"/>
          <w:color w:val="2B4F40"/>
        </w:rPr>
        <w:t>Social factors reflect demographic trends, cultural attitudes, and lifestyle changes that influence consumer behaviour:</w:t>
      </w:r>
    </w:p>
    <w:p w14:paraId="3B046D98" w14:textId="4218D7C0" w:rsidR="000B4756" w:rsidRPr="003B13C2" w:rsidRDefault="000B4756" w:rsidP="003B13C2">
      <w:pPr>
        <w:pStyle w:val="ListParagraph"/>
        <w:numPr>
          <w:ilvl w:val="0"/>
          <w:numId w:val="15"/>
        </w:numPr>
        <w:spacing w:line="360" w:lineRule="auto"/>
        <w:rPr>
          <w:rFonts w:ascii="Arial" w:hAnsi="Arial" w:cs="Arial"/>
          <w:color w:val="2B4F40"/>
        </w:rPr>
      </w:pPr>
      <w:r w:rsidRPr="003B13C2">
        <w:rPr>
          <w:rFonts w:ascii="Arial" w:hAnsi="Arial" w:cs="Arial"/>
          <w:color w:val="2B4F40"/>
        </w:rPr>
        <w:t>Health and Wellness Trends: Growing consumer awareness of health issues and the benefits of organic foods drives demand for Rude Health’s products. For example, their range of gluten-free cereals and snacks caters to health-conscious consumers seeking nutritious alternatives, aligning with current dietary trends (Mintel, 2020).</w:t>
      </w:r>
    </w:p>
    <w:p w14:paraId="2052E97F" w14:textId="3BAA6F86" w:rsidR="000B4756" w:rsidRPr="003B13C2" w:rsidRDefault="000B4756" w:rsidP="003B13C2">
      <w:pPr>
        <w:pStyle w:val="ListParagraph"/>
        <w:numPr>
          <w:ilvl w:val="0"/>
          <w:numId w:val="15"/>
        </w:numPr>
        <w:spacing w:line="360" w:lineRule="auto"/>
        <w:rPr>
          <w:rFonts w:ascii="Arial" w:hAnsi="Arial" w:cs="Arial"/>
          <w:color w:val="2B4F40"/>
        </w:rPr>
      </w:pPr>
      <w:r w:rsidRPr="003B13C2">
        <w:rPr>
          <w:rFonts w:ascii="Arial" w:hAnsi="Arial" w:cs="Arial"/>
          <w:color w:val="2B4F40"/>
        </w:rPr>
        <w:t>Ethical Consumerism: There is a rising trend towards ethical consumerism, where consumers prefer brands that demonstrate transparency in sourcing and production practices. Rude Health’s commitment to sustainable sourcing practices resonates with ethically minded consumers. By promoting transparency in ingredient sourcing and production processes, the company enhances brand loyalty and attracts environmentally conscious customers who value ethical business practices (Mintel, 2020).</w:t>
      </w:r>
    </w:p>
    <w:p w14:paraId="27D47837" w14:textId="77777777" w:rsidR="000B4756" w:rsidRPr="003B13C2" w:rsidRDefault="000B4756" w:rsidP="003B13C2">
      <w:pPr>
        <w:spacing w:line="360" w:lineRule="auto"/>
        <w:rPr>
          <w:rFonts w:ascii="Arial" w:hAnsi="Arial" w:cs="Arial"/>
          <w:color w:val="2B4F40"/>
          <w:u w:val="single"/>
        </w:rPr>
      </w:pPr>
      <w:r w:rsidRPr="003B13C2">
        <w:rPr>
          <w:rFonts w:ascii="Arial" w:hAnsi="Arial" w:cs="Arial"/>
          <w:color w:val="2B4F40"/>
          <w:u w:val="single"/>
        </w:rPr>
        <w:t>Technological Factors</w:t>
      </w:r>
    </w:p>
    <w:p w14:paraId="3DAF9CB4" w14:textId="14852B31" w:rsidR="000B4756" w:rsidRPr="003B13C2" w:rsidRDefault="000B4756" w:rsidP="003B13C2">
      <w:pPr>
        <w:spacing w:line="360" w:lineRule="auto"/>
        <w:rPr>
          <w:rFonts w:ascii="Arial" w:hAnsi="Arial" w:cs="Arial"/>
          <w:color w:val="2B4F40"/>
        </w:rPr>
      </w:pPr>
      <w:r w:rsidRPr="003B13C2">
        <w:rPr>
          <w:rFonts w:ascii="Arial" w:hAnsi="Arial" w:cs="Arial"/>
          <w:color w:val="2B4F40"/>
        </w:rPr>
        <w:t>Technological advancements present opportunities for innovation and operational efficiencies:</w:t>
      </w:r>
    </w:p>
    <w:p w14:paraId="517705E1" w14:textId="20429164" w:rsidR="000B4756" w:rsidRPr="003B13C2" w:rsidRDefault="000B4756" w:rsidP="003B13C2">
      <w:pPr>
        <w:pStyle w:val="ListParagraph"/>
        <w:numPr>
          <w:ilvl w:val="0"/>
          <w:numId w:val="16"/>
        </w:numPr>
        <w:spacing w:line="360" w:lineRule="auto"/>
        <w:rPr>
          <w:rFonts w:ascii="Arial" w:hAnsi="Arial" w:cs="Arial"/>
          <w:color w:val="2B4F40"/>
        </w:rPr>
      </w:pPr>
      <w:r w:rsidRPr="003B13C2">
        <w:rPr>
          <w:rFonts w:ascii="Arial" w:hAnsi="Arial" w:cs="Arial"/>
          <w:color w:val="2B4F40"/>
        </w:rPr>
        <w:t>Digital Marketing: Rude Health leverages digital platforms to engage consumers through targeted marketing campaigns. For instance, social media channels and email marketing allow the company to communicate its brand values effectively and interact with a diverse audience, driving brand awareness and customer loyalty (Chaffey and Ellis-Chadwick, 2019).</w:t>
      </w:r>
    </w:p>
    <w:p w14:paraId="4003C17B" w14:textId="3F618580" w:rsidR="000B4756" w:rsidRPr="003B13C2" w:rsidRDefault="000B4756" w:rsidP="003B13C2">
      <w:pPr>
        <w:pStyle w:val="ListParagraph"/>
        <w:numPr>
          <w:ilvl w:val="0"/>
          <w:numId w:val="16"/>
        </w:numPr>
        <w:spacing w:line="360" w:lineRule="auto"/>
        <w:rPr>
          <w:rFonts w:ascii="Arial" w:hAnsi="Arial" w:cs="Arial"/>
          <w:color w:val="2B4F40"/>
        </w:rPr>
      </w:pPr>
      <w:r w:rsidRPr="003B13C2">
        <w:rPr>
          <w:rFonts w:ascii="Arial" w:hAnsi="Arial" w:cs="Arial"/>
          <w:color w:val="2B4F40"/>
        </w:rPr>
        <w:lastRenderedPageBreak/>
        <w:t>Production Technologies: Adoption of advanced food processing technologies enables Rude Health to maintain product quality while optimizing production efficiencies. For example, investing in state-of-the-art packaging solutions not only ensures product freshness but also aligns with sustainability goals by reducing environmental impact through eco-friendly packaging materials.</w:t>
      </w:r>
    </w:p>
    <w:p w14:paraId="6B22533D" w14:textId="77777777" w:rsidR="000B4756" w:rsidRPr="003B13C2" w:rsidRDefault="000B4756" w:rsidP="003B13C2">
      <w:pPr>
        <w:spacing w:line="360" w:lineRule="auto"/>
        <w:rPr>
          <w:rFonts w:ascii="Arial" w:hAnsi="Arial" w:cs="Arial"/>
          <w:color w:val="2B4F40"/>
          <w:u w:val="single"/>
        </w:rPr>
      </w:pPr>
      <w:r w:rsidRPr="003B13C2">
        <w:rPr>
          <w:rFonts w:ascii="Arial" w:hAnsi="Arial" w:cs="Arial"/>
          <w:color w:val="2B4F40"/>
          <w:u w:val="single"/>
        </w:rPr>
        <w:t>Legal Factors</w:t>
      </w:r>
    </w:p>
    <w:p w14:paraId="1AA743EA" w14:textId="1B4B475C" w:rsidR="000B4756" w:rsidRPr="003B13C2" w:rsidRDefault="000B4756" w:rsidP="003B13C2">
      <w:pPr>
        <w:spacing w:line="360" w:lineRule="auto"/>
        <w:rPr>
          <w:rFonts w:ascii="Arial" w:hAnsi="Arial" w:cs="Arial"/>
          <w:color w:val="2B4F40"/>
        </w:rPr>
      </w:pPr>
      <w:r w:rsidRPr="003B13C2">
        <w:rPr>
          <w:rFonts w:ascii="Arial" w:hAnsi="Arial" w:cs="Arial"/>
          <w:color w:val="2B4F40"/>
        </w:rPr>
        <w:t>Legal factors encompass regulations and laws governing business operations and consumer rights:</w:t>
      </w:r>
    </w:p>
    <w:p w14:paraId="5AF7354B" w14:textId="42D58D1A" w:rsidR="000B4756" w:rsidRPr="00094972" w:rsidRDefault="000B4756" w:rsidP="003B13C2">
      <w:pPr>
        <w:pStyle w:val="ListParagraph"/>
        <w:numPr>
          <w:ilvl w:val="0"/>
          <w:numId w:val="17"/>
        </w:numPr>
        <w:spacing w:line="360" w:lineRule="auto"/>
        <w:rPr>
          <w:rFonts w:ascii="Arial" w:hAnsi="Arial" w:cs="Arial"/>
          <w:color w:val="2B4F40"/>
        </w:rPr>
      </w:pPr>
      <w:r w:rsidRPr="003B13C2">
        <w:rPr>
          <w:rFonts w:ascii="Arial" w:hAnsi="Arial" w:cs="Arial"/>
          <w:color w:val="2B4F40"/>
        </w:rPr>
        <w:t xml:space="preserve">Food Safety Standards: Compliance with food safety regulations is paramount for Rude Health’s operations. For instance, adhering to EU regulations on allergen </w:t>
      </w:r>
      <w:r w:rsidR="008A4667" w:rsidRPr="003B13C2">
        <w:rPr>
          <w:rFonts w:ascii="Arial" w:hAnsi="Arial" w:cs="Arial"/>
          <w:color w:val="2B4F40"/>
        </w:rPr>
        <w:t>labelling</w:t>
      </w:r>
      <w:r w:rsidRPr="003B13C2">
        <w:rPr>
          <w:rFonts w:ascii="Arial" w:hAnsi="Arial" w:cs="Arial"/>
          <w:color w:val="2B4F40"/>
        </w:rPr>
        <w:t xml:space="preserve"> and nutritional claims ensures that their products meet legal requirements and maintain consumer trust in their commitment to product safety and transparency (European Food Safety Authority, 2021).</w:t>
      </w:r>
    </w:p>
    <w:p w14:paraId="2DBD14DE" w14:textId="16EC0E1C" w:rsidR="000B4756" w:rsidRPr="003B13C2" w:rsidRDefault="000B4756" w:rsidP="003B13C2">
      <w:pPr>
        <w:pStyle w:val="ListParagraph"/>
        <w:numPr>
          <w:ilvl w:val="0"/>
          <w:numId w:val="17"/>
        </w:numPr>
        <w:spacing w:line="360" w:lineRule="auto"/>
        <w:rPr>
          <w:rFonts w:ascii="Arial" w:hAnsi="Arial" w:cs="Arial"/>
          <w:color w:val="2B4F40"/>
        </w:rPr>
      </w:pPr>
      <w:r w:rsidRPr="003B13C2">
        <w:rPr>
          <w:rFonts w:ascii="Arial" w:hAnsi="Arial" w:cs="Arial"/>
          <w:color w:val="2B4F40"/>
        </w:rPr>
        <w:t>Intellectual Property: Protecting trademarks and proprietary formulations safeguards Rude Health’s brand identity and competitive advantage. For example, patenting unique production processes for their dairy-free beverages prevents competitors from replicating their recipes, maintaining market exclusivity and brand differentiation.</w:t>
      </w:r>
    </w:p>
    <w:p w14:paraId="1B1005E9" w14:textId="77777777" w:rsidR="000B4756" w:rsidRPr="003B13C2" w:rsidRDefault="000B4756" w:rsidP="003B13C2">
      <w:pPr>
        <w:spacing w:line="360" w:lineRule="auto"/>
        <w:rPr>
          <w:rFonts w:ascii="Arial" w:hAnsi="Arial" w:cs="Arial"/>
          <w:color w:val="2B4F40"/>
          <w:u w:val="single"/>
        </w:rPr>
      </w:pPr>
      <w:r w:rsidRPr="003B13C2">
        <w:rPr>
          <w:rFonts w:ascii="Arial" w:hAnsi="Arial" w:cs="Arial"/>
          <w:color w:val="2B4F40"/>
          <w:u w:val="single"/>
        </w:rPr>
        <w:t>Environmental Factors</w:t>
      </w:r>
    </w:p>
    <w:p w14:paraId="5C643AEE" w14:textId="6898E9DA" w:rsidR="000B4756" w:rsidRPr="003B13C2" w:rsidRDefault="000B4756" w:rsidP="003B13C2">
      <w:pPr>
        <w:spacing w:line="360" w:lineRule="auto"/>
        <w:rPr>
          <w:rFonts w:ascii="Arial" w:hAnsi="Arial" w:cs="Arial"/>
          <w:color w:val="2B4F40"/>
        </w:rPr>
      </w:pPr>
      <w:r w:rsidRPr="003B13C2">
        <w:rPr>
          <w:rFonts w:ascii="Arial" w:hAnsi="Arial" w:cs="Arial"/>
          <w:color w:val="2B4F40"/>
        </w:rPr>
        <w:t>Environmental factors focus on sustainability, climate change, and resource management:</w:t>
      </w:r>
    </w:p>
    <w:p w14:paraId="01DBF6BB" w14:textId="61F6DFED" w:rsidR="000B4756" w:rsidRPr="003B13C2" w:rsidRDefault="000B4756" w:rsidP="003B13C2">
      <w:pPr>
        <w:pStyle w:val="ListParagraph"/>
        <w:numPr>
          <w:ilvl w:val="0"/>
          <w:numId w:val="18"/>
        </w:numPr>
        <w:spacing w:line="360" w:lineRule="auto"/>
        <w:rPr>
          <w:rFonts w:ascii="Arial" w:hAnsi="Arial" w:cs="Arial"/>
          <w:color w:val="2B4F40"/>
        </w:rPr>
      </w:pPr>
      <w:r w:rsidRPr="003B13C2">
        <w:rPr>
          <w:rFonts w:ascii="Arial" w:hAnsi="Arial" w:cs="Arial"/>
          <w:color w:val="2B4F40"/>
        </w:rPr>
        <w:t>Sustainable Sourcing: Rude Health promotes sustainable farming practices by sourcing organic ingredients from certified suppliers. For example, partnering with local farmers who use eco-friendly farming methods reduces the company’s carbon footprint and supports biodiversity conservation efforts, aligning with consumer preferences for environmentally responsible products (Hart, 1995).</w:t>
      </w:r>
    </w:p>
    <w:p w14:paraId="1ACCF0A8" w14:textId="3581E405" w:rsidR="00835E00" w:rsidRPr="003B13C2" w:rsidRDefault="000B4756" w:rsidP="003B13C2">
      <w:pPr>
        <w:pStyle w:val="ListParagraph"/>
        <w:numPr>
          <w:ilvl w:val="0"/>
          <w:numId w:val="18"/>
        </w:numPr>
        <w:spacing w:line="360" w:lineRule="auto"/>
        <w:rPr>
          <w:rFonts w:ascii="Arial" w:hAnsi="Arial" w:cs="Arial"/>
          <w:color w:val="2B4F40"/>
        </w:rPr>
      </w:pPr>
      <w:r w:rsidRPr="003B13C2">
        <w:rPr>
          <w:rFonts w:ascii="Arial" w:hAnsi="Arial" w:cs="Arial"/>
          <w:color w:val="2B4F40"/>
        </w:rPr>
        <w:t>Climate Change Impact: Climate change poses risks to agricultural supply chains, affecting ingredient availability and quality. For instance, fluctuations in weather patterns can impact crop yields and increase production costs. Rude Health implements resilience strategies such as diversifying sourcing regions and collaborating with suppliers committed to climate-smart agriculture to mitigate these risks (IPCC, 2021).</w:t>
      </w:r>
    </w:p>
    <w:p w14:paraId="4B0D4601" w14:textId="0690D9F9" w:rsidR="000B4756" w:rsidRPr="003B13C2" w:rsidRDefault="00835E00" w:rsidP="00835E00">
      <w:pPr>
        <w:spacing w:line="360" w:lineRule="auto"/>
        <w:jc w:val="center"/>
        <w:rPr>
          <w:rFonts w:ascii="Arial" w:hAnsi="Arial" w:cs="Arial"/>
          <w:color w:val="2B4F40"/>
        </w:rPr>
      </w:pPr>
      <w:r w:rsidRPr="003B13C2">
        <w:rPr>
          <w:rFonts w:ascii="Arial" w:hAnsi="Arial" w:cs="Arial"/>
          <w:color w:val="2B4F40"/>
        </w:rPr>
        <w:t>Table 1: PESTLE Impact and Importance Matrix for The Rude Health Company</w:t>
      </w:r>
    </w:p>
    <w:tbl>
      <w:tblPr>
        <w:tblStyle w:val="TableGrid"/>
        <w:tblW w:w="0" w:type="auto"/>
        <w:tblBorders>
          <w:top w:val="single" w:sz="4" w:space="0" w:color="2B4F40"/>
          <w:left w:val="single" w:sz="4" w:space="0" w:color="2B4F40"/>
          <w:bottom w:val="single" w:sz="4" w:space="0" w:color="2B4F40"/>
          <w:right w:val="single" w:sz="4" w:space="0" w:color="2B4F40"/>
          <w:insideH w:val="single" w:sz="4" w:space="0" w:color="2B4F40"/>
          <w:insideV w:val="single" w:sz="4" w:space="0" w:color="2B4F40"/>
        </w:tblBorders>
        <w:shd w:val="clear" w:color="auto" w:fill="E7F5EE"/>
        <w:tblLook w:val="04A0" w:firstRow="1" w:lastRow="0" w:firstColumn="1" w:lastColumn="0" w:noHBand="0" w:noVBand="1"/>
      </w:tblPr>
      <w:tblGrid>
        <w:gridCol w:w="1327"/>
        <w:gridCol w:w="1197"/>
        <w:gridCol w:w="1277"/>
        <w:gridCol w:w="1188"/>
        <w:gridCol w:w="1550"/>
        <w:gridCol w:w="1188"/>
        <w:gridCol w:w="1623"/>
      </w:tblGrid>
      <w:tr w:rsidR="000B4756" w:rsidRPr="000B4756" w14:paraId="14B53199" w14:textId="77777777" w:rsidTr="00614EEA">
        <w:tc>
          <w:tcPr>
            <w:tcW w:w="1327" w:type="dxa"/>
            <w:shd w:val="clear" w:color="auto" w:fill="E7F5EE"/>
          </w:tcPr>
          <w:p w14:paraId="4FF3B17C" w14:textId="77777777" w:rsidR="000B4756" w:rsidRPr="000B4756" w:rsidRDefault="000B4756" w:rsidP="000B4756">
            <w:pPr>
              <w:spacing w:line="360" w:lineRule="auto"/>
              <w:rPr>
                <w:rFonts w:ascii="Arial" w:hAnsi="Arial" w:cs="Arial"/>
                <w:color w:val="2B4F40"/>
              </w:rPr>
            </w:pPr>
          </w:p>
        </w:tc>
        <w:tc>
          <w:tcPr>
            <w:tcW w:w="1197" w:type="dxa"/>
            <w:shd w:val="clear" w:color="auto" w:fill="E7F5EE"/>
          </w:tcPr>
          <w:p w14:paraId="52ECBC09" w14:textId="33496EEC" w:rsidR="000B4756" w:rsidRPr="000B4756" w:rsidRDefault="000B4756" w:rsidP="000B4756">
            <w:pPr>
              <w:spacing w:line="360" w:lineRule="auto"/>
              <w:rPr>
                <w:rFonts w:ascii="Arial" w:hAnsi="Arial" w:cs="Arial"/>
                <w:color w:val="2B4F40"/>
              </w:rPr>
            </w:pPr>
            <w:r w:rsidRPr="000B4756">
              <w:rPr>
                <w:rFonts w:ascii="Arial" w:hAnsi="Arial" w:cs="Arial"/>
                <w:color w:val="2B4F40"/>
              </w:rPr>
              <w:t>Political Factors</w:t>
            </w:r>
          </w:p>
        </w:tc>
        <w:tc>
          <w:tcPr>
            <w:tcW w:w="1277" w:type="dxa"/>
            <w:shd w:val="clear" w:color="auto" w:fill="E7F5EE"/>
          </w:tcPr>
          <w:p w14:paraId="5EF684E0" w14:textId="4AE11942" w:rsidR="000B4756" w:rsidRPr="000B4756" w:rsidRDefault="000B4756" w:rsidP="000B4756">
            <w:pPr>
              <w:spacing w:line="360" w:lineRule="auto"/>
              <w:rPr>
                <w:rFonts w:ascii="Arial" w:hAnsi="Arial" w:cs="Arial"/>
                <w:color w:val="2B4F40"/>
              </w:rPr>
            </w:pPr>
            <w:r w:rsidRPr="000B4756">
              <w:rPr>
                <w:rFonts w:ascii="Arial" w:hAnsi="Arial" w:cs="Arial"/>
                <w:color w:val="2B4F40"/>
              </w:rPr>
              <w:t>Economic Factors</w:t>
            </w:r>
          </w:p>
        </w:tc>
        <w:tc>
          <w:tcPr>
            <w:tcW w:w="1188" w:type="dxa"/>
            <w:shd w:val="clear" w:color="auto" w:fill="E7F5EE"/>
          </w:tcPr>
          <w:p w14:paraId="32547CE3" w14:textId="5F44274C" w:rsidR="000B4756" w:rsidRPr="000B4756" w:rsidRDefault="000B4756" w:rsidP="000B4756">
            <w:pPr>
              <w:spacing w:line="360" w:lineRule="auto"/>
              <w:rPr>
                <w:rFonts w:ascii="Arial" w:hAnsi="Arial" w:cs="Arial"/>
                <w:color w:val="2B4F40"/>
              </w:rPr>
            </w:pPr>
            <w:r w:rsidRPr="000B4756">
              <w:rPr>
                <w:rFonts w:ascii="Arial" w:hAnsi="Arial" w:cs="Arial"/>
                <w:color w:val="2B4F40"/>
              </w:rPr>
              <w:t>Social Factors</w:t>
            </w:r>
          </w:p>
        </w:tc>
        <w:tc>
          <w:tcPr>
            <w:tcW w:w="1550" w:type="dxa"/>
            <w:shd w:val="clear" w:color="auto" w:fill="E7F5EE"/>
          </w:tcPr>
          <w:p w14:paraId="6E47DF70" w14:textId="1393AA08" w:rsidR="000B4756" w:rsidRPr="000B4756" w:rsidRDefault="000B4756" w:rsidP="000B4756">
            <w:pPr>
              <w:spacing w:line="360" w:lineRule="auto"/>
              <w:rPr>
                <w:rFonts w:ascii="Arial" w:hAnsi="Arial" w:cs="Arial"/>
                <w:color w:val="2B4F40"/>
              </w:rPr>
            </w:pPr>
            <w:r w:rsidRPr="000B4756">
              <w:rPr>
                <w:rFonts w:ascii="Arial" w:hAnsi="Arial" w:cs="Arial"/>
                <w:color w:val="2B4F40"/>
              </w:rPr>
              <w:t>Technological Factors</w:t>
            </w:r>
          </w:p>
        </w:tc>
        <w:tc>
          <w:tcPr>
            <w:tcW w:w="1188" w:type="dxa"/>
            <w:shd w:val="clear" w:color="auto" w:fill="E7F5EE"/>
          </w:tcPr>
          <w:p w14:paraId="5653B6C2" w14:textId="7C621FF8" w:rsidR="000B4756" w:rsidRPr="000B4756" w:rsidRDefault="000B4756" w:rsidP="000B4756">
            <w:pPr>
              <w:spacing w:line="360" w:lineRule="auto"/>
              <w:rPr>
                <w:rFonts w:ascii="Arial" w:hAnsi="Arial" w:cs="Arial"/>
                <w:color w:val="2B4F40"/>
              </w:rPr>
            </w:pPr>
            <w:r w:rsidRPr="000B4756">
              <w:rPr>
                <w:rFonts w:ascii="Arial" w:hAnsi="Arial" w:cs="Arial"/>
                <w:color w:val="2B4F40"/>
              </w:rPr>
              <w:t>Legal Factors</w:t>
            </w:r>
          </w:p>
        </w:tc>
        <w:tc>
          <w:tcPr>
            <w:tcW w:w="1623" w:type="dxa"/>
            <w:shd w:val="clear" w:color="auto" w:fill="E7F5EE"/>
          </w:tcPr>
          <w:p w14:paraId="6497200B" w14:textId="35066C0D" w:rsidR="000B4756" w:rsidRPr="000B4756" w:rsidRDefault="000B4756" w:rsidP="000B4756">
            <w:pPr>
              <w:spacing w:line="360" w:lineRule="auto"/>
              <w:rPr>
                <w:rFonts w:ascii="Arial" w:hAnsi="Arial" w:cs="Arial"/>
                <w:color w:val="2B4F40"/>
              </w:rPr>
            </w:pPr>
            <w:r w:rsidRPr="000B4756">
              <w:rPr>
                <w:rFonts w:ascii="Arial" w:hAnsi="Arial" w:cs="Arial"/>
                <w:color w:val="2B4F40"/>
              </w:rPr>
              <w:t>Environmental Factors</w:t>
            </w:r>
          </w:p>
        </w:tc>
      </w:tr>
      <w:tr w:rsidR="000B4756" w:rsidRPr="000B4756" w14:paraId="51F05448" w14:textId="77777777" w:rsidTr="00614EEA">
        <w:tc>
          <w:tcPr>
            <w:tcW w:w="1327" w:type="dxa"/>
            <w:shd w:val="clear" w:color="auto" w:fill="E7F5EE"/>
          </w:tcPr>
          <w:p w14:paraId="063C67C5" w14:textId="3619774E" w:rsidR="000B4756" w:rsidRPr="000B4756" w:rsidRDefault="000B4756" w:rsidP="000B4756">
            <w:pPr>
              <w:spacing w:line="360" w:lineRule="auto"/>
              <w:rPr>
                <w:rFonts w:ascii="Arial" w:hAnsi="Arial" w:cs="Arial"/>
                <w:color w:val="2B4F40"/>
              </w:rPr>
            </w:pPr>
            <w:r w:rsidRPr="000B4756">
              <w:rPr>
                <w:rFonts w:ascii="Arial" w:hAnsi="Arial" w:cs="Arial"/>
                <w:color w:val="2B4F40"/>
              </w:rPr>
              <w:t>High Importance</w:t>
            </w:r>
          </w:p>
        </w:tc>
        <w:tc>
          <w:tcPr>
            <w:tcW w:w="1197" w:type="dxa"/>
            <w:shd w:val="clear" w:color="auto" w:fill="E7F5EE"/>
          </w:tcPr>
          <w:p w14:paraId="3834824E" w14:textId="77777777" w:rsidR="000B4756" w:rsidRDefault="000B4756" w:rsidP="000B4756">
            <w:pPr>
              <w:spacing w:line="360" w:lineRule="auto"/>
              <w:rPr>
                <w:rFonts w:ascii="Arial" w:hAnsi="Arial" w:cs="Arial"/>
                <w:color w:val="2B4F40"/>
              </w:rPr>
            </w:pPr>
          </w:p>
          <w:p w14:paraId="566591FC" w14:textId="170994FD" w:rsidR="000B4756" w:rsidRPr="000B4756" w:rsidRDefault="000B4756" w:rsidP="000B4756">
            <w:pPr>
              <w:spacing w:line="360" w:lineRule="auto"/>
              <w:rPr>
                <w:rFonts w:ascii="Arial" w:hAnsi="Arial" w:cs="Arial"/>
                <w:color w:val="2B4F40"/>
              </w:rPr>
            </w:pPr>
          </w:p>
        </w:tc>
        <w:tc>
          <w:tcPr>
            <w:tcW w:w="1277" w:type="dxa"/>
            <w:shd w:val="clear" w:color="auto" w:fill="E7F5EE"/>
          </w:tcPr>
          <w:p w14:paraId="0C84C100" w14:textId="77777777" w:rsidR="000B4756" w:rsidRDefault="000B4756" w:rsidP="000B4756">
            <w:pPr>
              <w:spacing w:line="360" w:lineRule="auto"/>
              <w:rPr>
                <w:rFonts w:ascii="Arial" w:hAnsi="Arial" w:cs="Arial"/>
                <w:color w:val="2B4F40"/>
              </w:rPr>
            </w:pPr>
          </w:p>
          <w:p w14:paraId="119E4AD7" w14:textId="0FB9973A" w:rsidR="000B4756" w:rsidRPr="000B4756" w:rsidRDefault="000B4756" w:rsidP="000B4756">
            <w:pPr>
              <w:spacing w:line="360" w:lineRule="auto"/>
              <w:rPr>
                <w:rFonts w:ascii="Arial" w:hAnsi="Arial" w:cs="Arial"/>
                <w:color w:val="2B4F40"/>
              </w:rPr>
            </w:pPr>
          </w:p>
        </w:tc>
        <w:tc>
          <w:tcPr>
            <w:tcW w:w="1188" w:type="dxa"/>
            <w:shd w:val="clear" w:color="auto" w:fill="E7F5EE"/>
          </w:tcPr>
          <w:p w14:paraId="5C552468" w14:textId="322E35BB" w:rsidR="000B4756" w:rsidRDefault="000B4756" w:rsidP="000B4756">
            <w:pPr>
              <w:spacing w:line="360" w:lineRule="auto"/>
              <w:rPr>
                <w:rFonts w:ascii="Arial" w:hAnsi="Arial" w:cs="Arial"/>
                <w:color w:val="2B4F40"/>
              </w:rPr>
            </w:pPr>
          </w:p>
          <w:p w14:paraId="00A9C8DD" w14:textId="6298896C" w:rsidR="000B4756" w:rsidRPr="000B4756" w:rsidRDefault="000B4756" w:rsidP="000B4756">
            <w:pPr>
              <w:spacing w:line="360" w:lineRule="auto"/>
              <w:rPr>
                <w:rFonts w:ascii="Arial" w:hAnsi="Arial" w:cs="Arial"/>
                <w:color w:val="2B4F40"/>
              </w:rPr>
            </w:pPr>
            <w:r w:rsidRPr="006B616F">
              <w:rPr>
                <w:rFonts w:ascii="Arial" w:hAnsi="Arial" w:cs="Arial"/>
                <w:noProof/>
                <w:color w:val="2B4F40"/>
              </w:rPr>
              <mc:AlternateContent>
                <mc:Choice Requires="wps">
                  <w:drawing>
                    <wp:anchor distT="0" distB="0" distL="114300" distR="114300" simplePos="0" relativeHeight="251667456" behindDoc="0" locked="0" layoutInCell="1" allowOverlap="1" wp14:anchorId="65688506" wp14:editId="777B132A">
                      <wp:simplePos x="0" y="0"/>
                      <wp:positionH relativeFrom="column">
                        <wp:posOffset>-7620</wp:posOffset>
                      </wp:positionH>
                      <wp:positionV relativeFrom="paragraph">
                        <wp:posOffset>6350</wp:posOffset>
                      </wp:positionV>
                      <wp:extent cx="145915" cy="145915"/>
                      <wp:effectExtent l="0" t="0" r="26035" b="26035"/>
                      <wp:wrapNone/>
                      <wp:docPr id="1170009881" name="Flowchart: Connector 1"/>
                      <wp:cNvGraphicFramePr/>
                      <a:graphic xmlns:a="http://schemas.openxmlformats.org/drawingml/2006/main">
                        <a:graphicData uri="http://schemas.microsoft.com/office/word/2010/wordprocessingShape">
                          <wps:wsp>
                            <wps:cNvSpPr/>
                            <wps:spPr>
                              <a:xfrm>
                                <a:off x="0" y="0"/>
                                <a:ext cx="145915" cy="145915"/>
                              </a:xfrm>
                              <a:prstGeom prst="flowChartConnector">
                                <a:avLst/>
                              </a:prstGeom>
                              <a:solidFill>
                                <a:srgbClr val="66FF66"/>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385241C"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1" o:spid="_x0000_s1026" type="#_x0000_t120" style="position:absolute;margin-left:-.6pt;margin-top:.5pt;width:11.5pt;height:11.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e8YmfQIAAFQFAAAOAAAAZHJzL2Uyb0RvYy54bWysVEtv2zAMvg/YfxB0X20HSbYGdYogRYYB&#10;RVu0HXpWZCk2IIsapbz260fJjhN0ww7DLjJpkh/fvLk9tIbtFPoGbMmLq5wzZSVUjd2U/Pvr6tMX&#10;znwQthIGrCr5UXl+O//44WbvZmoENZhKISMQ62d7V/I6BDfLMi9r1Qp/BU5ZEmrAVgRicZNVKPaE&#10;3ppslOfTbA9YOQSpvKe/d52QzxO+1kqGR629CsyUnGIL6cX0ruObzW/EbIPC1Y3swxD/EEUrGktO&#10;B6g7EQTbYvMbVNtIBA86XEloM9C6kSrlQNkU+btsXmrhVMqFiuPdUCb//2Dlw+7FPSGVYe/8zBMZ&#10;szhobOOX4mOHVKzjUCx1CEzSz2I8uS4mnEkS9TShZGdjhz58VdCySJRcG9gva4FhCdZSXwBTwcTu&#10;3ofO8GQQPXswTbVqjEkMbtZLg2wnqIvT6Wo1ncbGka8LteycQKLC0ahobOyz0qypKORR8phmSw14&#10;QkplQ9GJalGpzk0xyfM0HtFLnMZokXwmwIisKbwBuwc4aXYgJ+wu2F4/mqo0moNx/rfAOuPBInkG&#10;GwbjtrF9LYc4O++Gsuo9d/oU/kVpIrmG6viEDKFbDO/kqqFu3QsfngTSJtDO0HaHR3piA0sOPcVZ&#10;DfjzT/+jPg0oSTnb02aV3P/YClScmW+WRve6GI/jKiZmPPk8IgYvJetLid22S6C2F3RHnExk1A/m&#10;RGqE9o2OwCJ6JZGwknyXXAY8McvQbTydEakWi6RG6+dEuLcvTkbwWNU4f6+HN4GuH9lAs/4Apy0U&#10;s3ez2ulGSwuLbQDdpEE+17WvN61uGpz+zMTbcMknrfMxnP8CAAD//wMAUEsDBBQABgAIAAAAIQB+&#10;3OKT3QAAAAYBAAAPAAAAZHJzL2Rvd25yZXYueG1sTI9PS8NAEMXvgt9hGcFbu0kQkZhNqYJ/oKC0&#10;Foq3bXaaBHdnw+42jX56x1M9DTPv8eb3qsXkrBgxxN6TgnyegUBqvOmpVbD9eJrdgYhJk9HWEyr4&#10;xgiL+vKi0qXxJ1rjuEmt4BCKpVbQpTSUUsamQ6fj3A9IrB18cDrxGlppgj5xuLOyyLJb6XRP/KHT&#10;Az522Hxtjk7Bpw9vz3Z8x2m928WHn9eX1WpLSl1fTct7EAmndDbDHz6jQ81Me38kE4VVMMsLdvKd&#10;G7Fc5Fxkz/MmA1lX8j9+/QsAAP//AwBQSwECLQAUAAYACAAAACEAtoM4kv4AAADhAQAAEwAAAAAA&#10;AAAAAAAAAAAAAAAAW0NvbnRlbnRfVHlwZXNdLnhtbFBLAQItABQABgAIAAAAIQA4/SH/1gAAAJQB&#10;AAALAAAAAAAAAAAAAAAAAC8BAABfcmVscy8ucmVsc1BLAQItABQABgAIAAAAIQDqe8YmfQIAAFQF&#10;AAAOAAAAAAAAAAAAAAAAAC4CAABkcnMvZTJvRG9jLnhtbFBLAQItABQABgAIAAAAIQB+3OKT3QAA&#10;AAYBAAAPAAAAAAAAAAAAAAAAANcEAABkcnMvZG93bnJldi54bWxQSwUGAAAAAAQABADzAAAA4QUA&#10;AAAA&#10;" fillcolor="#6f6" strokecolor="#030e13 [484]" strokeweight="1pt">
                      <v:stroke joinstyle="miter"/>
                    </v:shape>
                  </w:pict>
                </mc:Fallback>
              </mc:AlternateContent>
            </w:r>
          </w:p>
        </w:tc>
        <w:tc>
          <w:tcPr>
            <w:tcW w:w="1550" w:type="dxa"/>
            <w:shd w:val="clear" w:color="auto" w:fill="E7F5EE"/>
          </w:tcPr>
          <w:p w14:paraId="4F3B5148" w14:textId="77777777" w:rsidR="000B4756" w:rsidRDefault="000B4756" w:rsidP="000B4756">
            <w:pPr>
              <w:spacing w:line="360" w:lineRule="auto"/>
              <w:rPr>
                <w:rFonts w:ascii="Arial" w:hAnsi="Arial" w:cs="Arial"/>
                <w:color w:val="2B4F40"/>
              </w:rPr>
            </w:pPr>
          </w:p>
          <w:p w14:paraId="0C8B86F4" w14:textId="2174035C" w:rsidR="000B4756" w:rsidRPr="000B4756" w:rsidRDefault="000B4756" w:rsidP="000B4756">
            <w:pPr>
              <w:spacing w:line="360" w:lineRule="auto"/>
              <w:rPr>
                <w:rFonts w:ascii="Arial" w:hAnsi="Arial" w:cs="Arial"/>
                <w:color w:val="2B4F40"/>
              </w:rPr>
            </w:pPr>
          </w:p>
        </w:tc>
        <w:tc>
          <w:tcPr>
            <w:tcW w:w="1188" w:type="dxa"/>
            <w:shd w:val="clear" w:color="auto" w:fill="E7F5EE"/>
          </w:tcPr>
          <w:p w14:paraId="14B588FA" w14:textId="77777777" w:rsidR="000B4756" w:rsidRDefault="000B4756" w:rsidP="000B4756">
            <w:pPr>
              <w:spacing w:line="360" w:lineRule="auto"/>
              <w:rPr>
                <w:rFonts w:ascii="Arial" w:hAnsi="Arial" w:cs="Arial"/>
                <w:color w:val="2B4F40"/>
              </w:rPr>
            </w:pPr>
          </w:p>
          <w:p w14:paraId="5FC4E8C0" w14:textId="2F6F13E2" w:rsidR="000B4756" w:rsidRPr="000B4756" w:rsidRDefault="000B4756" w:rsidP="000B4756">
            <w:pPr>
              <w:spacing w:line="360" w:lineRule="auto"/>
              <w:rPr>
                <w:rFonts w:ascii="Arial" w:hAnsi="Arial" w:cs="Arial"/>
                <w:color w:val="2B4F40"/>
              </w:rPr>
            </w:pPr>
          </w:p>
        </w:tc>
        <w:tc>
          <w:tcPr>
            <w:tcW w:w="1623" w:type="dxa"/>
            <w:shd w:val="clear" w:color="auto" w:fill="E7F5EE"/>
          </w:tcPr>
          <w:p w14:paraId="022E3E87" w14:textId="77777777" w:rsidR="000B4756" w:rsidRDefault="000B4756" w:rsidP="000B4756">
            <w:pPr>
              <w:spacing w:line="360" w:lineRule="auto"/>
              <w:rPr>
                <w:rFonts w:ascii="Arial" w:hAnsi="Arial" w:cs="Arial"/>
                <w:color w:val="2B4F40"/>
              </w:rPr>
            </w:pPr>
          </w:p>
          <w:p w14:paraId="2021F63D" w14:textId="76431690" w:rsidR="000B4756" w:rsidRPr="000B4756" w:rsidRDefault="000B4756" w:rsidP="000B4756">
            <w:pPr>
              <w:spacing w:line="360" w:lineRule="auto"/>
              <w:rPr>
                <w:rFonts w:ascii="Arial" w:hAnsi="Arial" w:cs="Arial"/>
                <w:color w:val="2B4F40"/>
              </w:rPr>
            </w:pPr>
            <w:r w:rsidRPr="006B616F">
              <w:rPr>
                <w:rFonts w:ascii="Arial" w:hAnsi="Arial" w:cs="Arial"/>
                <w:noProof/>
                <w:color w:val="2B4F40"/>
              </w:rPr>
              <mc:AlternateContent>
                <mc:Choice Requires="wps">
                  <w:drawing>
                    <wp:anchor distT="0" distB="0" distL="114300" distR="114300" simplePos="0" relativeHeight="251671552" behindDoc="0" locked="0" layoutInCell="1" allowOverlap="1" wp14:anchorId="73CAF7A5" wp14:editId="00DD5419">
                      <wp:simplePos x="0" y="0"/>
                      <wp:positionH relativeFrom="column">
                        <wp:posOffset>-635</wp:posOffset>
                      </wp:positionH>
                      <wp:positionV relativeFrom="paragraph">
                        <wp:posOffset>6350</wp:posOffset>
                      </wp:positionV>
                      <wp:extent cx="145915" cy="145915"/>
                      <wp:effectExtent l="0" t="0" r="26035" b="26035"/>
                      <wp:wrapNone/>
                      <wp:docPr id="1178575429" name="Flowchart: Connector 1"/>
                      <wp:cNvGraphicFramePr/>
                      <a:graphic xmlns:a="http://schemas.openxmlformats.org/drawingml/2006/main">
                        <a:graphicData uri="http://schemas.microsoft.com/office/word/2010/wordprocessingShape">
                          <wps:wsp>
                            <wps:cNvSpPr/>
                            <wps:spPr>
                              <a:xfrm>
                                <a:off x="0" y="0"/>
                                <a:ext cx="145915" cy="145915"/>
                              </a:xfrm>
                              <a:prstGeom prst="flowChartConnector">
                                <a:avLst/>
                              </a:prstGeom>
                              <a:solidFill>
                                <a:srgbClr val="66FF66"/>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327439" id="Flowchart: Connector 1" o:spid="_x0000_s1026" type="#_x0000_t120" style="position:absolute;margin-left:-.05pt;margin-top:.5pt;width:11.5pt;height:11.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e8YmfQIAAFQFAAAOAAAAZHJzL2Uyb0RvYy54bWysVEtv2zAMvg/YfxB0X20HSbYGdYogRYYB&#10;RVu0HXpWZCk2IIsapbz260fJjhN0ww7DLjJpkh/fvLk9tIbtFPoGbMmLq5wzZSVUjd2U/Pvr6tMX&#10;znwQthIGrCr5UXl+O//44WbvZmoENZhKISMQ62d7V/I6BDfLMi9r1Qp/BU5ZEmrAVgRicZNVKPaE&#10;3ppslOfTbA9YOQSpvKe/d52QzxO+1kqGR629CsyUnGIL6cX0ruObzW/EbIPC1Y3swxD/EEUrGktO&#10;B6g7EQTbYvMbVNtIBA86XEloM9C6kSrlQNkU+btsXmrhVMqFiuPdUCb//2Dlw+7FPSGVYe/8zBMZ&#10;szhobOOX4mOHVKzjUCx1CEzSz2I8uS4mnEkS9TShZGdjhz58VdCySJRcG9gva4FhCdZSXwBTwcTu&#10;3ofO8GQQPXswTbVqjEkMbtZLg2wnqIvT6Wo1ncbGka8LteycQKLC0ahobOyz0qypKORR8phmSw14&#10;QkplQ9GJalGpzk0xyfM0HtFLnMZokXwmwIisKbwBuwc4aXYgJ+wu2F4/mqo0moNx/rfAOuPBInkG&#10;GwbjtrF9LYc4O++Gsuo9d/oU/kVpIrmG6viEDKFbDO/kqqFu3QsfngTSJtDO0HaHR3piA0sOPcVZ&#10;DfjzT/+jPg0oSTnb02aV3P/YClScmW+WRve6GI/jKiZmPPk8IgYvJetLid22S6C2F3RHnExk1A/m&#10;RGqE9o2OwCJ6JZGwknyXXAY8McvQbTydEakWi6RG6+dEuLcvTkbwWNU4f6+HN4GuH9lAs/4Apy0U&#10;s3ez2ulGSwuLbQDdpEE+17WvN61uGpz+zMTbcMknrfMxnP8CAAD//wMAUEsDBBQABgAIAAAAIQCJ&#10;road3QAAAAUBAAAPAAAAZHJzL2Rvd25yZXYueG1sTI9PS8NAEMXvhX6HZQre2k2DSI3ZFBX8AwWl&#10;tVC8bbNjEtydDbvbNPrpHU96Gmbe483vlevRWTFgiJ0nBctFBgKp9qajRsH+7WG+AhGTJqOtJ1Tw&#10;hRHW1XRS6sL4M21x2KVGcAjFQitoU+oLKWPdotNx4Xsk1j58cDrxGhppgj5zuLMyz7Ir6XRH/KHV&#10;Pd63WH/uTk7Buw8vj3Z4xXF7OMS77+enzWZPSl3MxtsbEAnH9GeGX3xGh4qZjv5EJgqrYL5kI5+5&#10;EKt5fg3iyPMyA1mV8j999QMAAP//AwBQSwECLQAUAAYACAAAACEAtoM4kv4AAADhAQAAEwAAAAAA&#10;AAAAAAAAAAAAAAAAW0NvbnRlbnRfVHlwZXNdLnhtbFBLAQItABQABgAIAAAAIQA4/SH/1gAAAJQB&#10;AAALAAAAAAAAAAAAAAAAAC8BAABfcmVscy8ucmVsc1BLAQItABQABgAIAAAAIQDqe8YmfQIAAFQF&#10;AAAOAAAAAAAAAAAAAAAAAC4CAABkcnMvZTJvRG9jLnhtbFBLAQItABQABgAIAAAAIQCJroad3QAA&#10;AAUBAAAPAAAAAAAAAAAAAAAAANcEAABkcnMvZG93bnJldi54bWxQSwUGAAAAAAQABADzAAAA4QUA&#10;AAAA&#10;" fillcolor="#6f6" strokecolor="#030e13 [484]" strokeweight="1pt">
                      <v:stroke joinstyle="miter"/>
                    </v:shape>
                  </w:pict>
                </mc:Fallback>
              </mc:AlternateContent>
            </w:r>
          </w:p>
        </w:tc>
      </w:tr>
      <w:tr w:rsidR="000B4756" w:rsidRPr="000B4756" w14:paraId="72742B3F" w14:textId="77777777" w:rsidTr="00614EEA">
        <w:tc>
          <w:tcPr>
            <w:tcW w:w="1327" w:type="dxa"/>
            <w:shd w:val="clear" w:color="auto" w:fill="E7F5EE"/>
          </w:tcPr>
          <w:p w14:paraId="0BDE2AFF" w14:textId="6E493D6E" w:rsidR="000B4756" w:rsidRPr="000B4756" w:rsidRDefault="000B4756" w:rsidP="000B4756">
            <w:pPr>
              <w:spacing w:line="360" w:lineRule="auto"/>
              <w:rPr>
                <w:rFonts w:ascii="Arial" w:hAnsi="Arial" w:cs="Arial"/>
                <w:color w:val="2B4F40"/>
              </w:rPr>
            </w:pPr>
            <w:r w:rsidRPr="000B4756">
              <w:rPr>
                <w:rFonts w:ascii="Arial" w:hAnsi="Arial" w:cs="Arial"/>
                <w:color w:val="2B4F40"/>
              </w:rPr>
              <w:t>Medium Importance</w:t>
            </w:r>
          </w:p>
        </w:tc>
        <w:tc>
          <w:tcPr>
            <w:tcW w:w="1197" w:type="dxa"/>
            <w:shd w:val="clear" w:color="auto" w:fill="E7F5EE"/>
          </w:tcPr>
          <w:p w14:paraId="6B1387C0" w14:textId="6748B7C5" w:rsidR="000B4756" w:rsidRDefault="000B4756" w:rsidP="000B4756">
            <w:pPr>
              <w:spacing w:line="360" w:lineRule="auto"/>
              <w:rPr>
                <w:rFonts w:ascii="Arial" w:hAnsi="Arial" w:cs="Arial"/>
                <w:color w:val="2B4F40"/>
              </w:rPr>
            </w:pPr>
            <w:r w:rsidRPr="006B616F">
              <w:rPr>
                <w:rFonts w:ascii="Arial" w:hAnsi="Arial" w:cs="Arial"/>
                <w:noProof/>
                <w:color w:val="2B4F40"/>
              </w:rPr>
              <mc:AlternateContent>
                <mc:Choice Requires="wps">
                  <w:drawing>
                    <wp:anchor distT="0" distB="0" distL="114300" distR="114300" simplePos="0" relativeHeight="251663360" behindDoc="0" locked="0" layoutInCell="1" allowOverlap="1" wp14:anchorId="771BAD24" wp14:editId="5DB03527">
                      <wp:simplePos x="0" y="0"/>
                      <wp:positionH relativeFrom="column">
                        <wp:posOffset>6580</wp:posOffset>
                      </wp:positionH>
                      <wp:positionV relativeFrom="paragraph">
                        <wp:posOffset>-261836</wp:posOffset>
                      </wp:positionV>
                      <wp:extent cx="145915" cy="145915"/>
                      <wp:effectExtent l="0" t="0" r="26035" b="26035"/>
                      <wp:wrapNone/>
                      <wp:docPr id="1927752563" name="Flowchart: Connector 1"/>
                      <wp:cNvGraphicFramePr/>
                      <a:graphic xmlns:a="http://schemas.openxmlformats.org/drawingml/2006/main">
                        <a:graphicData uri="http://schemas.microsoft.com/office/word/2010/wordprocessingShape">
                          <wps:wsp>
                            <wps:cNvSpPr/>
                            <wps:spPr>
                              <a:xfrm>
                                <a:off x="0" y="0"/>
                                <a:ext cx="145915" cy="145915"/>
                              </a:xfrm>
                              <a:prstGeom prst="flowChartConnector">
                                <a:avLst/>
                              </a:prstGeom>
                              <a:solidFill>
                                <a:srgbClr val="66FF66"/>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B8E268" id="Flowchart: Connector 1" o:spid="_x0000_s1026" type="#_x0000_t120" style="position:absolute;margin-left:.5pt;margin-top:-20.6pt;width:11.5pt;height:11.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e8YmfQIAAFQFAAAOAAAAZHJzL2Uyb0RvYy54bWysVEtv2zAMvg/YfxB0X20HSbYGdYogRYYB&#10;RVu0HXpWZCk2IIsapbz260fJjhN0ww7DLjJpkh/fvLk9tIbtFPoGbMmLq5wzZSVUjd2U/Pvr6tMX&#10;znwQthIGrCr5UXl+O//44WbvZmoENZhKISMQ62d7V/I6BDfLMi9r1Qp/BU5ZEmrAVgRicZNVKPaE&#10;3ppslOfTbA9YOQSpvKe/d52QzxO+1kqGR629CsyUnGIL6cX0ruObzW/EbIPC1Y3swxD/EEUrGktO&#10;B6g7EQTbYvMbVNtIBA86XEloM9C6kSrlQNkU+btsXmrhVMqFiuPdUCb//2Dlw+7FPSGVYe/8zBMZ&#10;szhobOOX4mOHVKzjUCx1CEzSz2I8uS4mnEkS9TShZGdjhz58VdCySJRcG9gva4FhCdZSXwBTwcTu&#10;3ofO8GQQPXswTbVqjEkMbtZLg2wnqIvT6Wo1ncbGka8LteycQKLC0ahobOyz0qypKORR8phmSw14&#10;QkplQ9GJalGpzk0xyfM0HtFLnMZokXwmwIisKbwBuwc4aXYgJ+wu2F4/mqo0moNx/rfAOuPBInkG&#10;GwbjtrF9LYc4O++Gsuo9d/oU/kVpIrmG6viEDKFbDO/kqqFu3QsfngTSJtDO0HaHR3piA0sOPcVZ&#10;DfjzT/+jPg0oSTnb02aV3P/YClScmW+WRve6GI/jKiZmPPk8IgYvJetLid22S6C2F3RHnExk1A/m&#10;RGqE9o2OwCJ6JZGwknyXXAY8McvQbTydEakWi6RG6+dEuLcvTkbwWNU4f6+HN4GuH9lAs/4Apy0U&#10;s3ez2ulGSwuLbQDdpEE+17WvN61uGpz+zMTbcMknrfMxnP8CAAD//wMAUEsDBBQABgAIAAAAIQCo&#10;lsR+3gAAAAgBAAAPAAAAZHJzL2Rvd25yZXYueG1sTI9PS8NAEMXvgt9hGcFbu0koUmI2RQX/QEFp&#10;LRRv2+yYBHdnw+42jX56x1M9vveGN79XrSZnxYgh9p4U5PMMBFLjTU+tgt3742wJIiZNRltPqOAb&#10;I6zqy4tKl8afaIPjNrWCSyiWWkGX0lBKGZsOnY5zPyBx9umD04llaKUJ+sTlzsoiy26k0z3xh04P&#10;+NBh87U9OgUfPrw+2fENp81+H+9/Xp7X6x0pdX013d2CSDil8zH84TM61Mx08EcyUVjWvCQpmC3y&#10;AgTnxYKNAxv5sgBZV/L/gPoXAAD//wMAUEsBAi0AFAAGAAgAAAAhALaDOJL+AAAA4QEAABMAAAAA&#10;AAAAAAAAAAAAAAAAAFtDb250ZW50X1R5cGVzXS54bWxQSwECLQAUAAYACAAAACEAOP0h/9YAAACU&#10;AQAACwAAAAAAAAAAAAAAAAAvAQAAX3JlbHMvLnJlbHNQSwECLQAUAAYACAAAACEA6nvGJn0CAABU&#10;BQAADgAAAAAAAAAAAAAAAAAuAgAAZHJzL2Uyb0RvYy54bWxQSwECLQAUAAYACAAAACEAqJbEft4A&#10;AAAIAQAADwAAAAAAAAAAAAAAAADXBAAAZHJzL2Rvd25yZXYueG1sUEsFBgAAAAAEAAQA8wAAAOIF&#10;AAAAAA==&#10;" fillcolor="#6f6" strokecolor="#030e13 [484]" strokeweight="1pt">
                      <v:stroke joinstyle="miter"/>
                    </v:shape>
                  </w:pict>
                </mc:Fallback>
              </mc:AlternateContent>
            </w:r>
          </w:p>
          <w:p w14:paraId="65242E22" w14:textId="021F49C0" w:rsidR="000B4756" w:rsidRPr="000B4756" w:rsidRDefault="000B4756" w:rsidP="000B4756">
            <w:pPr>
              <w:spacing w:line="360" w:lineRule="auto"/>
              <w:rPr>
                <w:rFonts w:ascii="Arial" w:hAnsi="Arial" w:cs="Arial"/>
                <w:color w:val="2B4F40"/>
              </w:rPr>
            </w:pPr>
            <w:r w:rsidRPr="006B616F">
              <w:rPr>
                <w:rFonts w:ascii="Arial" w:hAnsi="Arial" w:cs="Arial"/>
                <w:noProof/>
                <w:color w:val="2B4F40"/>
              </w:rPr>
              <mc:AlternateContent>
                <mc:Choice Requires="wps">
                  <w:drawing>
                    <wp:anchor distT="0" distB="0" distL="114300" distR="114300" simplePos="0" relativeHeight="251685888" behindDoc="0" locked="0" layoutInCell="1" allowOverlap="1" wp14:anchorId="61E11ADE" wp14:editId="13D09D4E">
                      <wp:simplePos x="0" y="0"/>
                      <wp:positionH relativeFrom="column">
                        <wp:posOffset>-2540</wp:posOffset>
                      </wp:positionH>
                      <wp:positionV relativeFrom="paragraph">
                        <wp:posOffset>4445</wp:posOffset>
                      </wp:positionV>
                      <wp:extent cx="145915" cy="145915"/>
                      <wp:effectExtent l="0" t="0" r="26035" b="26035"/>
                      <wp:wrapNone/>
                      <wp:docPr id="511476416" name="Flowchart: Connector 1"/>
                      <wp:cNvGraphicFramePr/>
                      <a:graphic xmlns:a="http://schemas.openxmlformats.org/drawingml/2006/main">
                        <a:graphicData uri="http://schemas.microsoft.com/office/word/2010/wordprocessingShape">
                          <wps:wsp>
                            <wps:cNvSpPr/>
                            <wps:spPr>
                              <a:xfrm>
                                <a:off x="0" y="0"/>
                                <a:ext cx="145915" cy="145915"/>
                              </a:xfrm>
                              <a:prstGeom prst="flowChartConnector">
                                <a:avLst/>
                              </a:prstGeom>
                              <a:solidFill>
                                <a:srgbClr val="FFFF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D65970" id="Flowchart: Connector 1" o:spid="_x0000_s1026" type="#_x0000_t120" style="position:absolute;margin-left:-.2pt;margin-top:.35pt;width:11.5pt;height:11.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bp36dwIAAFQFAAAOAAAAZHJzL2Uyb0RvYy54bWysVM1u2zAMvg/YOwi6r7aDZFuDOkWQIsOA&#10;oi3WDj0rshQbkEWNUuJkTz9KdpygG3YYloNCmuTHf97cHlrD9gp9A7bkxVXOmbISqsZuS/79Zf3h&#10;M2c+CFsJA1aV/Kg8v128f3fTubmaQA2mUsgIxPp550peh+DmWeZlrVrhr8ApS0IN2IpALG6zCkVH&#10;6K3JJnn+MesAK4cglff09a4X8kXC11rJ8Ki1V4GZklNsIb2Y3k18s8WNmG9RuLqRQxjiH6JoRWPJ&#10;6Qh1J4JgO2x+g2obieBBhysJbQZaN1KlHCibIn+TzXMtnEq5UHG8G8vk/x+sfNg/uyekMnTOzz2R&#10;MYuDxjb+U3zskIp1HIulDoFJ+lhMZ9fFjDNJooEmlOxs7NCHLwpaFomSawPdqhYYVmAt9QUwFUzs&#10;733oDU8G0bMH01TrxpjE4HazMsj2grq4pl+eGke+LtSycwKJCkejorGx35RmTUUhT5LHNFtqxBNS&#10;KhuKXlSLSvVuill+9hKnMVqk/BJgRNYU3og9AJw0e5ATdp/foB9NVRrN0Tj/W2C98WiRPIMNo3Hb&#10;2KGWbzIzlNXguden8C9KE8kNVMcnZAj9Yngn1w1161748CSQNoF2hrY7PNITG1hyGCjOasCff/oe&#10;9WlAScpZR5tVcv9jJ1BxZr5aGt3rYjqNq5iY6ezThBi8lGwuJXbXroDaXtAdcTKRUT+YE6kR2lc6&#10;AsvolUTCSvJdchnwxKxCv/F0RqRaLpMarZ8T4d4+OxnBY1Xj/L0cXgW6YWQDzfoDnLZQzN/Maq8b&#10;LS0sdwF0kwb5XNeh3rS6aXCGMxNvwyWftM7HcPELAAD//wMAUEsDBBQABgAIAAAAIQDxt8bF2QAA&#10;AAQBAAAPAAAAZHJzL2Rvd25yZXYueG1sTI7BTsMwEETvSPyDtUjcWocUtSjEqRASF24kVOLoxpvE&#10;YK+j2E1Tvp7lBKfRaEYzr9wv3okZp2gDKbhbZyCQ2mAs9Qrem5fVA4iYNBntAqGCC0bYV9dXpS5M&#10;ONMbznXqBY9QLLSCIaWxkDK2A3od12FE4qwLk9eJ7dRLM+kzj3sn8yzbSq8t8cOgR3wesP2qT17B&#10;3ER5+dh8ftf9wXapS/bVNbVStzfL0yOIhEv6K8MvPqNDxUzHcCIThVOwuueigh0IDvN8C+LIutmB&#10;rEr5H776AQAA//8DAFBLAQItABQABgAIAAAAIQC2gziS/gAAAOEBAAATAAAAAAAAAAAAAAAAAAAA&#10;AABbQ29udGVudF9UeXBlc10ueG1sUEsBAi0AFAAGAAgAAAAhADj9If/WAAAAlAEAAAsAAAAAAAAA&#10;AAAAAAAALwEAAF9yZWxzLy5yZWxzUEsBAi0AFAAGAAgAAAAhACRunfp3AgAAVAUAAA4AAAAAAAAA&#10;AAAAAAAALgIAAGRycy9lMm9Eb2MueG1sUEsBAi0AFAAGAAgAAAAhAPG3xsXZAAAABAEAAA8AAAAA&#10;AAAAAAAAAAAA0QQAAGRycy9kb3ducmV2LnhtbFBLBQYAAAAABAAEAPMAAADXBQAAAAA=&#10;" fillcolor="yellow" strokecolor="#030e13 [484]" strokeweight="1pt">
                      <v:stroke joinstyle="miter"/>
                    </v:shape>
                  </w:pict>
                </mc:Fallback>
              </mc:AlternateContent>
            </w:r>
          </w:p>
        </w:tc>
        <w:tc>
          <w:tcPr>
            <w:tcW w:w="1277" w:type="dxa"/>
            <w:shd w:val="clear" w:color="auto" w:fill="E7F5EE"/>
          </w:tcPr>
          <w:p w14:paraId="63C61497" w14:textId="1D5510B5" w:rsidR="000B4756" w:rsidRDefault="000B4756" w:rsidP="000B4756">
            <w:pPr>
              <w:spacing w:line="360" w:lineRule="auto"/>
              <w:rPr>
                <w:rFonts w:ascii="Arial" w:hAnsi="Arial" w:cs="Arial"/>
                <w:color w:val="2B4F40"/>
              </w:rPr>
            </w:pPr>
            <w:r w:rsidRPr="006B616F">
              <w:rPr>
                <w:rFonts w:ascii="Arial" w:hAnsi="Arial" w:cs="Arial"/>
                <w:noProof/>
                <w:color w:val="2B4F40"/>
              </w:rPr>
              <mc:AlternateContent>
                <mc:Choice Requires="wps">
                  <w:drawing>
                    <wp:anchor distT="0" distB="0" distL="114300" distR="114300" simplePos="0" relativeHeight="251675648" behindDoc="0" locked="0" layoutInCell="1" allowOverlap="1" wp14:anchorId="28CE1CE0" wp14:editId="116460F3">
                      <wp:simplePos x="0" y="0"/>
                      <wp:positionH relativeFrom="column">
                        <wp:posOffset>287249</wp:posOffset>
                      </wp:positionH>
                      <wp:positionV relativeFrom="paragraph">
                        <wp:posOffset>-261187</wp:posOffset>
                      </wp:positionV>
                      <wp:extent cx="145915" cy="145915"/>
                      <wp:effectExtent l="0" t="0" r="26035" b="26035"/>
                      <wp:wrapNone/>
                      <wp:docPr id="1080984236" name="Flowchart: Connector 1"/>
                      <wp:cNvGraphicFramePr/>
                      <a:graphic xmlns:a="http://schemas.openxmlformats.org/drawingml/2006/main">
                        <a:graphicData uri="http://schemas.microsoft.com/office/word/2010/wordprocessingShape">
                          <wps:wsp>
                            <wps:cNvSpPr/>
                            <wps:spPr>
                              <a:xfrm>
                                <a:off x="0" y="0"/>
                                <a:ext cx="145915" cy="145915"/>
                              </a:xfrm>
                              <a:prstGeom prst="flowChartConnector">
                                <a:avLst/>
                              </a:prstGeom>
                              <a:solidFill>
                                <a:srgbClr val="FFFF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7B4B4B" id="Flowchart: Connector 1" o:spid="_x0000_s1026" type="#_x0000_t120" style="position:absolute;margin-left:22.6pt;margin-top:-20.55pt;width:11.5pt;height:11.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bp36dwIAAFQFAAAOAAAAZHJzL2Uyb0RvYy54bWysVM1u2zAMvg/YOwi6r7aDZFuDOkWQIsOA&#10;oi3WDj0rshQbkEWNUuJkTz9KdpygG3YYloNCmuTHf97cHlrD9gp9A7bkxVXOmbISqsZuS/79Zf3h&#10;M2c+CFsJA1aV/Kg8v128f3fTubmaQA2mUsgIxPp550peh+DmWeZlrVrhr8ApS0IN2IpALG6zCkVH&#10;6K3JJnn+MesAK4cglff09a4X8kXC11rJ8Ki1V4GZklNsIb2Y3k18s8WNmG9RuLqRQxjiH6JoRWPJ&#10;6Qh1J4JgO2x+g2obieBBhysJbQZaN1KlHCibIn+TzXMtnEq5UHG8G8vk/x+sfNg/uyekMnTOzz2R&#10;MYuDxjb+U3zskIp1HIulDoFJ+lhMZ9fFjDNJooEmlOxs7NCHLwpaFomSawPdqhYYVmAt9QUwFUzs&#10;733oDU8G0bMH01TrxpjE4HazMsj2grq4pl+eGke+LtSycwKJCkejorGx35RmTUUhT5LHNFtqxBNS&#10;KhuKXlSLSvVuill+9hKnMVqk/BJgRNYU3og9AJw0e5ATdp/foB9NVRrN0Tj/W2C98WiRPIMNo3Hb&#10;2KGWbzIzlNXguden8C9KE8kNVMcnZAj9Yngn1w1161748CSQNoF2hrY7PNITG1hyGCjOasCff/oe&#10;9WlAScpZR5tVcv9jJ1BxZr5aGt3rYjqNq5iY6ezThBi8lGwuJXbXroDaXtAdcTKRUT+YE6kR2lc6&#10;AsvolUTCSvJdchnwxKxCv/F0RqRaLpMarZ8T4d4+OxnBY1Xj/L0cXgW6YWQDzfoDnLZQzN/Maq8b&#10;LS0sdwF0kwb5XNeh3rS6aXCGMxNvwyWftM7HcPELAAD//wMAUEsDBBQABgAIAAAAIQCZrrh+3QAA&#10;AAkBAAAPAAAAZHJzL2Rvd25yZXYueG1sTI/BTsMwDIbvSLxDZCRuW5oxpqprOiEkLtxoQeKYNWmb&#10;kThVk3UdT485wdG/P/3+XB4W79hspmgDShDrDJjBNmiLvYT35mWVA4tJoVYuoJFwNREO1e1NqQod&#10;Lvhm5jr1jEowFkrCkNJYcB7bwXgV12E0SLsuTF4lGqee60ldqNw7vsmyHffKIl0Y1GieB9N+1Wcv&#10;YW4iv34+nL7r/sN2qUv21TW1lPd3y9MeWDJL+oPhV5/UoSKnYzijjsxJ2D5uiJSw2goBjIBdTsGR&#10;ApEL4FXJ/39Q/QAAAP//AwBQSwECLQAUAAYACAAAACEAtoM4kv4AAADhAQAAEwAAAAAAAAAAAAAA&#10;AAAAAAAAW0NvbnRlbnRfVHlwZXNdLnhtbFBLAQItABQABgAIAAAAIQA4/SH/1gAAAJQBAAALAAAA&#10;AAAAAAAAAAAAAC8BAABfcmVscy8ucmVsc1BLAQItABQABgAIAAAAIQAkbp36dwIAAFQFAAAOAAAA&#10;AAAAAAAAAAAAAC4CAABkcnMvZTJvRG9jLnhtbFBLAQItABQABgAIAAAAIQCZrrh+3QAAAAkBAAAP&#10;AAAAAAAAAAAAAAAAANEEAABkcnMvZG93bnJldi54bWxQSwUGAAAAAAQABADzAAAA2wUAAAAA&#10;" fillcolor="yellow" strokecolor="#030e13 [484]" strokeweight="1pt">
                      <v:stroke joinstyle="miter"/>
                    </v:shape>
                  </w:pict>
                </mc:Fallback>
              </mc:AlternateContent>
            </w:r>
            <w:r w:rsidRPr="006B616F">
              <w:rPr>
                <w:rFonts w:ascii="Arial" w:hAnsi="Arial" w:cs="Arial"/>
                <w:noProof/>
                <w:color w:val="2B4F40"/>
              </w:rPr>
              <mc:AlternateContent>
                <mc:Choice Requires="wps">
                  <w:drawing>
                    <wp:anchor distT="0" distB="0" distL="114300" distR="114300" simplePos="0" relativeHeight="251665408" behindDoc="0" locked="0" layoutInCell="1" allowOverlap="1" wp14:anchorId="272368B3" wp14:editId="015B9D9A">
                      <wp:simplePos x="0" y="0"/>
                      <wp:positionH relativeFrom="column">
                        <wp:posOffset>24995</wp:posOffset>
                      </wp:positionH>
                      <wp:positionV relativeFrom="paragraph">
                        <wp:posOffset>-261404</wp:posOffset>
                      </wp:positionV>
                      <wp:extent cx="145915" cy="145915"/>
                      <wp:effectExtent l="0" t="0" r="26035" b="26035"/>
                      <wp:wrapNone/>
                      <wp:docPr id="1545377109" name="Flowchart: Connector 1"/>
                      <wp:cNvGraphicFramePr/>
                      <a:graphic xmlns:a="http://schemas.openxmlformats.org/drawingml/2006/main">
                        <a:graphicData uri="http://schemas.microsoft.com/office/word/2010/wordprocessingShape">
                          <wps:wsp>
                            <wps:cNvSpPr/>
                            <wps:spPr>
                              <a:xfrm>
                                <a:off x="0" y="0"/>
                                <a:ext cx="145915" cy="145915"/>
                              </a:xfrm>
                              <a:prstGeom prst="flowChartConnector">
                                <a:avLst/>
                              </a:prstGeom>
                              <a:solidFill>
                                <a:srgbClr val="66FF66"/>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B89596" id="Flowchart: Connector 1" o:spid="_x0000_s1026" type="#_x0000_t120" style="position:absolute;margin-left:1.95pt;margin-top:-20.6pt;width:11.5pt;height:11.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e8YmfQIAAFQFAAAOAAAAZHJzL2Uyb0RvYy54bWysVEtv2zAMvg/YfxB0X20HSbYGdYogRYYB&#10;RVu0HXpWZCk2IIsapbz260fJjhN0ww7DLjJpkh/fvLk9tIbtFPoGbMmLq5wzZSVUjd2U/Pvr6tMX&#10;znwQthIGrCr5UXl+O//44WbvZmoENZhKISMQ62d7V/I6BDfLMi9r1Qp/BU5ZEmrAVgRicZNVKPaE&#10;3ppslOfTbA9YOQSpvKe/d52QzxO+1kqGR629CsyUnGIL6cX0ruObzW/EbIPC1Y3swxD/EEUrGktO&#10;B6g7EQTbYvMbVNtIBA86XEloM9C6kSrlQNkU+btsXmrhVMqFiuPdUCb//2Dlw+7FPSGVYe/8zBMZ&#10;szhobOOX4mOHVKzjUCx1CEzSz2I8uS4mnEkS9TShZGdjhz58VdCySJRcG9gva4FhCdZSXwBTwcTu&#10;3ofO8GQQPXswTbVqjEkMbtZLg2wnqIvT6Wo1ncbGka8LteycQKLC0ahobOyz0qypKORR8phmSw14&#10;QkplQ9GJalGpzk0xyfM0HtFLnMZokXwmwIisKbwBuwc4aXYgJ+wu2F4/mqo0moNx/rfAOuPBInkG&#10;GwbjtrF9LYc4O++Gsuo9d/oU/kVpIrmG6viEDKFbDO/kqqFu3QsfngTSJtDO0HaHR3piA0sOPcVZ&#10;DfjzT/+jPg0oSTnb02aV3P/YClScmW+WRve6GI/jKiZmPPk8IgYvJetLid22S6C2F3RHnExk1A/m&#10;RGqE9o2OwCJ6JZGwknyXXAY8McvQbTydEakWi6RG6+dEuLcvTkbwWNU4f6+HN4GuH9lAs/4Apy0U&#10;s3ez2ulGSwuLbQDdpEE+17WvN61uGpz+zMTbcMknrfMxnP8CAAD//wMAUEsDBBQABgAIAAAAIQDY&#10;fzL04AAAAAgBAAAPAAAAZHJzL2Rvd25yZXYueG1sTI9bS8NAEIXfBf/DMoJv7SZRSo3ZFBW8QKHS&#10;C5S+bbNjEtydDdltGv31jk/6OOccznynWIzOigH70HpSkE4TEEiVNy3VCnbb58kcRIiajLaeUMEX&#10;BliUlxeFzo0/0xqHTawFl1DItYImxi6XMlQNOh2mvkNi78P3Tkc++1qaXp+53FmZJclMOt0Sf2h0&#10;h08NVp+bk1Nw8P3qxQ7vOK73+/D4/fa6XO5Iqeur8eEeRMQx/oXhF5/RoWSmoz+RCcIquLnjoILJ&#10;bZqBYD+bsXBkIZ1nIMtC/h9Q/gAAAP//AwBQSwECLQAUAAYACAAAACEAtoM4kv4AAADhAQAAEwAA&#10;AAAAAAAAAAAAAAAAAAAAW0NvbnRlbnRfVHlwZXNdLnhtbFBLAQItABQABgAIAAAAIQA4/SH/1gAA&#10;AJQBAAALAAAAAAAAAAAAAAAAAC8BAABfcmVscy8ucmVsc1BLAQItABQABgAIAAAAIQDqe8YmfQIA&#10;AFQFAAAOAAAAAAAAAAAAAAAAAC4CAABkcnMvZTJvRG9jLnhtbFBLAQItABQABgAIAAAAIQDYfzL0&#10;4AAAAAgBAAAPAAAAAAAAAAAAAAAAANcEAABkcnMvZG93bnJldi54bWxQSwUGAAAAAAQABADzAAAA&#10;5AUAAAAA&#10;" fillcolor="#6f6" strokecolor="#030e13 [484]" strokeweight="1pt">
                      <v:stroke joinstyle="miter"/>
                    </v:shape>
                  </w:pict>
                </mc:Fallback>
              </mc:AlternateContent>
            </w:r>
          </w:p>
          <w:p w14:paraId="380AC2B7" w14:textId="001AC06F" w:rsidR="000B4756" w:rsidRPr="000B4756" w:rsidRDefault="000B4756" w:rsidP="000B4756">
            <w:pPr>
              <w:spacing w:line="360" w:lineRule="auto"/>
              <w:rPr>
                <w:rFonts w:ascii="Arial" w:hAnsi="Arial" w:cs="Arial"/>
                <w:color w:val="2B4F40"/>
              </w:rPr>
            </w:pPr>
            <w:r w:rsidRPr="006B616F">
              <w:rPr>
                <w:rFonts w:ascii="Arial" w:hAnsi="Arial" w:cs="Arial"/>
                <w:noProof/>
                <w:color w:val="2B4F40"/>
              </w:rPr>
              <mc:AlternateContent>
                <mc:Choice Requires="wps">
                  <w:drawing>
                    <wp:anchor distT="0" distB="0" distL="114300" distR="114300" simplePos="0" relativeHeight="251704320" behindDoc="0" locked="0" layoutInCell="1" allowOverlap="1" wp14:anchorId="3D89E0A4" wp14:editId="32D1FAF6">
                      <wp:simplePos x="0" y="0"/>
                      <wp:positionH relativeFrom="column">
                        <wp:posOffset>-3810</wp:posOffset>
                      </wp:positionH>
                      <wp:positionV relativeFrom="paragraph">
                        <wp:posOffset>4445</wp:posOffset>
                      </wp:positionV>
                      <wp:extent cx="145915" cy="145915"/>
                      <wp:effectExtent l="0" t="0" r="26035" b="26035"/>
                      <wp:wrapNone/>
                      <wp:docPr id="1745535624" name="Flowchart: Connector 1"/>
                      <wp:cNvGraphicFramePr/>
                      <a:graphic xmlns:a="http://schemas.openxmlformats.org/drawingml/2006/main">
                        <a:graphicData uri="http://schemas.microsoft.com/office/word/2010/wordprocessingShape">
                          <wps:wsp>
                            <wps:cNvSpPr/>
                            <wps:spPr>
                              <a:xfrm>
                                <a:off x="0" y="0"/>
                                <a:ext cx="145915" cy="145915"/>
                              </a:xfrm>
                              <a:prstGeom prst="flowChartConnector">
                                <a:avLst/>
                              </a:prstGeom>
                              <a:solidFill>
                                <a:srgbClr val="66FF66"/>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1AF1A2" id="Flowchart: Connector 1" o:spid="_x0000_s1026" type="#_x0000_t120" style="position:absolute;margin-left:-.3pt;margin-top:.35pt;width:11.5pt;height:11.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e8YmfQIAAFQFAAAOAAAAZHJzL2Uyb0RvYy54bWysVEtv2zAMvg/YfxB0X20HSbYGdYogRYYB&#10;RVu0HXpWZCk2IIsapbz260fJjhN0ww7DLjJpkh/fvLk9tIbtFPoGbMmLq5wzZSVUjd2U/Pvr6tMX&#10;znwQthIGrCr5UXl+O//44WbvZmoENZhKISMQ62d7V/I6BDfLMi9r1Qp/BU5ZEmrAVgRicZNVKPaE&#10;3ppslOfTbA9YOQSpvKe/d52QzxO+1kqGR629CsyUnGIL6cX0ruObzW/EbIPC1Y3swxD/EEUrGktO&#10;B6g7EQTbYvMbVNtIBA86XEloM9C6kSrlQNkU+btsXmrhVMqFiuPdUCb//2Dlw+7FPSGVYe/8zBMZ&#10;szhobOOX4mOHVKzjUCx1CEzSz2I8uS4mnEkS9TShZGdjhz58VdCySJRcG9gva4FhCdZSXwBTwcTu&#10;3ofO8GQQPXswTbVqjEkMbtZLg2wnqIvT6Wo1ncbGka8LteycQKLC0ahobOyz0qypKORR8phmSw14&#10;QkplQ9GJalGpzk0xyfM0HtFLnMZokXwmwIisKbwBuwc4aXYgJ+wu2F4/mqo0moNx/rfAOuPBInkG&#10;GwbjtrF9LYc4O++Gsuo9d/oU/kVpIrmG6viEDKFbDO/kqqFu3QsfngTSJtDO0HaHR3piA0sOPcVZ&#10;DfjzT/+jPg0oSTnb02aV3P/YClScmW+WRve6GI/jKiZmPPk8IgYvJetLid22S6C2F3RHnExk1A/m&#10;RGqE9o2OwCJ6JZGwknyXXAY8McvQbTydEakWi6RG6+dEuLcvTkbwWNU4f6+HN4GuH9lAs/4Apy0U&#10;s3ez2ulGSwuLbQDdpEE+17WvN61uGpz+zMTbcMknrfMxnP8CAAD//wMAUEsDBBQABgAIAAAAIQBd&#10;n/Sr3QAAAAQBAAAPAAAAZHJzL2Rvd25yZXYueG1sTI5PS8NAFMTvgt9heYK3dmOUVtJsigr+gYLS&#10;Wii9bbPPJLj7Nuxu0+in93nS0zDMMPMrl6OzYsAQO08KrqYZCKTam44aBdv3x8ktiJg0GW09oYIv&#10;jLCszs9KXRh/ojUOm9QIHqFYaAVtSn0hZaxbdDpOfY/E2YcPTie2oZEm6BOPOyvzLJtJpzvih1b3&#10;+NBi/bk5OgV7H16f7PCG43q3i/ffL8+r1ZaUurwY7xYgEo7prwy/+IwOFTMd/JFMFFbBZMZFBXMQ&#10;HOb5DYgD6/UcZFXK//DVDwAAAP//AwBQSwECLQAUAAYACAAAACEAtoM4kv4AAADhAQAAEwAAAAAA&#10;AAAAAAAAAAAAAAAAW0NvbnRlbnRfVHlwZXNdLnhtbFBLAQItABQABgAIAAAAIQA4/SH/1gAAAJQB&#10;AAALAAAAAAAAAAAAAAAAAC8BAABfcmVscy8ucmVsc1BLAQItABQABgAIAAAAIQDqe8YmfQIAAFQF&#10;AAAOAAAAAAAAAAAAAAAAAC4CAABkcnMvZTJvRG9jLnhtbFBLAQItABQABgAIAAAAIQBdn/Sr3QAA&#10;AAQBAAAPAAAAAAAAAAAAAAAAANcEAABkcnMvZG93bnJldi54bWxQSwUGAAAAAAQABADzAAAA4QUA&#10;AAAA&#10;" fillcolor="#6f6" strokecolor="#030e13 [484]" strokeweight="1pt">
                      <v:stroke joinstyle="miter"/>
                    </v:shape>
                  </w:pict>
                </mc:Fallback>
              </mc:AlternateContent>
            </w:r>
          </w:p>
        </w:tc>
        <w:tc>
          <w:tcPr>
            <w:tcW w:w="1188" w:type="dxa"/>
            <w:shd w:val="clear" w:color="auto" w:fill="E7F5EE"/>
          </w:tcPr>
          <w:p w14:paraId="3BF8D0EB" w14:textId="58AB9103" w:rsidR="000B4756" w:rsidRDefault="000B4756" w:rsidP="000B4756">
            <w:pPr>
              <w:spacing w:line="360" w:lineRule="auto"/>
              <w:rPr>
                <w:rFonts w:ascii="Arial" w:hAnsi="Arial" w:cs="Arial"/>
                <w:color w:val="2B4F40"/>
              </w:rPr>
            </w:pPr>
            <w:r w:rsidRPr="006B616F">
              <w:rPr>
                <w:rFonts w:ascii="Arial" w:hAnsi="Arial" w:cs="Arial"/>
                <w:noProof/>
                <w:color w:val="2B4F40"/>
              </w:rPr>
              <mc:AlternateContent>
                <mc:Choice Requires="wps">
                  <w:drawing>
                    <wp:anchor distT="0" distB="0" distL="114300" distR="114300" simplePos="0" relativeHeight="251669504" behindDoc="0" locked="0" layoutInCell="1" allowOverlap="1" wp14:anchorId="0B6CF528" wp14:editId="2E220131">
                      <wp:simplePos x="0" y="0"/>
                      <wp:positionH relativeFrom="column">
                        <wp:posOffset>231140</wp:posOffset>
                      </wp:positionH>
                      <wp:positionV relativeFrom="paragraph">
                        <wp:posOffset>-244272</wp:posOffset>
                      </wp:positionV>
                      <wp:extent cx="145915" cy="145915"/>
                      <wp:effectExtent l="0" t="0" r="26035" b="26035"/>
                      <wp:wrapNone/>
                      <wp:docPr id="1905512254" name="Flowchart: Connector 1"/>
                      <wp:cNvGraphicFramePr/>
                      <a:graphic xmlns:a="http://schemas.openxmlformats.org/drawingml/2006/main">
                        <a:graphicData uri="http://schemas.microsoft.com/office/word/2010/wordprocessingShape">
                          <wps:wsp>
                            <wps:cNvSpPr/>
                            <wps:spPr>
                              <a:xfrm>
                                <a:off x="0" y="0"/>
                                <a:ext cx="145915" cy="145915"/>
                              </a:xfrm>
                              <a:prstGeom prst="flowChartConnector">
                                <a:avLst/>
                              </a:prstGeom>
                              <a:solidFill>
                                <a:srgbClr val="66FF66"/>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841545" id="Flowchart: Connector 1" o:spid="_x0000_s1026" type="#_x0000_t120" style="position:absolute;margin-left:18.2pt;margin-top:-19.25pt;width:11.5pt;height:11.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e8YmfQIAAFQFAAAOAAAAZHJzL2Uyb0RvYy54bWysVEtv2zAMvg/YfxB0X20HSbYGdYogRYYB&#10;RVu0HXpWZCk2IIsapbz260fJjhN0ww7DLjJpkh/fvLk9tIbtFPoGbMmLq5wzZSVUjd2U/Pvr6tMX&#10;znwQthIGrCr5UXl+O//44WbvZmoENZhKISMQ62d7V/I6BDfLMi9r1Qp/BU5ZEmrAVgRicZNVKPaE&#10;3ppslOfTbA9YOQSpvKe/d52QzxO+1kqGR629CsyUnGIL6cX0ruObzW/EbIPC1Y3swxD/EEUrGktO&#10;B6g7EQTbYvMbVNtIBA86XEloM9C6kSrlQNkU+btsXmrhVMqFiuPdUCb//2Dlw+7FPSGVYe/8zBMZ&#10;szhobOOX4mOHVKzjUCx1CEzSz2I8uS4mnEkS9TShZGdjhz58VdCySJRcG9gva4FhCdZSXwBTwcTu&#10;3ofO8GQQPXswTbVqjEkMbtZLg2wnqIvT6Wo1ncbGka8LteycQKLC0ahobOyz0qypKORR8phmSw14&#10;QkplQ9GJalGpzk0xyfM0HtFLnMZokXwmwIisKbwBuwc4aXYgJ+wu2F4/mqo0moNx/rfAOuPBInkG&#10;GwbjtrF9LYc4O++Gsuo9d/oU/kVpIrmG6viEDKFbDO/kqqFu3QsfngTSJtDO0HaHR3piA0sOPcVZ&#10;DfjzT/+jPg0oSTnb02aV3P/YClScmW+WRve6GI/jKiZmPPk8IgYvJetLid22S6C2F3RHnExk1A/m&#10;RGqE9o2OwCJ6JZGwknyXXAY8McvQbTydEakWi6RG6+dEuLcvTkbwWNU4f6+HN4GuH9lAs/4Apy0U&#10;s3ez2ulGSwuLbQDdpEE+17WvN61uGpz+zMTbcMknrfMxnP8CAAD//wMAUEsDBBQABgAIAAAAIQA5&#10;l4GA4QAAAAkBAAAPAAAAZHJzL2Rvd25yZXYueG1sTI9NS8NAEIbvgv9hGcFbu6k1pcZsigp+QMHS&#10;DyjettkxCe7Ohuw2jf76jic9zjsP7zyTLwZnRY9daDwpmIwTEEilNw1VCnbb59EcRIiajLaeUME3&#10;BlgUlxe5zow/0Rr7TawEl1DItII6xjaTMpQ1Oh3GvkXi3afvnI48dpU0nT5xubPyJklm0umG+EKt&#10;W3yqsfzaHJ2CD9+9v9h+hcN6vw+PP2+vy+WOlLq+Gh7uQUQc4h8Mv/qsDgU7HfyRTBBWwXR2y6SC&#10;0XSegmAgvePgwMEkTUEWufz/QXEGAAD//wMAUEsBAi0AFAAGAAgAAAAhALaDOJL+AAAA4QEAABMA&#10;AAAAAAAAAAAAAAAAAAAAAFtDb250ZW50X1R5cGVzXS54bWxQSwECLQAUAAYACAAAACEAOP0h/9YA&#10;AACUAQAACwAAAAAAAAAAAAAAAAAvAQAAX3JlbHMvLnJlbHNQSwECLQAUAAYACAAAACEA6nvGJn0C&#10;AABUBQAADgAAAAAAAAAAAAAAAAAuAgAAZHJzL2Uyb0RvYy54bWxQSwECLQAUAAYACAAAACEAOZeB&#10;gOEAAAAJAQAADwAAAAAAAAAAAAAAAADXBAAAZHJzL2Rvd25yZXYueG1sUEsFBgAAAAAEAAQA8wAA&#10;AOUFAAAAAA==&#10;" fillcolor="#6f6" strokecolor="#030e13 [484]" strokeweight="1pt">
                      <v:stroke joinstyle="miter"/>
                    </v:shape>
                  </w:pict>
                </mc:Fallback>
              </mc:AlternateContent>
            </w:r>
          </w:p>
          <w:p w14:paraId="0FDCC3B2" w14:textId="3183CF2E" w:rsidR="000B4756" w:rsidRPr="000B4756" w:rsidRDefault="000B4756" w:rsidP="000B4756">
            <w:pPr>
              <w:spacing w:line="360" w:lineRule="auto"/>
              <w:rPr>
                <w:rFonts w:ascii="Arial" w:hAnsi="Arial" w:cs="Arial"/>
                <w:color w:val="2B4F40"/>
              </w:rPr>
            </w:pPr>
            <w:r w:rsidRPr="006B616F">
              <w:rPr>
                <w:rFonts w:ascii="Arial" w:hAnsi="Arial" w:cs="Arial"/>
                <w:noProof/>
                <w:color w:val="2B4F40"/>
              </w:rPr>
              <mc:AlternateContent>
                <mc:Choice Requires="wps">
                  <w:drawing>
                    <wp:anchor distT="0" distB="0" distL="114300" distR="114300" simplePos="0" relativeHeight="251700224" behindDoc="0" locked="0" layoutInCell="1" allowOverlap="1" wp14:anchorId="14FC91CD" wp14:editId="2806B8A7">
                      <wp:simplePos x="0" y="0"/>
                      <wp:positionH relativeFrom="column">
                        <wp:posOffset>-7620</wp:posOffset>
                      </wp:positionH>
                      <wp:positionV relativeFrom="paragraph">
                        <wp:posOffset>4445</wp:posOffset>
                      </wp:positionV>
                      <wp:extent cx="145915" cy="145915"/>
                      <wp:effectExtent l="0" t="0" r="26035" b="26035"/>
                      <wp:wrapNone/>
                      <wp:docPr id="1188209845" name="Flowchart: Connector 1"/>
                      <wp:cNvGraphicFramePr/>
                      <a:graphic xmlns:a="http://schemas.openxmlformats.org/drawingml/2006/main">
                        <a:graphicData uri="http://schemas.microsoft.com/office/word/2010/wordprocessingShape">
                          <wps:wsp>
                            <wps:cNvSpPr/>
                            <wps:spPr>
                              <a:xfrm>
                                <a:off x="0" y="0"/>
                                <a:ext cx="145915" cy="145915"/>
                              </a:xfrm>
                              <a:prstGeom prst="flowChartConnector">
                                <a:avLst/>
                              </a:prstGeom>
                              <a:solidFill>
                                <a:srgbClr val="66FF66"/>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CC944C" id="Flowchart: Connector 1" o:spid="_x0000_s1026" type="#_x0000_t120" style="position:absolute;margin-left:-.6pt;margin-top:.35pt;width:11.5pt;height:11.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e8YmfQIAAFQFAAAOAAAAZHJzL2Uyb0RvYy54bWysVEtv2zAMvg/YfxB0X20HSbYGdYogRYYB&#10;RVu0HXpWZCk2IIsapbz260fJjhN0ww7DLjJpkh/fvLk9tIbtFPoGbMmLq5wzZSVUjd2U/Pvr6tMX&#10;znwQthIGrCr5UXl+O//44WbvZmoENZhKISMQ62d7V/I6BDfLMi9r1Qp/BU5ZEmrAVgRicZNVKPaE&#10;3ppslOfTbA9YOQSpvKe/d52QzxO+1kqGR629CsyUnGIL6cX0ruObzW/EbIPC1Y3swxD/EEUrGktO&#10;B6g7EQTbYvMbVNtIBA86XEloM9C6kSrlQNkU+btsXmrhVMqFiuPdUCb//2Dlw+7FPSGVYe/8zBMZ&#10;szhobOOX4mOHVKzjUCx1CEzSz2I8uS4mnEkS9TShZGdjhz58VdCySJRcG9gva4FhCdZSXwBTwcTu&#10;3ofO8GQQPXswTbVqjEkMbtZLg2wnqIvT6Wo1ncbGka8LteycQKLC0ahobOyz0qypKORR8phmSw14&#10;QkplQ9GJalGpzk0xyfM0HtFLnMZokXwmwIisKbwBuwc4aXYgJ+wu2F4/mqo0moNx/rfAOuPBInkG&#10;GwbjtrF9LYc4O++Gsuo9d/oU/kVpIrmG6viEDKFbDO/kqqFu3QsfngTSJtDO0HaHR3piA0sOPcVZ&#10;DfjzT/+jPg0oSTnb02aV3P/YClScmW+WRve6GI/jKiZmPPk8IgYvJetLid22S6C2F3RHnExk1A/m&#10;RGqE9o2OwCJ6JZGwknyXXAY8McvQbTydEakWi6RG6+dEuLcvTkbwWNU4f6+HN4GuH9lAs/4Apy0U&#10;s3ez2ulGSwuLbQDdpEE+17WvN61uGpz+zMTbcMknrfMxnP8CAAD//wMAUEsDBBQABgAIAAAAIQBN&#10;km8U3QAAAAUBAAAPAAAAZHJzL2Rvd25yZXYueG1sTI9PS8NAEMXvgt9hGcFbu0kEKzGbooJ/oGBp&#10;LRRv2+yYBHdnw+42jX56x5OeHsN7vPebajk5K0YMsfekIJ9nIJAab3pqFezeHmc3IGLSZLT1hAq+&#10;MMKyPj+rdGn8iTY4blMruIRiqRV0KQ2llLHp0Ok49wMSex8+OJ34DK00QZ+43FlZZNm1dLonXuj0&#10;gA8dNp/bo1Pw7sPrkx3XOG32+3j//fK8Wu1IqcuL6e4WRMIp/YXhF5/RoWamgz+SicIqmOUFJxUs&#10;QLBb5PzHgfVqAbKu5H/6+gcAAP//AwBQSwECLQAUAAYACAAAACEAtoM4kv4AAADhAQAAEwAAAAAA&#10;AAAAAAAAAAAAAAAAW0NvbnRlbnRfVHlwZXNdLnhtbFBLAQItABQABgAIAAAAIQA4/SH/1gAAAJQB&#10;AAALAAAAAAAAAAAAAAAAAC8BAABfcmVscy8ucmVsc1BLAQItABQABgAIAAAAIQDqe8YmfQIAAFQF&#10;AAAOAAAAAAAAAAAAAAAAAC4CAABkcnMvZTJvRG9jLnhtbFBLAQItABQABgAIAAAAIQBNkm8U3QAA&#10;AAUBAAAPAAAAAAAAAAAAAAAAANcEAABkcnMvZG93bnJldi54bWxQSwUGAAAAAAQABADzAAAA4QUA&#10;AAAA&#10;" fillcolor="#6f6" strokecolor="#030e13 [484]" strokeweight="1pt">
                      <v:stroke joinstyle="miter"/>
                    </v:shape>
                  </w:pict>
                </mc:Fallback>
              </mc:AlternateContent>
            </w:r>
          </w:p>
        </w:tc>
        <w:tc>
          <w:tcPr>
            <w:tcW w:w="1550" w:type="dxa"/>
            <w:shd w:val="clear" w:color="auto" w:fill="E7F5EE"/>
          </w:tcPr>
          <w:p w14:paraId="6B79F1DC" w14:textId="3972BA02" w:rsidR="000B4756" w:rsidRDefault="000B4756" w:rsidP="000B4756">
            <w:pPr>
              <w:spacing w:line="360" w:lineRule="auto"/>
              <w:rPr>
                <w:rFonts w:ascii="Arial" w:hAnsi="Arial" w:cs="Arial"/>
                <w:color w:val="2B4F40"/>
              </w:rPr>
            </w:pPr>
            <w:r w:rsidRPr="006B616F">
              <w:rPr>
                <w:rFonts w:ascii="Arial" w:hAnsi="Arial" w:cs="Arial"/>
                <w:noProof/>
                <w:color w:val="2B4F40"/>
              </w:rPr>
              <mc:AlternateContent>
                <mc:Choice Requires="wps">
                  <w:drawing>
                    <wp:anchor distT="0" distB="0" distL="114300" distR="114300" simplePos="0" relativeHeight="251677696" behindDoc="0" locked="0" layoutInCell="1" allowOverlap="1" wp14:anchorId="63E7DD7B" wp14:editId="7E6E9F26">
                      <wp:simplePos x="0" y="0"/>
                      <wp:positionH relativeFrom="column">
                        <wp:posOffset>25224</wp:posOffset>
                      </wp:positionH>
                      <wp:positionV relativeFrom="paragraph">
                        <wp:posOffset>-250609</wp:posOffset>
                      </wp:positionV>
                      <wp:extent cx="145915" cy="145915"/>
                      <wp:effectExtent l="0" t="0" r="26035" b="26035"/>
                      <wp:wrapNone/>
                      <wp:docPr id="695946759" name="Flowchart: Connector 1"/>
                      <wp:cNvGraphicFramePr/>
                      <a:graphic xmlns:a="http://schemas.openxmlformats.org/drawingml/2006/main">
                        <a:graphicData uri="http://schemas.microsoft.com/office/word/2010/wordprocessingShape">
                          <wps:wsp>
                            <wps:cNvSpPr/>
                            <wps:spPr>
                              <a:xfrm>
                                <a:off x="0" y="0"/>
                                <a:ext cx="145915" cy="145915"/>
                              </a:xfrm>
                              <a:prstGeom prst="flowChartConnector">
                                <a:avLst/>
                              </a:prstGeom>
                              <a:solidFill>
                                <a:srgbClr val="FFFF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8CFDEF" id="Flowchart: Connector 1" o:spid="_x0000_s1026" type="#_x0000_t120" style="position:absolute;margin-left:2pt;margin-top:-19.75pt;width:11.5pt;height:11.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bp36dwIAAFQFAAAOAAAAZHJzL2Uyb0RvYy54bWysVM1u2zAMvg/YOwi6r7aDZFuDOkWQIsOA&#10;oi3WDj0rshQbkEWNUuJkTz9KdpygG3YYloNCmuTHf97cHlrD9gp9A7bkxVXOmbISqsZuS/79Zf3h&#10;M2c+CFsJA1aV/Kg8v128f3fTubmaQA2mUsgIxPp550peh+DmWeZlrVrhr8ApS0IN2IpALG6zCkVH&#10;6K3JJnn+MesAK4cglff09a4X8kXC11rJ8Ki1V4GZklNsIb2Y3k18s8WNmG9RuLqRQxjiH6JoRWPJ&#10;6Qh1J4JgO2x+g2obieBBhysJbQZaN1KlHCibIn+TzXMtnEq5UHG8G8vk/x+sfNg/uyekMnTOzz2R&#10;MYuDxjb+U3zskIp1HIulDoFJ+lhMZ9fFjDNJooEmlOxs7NCHLwpaFomSawPdqhYYVmAt9QUwFUzs&#10;733oDU8G0bMH01TrxpjE4HazMsj2grq4pl+eGke+LtSycwKJCkejorGx35RmTUUhT5LHNFtqxBNS&#10;KhuKXlSLSvVuill+9hKnMVqk/BJgRNYU3og9AJw0e5ATdp/foB9NVRrN0Tj/W2C98WiRPIMNo3Hb&#10;2KGWbzIzlNXguden8C9KE8kNVMcnZAj9Yngn1w1161748CSQNoF2hrY7PNITG1hyGCjOasCff/oe&#10;9WlAScpZR5tVcv9jJ1BxZr5aGt3rYjqNq5iY6ezThBi8lGwuJXbXroDaXtAdcTKRUT+YE6kR2lc6&#10;AsvolUTCSvJdchnwxKxCv/F0RqRaLpMarZ8T4d4+OxnBY1Xj/L0cXgW6YWQDzfoDnLZQzN/Maq8b&#10;LS0sdwF0kwb5XNeh3rS6aXCGMxNvwyWftM7HcPELAAD//wMAUEsDBBQABgAIAAAAIQD9k9Gy3QAA&#10;AAgBAAAPAAAAZHJzL2Rvd25yZXYueG1sTI/BTsMwEETvSPyDtUjcWqctLRDiVAiJCzcSkDi68SYx&#10;2OsodtOUr2c5wXFnRrNviv3snZhwjDaQgtUyA4HUBGOpU/BWPy/uQMSkyWgXCBWcMcK+vLwodG7C&#10;iV5xqlInuIRirhX0KQ25lLHp0eu4DAMSe20YvU58jp00oz5xuXdynWU76bUl/tDrAZ96bL6qo1cw&#10;1VGePzaf31X3btvUJvvi6kqp66v58QFEwjn9heEXn9GhZKZDOJKJwim44SVJwWJzvwXB/vqWhQML&#10;q90WZFnI/wPKHwAAAP//AwBQSwECLQAUAAYACAAAACEAtoM4kv4AAADhAQAAEwAAAAAAAAAAAAAA&#10;AAAAAAAAW0NvbnRlbnRfVHlwZXNdLnhtbFBLAQItABQABgAIAAAAIQA4/SH/1gAAAJQBAAALAAAA&#10;AAAAAAAAAAAAAC8BAABfcmVscy8ucmVsc1BLAQItABQABgAIAAAAIQAkbp36dwIAAFQFAAAOAAAA&#10;AAAAAAAAAAAAAC4CAABkcnMvZTJvRG9jLnhtbFBLAQItABQABgAIAAAAIQD9k9Gy3QAAAAgBAAAP&#10;AAAAAAAAAAAAAAAAANEEAABkcnMvZG93bnJldi54bWxQSwUGAAAAAAQABADzAAAA2wUAAAAA&#10;" fillcolor="yellow" strokecolor="#030e13 [484]" strokeweight="1pt">
                      <v:stroke joinstyle="miter"/>
                    </v:shape>
                  </w:pict>
                </mc:Fallback>
              </mc:AlternateContent>
            </w:r>
          </w:p>
          <w:p w14:paraId="234C35A5" w14:textId="53723AF7" w:rsidR="000B4756" w:rsidRPr="000B4756" w:rsidRDefault="000B4756" w:rsidP="000B4756">
            <w:pPr>
              <w:spacing w:line="360" w:lineRule="auto"/>
              <w:rPr>
                <w:rFonts w:ascii="Arial" w:hAnsi="Arial" w:cs="Arial"/>
                <w:color w:val="2B4F40"/>
              </w:rPr>
            </w:pPr>
          </w:p>
        </w:tc>
        <w:tc>
          <w:tcPr>
            <w:tcW w:w="1188" w:type="dxa"/>
            <w:shd w:val="clear" w:color="auto" w:fill="E7F5EE"/>
          </w:tcPr>
          <w:p w14:paraId="63077F4E" w14:textId="67F8C4E0" w:rsidR="000B4756" w:rsidRDefault="000B4756" w:rsidP="000B4756">
            <w:pPr>
              <w:spacing w:line="360" w:lineRule="auto"/>
              <w:rPr>
                <w:rFonts w:ascii="Arial" w:hAnsi="Arial" w:cs="Arial"/>
                <w:color w:val="2B4F40"/>
              </w:rPr>
            </w:pPr>
            <w:r w:rsidRPr="006B616F">
              <w:rPr>
                <w:rFonts w:ascii="Arial" w:hAnsi="Arial" w:cs="Arial"/>
                <w:noProof/>
                <w:color w:val="2B4F40"/>
              </w:rPr>
              <mc:AlternateContent>
                <mc:Choice Requires="wps">
                  <w:drawing>
                    <wp:anchor distT="0" distB="0" distL="114300" distR="114300" simplePos="0" relativeHeight="251681792" behindDoc="0" locked="0" layoutInCell="1" allowOverlap="1" wp14:anchorId="570E58E8" wp14:editId="37915644">
                      <wp:simplePos x="0" y="0"/>
                      <wp:positionH relativeFrom="column">
                        <wp:posOffset>-5891</wp:posOffset>
                      </wp:positionH>
                      <wp:positionV relativeFrom="paragraph">
                        <wp:posOffset>-251258</wp:posOffset>
                      </wp:positionV>
                      <wp:extent cx="145915" cy="145915"/>
                      <wp:effectExtent l="0" t="0" r="26035" b="26035"/>
                      <wp:wrapNone/>
                      <wp:docPr id="1072023353" name="Flowchart: Connector 1"/>
                      <wp:cNvGraphicFramePr/>
                      <a:graphic xmlns:a="http://schemas.openxmlformats.org/drawingml/2006/main">
                        <a:graphicData uri="http://schemas.microsoft.com/office/word/2010/wordprocessingShape">
                          <wps:wsp>
                            <wps:cNvSpPr/>
                            <wps:spPr>
                              <a:xfrm>
                                <a:off x="0" y="0"/>
                                <a:ext cx="145915" cy="145915"/>
                              </a:xfrm>
                              <a:prstGeom prst="flowChartConnector">
                                <a:avLst/>
                              </a:prstGeom>
                              <a:solidFill>
                                <a:srgbClr val="FFFF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82767D" id="Flowchart: Connector 1" o:spid="_x0000_s1026" type="#_x0000_t120" style="position:absolute;margin-left:-.45pt;margin-top:-19.8pt;width:11.5pt;height:11.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bp36dwIAAFQFAAAOAAAAZHJzL2Uyb0RvYy54bWysVM1u2zAMvg/YOwi6r7aDZFuDOkWQIsOA&#10;oi3WDj0rshQbkEWNUuJkTz9KdpygG3YYloNCmuTHf97cHlrD9gp9A7bkxVXOmbISqsZuS/79Zf3h&#10;M2c+CFsJA1aV/Kg8v128f3fTubmaQA2mUsgIxPp550peh+DmWeZlrVrhr8ApS0IN2IpALG6zCkVH&#10;6K3JJnn+MesAK4cglff09a4X8kXC11rJ8Ki1V4GZklNsIb2Y3k18s8WNmG9RuLqRQxjiH6JoRWPJ&#10;6Qh1J4JgO2x+g2obieBBhysJbQZaN1KlHCibIn+TzXMtnEq5UHG8G8vk/x+sfNg/uyekMnTOzz2R&#10;MYuDxjb+U3zskIp1HIulDoFJ+lhMZ9fFjDNJooEmlOxs7NCHLwpaFomSawPdqhYYVmAt9QUwFUzs&#10;733oDU8G0bMH01TrxpjE4HazMsj2grq4pl+eGke+LtSycwKJCkejorGx35RmTUUhT5LHNFtqxBNS&#10;KhuKXlSLSvVuill+9hKnMVqk/BJgRNYU3og9AJw0e5ATdp/foB9NVRrN0Tj/W2C98WiRPIMNo3Hb&#10;2KGWbzIzlNXguden8C9KE8kNVMcnZAj9Yngn1w1161748CSQNoF2hrY7PNITG1hyGCjOasCff/oe&#10;9WlAScpZR5tVcv9jJ1BxZr5aGt3rYjqNq5iY6ezThBi8lGwuJXbXroDaXtAdcTKRUT+YE6kR2lc6&#10;AsvolUTCSvJdchnwxKxCv/F0RqRaLpMarZ8T4d4+OxnBY1Xj/L0cXgW6YWQDzfoDnLZQzN/Maq8b&#10;LS0sdwF0kwb5XNeh3rS6aXCGMxNvwyWftM7HcPELAAD//wMAUEsDBBQABgAIAAAAIQAUuvFZ3QAA&#10;AAgBAAAPAAAAZHJzL2Rvd25yZXYueG1sTI9BT8MwDIXvSPyHyEjctrSdVLHSdEJIXLjRgrRj1rht&#10;oHGqJus6fj3mBCfLfk/P3ysPqxvFgnOwnhSk2wQEUuuNpV7Be/OyeQARoiajR0+o4IoBDtXtTakL&#10;4y/0hksde8EhFAqtYIhxKqQM7YBOh62fkFjr/Ox05HXupZn1hcPdKLMkyaXTlvjDoCd8HrD9qs9O&#10;wdIEeT3uPr/r/sN2sYv2dWxqpe7v1qdHEBHX+GeGX3xGh4qZTv5MJohRwWbPRh67fQ6C9SxLQZz4&#10;kOY5yKqU/wtUPwAAAP//AwBQSwECLQAUAAYACAAAACEAtoM4kv4AAADhAQAAEwAAAAAAAAAAAAAA&#10;AAAAAAAAW0NvbnRlbnRfVHlwZXNdLnhtbFBLAQItABQABgAIAAAAIQA4/SH/1gAAAJQBAAALAAAA&#10;AAAAAAAAAAAAAC8BAABfcmVscy8ucmVsc1BLAQItABQABgAIAAAAIQAkbp36dwIAAFQFAAAOAAAA&#10;AAAAAAAAAAAAAC4CAABkcnMvZTJvRG9jLnhtbFBLAQItABQABgAIAAAAIQAUuvFZ3QAAAAgBAAAP&#10;AAAAAAAAAAAAAAAAANEEAABkcnMvZG93bnJldi54bWxQSwUGAAAAAAQABADzAAAA2wUAAAAA&#10;" fillcolor="yellow" strokecolor="#030e13 [484]" strokeweight="1pt">
                      <v:stroke joinstyle="miter"/>
                    </v:shape>
                  </w:pict>
                </mc:Fallback>
              </mc:AlternateContent>
            </w:r>
            <w:r w:rsidRPr="006B616F">
              <w:rPr>
                <w:rFonts w:ascii="Arial" w:hAnsi="Arial" w:cs="Arial"/>
                <w:noProof/>
                <w:color w:val="2B4F40"/>
              </w:rPr>
              <mc:AlternateContent>
                <mc:Choice Requires="wps">
                  <w:drawing>
                    <wp:anchor distT="0" distB="0" distL="114300" distR="114300" simplePos="0" relativeHeight="251683840" behindDoc="0" locked="0" layoutInCell="1" allowOverlap="1" wp14:anchorId="1AA2D6C9" wp14:editId="16A63BA0">
                      <wp:simplePos x="0" y="0"/>
                      <wp:positionH relativeFrom="column">
                        <wp:posOffset>254662</wp:posOffset>
                      </wp:positionH>
                      <wp:positionV relativeFrom="paragraph">
                        <wp:posOffset>-260971</wp:posOffset>
                      </wp:positionV>
                      <wp:extent cx="145915" cy="145915"/>
                      <wp:effectExtent l="0" t="0" r="26035" b="26035"/>
                      <wp:wrapNone/>
                      <wp:docPr id="89206262" name="Flowchart: Connector 1"/>
                      <wp:cNvGraphicFramePr/>
                      <a:graphic xmlns:a="http://schemas.openxmlformats.org/drawingml/2006/main">
                        <a:graphicData uri="http://schemas.microsoft.com/office/word/2010/wordprocessingShape">
                          <wps:wsp>
                            <wps:cNvSpPr/>
                            <wps:spPr>
                              <a:xfrm>
                                <a:off x="0" y="0"/>
                                <a:ext cx="145915" cy="145915"/>
                              </a:xfrm>
                              <a:prstGeom prst="flowChartConnector">
                                <a:avLst/>
                              </a:prstGeom>
                              <a:solidFill>
                                <a:srgbClr val="FFFF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E32AE1" id="Flowchart: Connector 1" o:spid="_x0000_s1026" type="#_x0000_t120" style="position:absolute;margin-left:20.05pt;margin-top:-20.55pt;width:11.5pt;height:11.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bp36dwIAAFQFAAAOAAAAZHJzL2Uyb0RvYy54bWysVM1u2zAMvg/YOwi6r7aDZFuDOkWQIsOA&#10;oi3WDj0rshQbkEWNUuJkTz9KdpygG3YYloNCmuTHf97cHlrD9gp9A7bkxVXOmbISqsZuS/79Zf3h&#10;M2c+CFsJA1aV/Kg8v128f3fTubmaQA2mUsgIxPp550peh+DmWeZlrVrhr8ApS0IN2IpALG6zCkVH&#10;6K3JJnn+MesAK4cglff09a4X8kXC11rJ8Ki1V4GZklNsIb2Y3k18s8WNmG9RuLqRQxjiH6JoRWPJ&#10;6Qh1J4JgO2x+g2obieBBhysJbQZaN1KlHCibIn+TzXMtnEq5UHG8G8vk/x+sfNg/uyekMnTOzz2R&#10;MYuDxjb+U3zskIp1HIulDoFJ+lhMZ9fFjDNJooEmlOxs7NCHLwpaFomSawPdqhYYVmAt9QUwFUzs&#10;733oDU8G0bMH01TrxpjE4HazMsj2grq4pl+eGke+LtSycwKJCkejorGx35RmTUUhT5LHNFtqxBNS&#10;KhuKXlSLSvVuill+9hKnMVqk/BJgRNYU3og9AJw0e5ATdp/foB9NVRrN0Tj/W2C98WiRPIMNo3Hb&#10;2KGWbzIzlNXguden8C9KE8kNVMcnZAj9Yngn1w1161748CSQNoF2hrY7PNITG1hyGCjOasCff/oe&#10;9WlAScpZR5tVcv9jJ1BxZr5aGt3rYjqNq5iY6ezThBi8lGwuJXbXroDaXtAdcTKRUT+YE6kR2lc6&#10;AsvolUTCSvJdchnwxKxCv/F0RqRaLpMarZ8T4d4+OxnBY1Xj/L0cXgW6YWQDzfoDnLZQzN/Maq8b&#10;LS0sdwF0kwb5XNeh3rS6aXCGMxNvwyWftM7HcPELAAD//wMAUEsDBBQABgAIAAAAIQB7iucT3AAA&#10;AAkBAAAPAAAAZHJzL2Rvd25yZXYueG1sTI/LTsMwEEX3SPyDNUjsWse0qqoQp0JIbNiRgNSlG08e&#10;YI+j2E1Tvp5hBat5Xd17pjgs3okZpzgE0qDWGQikJtiBOg3v9ctqDyImQ9a4QKjhihEO5e1NYXIb&#10;LvSGc5U6wSYUc6OhT2nMpYxNj97EdRiR+NaGyZvE49RJO5kLm3snH7JsJ70ZiBN6M+Jzj81XdfYa&#10;5jrK63Hz+V11H0Ob2jS8urrS+v5ueXoEkXBJf2L4xWd0KJnpFM5ko3AatplipYbVVnHDgt2G64kX&#10;aq9AloX8/0H5AwAA//8DAFBLAQItABQABgAIAAAAIQC2gziS/gAAAOEBAAATAAAAAAAAAAAAAAAA&#10;AAAAAABbQ29udGVudF9UeXBlc10ueG1sUEsBAi0AFAAGAAgAAAAhADj9If/WAAAAlAEAAAsAAAAA&#10;AAAAAAAAAAAALwEAAF9yZWxzLy5yZWxzUEsBAi0AFAAGAAgAAAAhACRunfp3AgAAVAUAAA4AAAAA&#10;AAAAAAAAAAAALgIAAGRycy9lMm9Eb2MueG1sUEsBAi0AFAAGAAgAAAAhAHuK5xPcAAAACQEAAA8A&#10;AAAAAAAAAAAAAAAA0QQAAGRycy9kb3ducmV2LnhtbFBLBQYAAAAABAAEAPMAAADaBQAAAAA=&#10;" fillcolor="yellow" strokecolor="#030e13 [484]" strokeweight="1pt">
                      <v:stroke joinstyle="miter"/>
                    </v:shape>
                  </w:pict>
                </mc:Fallback>
              </mc:AlternateContent>
            </w:r>
          </w:p>
          <w:p w14:paraId="3DB2B456" w14:textId="3C08B215" w:rsidR="000B4756" w:rsidRPr="000B4756" w:rsidRDefault="000B4756" w:rsidP="000B4756">
            <w:pPr>
              <w:spacing w:line="360" w:lineRule="auto"/>
              <w:rPr>
                <w:rFonts w:ascii="Arial" w:hAnsi="Arial" w:cs="Arial"/>
                <w:color w:val="2B4F40"/>
              </w:rPr>
            </w:pPr>
            <w:r w:rsidRPr="006B616F">
              <w:rPr>
                <w:rFonts w:ascii="Arial" w:hAnsi="Arial" w:cs="Arial"/>
                <w:noProof/>
                <w:color w:val="2B4F40"/>
              </w:rPr>
              <mc:AlternateContent>
                <mc:Choice Requires="wps">
                  <w:drawing>
                    <wp:anchor distT="0" distB="0" distL="114300" distR="114300" simplePos="0" relativeHeight="251694080" behindDoc="0" locked="0" layoutInCell="1" allowOverlap="1" wp14:anchorId="22A7F2EB" wp14:editId="201ED3F3">
                      <wp:simplePos x="0" y="0"/>
                      <wp:positionH relativeFrom="column">
                        <wp:posOffset>-5080</wp:posOffset>
                      </wp:positionH>
                      <wp:positionV relativeFrom="paragraph">
                        <wp:posOffset>4445</wp:posOffset>
                      </wp:positionV>
                      <wp:extent cx="145915" cy="145915"/>
                      <wp:effectExtent l="0" t="0" r="26035" b="26035"/>
                      <wp:wrapNone/>
                      <wp:docPr id="243681192" name="Flowchart: Connector 1"/>
                      <wp:cNvGraphicFramePr/>
                      <a:graphic xmlns:a="http://schemas.openxmlformats.org/drawingml/2006/main">
                        <a:graphicData uri="http://schemas.microsoft.com/office/word/2010/wordprocessingShape">
                          <wps:wsp>
                            <wps:cNvSpPr/>
                            <wps:spPr>
                              <a:xfrm>
                                <a:off x="0" y="0"/>
                                <a:ext cx="145915" cy="145915"/>
                              </a:xfrm>
                              <a:prstGeom prst="flowChartConnector">
                                <a:avLst/>
                              </a:prstGeom>
                              <a:solidFill>
                                <a:srgbClr val="FFFF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27F305" id="Flowchart: Connector 1" o:spid="_x0000_s1026" type="#_x0000_t120" style="position:absolute;margin-left:-.4pt;margin-top:.35pt;width:11.5pt;height:11.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bp36dwIAAFQFAAAOAAAAZHJzL2Uyb0RvYy54bWysVM1u2zAMvg/YOwi6r7aDZFuDOkWQIsOA&#10;oi3WDj0rshQbkEWNUuJkTz9KdpygG3YYloNCmuTHf97cHlrD9gp9A7bkxVXOmbISqsZuS/79Zf3h&#10;M2c+CFsJA1aV/Kg8v128f3fTubmaQA2mUsgIxPp550peh+DmWeZlrVrhr8ApS0IN2IpALG6zCkVH&#10;6K3JJnn+MesAK4cglff09a4X8kXC11rJ8Ki1V4GZklNsIb2Y3k18s8WNmG9RuLqRQxjiH6JoRWPJ&#10;6Qh1J4JgO2x+g2obieBBhysJbQZaN1KlHCibIn+TzXMtnEq5UHG8G8vk/x+sfNg/uyekMnTOzz2R&#10;MYuDxjb+U3zskIp1HIulDoFJ+lhMZ9fFjDNJooEmlOxs7NCHLwpaFomSawPdqhYYVmAt9QUwFUzs&#10;733oDU8G0bMH01TrxpjE4HazMsj2grq4pl+eGke+LtSycwKJCkejorGx35RmTUUhT5LHNFtqxBNS&#10;KhuKXlSLSvVuill+9hKnMVqk/BJgRNYU3og9AJw0e5ATdp/foB9NVRrN0Tj/W2C98WiRPIMNo3Hb&#10;2KGWbzIzlNXguden8C9KE8kNVMcnZAj9Yngn1w1161748CSQNoF2hrY7PNITG1hyGCjOasCff/oe&#10;9WlAScpZR5tVcv9jJ1BxZr5aGt3rYjqNq5iY6ezThBi8lGwuJXbXroDaXtAdcTKRUT+YE6kR2lc6&#10;AsvolUTCSvJdchnwxKxCv/F0RqRaLpMarZ8T4d4+OxnBY1Xj/L0cXgW6YWQDzfoDnLZQzN/Maq8b&#10;LS0sdwF0kwb5XNeh3rS6aXCGMxNvwyWftM7HcPELAAD//wMAUEsDBBQABgAIAAAAIQC+DkOf2QAA&#10;AAQBAAAPAAAAZHJzL2Rvd25yZXYueG1sTM7BTsMwDAbgOxLvEBmJG0vppA2VphNC4sKNFqQds8Zt&#10;A4lTNV7X8fTLTnCyrN/6/ZW7xTsx4xRtIAWPqwwEUhuMpV7BZ/P28AQisiajXSBUcMYIu+r2ptSF&#10;CSf6wLnmXqQSioVWMDCPhZSxHdDruAojUsq6MHnNaZ16aSZ9SuXeyTzLNtJrS+nDoEd8HbD9qY9e&#10;wdxEed6vv3/r/st23LF9d02t1P3d8vIMgnHhv2O48hMdqmQ6hCOZKJyCK5wVbEGkMM9zEIc011uQ&#10;VSn/46sLAAAA//8DAFBLAQItABQABgAIAAAAIQC2gziS/gAAAOEBAAATAAAAAAAAAAAAAAAAAAAA&#10;AABbQ29udGVudF9UeXBlc10ueG1sUEsBAi0AFAAGAAgAAAAhADj9If/WAAAAlAEAAAsAAAAAAAAA&#10;AAAAAAAALwEAAF9yZWxzLy5yZWxzUEsBAi0AFAAGAAgAAAAhACRunfp3AgAAVAUAAA4AAAAAAAAA&#10;AAAAAAAALgIAAGRycy9lMm9Eb2MueG1sUEsBAi0AFAAGAAgAAAAhAL4OQ5/ZAAAABAEAAA8AAAAA&#10;AAAAAAAAAAAA0QQAAGRycy9kb3ducmV2LnhtbFBLBQYAAAAABAAEAPMAAADXBQAAAAA=&#10;" fillcolor="yellow" strokecolor="#030e13 [484]" strokeweight="1pt">
                      <v:stroke joinstyle="miter"/>
                    </v:shape>
                  </w:pict>
                </mc:Fallback>
              </mc:AlternateContent>
            </w:r>
          </w:p>
        </w:tc>
        <w:tc>
          <w:tcPr>
            <w:tcW w:w="1623" w:type="dxa"/>
            <w:shd w:val="clear" w:color="auto" w:fill="E7F5EE"/>
          </w:tcPr>
          <w:p w14:paraId="12C0E090" w14:textId="1C5182A2" w:rsidR="000B4756" w:rsidRDefault="000B4756" w:rsidP="000B4756">
            <w:pPr>
              <w:spacing w:line="360" w:lineRule="auto"/>
              <w:rPr>
                <w:rFonts w:ascii="Arial" w:hAnsi="Arial" w:cs="Arial"/>
                <w:color w:val="2B4F40"/>
              </w:rPr>
            </w:pPr>
            <w:r w:rsidRPr="006B616F">
              <w:rPr>
                <w:rFonts w:ascii="Arial" w:hAnsi="Arial" w:cs="Arial"/>
                <w:noProof/>
                <w:color w:val="2B4F40"/>
              </w:rPr>
              <mc:AlternateContent>
                <mc:Choice Requires="wps">
                  <w:drawing>
                    <wp:anchor distT="0" distB="0" distL="114300" distR="114300" simplePos="0" relativeHeight="251673600" behindDoc="0" locked="0" layoutInCell="1" allowOverlap="1" wp14:anchorId="1904C53A" wp14:editId="4E698ED5">
                      <wp:simplePos x="0" y="0"/>
                      <wp:positionH relativeFrom="column">
                        <wp:posOffset>239220</wp:posOffset>
                      </wp:positionH>
                      <wp:positionV relativeFrom="paragraph">
                        <wp:posOffset>-255460</wp:posOffset>
                      </wp:positionV>
                      <wp:extent cx="145915" cy="145915"/>
                      <wp:effectExtent l="0" t="0" r="26035" b="26035"/>
                      <wp:wrapNone/>
                      <wp:docPr id="741389976" name="Flowchart: Connector 1"/>
                      <wp:cNvGraphicFramePr/>
                      <a:graphic xmlns:a="http://schemas.openxmlformats.org/drawingml/2006/main">
                        <a:graphicData uri="http://schemas.microsoft.com/office/word/2010/wordprocessingShape">
                          <wps:wsp>
                            <wps:cNvSpPr/>
                            <wps:spPr>
                              <a:xfrm>
                                <a:off x="0" y="0"/>
                                <a:ext cx="145915" cy="145915"/>
                              </a:xfrm>
                              <a:prstGeom prst="flowChartConnector">
                                <a:avLst/>
                              </a:prstGeom>
                              <a:solidFill>
                                <a:srgbClr val="66FF66"/>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ECAA4A" id="Flowchart: Connector 1" o:spid="_x0000_s1026" type="#_x0000_t120" style="position:absolute;margin-left:18.85pt;margin-top:-20.1pt;width:11.5pt;height:11.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e8YmfQIAAFQFAAAOAAAAZHJzL2Uyb0RvYy54bWysVEtv2zAMvg/YfxB0X20HSbYGdYogRYYB&#10;RVu0HXpWZCk2IIsapbz260fJjhN0ww7DLjJpkh/fvLk9tIbtFPoGbMmLq5wzZSVUjd2U/Pvr6tMX&#10;znwQthIGrCr5UXl+O//44WbvZmoENZhKISMQ62d7V/I6BDfLMi9r1Qp/BU5ZEmrAVgRicZNVKPaE&#10;3ppslOfTbA9YOQSpvKe/d52QzxO+1kqGR629CsyUnGIL6cX0ruObzW/EbIPC1Y3swxD/EEUrGktO&#10;B6g7EQTbYvMbVNtIBA86XEloM9C6kSrlQNkU+btsXmrhVMqFiuPdUCb//2Dlw+7FPSGVYe/8zBMZ&#10;szhobOOX4mOHVKzjUCx1CEzSz2I8uS4mnEkS9TShZGdjhz58VdCySJRcG9gva4FhCdZSXwBTwcTu&#10;3ofO8GQQPXswTbVqjEkMbtZLg2wnqIvT6Wo1ncbGka8LteycQKLC0ahobOyz0qypKORR8phmSw14&#10;QkplQ9GJalGpzk0xyfM0HtFLnMZokXwmwIisKbwBuwc4aXYgJ+wu2F4/mqo0moNx/rfAOuPBInkG&#10;GwbjtrF9LYc4O++Gsuo9d/oU/kVpIrmG6viEDKFbDO/kqqFu3QsfngTSJtDO0HaHR3piA0sOPcVZ&#10;DfjzT/+jPg0oSTnb02aV3P/YClScmW+WRve6GI/jKiZmPPk8IgYvJetLid22S6C2F3RHnExk1A/m&#10;RGqE9o2OwCJ6JZGwknyXXAY8McvQbTydEakWi6RG6+dEuLcvTkbwWNU4f6+HN4GuH9lAs/4Apy0U&#10;s3ez2ulGSwuLbQDdpEE+17WvN61uGpz+zMTbcMknrfMxnP8CAAD//wMAUEsDBBQABgAIAAAAIQB6&#10;wpld4QAAAAkBAAAPAAAAZHJzL2Rvd25yZXYueG1sTI9NS8NAEIbvgv9hGcFbu9sojcRsigp+QKHS&#10;Dyi9bZMxCWZnw+42jf56x5Me552Hd57JF6PtxIA+tI40zKYKBFLpqpZqDbvt8+QORIiGKtM5Qg1f&#10;GGBRXF7kJqvcmdY4bGItuIRCZjQ0MfaZlKFs0JowdT0S7z6ctyby6GtZeXPmctvJRKm5tKYlvtCY&#10;Hp8aLD83J6vh4PzqpRvecVzv9+Hx++11udyR1tdX48M9iIhj/IPhV5/VoWCnoztRFUSn4SZNmdQw&#10;uVUJCAbmioMjB7M0AVnk8v8HxQ8AAAD//wMAUEsBAi0AFAAGAAgAAAAhALaDOJL+AAAA4QEAABMA&#10;AAAAAAAAAAAAAAAAAAAAAFtDb250ZW50X1R5cGVzXS54bWxQSwECLQAUAAYACAAAACEAOP0h/9YA&#10;AACUAQAACwAAAAAAAAAAAAAAAAAvAQAAX3JlbHMvLnJlbHNQSwECLQAUAAYACAAAACEA6nvGJn0C&#10;AABUBQAADgAAAAAAAAAAAAAAAAAuAgAAZHJzL2Uyb0RvYy54bWxQSwECLQAUAAYACAAAACEAesKZ&#10;XeEAAAAJAQAADwAAAAAAAAAAAAAAAADXBAAAZHJzL2Rvd25yZXYueG1sUEsFBgAAAAAEAAQA8wAA&#10;AOUFAAAAAA==&#10;" fillcolor="#6f6" strokecolor="#030e13 [484]" strokeweight="1pt">
                      <v:stroke joinstyle="miter"/>
                    </v:shape>
                  </w:pict>
                </mc:Fallback>
              </mc:AlternateContent>
            </w:r>
          </w:p>
          <w:p w14:paraId="0BBD2654" w14:textId="1D988FA9" w:rsidR="000B4756" w:rsidRPr="000B4756" w:rsidRDefault="000B4756" w:rsidP="000B4756">
            <w:pPr>
              <w:spacing w:line="360" w:lineRule="auto"/>
              <w:rPr>
                <w:rFonts w:ascii="Arial" w:hAnsi="Arial" w:cs="Arial"/>
                <w:color w:val="2B4F40"/>
              </w:rPr>
            </w:pPr>
          </w:p>
        </w:tc>
      </w:tr>
      <w:tr w:rsidR="000B4756" w:rsidRPr="000B4756" w14:paraId="35F8C324" w14:textId="77777777" w:rsidTr="00614EEA">
        <w:tc>
          <w:tcPr>
            <w:tcW w:w="1327" w:type="dxa"/>
            <w:shd w:val="clear" w:color="auto" w:fill="E7F5EE"/>
          </w:tcPr>
          <w:p w14:paraId="6DABFBB5" w14:textId="051F6A5C" w:rsidR="000B4756" w:rsidRPr="000B4756" w:rsidRDefault="000B4756" w:rsidP="000B4756">
            <w:pPr>
              <w:spacing w:line="360" w:lineRule="auto"/>
              <w:rPr>
                <w:rFonts w:ascii="Arial" w:hAnsi="Arial" w:cs="Arial"/>
                <w:color w:val="2B4F40"/>
              </w:rPr>
            </w:pPr>
            <w:r w:rsidRPr="000B4756">
              <w:rPr>
                <w:rFonts w:ascii="Arial" w:hAnsi="Arial" w:cs="Arial"/>
                <w:color w:val="2B4F40"/>
              </w:rPr>
              <w:t>Low Importance</w:t>
            </w:r>
          </w:p>
        </w:tc>
        <w:tc>
          <w:tcPr>
            <w:tcW w:w="1197" w:type="dxa"/>
            <w:shd w:val="clear" w:color="auto" w:fill="E7F5EE"/>
          </w:tcPr>
          <w:p w14:paraId="79E43747" w14:textId="055CF696" w:rsidR="000B4756" w:rsidRPr="000B4756" w:rsidRDefault="000B4756" w:rsidP="000B4756">
            <w:pPr>
              <w:spacing w:line="360" w:lineRule="auto"/>
              <w:rPr>
                <w:rFonts w:ascii="Arial" w:hAnsi="Arial" w:cs="Arial"/>
                <w:color w:val="2B4F40"/>
              </w:rPr>
            </w:pPr>
            <w:r w:rsidRPr="006B616F">
              <w:rPr>
                <w:rFonts w:ascii="Arial" w:hAnsi="Arial" w:cs="Arial"/>
                <w:noProof/>
                <w:color w:val="2B4F40"/>
              </w:rPr>
              <mc:AlternateContent>
                <mc:Choice Requires="wps">
                  <w:drawing>
                    <wp:anchor distT="0" distB="0" distL="114300" distR="114300" simplePos="0" relativeHeight="251687936" behindDoc="0" locked="0" layoutInCell="1" allowOverlap="1" wp14:anchorId="198A775F" wp14:editId="3FBC38D8">
                      <wp:simplePos x="0" y="0"/>
                      <wp:positionH relativeFrom="column">
                        <wp:posOffset>247136</wp:posOffset>
                      </wp:positionH>
                      <wp:positionV relativeFrom="paragraph">
                        <wp:posOffset>-245813</wp:posOffset>
                      </wp:positionV>
                      <wp:extent cx="145915" cy="145915"/>
                      <wp:effectExtent l="0" t="0" r="26035" b="26035"/>
                      <wp:wrapNone/>
                      <wp:docPr id="470186651" name="Flowchart: Connector 1"/>
                      <wp:cNvGraphicFramePr/>
                      <a:graphic xmlns:a="http://schemas.openxmlformats.org/drawingml/2006/main">
                        <a:graphicData uri="http://schemas.microsoft.com/office/word/2010/wordprocessingShape">
                          <wps:wsp>
                            <wps:cNvSpPr/>
                            <wps:spPr>
                              <a:xfrm>
                                <a:off x="0" y="0"/>
                                <a:ext cx="145915" cy="145915"/>
                              </a:xfrm>
                              <a:prstGeom prst="flowChartConnector">
                                <a:avLst/>
                              </a:prstGeom>
                              <a:solidFill>
                                <a:srgbClr val="FFFF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407C20" id="Flowchart: Connector 1" o:spid="_x0000_s1026" type="#_x0000_t120" style="position:absolute;margin-left:19.45pt;margin-top:-19.35pt;width:11.5pt;height:11.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bp36dwIAAFQFAAAOAAAAZHJzL2Uyb0RvYy54bWysVM1u2zAMvg/YOwi6r7aDZFuDOkWQIsOA&#10;oi3WDj0rshQbkEWNUuJkTz9KdpygG3YYloNCmuTHf97cHlrD9gp9A7bkxVXOmbISqsZuS/79Zf3h&#10;M2c+CFsJA1aV/Kg8v128f3fTubmaQA2mUsgIxPp550peh+DmWeZlrVrhr8ApS0IN2IpALG6zCkVH&#10;6K3JJnn+MesAK4cglff09a4X8kXC11rJ8Ki1V4GZklNsIb2Y3k18s8WNmG9RuLqRQxjiH6JoRWPJ&#10;6Qh1J4JgO2x+g2obieBBhysJbQZaN1KlHCibIn+TzXMtnEq5UHG8G8vk/x+sfNg/uyekMnTOzz2R&#10;MYuDxjb+U3zskIp1HIulDoFJ+lhMZ9fFjDNJooEmlOxs7NCHLwpaFomSawPdqhYYVmAt9QUwFUzs&#10;733oDU8G0bMH01TrxpjE4HazMsj2grq4pl+eGke+LtSycwKJCkejorGx35RmTUUhT5LHNFtqxBNS&#10;KhuKXlSLSvVuill+9hKnMVqk/BJgRNYU3og9AJw0e5ATdp/foB9NVRrN0Tj/W2C98WiRPIMNo3Hb&#10;2KGWbzIzlNXguden8C9KE8kNVMcnZAj9Yngn1w1161748CSQNoF2hrY7PNITG1hyGCjOasCff/oe&#10;9WlAScpZR5tVcv9jJ1BxZr5aGt3rYjqNq5iY6ezThBi8lGwuJXbXroDaXtAdcTKRUT+YE6kR2lc6&#10;AsvolUTCSvJdchnwxKxCv/F0RqRaLpMarZ8T4d4+OxnBY1Xj/L0cXgW6YWQDzfoDnLZQzN/Maq8b&#10;LS0sdwF0kwb5XNeh3rS6aXCGMxNvwyWftM7HcPELAAD//wMAUEsDBBQABgAIAAAAIQAT2lLh3gAA&#10;AAkBAAAPAAAAZHJzL2Rvd25yZXYueG1sTI9NT4NAEIbvJv6HzZh4axcktogsjTHx4k2oicctO8C2&#10;+0HYLaX+eseTHuedJ+88U+4Wa9iMU9DeCUjXCTB0rVfa9QL2zdsqBxaidEoa71DAFQPsqtubUhbK&#10;X9wHznXsGZW4UEgBQ4xjwXloB7QyrP2Ijnadn6yMNE49V5O8ULk1/CFJNtxK7ejCIEd8HbA91Wcr&#10;YG4Cv35lx++6/9Rd7KJ+N00txP3d8vIMLOIS/2D41Sd1qMjp4M9OBWYEZPkTkQJWWb4FRsAmpeBA&#10;Qfq4BV6V/P8H1Q8AAAD//wMAUEsBAi0AFAAGAAgAAAAhALaDOJL+AAAA4QEAABMAAAAAAAAAAAAA&#10;AAAAAAAAAFtDb250ZW50X1R5cGVzXS54bWxQSwECLQAUAAYACAAAACEAOP0h/9YAAACUAQAACwAA&#10;AAAAAAAAAAAAAAAvAQAAX3JlbHMvLnJlbHNQSwECLQAUAAYACAAAACEAJG6d+ncCAABUBQAADgAA&#10;AAAAAAAAAAAAAAAuAgAAZHJzL2Uyb0RvYy54bWxQSwECLQAUAAYACAAAACEAE9pS4d4AAAAJAQAA&#10;DwAAAAAAAAAAAAAAAADRBAAAZHJzL2Rvd25yZXYueG1sUEsFBgAAAAAEAAQA8wAAANwFAAAAAA==&#10;" fillcolor="yellow" strokecolor="#030e13 [484]" strokeweight="1pt">
                      <v:stroke joinstyle="miter"/>
                    </v:shape>
                  </w:pict>
                </mc:Fallback>
              </mc:AlternateContent>
            </w:r>
          </w:p>
        </w:tc>
        <w:tc>
          <w:tcPr>
            <w:tcW w:w="1277" w:type="dxa"/>
            <w:shd w:val="clear" w:color="auto" w:fill="E7F5EE"/>
          </w:tcPr>
          <w:p w14:paraId="4329879E" w14:textId="26379E31" w:rsidR="000B4756" w:rsidRPr="000B4756" w:rsidRDefault="000B4756" w:rsidP="000B4756">
            <w:pPr>
              <w:spacing w:line="360" w:lineRule="auto"/>
              <w:rPr>
                <w:rFonts w:ascii="Arial" w:hAnsi="Arial" w:cs="Arial"/>
                <w:color w:val="2B4F40"/>
              </w:rPr>
            </w:pPr>
          </w:p>
        </w:tc>
        <w:tc>
          <w:tcPr>
            <w:tcW w:w="1188" w:type="dxa"/>
            <w:shd w:val="clear" w:color="auto" w:fill="E7F5EE"/>
          </w:tcPr>
          <w:p w14:paraId="2B4496BC" w14:textId="28AFE8A3" w:rsidR="000B4756" w:rsidRPr="000B4756" w:rsidRDefault="000B4756" w:rsidP="000B4756">
            <w:pPr>
              <w:spacing w:line="360" w:lineRule="auto"/>
              <w:rPr>
                <w:rFonts w:ascii="Arial" w:hAnsi="Arial" w:cs="Arial"/>
                <w:color w:val="2B4F40"/>
              </w:rPr>
            </w:pPr>
            <w:r w:rsidRPr="006B616F">
              <w:rPr>
                <w:rFonts w:ascii="Arial" w:hAnsi="Arial" w:cs="Arial"/>
                <w:noProof/>
                <w:color w:val="2B4F40"/>
              </w:rPr>
              <mc:AlternateContent>
                <mc:Choice Requires="wps">
                  <w:drawing>
                    <wp:anchor distT="0" distB="0" distL="114300" distR="114300" simplePos="0" relativeHeight="251702272" behindDoc="0" locked="0" layoutInCell="1" allowOverlap="1" wp14:anchorId="5846CE6C" wp14:editId="52247003">
                      <wp:simplePos x="0" y="0"/>
                      <wp:positionH relativeFrom="column">
                        <wp:posOffset>251785</wp:posOffset>
                      </wp:positionH>
                      <wp:positionV relativeFrom="paragraph">
                        <wp:posOffset>-245813</wp:posOffset>
                      </wp:positionV>
                      <wp:extent cx="145915" cy="145915"/>
                      <wp:effectExtent l="0" t="0" r="26035" b="26035"/>
                      <wp:wrapNone/>
                      <wp:docPr id="122954279" name="Flowchart: Connector 1"/>
                      <wp:cNvGraphicFramePr/>
                      <a:graphic xmlns:a="http://schemas.openxmlformats.org/drawingml/2006/main">
                        <a:graphicData uri="http://schemas.microsoft.com/office/word/2010/wordprocessingShape">
                          <wps:wsp>
                            <wps:cNvSpPr/>
                            <wps:spPr>
                              <a:xfrm>
                                <a:off x="0" y="0"/>
                                <a:ext cx="145915" cy="145915"/>
                              </a:xfrm>
                              <a:prstGeom prst="flowChartConnector">
                                <a:avLst/>
                              </a:prstGeom>
                              <a:solidFill>
                                <a:srgbClr val="66FF66"/>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2C709D" id="Flowchart: Connector 1" o:spid="_x0000_s1026" type="#_x0000_t120" style="position:absolute;margin-left:19.85pt;margin-top:-19.35pt;width:11.5pt;height:11.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e8YmfQIAAFQFAAAOAAAAZHJzL2Uyb0RvYy54bWysVEtv2zAMvg/YfxB0X20HSbYGdYogRYYB&#10;RVu0HXpWZCk2IIsapbz260fJjhN0ww7DLjJpkh/fvLk9tIbtFPoGbMmLq5wzZSVUjd2U/Pvr6tMX&#10;znwQthIGrCr5UXl+O//44WbvZmoENZhKISMQ62d7V/I6BDfLMi9r1Qp/BU5ZEmrAVgRicZNVKPaE&#10;3ppslOfTbA9YOQSpvKe/d52QzxO+1kqGR629CsyUnGIL6cX0ruObzW/EbIPC1Y3swxD/EEUrGktO&#10;B6g7EQTbYvMbVNtIBA86XEloM9C6kSrlQNkU+btsXmrhVMqFiuPdUCb//2Dlw+7FPSGVYe/8zBMZ&#10;szhobOOX4mOHVKzjUCx1CEzSz2I8uS4mnEkS9TShZGdjhz58VdCySJRcG9gva4FhCdZSXwBTwcTu&#10;3ofO8GQQPXswTbVqjEkMbtZLg2wnqIvT6Wo1ncbGka8LteycQKLC0ahobOyz0qypKORR8phmSw14&#10;QkplQ9GJalGpzk0xyfM0HtFLnMZokXwmwIisKbwBuwc4aXYgJ+wu2F4/mqo0moNx/rfAOuPBInkG&#10;GwbjtrF9LYc4O++Gsuo9d/oU/kVpIrmG6viEDKFbDO/kqqFu3QsfngTSJtDO0HaHR3piA0sOPcVZ&#10;DfjzT/+jPg0oSTnb02aV3P/YClScmW+WRve6GI/jKiZmPPk8IgYvJetLid22S6C2F3RHnExk1A/m&#10;RGqE9o2OwCJ6JZGwknyXXAY8McvQbTydEakWi6RG6+dEuLcvTkbwWNU4f6+HN4GuH9lAs/4Apy0U&#10;s3ez2ulGSwuLbQDdpEE+17WvN61uGpz+zMTbcMknrfMxnP8CAAD//wMAUEsDBBQABgAIAAAAIQBl&#10;2Gab4QAAAAkBAAAPAAAAZHJzL2Rvd25yZXYueG1sTI9bSwMxEIXfBf9DGMG3NtsW27putqjgBQpK&#10;a6H4lm7G3cVksiTpdvXXOz7p09wO53xTrAZnRY8htp4UTMYZCKTKm5ZqBbu3h9ESREyajLaeUMEX&#10;RliV52eFzo0/0Qb7baoFm1DMtYImpS6XMlYNOh3HvkPi24cPTiceQy1N0Cc2d1ZOs2wunW6JExrd&#10;4X2D1ef26BS8+/DyaPtXHDb7fbz7fn5ar3ek1OXFcHsDIuGQ/sTwi8/oUDLTwR/JRGEVzK4XrFQw&#10;mi25YcF8yvXAi8nVAmRZyP8flD8AAAD//wMAUEsBAi0AFAAGAAgAAAAhALaDOJL+AAAA4QEAABMA&#10;AAAAAAAAAAAAAAAAAAAAAFtDb250ZW50X1R5cGVzXS54bWxQSwECLQAUAAYACAAAACEAOP0h/9YA&#10;AACUAQAACwAAAAAAAAAAAAAAAAAvAQAAX3JlbHMvLnJlbHNQSwECLQAUAAYACAAAACEA6nvGJn0C&#10;AABUBQAADgAAAAAAAAAAAAAAAAAuAgAAZHJzL2Uyb0RvYy54bWxQSwECLQAUAAYACAAAACEAZdhm&#10;m+EAAAAJAQAADwAAAAAAAAAAAAAAAADXBAAAZHJzL2Rvd25yZXYueG1sUEsFBgAAAAAEAAQA8wAA&#10;AOUFAAAAAA==&#10;" fillcolor="#6f6" strokecolor="#030e13 [484]" strokeweight="1pt">
                      <v:stroke joinstyle="miter"/>
                    </v:shape>
                  </w:pict>
                </mc:Fallback>
              </mc:AlternateContent>
            </w:r>
          </w:p>
        </w:tc>
        <w:tc>
          <w:tcPr>
            <w:tcW w:w="1550" w:type="dxa"/>
            <w:shd w:val="clear" w:color="auto" w:fill="E7F5EE"/>
          </w:tcPr>
          <w:p w14:paraId="01577814" w14:textId="75A6C5AE" w:rsidR="000B4756" w:rsidRPr="000B4756" w:rsidRDefault="000B4756" w:rsidP="000B4756">
            <w:pPr>
              <w:spacing w:line="360" w:lineRule="auto"/>
              <w:rPr>
                <w:rFonts w:ascii="Arial" w:hAnsi="Arial" w:cs="Arial"/>
                <w:color w:val="2B4F40"/>
              </w:rPr>
            </w:pPr>
            <w:r w:rsidRPr="006B616F">
              <w:rPr>
                <w:rFonts w:ascii="Arial" w:hAnsi="Arial" w:cs="Arial"/>
                <w:noProof/>
                <w:color w:val="2B4F40"/>
              </w:rPr>
              <mc:AlternateContent>
                <mc:Choice Requires="wps">
                  <w:drawing>
                    <wp:anchor distT="0" distB="0" distL="114300" distR="114300" simplePos="0" relativeHeight="251696128" behindDoc="0" locked="0" layoutInCell="1" allowOverlap="1" wp14:anchorId="017A456A" wp14:editId="1F529A98">
                      <wp:simplePos x="0" y="0"/>
                      <wp:positionH relativeFrom="column">
                        <wp:posOffset>298220</wp:posOffset>
                      </wp:positionH>
                      <wp:positionV relativeFrom="paragraph">
                        <wp:posOffset>-251690</wp:posOffset>
                      </wp:positionV>
                      <wp:extent cx="145915" cy="145915"/>
                      <wp:effectExtent l="0" t="0" r="26035" b="26035"/>
                      <wp:wrapNone/>
                      <wp:docPr id="2007211399" name="Flowchart: Connector 1"/>
                      <wp:cNvGraphicFramePr/>
                      <a:graphic xmlns:a="http://schemas.openxmlformats.org/drawingml/2006/main">
                        <a:graphicData uri="http://schemas.microsoft.com/office/word/2010/wordprocessingShape">
                          <wps:wsp>
                            <wps:cNvSpPr/>
                            <wps:spPr>
                              <a:xfrm>
                                <a:off x="0" y="0"/>
                                <a:ext cx="145915" cy="145915"/>
                              </a:xfrm>
                              <a:prstGeom prst="flowChartConnector">
                                <a:avLst/>
                              </a:prstGeom>
                              <a:solidFill>
                                <a:srgbClr val="FFFF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1A1CCE" id="Flowchart: Connector 1" o:spid="_x0000_s1026" type="#_x0000_t120" style="position:absolute;margin-left:23.5pt;margin-top:-19.8pt;width:11.5pt;height:11.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bp36dwIAAFQFAAAOAAAAZHJzL2Uyb0RvYy54bWysVM1u2zAMvg/YOwi6r7aDZFuDOkWQIsOA&#10;oi3WDj0rshQbkEWNUuJkTz9KdpygG3YYloNCmuTHf97cHlrD9gp9A7bkxVXOmbISqsZuS/79Zf3h&#10;M2c+CFsJA1aV/Kg8v128f3fTubmaQA2mUsgIxPp550peh+DmWeZlrVrhr8ApS0IN2IpALG6zCkVH&#10;6K3JJnn+MesAK4cglff09a4X8kXC11rJ8Ki1V4GZklNsIb2Y3k18s8WNmG9RuLqRQxjiH6JoRWPJ&#10;6Qh1J4JgO2x+g2obieBBhysJbQZaN1KlHCibIn+TzXMtnEq5UHG8G8vk/x+sfNg/uyekMnTOzz2R&#10;MYuDxjb+U3zskIp1HIulDoFJ+lhMZ9fFjDNJooEmlOxs7NCHLwpaFomSawPdqhYYVmAt9QUwFUzs&#10;733oDU8G0bMH01TrxpjE4HazMsj2grq4pl+eGke+LtSycwKJCkejorGx35RmTUUhT5LHNFtqxBNS&#10;KhuKXlSLSvVuill+9hKnMVqk/BJgRNYU3og9AJw0e5ATdp/foB9NVRrN0Tj/W2C98WiRPIMNo3Hb&#10;2KGWbzIzlNXguden8C9KE8kNVMcnZAj9Yngn1w1161748CSQNoF2hrY7PNITG1hyGCjOasCff/oe&#10;9WlAScpZR5tVcv9jJ1BxZr5aGt3rYjqNq5iY6ezThBi8lGwuJXbXroDaXtAdcTKRUT+YE6kR2lc6&#10;AsvolUTCSvJdchnwxKxCv/F0RqRaLpMarZ8T4d4+OxnBY1Xj/L0cXgW6YWQDzfoDnLZQzN/Maq8b&#10;LS0sdwF0kwb5XNeh3rS6aXCGMxNvwyWftM7HcPELAAD//wMAUEsDBBQABgAIAAAAIQDhoClJ3QAA&#10;AAkBAAAPAAAAZHJzL2Rvd25yZXYueG1sTI/BTsMwEETvSPyDtUjcWqcUpRDiVAiJCzcSkDi68SYx&#10;2OsodtOUr2c5wXFnRzNvyv3inZhxijaQgs06A4HUBmOpV/DWPK/uQMSkyWgXCBWcMcK+urwodWHC&#10;iV5xrlMvOIRioRUMKY2FlLEd0Ou4DiMS/7oweZ34nHppJn3icO/kTZbl0mtL3DDoEZ8GbL/qo1cw&#10;N1GeP7af33X/brvUJfvimlqp66vl8QFEwiX9meEXn9GhYqZDOJKJwim43fGUpGC1vc9BsGGXsXBg&#10;YZPnIKtS/l9Q/QAAAP//AwBQSwECLQAUAAYACAAAACEAtoM4kv4AAADhAQAAEwAAAAAAAAAAAAAA&#10;AAAAAAAAW0NvbnRlbnRfVHlwZXNdLnhtbFBLAQItABQABgAIAAAAIQA4/SH/1gAAAJQBAAALAAAA&#10;AAAAAAAAAAAAAC8BAABfcmVscy8ucmVsc1BLAQItABQABgAIAAAAIQAkbp36dwIAAFQFAAAOAAAA&#10;AAAAAAAAAAAAAC4CAABkcnMvZTJvRG9jLnhtbFBLAQItABQABgAIAAAAIQDhoClJ3QAAAAkBAAAP&#10;AAAAAAAAAAAAAAAAANEEAABkcnMvZG93bnJldi54bWxQSwUGAAAAAAQABADzAAAA2wUAAAAA&#10;" fillcolor="yellow" strokecolor="#030e13 [484]" strokeweight="1pt">
                      <v:stroke joinstyle="miter"/>
                    </v:shape>
                  </w:pict>
                </mc:Fallback>
              </mc:AlternateContent>
            </w:r>
            <w:r w:rsidRPr="006B616F">
              <w:rPr>
                <w:rFonts w:ascii="Arial" w:hAnsi="Arial" w:cs="Arial"/>
                <w:noProof/>
                <w:color w:val="2B4F40"/>
              </w:rPr>
              <mc:AlternateContent>
                <mc:Choice Requires="wps">
                  <w:drawing>
                    <wp:anchor distT="0" distB="0" distL="114300" distR="114300" simplePos="0" relativeHeight="251698176" behindDoc="0" locked="0" layoutInCell="1" allowOverlap="1" wp14:anchorId="1160AB86" wp14:editId="72F6D17E">
                      <wp:simplePos x="0" y="0"/>
                      <wp:positionH relativeFrom="column">
                        <wp:posOffset>32385</wp:posOffset>
                      </wp:positionH>
                      <wp:positionV relativeFrom="paragraph">
                        <wp:posOffset>-245313</wp:posOffset>
                      </wp:positionV>
                      <wp:extent cx="145915" cy="145915"/>
                      <wp:effectExtent l="0" t="0" r="26035" b="26035"/>
                      <wp:wrapNone/>
                      <wp:docPr id="1808865295" name="Flowchart: Connector 1"/>
                      <wp:cNvGraphicFramePr/>
                      <a:graphic xmlns:a="http://schemas.openxmlformats.org/drawingml/2006/main">
                        <a:graphicData uri="http://schemas.microsoft.com/office/word/2010/wordprocessingShape">
                          <wps:wsp>
                            <wps:cNvSpPr/>
                            <wps:spPr>
                              <a:xfrm>
                                <a:off x="0" y="0"/>
                                <a:ext cx="145915" cy="145915"/>
                              </a:xfrm>
                              <a:prstGeom prst="flowChartConnector">
                                <a:avLst/>
                              </a:prstGeom>
                              <a:solidFill>
                                <a:srgbClr val="66FF66"/>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5EF062" id="Flowchart: Connector 1" o:spid="_x0000_s1026" type="#_x0000_t120" style="position:absolute;margin-left:2.55pt;margin-top:-19.3pt;width:11.5pt;height:11.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e8YmfQIAAFQFAAAOAAAAZHJzL2Uyb0RvYy54bWysVEtv2zAMvg/YfxB0X20HSbYGdYogRYYB&#10;RVu0HXpWZCk2IIsapbz260fJjhN0ww7DLjJpkh/fvLk9tIbtFPoGbMmLq5wzZSVUjd2U/Pvr6tMX&#10;znwQthIGrCr5UXl+O//44WbvZmoENZhKISMQ62d7V/I6BDfLMi9r1Qp/BU5ZEmrAVgRicZNVKPaE&#10;3ppslOfTbA9YOQSpvKe/d52QzxO+1kqGR629CsyUnGIL6cX0ruObzW/EbIPC1Y3swxD/EEUrGktO&#10;B6g7EQTbYvMbVNtIBA86XEloM9C6kSrlQNkU+btsXmrhVMqFiuPdUCb//2Dlw+7FPSGVYe/8zBMZ&#10;szhobOOX4mOHVKzjUCx1CEzSz2I8uS4mnEkS9TShZGdjhz58VdCySJRcG9gva4FhCdZSXwBTwcTu&#10;3ofO8GQQPXswTbVqjEkMbtZLg2wnqIvT6Wo1ncbGka8LteycQKLC0ahobOyz0qypKORR8phmSw14&#10;QkplQ9GJalGpzk0xyfM0HtFLnMZokXwmwIisKbwBuwc4aXYgJ+wu2F4/mqo0moNx/rfAOuPBInkG&#10;GwbjtrF9LYc4O++Gsuo9d/oU/kVpIrmG6viEDKFbDO/kqqFu3QsfngTSJtDO0HaHR3piA0sOPcVZ&#10;DfjzT/+jPg0oSTnb02aV3P/YClScmW+WRve6GI/jKiZmPPk8IgYvJetLid22S6C2F3RHnExk1A/m&#10;RGqE9o2OwCJ6JZGwknyXXAY8McvQbTydEakWi6RG6+dEuLcvTkbwWNU4f6+HN4GuH9lAs/4Apy0U&#10;s3ez2ulGSwuLbQDdpEE+17WvN61uGpz+zMTbcMknrfMxnP8CAAD//wMAUEsDBBQABgAIAAAAIQAS&#10;mGUs4AAAAAgBAAAPAAAAZHJzL2Rvd25yZXYueG1sTI9PS8NAEMXvgt9hGcFbu0mlIcRsigr+gYKl&#10;tVC8bZMxCe7Oht1tGv30jic9znuPN79XriZrxIg+9I4UpPMEBFLtmp5aBfu3x1kOIkRNjTaOUMEX&#10;BlhVlxelLhp3pi2Ou9gKLqFQaAVdjEMhZag7tDrM3YDE3ofzVkc+fSsbr89cbo1cJEkmre6JP3R6&#10;wIcO68/dySp4d/71yYwbnLaHQ7j/fnler/ek1PXVdHcLIuIU/8Lwi8/oUDHT0Z2oCcIoWKYcVDC7&#10;yTMQ7C9yFo4spMsMZFXK/wOqHwAAAP//AwBQSwECLQAUAAYACAAAACEAtoM4kv4AAADhAQAAEwAA&#10;AAAAAAAAAAAAAAAAAAAAW0NvbnRlbnRfVHlwZXNdLnhtbFBLAQItABQABgAIAAAAIQA4/SH/1gAA&#10;AJQBAAALAAAAAAAAAAAAAAAAAC8BAABfcmVscy8ucmVsc1BLAQItABQABgAIAAAAIQDqe8YmfQIA&#10;AFQFAAAOAAAAAAAAAAAAAAAAAC4CAABkcnMvZTJvRG9jLnhtbFBLAQItABQABgAIAAAAIQASmGUs&#10;4AAAAAgBAAAPAAAAAAAAAAAAAAAAANcEAABkcnMvZG93bnJldi54bWxQSwUGAAAAAAQABADzAAAA&#10;5AUAAAAA&#10;" fillcolor="#6f6" strokecolor="#030e13 [484]" strokeweight="1pt">
                      <v:stroke joinstyle="miter"/>
                    </v:shape>
                  </w:pict>
                </mc:Fallback>
              </mc:AlternateContent>
            </w:r>
          </w:p>
        </w:tc>
        <w:tc>
          <w:tcPr>
            <w:tcW w:w="1188" w:type="dxa"/>
            <w:shd w:val="clear" w:color="auto" w:fill="E7F5EE"/>
          </w:tcPr>
          <w:p w14:paraId="13A63936" w14:textId="13CED2A8" w:rsidR="000B4756" w:rsidRPr="000B4756" w:rsidRDefault="000B4756" w:rsidP="000B4756">
            <w:pPr>
              <w:spacing w:line="360" w:lineRule="auto"/>
              <w:rPr>
                <w:rFonts w:ascii="Arial" w:hAnsi="Arial" w:cs="Arial"/>
                <w:color w:val="2B4F40"/>
              </w:rPr>
            </w:pPr>
          </w:p>
        </w:tc>
        <w:tc>
          <w:tcPr>
            <w:tcW w:w="1623" w:type="dxa"/>
            <w:shd w:val="clear" w:color="auto" w:fill="E7F5EE"/>
          </w:tcPr>
          <w:p w14:paraId="6AED8AF5" w14:textId="00CC11A0" w:rsidR="000B4756" w:rsidRPr="000B4756" w:rsidRDefault="000B4756" w:rsidP="000B4756">
            <w:pPr>
              <w:spacing w:line="360" w:lineRule="auto"/>
              <w:rPr>
                <w:rFonts w:ascii="Arial" w:hAnsi="Arial" w:cs="Arial"/>
                <w:color w:val="2B4F40"/>
              </w:rPr>
            </w:pPr>
            <w:r w:rsidRPr="006B616F">
              <w:rPr>
                <w:rFonts w:ascii="Arial" w:hAnsi="Arial" w:cs="Arial"/>
                <w:noProof/>
                <w:color w:val="2B4F40"/>
              </w:rPr>
              <mc:AlternateContent>
                <mc:Choice Requires="wps">
                  <w:drawing>
                    <wp:anchor distT="0" distB="0" distL="114300" distR="114300" simplePos="0" relativeHeight="251689984" behindDoc="0" locked="0" layoutInCell="1" allowOverlap="1" wp14:anchorId="4C5A7DA8" wp14:editId="0E8B7E08">
                      <wp:simplePos x="0" y="0"/>
                      <wp:positionH relativeFrom="column">
                        <wp:posOffset>-635</wp:posOffset>
                      </wp:positionH>
                      <wp:positionV relativeFrom="paragraph">
                        <wp:posOffset>-281481</wp:posOffset>
                      </wp:positionV>
                      <wp:extent cx="145915" cy="145915"/>
                      <wp:effectExtent l="0" t="0" r="26035" b="26035"/>
                      <wp:wrapNone/>
                      <wp:docPr id="2129856621" name="Flowchart: Connector 1"/>
                      <wp:cNvGraphicFramePr/>
                      <a:graphic xmlns:a="http://schemas.openxmlformats.org/drawingml/2006/main">
                        <a:graphicData uri="http://schemas.microsoft.com/office/word/2010/wordprocessingShape">
                          <wps:wsp>
                            <wps:cNvSpPr/>
                            <wps:spPr>
                              <a:xfrm>
                                <a:off x="0" y="0"/>
                                <a:ext cx="145915" cy="145915"/>
                              </a:xfrm>
                              <a:prstGeom prst="flowChartConnector">
                                <a:avLst/>
                              </a:prstGeom>
                              <a:solidFill>
                                <a:srgbClr val="FFFF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474F94" id="Flowchart: Connector 1" o:spid="_x0000_s1026" type="#_x0000_t120" style="position:absolute;margin-left:-.05pt;margin-top:-22.15pt;width:11.5pt;height:11.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bp36dwIAAFQFAAAOAAAAZHJzL2Uyb0RvYy54bWysVM1u2zAMvg/YOwi6r7aDZFuDOkWQIsOA&#10;oi3WDj0rshQbkEWNUuJkTz9KdpygG3YYloNCmuTHf97cHlrD9gp9A7bkxVXOmbISqsZuS/79Zf3h&#10;M2c+CFsJA1aV/Kg8v128f3fTubmaQA2mUsgIxPp550peh+DmWeZlrVrhr8ApS0IN2IpALG6zCkVH&#10;6K3JJnn+MesAK4cglff09a4X8kXC11rJ8Ki1V4GZklNsIb2Y3k18s8WNmG9RuLqRQxjiH6JoRWPJ&#10;6Qh1J4JgO2x+g2obieBBhysJbQZaN1KlHCibIn+TzXMtnEq5UHG8G8vk/x+sfNg/uyekMnTOzz2R&#10;MYuDxjb+U3zskIp1HIulDoFJ+lhMZ9fFjDNJooEmlOxs7NCHLwpaFomSawPdqhYYVmAt9QUwFUzs&#10;733oDU8G0bMH01TrxpjE4HazMsj2grq4pl+eGke+LtSycwKJCkejorGx35RmTUUhT5LHNFtqxBNS&#10;KhuKXlSLSvVuill+9hKnMVqk/BJgRNYU3og9AJw0e5ATdp/foB9NVRrN0Tj/W2C98WiRPIMNo3Hb&#10;2KGWbzIzlNXguden8C9KE8kNVMcnZAj9Yngn1w1161748CSQNoF2hrY7PNITG1hyGCjOasCff/oe&#10;9WlAScpZR5tVcv9jJ1BxZr5aGt3rYjqNq5iY6ezThBi8lGwuJXbXroDaXtAdcTKRUT+YE6kR2lc6&#10;AsvolUTCSvJdchnwxKxCv/F0RqRaLpMarZ8T4d4+OxnBY1Xj/L0cXgW6YWQDzfoDnLZQzN/Maq8b&#10;LS0sdwF0kwb5XNeh3rS6aXCGMxNvwyWftM7HcPELAAD//wMAUEsDBBQABgAIAAAAIQBhNxVl3QAA&#10;AAgBAAAPAAAAZHJzL2Rvd25yZXYueG1sTI9LT8MwEITvSPwHa5G4tc6jQhDiVAiJCzcSKnF0480D&#10;7HUUu2nKr2c5wWm1O6PZb8r96qxYcA6jJwXpNgGB1HozUq/gvXnZ3IMIUZPR1hMquGCAfXV9VerC&#10;+DO94VLHXnAIhUIrGGKcCilDO6DTYesnJNY6PzsdeZ17aWZ95nBnZZYkd9LpkfjDoCd8HrD9qk9O&#10;wdIEefnIP7/r/jB2sYvjq21qpW5v1qdHEBHX+GeGX3xGh4qZjv5EJgirYJOykcdul4NgPcseQBz5&#10;kKU5yKqU/wtUPwAAAP//AwBQSwECLQAUAAYACAAAACEAtoM4kv4AAADhAQAAEwAAAAAAAAAAAAAA&#10;AAAAAAAAW0NvbnRlbnRfVHlwZXNdLnhtbFBLAQItABQABgAIAAAAIQA4/SH/1gAAAJQBAAALAAAA&#10;AAAAAAAAAAAAAC8BAABfcmVscy8ucmVsc1BLAQItABQABgAIAAAAIQAkbp36dwIAAFQFAAAOAAAA&#10;AAAAAAAAAAAAAC4CAABkcnMvZTJvRG9jLnhtbFBLAQItABQABgAIAAAAIQBhNxVl3QAAAAgBAAAP&#10;AAAAAAAAAAAAAAAAANEEAABkcnMvZG93bnJldi54bWxQSwUGAAAAAAQABADzAAAA2wUAAAAA&#10;" fillcolor="yellow" strokecolor="#030e13 [484]" strokeweight="1pt">
                      <v:stroke joinstyle="miter"/>
                    </v:shape>
                  </w:pict>
                </mc:Fallback>
              </mc:AlternateContent>
            </w:r>
            <w:r w:rsidRPr="006B616F">
              <w:rPr>
                <w:rFonts w:ascii="Arial" w:hAnsi="Arial" w:cs="Arial"/>
                <w:noProof/>
                <w:color w:val="2B4F40"/>
              </w:rPr>
              <mc:AlternateContent>
                <mc:Choice Requires="wps">
                  <w:drawing>
                    <wp:anchor distT="0" distB="0" distL="114300" distR="114300" simplePos="0" relativeHeight="251692032" behindDoc="0" locked="0" layoutInCell="1" allowOverlap="1" wp14:anchorId="2A260F40" wp14:editId="67C7510F">
                      <wp:simplePos x="0" y="0"/>
                      <wp:positionH relativeFrom="column">
                        <wp:posOffset>239314</wp:posOffset>
                      </wp:positionH>
                      <wp:positionV relativeFrom="paragraph">
                        <wp:posOffset>-274995</wp:posOffset>
                      </wp:positionV>
                      <wp:extent cx="145915" cy="145915"/>
                      <wp:effectExtent l="0" t="0" r="26035" b="26035"/>
                      <wp:wrapNone/>
                      <wp:docPr id="747910420" name="Flowchart: Connector 1"/>
                      <wp:cNvGraphicFramePr/>
                      <a:graphic xmlns:a="http://schemas.openxmlformats.org/drawingml/2006/main">
                        <a:graphicData uri="http://schemas.microsoft.com/office/word/2010/wordprocessingShape">
                          <wps:wsp>
                            <wps:cNvSpPr/>
                            <wps:spPr>
                              <a:xfrm>
                                <a:off x="0" y="0"/>
                                <a:ext cx="145915" cy="145915"/>
                              </a:xfrm>
                              <a:prstGeom prst="flowChartConnector">
                                <a:avLst/>
                              </a:prstGeom>
                              <a:solidFill>
                                <a:srgbClr val="FFFF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3D8027" id="Flowchart: Connector 1" o:spid="_x0000_s1026" type="#_x0000_t120" style="position:absolute;margin-left:18.85pt;margin-top:-21.65pt;width:11.5pt;height:11.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bp36dwIAAFQFAAAOAAAAZHJzL2Uyb0RvYy54bWysVM1u2zAMvg/YOwi6r7aDZFuDOkWQIsOA&#10;oi3WDj0rshQbkEWNUuJkTz9KdpygG3YYloNCmuTHf97cHlrD9gp9A7bkxVXOmbISqsZuS/79Zf3h&#10;M2c+CFsJA1aV/Kg8v128f3fTubmaQA2mUsgIxPp550peh+DmWeZlrVrhr8ApS0IN2IpALG6zCkVH&#10;6K3JJnn+MesAK4cglff09a4X8kXC11rJ8Ki1V4GZklNsIb2Y3k18s8WNmG9RuLqRQxjiH6JoRWPJ&#10;6Qh1J4JgO2x+g2obieBBhysJbQZaN1KlHCibIn+TzXMtnEq5UHG8G8vk/x+sfNg/uyekMnTOzz2R&#10;MYuDxjb+U3zskIp1HIulDoFJ+lhMZ9fFjDNJooEmlOxs7NCHLwpaFomSawPdqhYYVmAt9QUwFUzs&#10;733oDU8G0bMH01TrxpjE4HazMsj2grq4pl+eGke+LtSycwKJCkejorGx35RmTUUhT5LHNFtqxBNS&#10;KhuKXlSLSvVuill+9hKnMVqk/BJgRNYU3og9AJw0e5ATdp/foB9NVRrN0Tj/W2C98WiRPIMNo3Hb&#10;2KGWbzIzlNXguden8C9KE8kNVMcnZAj9Yngn1w1161748CSQNoF2hrY7PNITG1hyGCjOasCff/oe&#10;9WlAScpZR5tVcv9jJ1BxZr5aGt3rYjqNq5iY6ezThBi8lGwuJXbXroDaXtAdcTKRUT+YE6kR2lc6&#10;AsvolUTCSvJdchnwxKxCv/F0RqRaLpMarZ8T4d4+OxnBY1Xj/L0cXgW6YWQDzfoDnLZQzN/Maq8b&#10;LS0sdwF0kwb5XNeh3rS6aXCGMxNvwyWftM7HcPELAAD//wMAUEsDBBQABgAIAAAAIQAFNaYU3QAA&#10;AAkBAAAPAAAAZHJzL2Rvd25yZXYueG1sTI/LTsMwEEX3SPyDNUjsWpsatSjEqRASG3YkVGLpxpPE&#10;4EcUu2nK1zOsYDl3ju6cKfeLd2zGKdkYFNytBTAMbTQ29Arem5fVA7CUdTDaxYAKLphgX11flbow&#10;8RzecK5zz6gkpEIrGHIeC85TO6DXaR1HDLTr4uR1pnHquZn0mcq94xshttxrG+jCoEd8HrD9qk9e&#10;wdwkfvmQn991f7Bd7rJ9dU2t1O3N8vQILOOS/2D41Sd1qMjpGE/BJOYUyN2OSAWreymBEbAVFBwp&#10;2AgJvCr5/w+qHwAAAP//AwBQSwECLQAUAAYACAAAACEAtoM4kv4AAADhAQAAEwAAAAAAAAAAAAAA&#10;AAAAAAAAW0NvbnRlbnRfVHlwZXNdLnhtbFBLAQItABQABgAIAAAAIQA4/SH/1gAAAJQBAAALAAAA&#10;AAAAAAAAAAAAAC8BAABfcmVscy8ucmVsc1BLAQItABQABgAIAAAAIQAkbp36dwIAAFQFAAAOAAAA&#10;AAAAAAAAAAAAAC4CAABkcnMvZTJvRG9jLnhtbFBLAQItABQABgAIAAAAIQAFNaYU3QAAAAkBAAAP&#10;AAAAAAAAAAAAAAAAANEEAABkcnMvZG93bnJldi54bWxQSwUGAAAAAAQABADzAAAA2wUAAAAA&#10;" fillcolor="yellow" strokecolor="#030e13 [484]" strokeweight="1pt">
                      <v:stroke joinstyle="miter"/>
                    </v:shape>
                  </w:pict>
                </mc:Fallback>
              </mc:AlternateContent>
            </w:r>
          </w:p>
        </w:tc>
      </w:tr>
    </w:tbl>
    <w:p w14:paraId="07A1B39D" w14:textId="77777777" w:rsidR="00835E00" w:rsidRPr="003B13C2" w:rsidRDefault="00835E00" w:rsidP="003B13C2">
      <w:pPr>
        <w:spacing w:line="360" w:lineRule="auto"/>
        <w:rPr>
          <w:rFonts w:ascii="Arial" w:hAnsi="Arial" w:cs="Arial"/>
          <w:color w:val="2B4F40"/>
        </w:rPr>
      </w:pPr>
      <w:r w:rsidRPr="003B13C2">
        <w:rPr>
          <w:rFonts w:ascii="Arial" w:hAnsi="Arial" w:cs="Arial"/>
          <w:color w:val="2B4F40"/>
        </w:rPr>
        <w:t>Legend:</w:t>
      </w:r>
    </w:p>
    <w:p w14:paraId="184F205D" w14:textId="6A0B1D6E" w:rsidR="000B4756" w:rsidRPr="003B13C2" w:rsidRDefault="000B4756" w:rsidP="003B13C2">
      <w:pPr>
        <w:spacing w:line="360" w:lineRule="auto"/>
        <w:rPr>
          <w:rFonts w:ascii="Arial" w:hAnsi="Arial" w:cs="Arial"/>
          <w:color w:val="2B4F40"/>
        </w:rPr>
      </w:pPr>
      <w:r w:rsidRPr="003B13C2">
        <w:rPr>
          <w:rFonts w:ascii="Arial" w:hAnsi="Arial" w:cs="Arial"/>
          <w:noProof/>
          <w:color w:val="2B4F40"/>
        </w:rPr>
        <mc:AlternateContent>
          <mc:Choice Requires="wps">
            <w:drawing>
              <wp:anchor distT="0" distB="0" distL="114300" distR="114300" simplePos="0" relativeHeight="251660288" behindDoc="0" locked="0" layoutInCell="1" allowOverlap="1" wp14:anchorId="2FBA88EE" wp14:editId="461B203D">
                <wp:simplePos x="0" y="0"/>
                <wp:positionH relativeFrom="column">
                  <wp:posOffset>0</wp:posOffset>
                </wp:positionH>
                <wp:positionV relativeFrom="paragraph">
                  <wp:posOffset>0</wp:posOffset>
                </wp:positionV>
                <wp:extent cx="145915" cy="145915"/>
                <wp:effectExtent l="0" t="0" r="26035" b="26035"/>
                <wp:wrapNone/>
                <wp:docPr id="453475021" name="Flowchart: Connector 1"/>
                <wp:cNvGraphicFramePr/>
                <a:graphic xmlns:a="http://schemas.openxmlformats.org/drawingml/2006/main">
                  <a:graphicData uri="http://schemas.microsoft.com/office/word/2010/wordprocessingShape">
                    <wps:wsp>
                      <wps:cNvSpPr/>
                      <wps:spPr>
                        <a:xfrm>
                          <a:off x="0" y="0"/>
                          <a:ext cx="145915" cy="145915"/>
                        </a:xfrm>
                        <a:prstGeom prst="flowChartConnector">
                          <a:avLst/>
                        </a:prstGeom>
                        <a:solidFill>
                          <a:srgbClr val="66FF66"/>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01ABA2" id="Flowchart: Connector 1" o:spid="_x0000_s1026" type="#_x0000_t120" style="position:absolute;margin-left:0;margin-top:0;width:11.5pt;height:11.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e8YmfQIAAFQFAAAOAAAAZHJzL2Uyb0RvYy54bWysVEtv2zAMvg/YfxB0X20HSbYGdYogRYYB&#10;RVu0HXpWZCk2IIsapbz260fJjhN0ww7DLjJpkh/fvLk9tIbtFPoGbMmLq5wzZSVUjd2U/Pvr6tMX&#10;znwQthIGrCr5UXl+O//44WbvZmoENZhKISMQ62d7V/I6BDfLMi9r1Qp/BU5ZEmrAVgRicZNVKPaE&#10;3ppslOfTbA9YOQSpvKe/d52QzxO+1kqGR629CsyUnGIL6cX0ruObzW/EbIPC1Y3swxD/EEUrGktO&#10;B6g7EQTbYvMbVNtIBA86XEloM9C6kSrlQNkU+btsXmrhVMqFiuPdUCb//2Dlw+7FPSGVYe/8zBMZ&#10;szhobOOX4mOHVKzjUCx1CEzSz2I8uS4mnEkS9TShZGdjhz58VdCySJRcG9gva4FhCdZSXwBTwcTu&#10;3ofO8GQQPXswTbVqjEkMbtZLg2wnqIvT6Wo1ncbGka8LteycQKLC0ahobOyz0qypKORR8phmSw14&#10;QkplQ9GJalGpzk0xyfM0HtFLnMZokXwmwIisKbwBuwc4aXYgJ+wu2F4/mqo0moNx/rfAOuPBInkG&#10;GwbjtrF9LYc4O++Gsuo9d/oU/kVpIrmG6viEDKFbDO/kqqFu3QsfngTSJtDO0HaHR3piA0sOPcVZ&#10;DfjzT/+jPg0oSTnb02aV3P/YClScmW+WRve6GI/jKiZmPPk8IgYvJetLid22S6C2F3RHnExk1A/m&#10;RGqE9o2OwCJ6JZGwknyXXAY8McvQbTydEakWi6RG6+dEuLcvTkbwWNU4f6+HN4GuH9lAs/4Apy0U&#10;s3ez2ulGSwuLbQDdpEE+17WvN61uGpz+zMTbcMknrfMxnP8CAAD//wMAUEsDBBQABgAIAAAAIQCv&#10;v2Sp2gAAAAMBAAAPAAAAZHJzL2Rvd25yZXYueG1sTI9PSwMxEMXvgt8hjODNZq0gZbvZooJ/oGBp&#10;LZTe0s24u5hMliTdrn56x/ZQLzM83vDm94rZ4KzoMcTWk4LbUQYCqfKmpVrB+uP5ZgIiJk1GW0+o&#10;4BsjzMrLi0Lnxh9oif0q1YJDKOZaQZNSl0sZqwadjiPfIbH36YPTiWWopQn6wOHOynGW3UunW+IP&#10;je7wqcHqa7V3CrY+vL/YfoHDcrOJjz9vr/P5mpS6vhoepiASDul8DH/4jA4lM+38nkwUVgEXScfJ&#10;3viO1e60ZVnI/+zlLwAAAP//AwBQSwECLQAUAAYACAAAACEAtoM4kv4AAADhAQAAEwAAAAAAAAAA&#10;AAAAAAAAAAAAW0NvbnRlbnRfVHlwZXNdLnhtbFBLAQItABQABgAIAAAAIQA4/SH/1gAAAJQBAAAL&#10;AAAAAAAAAAAAAAAAAC8BAABfcmVscy8ucmVsc1BLAQItABQABgAIAAAAIQDqe8YmfQIAAFQFAAAO&#10;AAAAAAAAAAAAAAAAAC4CAABkcnMvZTJvRG9jLnhtbFBLAQItABQABgAIAAAAIQCvv2Sp2gAAAAMB&#10;AAAPAAAAAAAAAAAAAAAAANcEAABkcnMvZG93bnJldi54bWxQSwUGAAAAAAQABADzAAAA3gUAAAAA&#10;" fillcolor="#6f6" strokecolor="#030e13 [484]" strokeweight="1pt">
                <v:stroke joinstyle="miter"/>
              </v:shape>
            </w:pict>
          </mc:Fallback>
        </mc:AlternateContent>
      </w:r>
      <w:r w:rsidRPr="003B13C2">
        <w:rPr>
          <w:rFonts w:ascii="Arial" w:hAnsi="Arial" w:cs="Arial"/>
          <w:color w:val="2B4F40"/>
        </w:rPr>
        <w:t xml:space="preserve">    </w:t>
      </w:r>
      <w:r w:rsidR="003B13C2">
        <w:rPr>
          <w:rFonts w:ascii="Arial" w:hAnsi="Arial" w:cs="Arial"/>
          <w:color w:val="2B4F40"/>
        </w:rPr>
        <w:t xml:space="preserve"> </w:t>
      </w:r>
      <w:r w:rsidRPr="003B13C2">
        <w:rPr>
          <w:rFonts w:ascii="Arial" w:hAnsi="Arial" w:cs="Arial"/>
          <w:color w:val="2B4F40"/>
        </w:rPr>
        <w:t>High Impact</w:t>
      </w:r>
    </w:p>
    <w:p w14:paraId="2E995AF1" w14:textId="77777777" w:rsidR="000B4756" w:rsidRPr="003B13C2" w:rsidRDefault="000B4756" w:rsidP="003B13C2">
      <w:pPr>
        <w:spacing w:line="360" w:lineRule="auto"/>
        <w:rPr>
          <w:rFonts w:ascii="Arial" w:hAnsi="Arial" w:cs="Arial"/>
          <w:color w:val="2B4F40"/>
        </w:rPr>
      </w:pPr>
      <w:r w:rsidRPr="003B13C2">
        <w:rPr>
          <w:rFonts w:ascii="Arial" w:hAnsi="Arial" w:cs="Arial"/>
          <w:noProof/>
          <w:color w:val="2B4F40"/>
        </w:rPr>
        <mc:AlternateContent>
          <mc:Choice Requires="wps">
            <w:drawing>
              <wp:anchor distT="0" distB="0" distL="114300" distR="114300" simplePos="0" relativeHeight="251661312" behindDoc="0" locked="0" layoutInCell="1" allowOverlap="1" wp14:anchorId="55EE0600" wp14:editId="27690478">
                <wp:simplePos x="0" y="0"/>
                <wp:positionH relativeFrom="column">
                  <wp:posOffset>0</wp:posOffset>
                </wp:positionH>
                <wp:positionV relativeFrom="paragraph">
                  <wp:posOffset>0</wp:posOffset>
                </wp:positionV>
                <wp:extent cx="145915" cy="145915"/>
                <wp:effectExtent l="0" t="0" r="26035" b="26035"/>
                <wp:wrapNone/>
                <wp:docPr id="154268151" name="Flowchart: Connector 1"/>
                <wp:cNvGraphicFramePr/>
                <a:graphic xmlns:a="http://schemas.openxmlformats.org/drawingml/2006/main">
                  <a:graphicData uri="http://schemas.microsoft.com/office/word/2010/wordprocessingShape">
                    <wps:wsp>
                      <wps:cNvSpPr/>
                      <wps:spPr>
                        <a:xfrm>
                          <a:off x="0" y="0"/>
                          <a:ext cx="145915" cy="145915"/>
                        </a:xfrm>
                        <a:prstGeom prst="flowChartConnector">
                          <a:avLst/>
                        </a:prstGeom>
                        <a:solidFill>
                          <a:srgbClr val="FFFF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F3033E" id="Flowchart: Connector 1" o:spid="_x0000_s1026" type="#_x0000_t120" style="position:absolute;margin-left:0;margin-top:0;width:11.5pt;height:11.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bp36dwIAAFQFAAAOAAAAZHJzL2Uyb0RvYy54bWysVM1u2zAMvg/YOwi6r7aDZFuDOkWQIsOA&#10;oi3WDj0rshQbkEWNUuJkTz9KdpygG3YYloNCmuTHf97cHlrD9gp9A7bkxVXOmbISqsZuS/79Zf3h&#10;M2c+CFsJA1aV/Kg8v128f3fTubmaQA2mUsgIxPp550peh+DmWeZlrVrhr8ApS0IN2IpALG6zCkVH&#10;6K3JJnn+MesAK4cglff09a4X8kXC11rJ8Ki1V4GZklNsIb2Y3k18s8WNmG9RuLqRQxjiH6JoRWPJ&#10;6Qh1J4JgO2x+g2obieBBhysJbQZaN1KlHCibIn+TzXMtnEq5UHG8G8vk/x+sfNg/uyekMnTOzz2R&#10;MYuDxjb+U3zskIp1HIulDoFJ+lhMZ9fFjDNJooEmlOxs7NCHLwpaFomSawPdqhYYVmAt9QUwFUzs&#10;733oDU8G0bMH01TrxpjE4HazMsj2grq4pl+eGke+LtSycwKJCkejorGx35RmTUUhT5LHNFtqxBNS&#10;KhuKXlSLSvVuill+9hKnMVqk/BJgRNYU3og9AJw0e5ATdp/foB9NVRrN0Tj/W2C98WiRPIMNo3Hb&#10;2KGWbzIzlNXguden8C9KE8kNVMcnZAj9Yngn1w1161748CSQNoF2hrY7PNITG1hyGCjOasCff/oe&#10;9WlAScpZR5tVcv9jJ1BxZr5aGt3rYjqNq5iY6ezThBi8lGwuJXbXroDaXtAdcTKRUT+YE6kR2lc6&#10;AsvolUTCSvJdchnwxKxCv/F0RqRaLpMarZ8T4d4+OxnBY1Xj/L0cXgW6YWQDzfoDnLZQzN/Maq8b&#10;LS0sdwF0kwb5XNeh3rS6aXCGMxNvwyWftM7HcPELAAD//wMAUEsDBBQABgAIAAAAIQCYnfhg1gAA&#10;AAMBAAAPAAAAZHJzL2Rvd25yZXYueG1sTI9BS8NAEIXvgv9hGcGb3diCSMymFMGLNxMFj9vsJFmb&#10;nQ3ZaZr66x31oJcZHm94871iu4RBzTglH8nA7SoDhdRE56kz8Fo/3dyDSmzJ2SESGjhjgm15eVHY&#10;3MUTveBccackhFJuDfTMY651anoMNq3iiCReG6dgWeTUaTfZk4SHQa+z7E4H60k+9HbExx6bQ3UM&#10;BuY66fP75uOz6t58yy3756GujLm+WnYPoBgX/juGb3xBh1KY9vFILqnBgBThnyneeiNq/7t1Wej/&#10;7OUXAAAA//8DAFBLAQItABQABgAIAAAAIQC2gziS/gAAAOEBAAATAAAAAAAAAAAAAAAAAAAAAABb&#10;Q29udGVudF9UeXBlc10ueG1sUEsBAi0AFAAGAAgAAAAhADj9If/WAAAAlAEAAAsAAAAAAAAAAAAA&#10;AAAALwEAAF9yZWxzLy5yZWxzUEsBAi0AFAAGAAgAAAAhACRunfp3AgAAVAUAAA4AAAAAAAAAAAAA&#10;AAAALgIAAGRycy9lMm9Eb2MueG1sUEsBAi0AFAAGAAgAAAAhAJid+GDWAAAAAwEAAA8AAAAAAAAA&#10;AAAAAAAA0QQAAGRycy9kb3ducmV2LnhtbFBLBQYAAAAABAAEAPMAAADUBQAAAAA=&#10;" fillcolor="yellow" strokecolor="#030e13 [484]" strokeweight="1pt">
                <v:stroke joinstyle="miter"/>
              </v:shape>
            </w:pict>
          </mc:Fallback>
        </mc:AlternateContent>
      </w:r>
      <w:r w:rsidRPr="003B13C2">
        <w:rPr>
          <w:rFonts w:ascii="Arial" w:hAnsi="Arial" w:cs="Arial"/>
          <w:color w:val="2B4F40"/>
        </w:rPr>
        <w:t xml:space="preserve">     Medium Impact</w:t>
      </w:r>
    </w:p>
    <w:p w14:paraId="4C428A25" w14:textId="77777777" w:rsidR="000B4756" w:rsidRPr="003B13C2" w:rsidRDefault="000B4756" w:rsidP="003B13C2">
      <w:pPr>
        <w:spacing w:line="360" w:lineRule="auto"/>
        <w:rPr>
          <w:rFonts w:ascii="Arial" w:hAnsi="Arial" w:cs="Arial"/>
          <w:color w:val="2B4F40"/>
        </w:rPr>
      </w:pPr>
      <w:r w:rsidRPr="003B13C2">
        <w:rPr>
          <w:rFonts w:ascii="Segoe UI Emoji" w:hAnsi="Segoe UI Emoji" w:cs="Segoe UI Emoji"/>
          <w:color w:val="2B4F40"/>
        </w:rPr>
        <w:t>⬜</w:t>
      </w:r>
      <w:r w:rsidRPr="003B13C2">
        <w:rPr>
          <w:rFonts w:ascii="Arial" w:hAnsi="Arial" w:cs="Arial"/>
          <w:color w:val="2B4F40"/>
        </w:rPr>
        <w:t xml:space="preserve"> Low Impact</w:t>
      </w:r>
    </w:p>
    <w:p w14:paraId="14886432" w14:textId="744EF7E0" w:rsidR="00835E00" w:rsidRPr="003B13C2" w:rsidRDefault="00835E00" w:rsidP="003B13C2">
      <w:pPr>
        <w:spacing w:line="360" w:lineRule="auto"/>
        <w:rPr>
          <w:rFonts w:ascii="Arial" w:hAnsi="Arial" w:cs="Arial"/>
          <w:color w:val="2B4F40"/>
        </w:rPr>
      </w:pPr>
      <w:r w:rsidRPr="003B13C2">
        <w:rPr>
          <w:rFonts w:ascii="Arial" w:hAnsi="Arial" w:cs="Arial"/>
          <w:color w:val="2B4F40"/>
        </w:rPr>
        <w:t>This matrix visually outlines how each PESTLE factor impacts and is crucial for The Rude Health Company's strategic environment, guiding decision-making:</w:t>
      </w:r>
    </w:p>
    <w:p w14:paraId="3E664417" w14:textId="77777777" w:rsidR="00835E00" w:rsidRPr="003B13C2" w:rsidRDefault="00835E00" w:rsidP="003B13C2">
      <w:pPr>
        <w:spacing w:line="360" w:lineRule="auto"/>
        <w:rPr>
          <w:rFonts w:ascii="Arial" w:hAnsi="Arial" w:cs="Arial"/>
          <w:color w:val="2B4F40"/>
        </w:rPr>
      </w:pPr>
      <w:r w:rsidRPr="003B13C2">
        <w:rPr>
          <w:rFonts w:ascii="Arial" w:hAnsi="Arial" w:cs="Arial"/>
          <w:color w:val="2B4F40"/>
        </w:rPr>
        <w:t>This alignment helps provide a clear reference to the readers, connecting the description directly with the visual representation provided in Table 1.</w:t>
      </w:r>
    </w:p>
    <w:p w14:paraId="23F503A2" w14:textId="77777777" w:rsidR="00614EEA" w:rsidRPr="003B13C2" w:rsidRDefault="00614EEA" w:rsidP="003B13C2">
      <w:pPr>
        <w:spacing w:line="360" w:lineRule="auto"/>
        <w:rPr>
          <w:rFonts w:ascii="Arial" w:hAnsi="Arial" w:cs="Arial"/>
          <w:color w:val="2B4F40"/>
        </w:rPr>
      </w:pPr>
    </w:p>
    <w:p w14:paraId="38045E96" w14:textId="61380D62" w:rsidR="00835E00" w:rsidRPr="003B13C2" w:rsidRDefault="00835E00" w:rsidP="003B13C2">
      <w:pPr>
        <w:shd w:val="clear" w:color="auto" w:fill="E7F5EE"/>
        <w:spacing w:line="360" w:lineRule="auto"/>
        <w:rPr>
          <w:rFonts w:ascii="Arial" w:hAnsi="Arial" w:cs="Arial"/>
          <w:color w:val="2B4F40"/>
        </w:rPr>
      </w:pPr>
      <w:r w:rsidRPr="003B13C2">
        <w:rPr>
          <w:rFonts w:ascii="Arial" w:hAnsi="Arial" w:cs="Arial"/>
          <w:color w:val="2B4F40"/>
        </w:rPr>
        <w:t>Interpretation:</w:t>
      </w:r>
    </w:p>
    <w:p w14:paraId="629ED9EA" w14:textId="63BF7A9A" w:rsidR="00835E00" w:rsidRPr="003B13C2" w:rsidRDefault="00835E00" w:rsidP="003B13C2">
      <w:pPr>
        <w:spacing w:line="360" w:lineRule="auto"/>
        <w:rPr>
          <w:rFonts w:ascii="Arial" w:hAnsi="Arial" w:cs="Arial"/>
          <w:color w:val="2B4F40"/>
          <w:u w:val="single"/>
        </w:rPr>
      </w:pPr>
      <w:r w:rsidRPr="003B13C2">
        <w:rPr>
          <w:rFonts w:ascii="Arial" w:hAnsi="Arial" w:cs="Arial"/>
          <w:color w:val="2B4F40"/>
          <w:u w:val="single"/>
        </w:rPr>
        <w:t xml:space="preserve">Political Factors: </w:t>
      </w:r>
      <w:r w:rsidRPr="003B13C2">
        <w:rPr>
          <w:rFonts w:ascii="Arial" w:hAnsi="Arial" w:cs="Arial"/>
          <w:b/>
          <w:bCs/>
          <w:color w:val="2B4F40"/>
        </w:rPr>
        <w:t>High Importance, Medium Impact:</w:t>
      </w:r>
      <w:r w:rsidRPr="003B13C2">
        <w:rPr>
          <w:rFonts w:ascii="Arial" w:hAnsi="Arial" w:cs="Arial"/>
          <w:color w:val="2B4F40"/>
        </w:rPr>
        <w:t xml:space="preserve"> Regulations significantly influence product development and market access</w:t>
      </w:r>
      <w:r w:rsidRPr="003B13C2">
        <w:rPr>
          <w:rFonts w:ascii="Arial" w:hAnsi="Arial" w:cs="Arial"/>
          <w:b/>
          <w:bCs/>
          <w:color w:val="2B4F40"/>
        </w:rPr>
        <w:t>. Medium Importance, Medium Impact:</w:t>
      </w:r>
      <w:r w:rsidRPr="003B13C2">
        <w:rPr>
          <w:rFonts w:ascii="Arial" w:hAnsi="Arial" w:cs="Arial"/>
          <w:color w:val="2B4F40"/>
        </w:rPr>
        <w:t xml:space="preserve"> Changes in government policies moderately affect business operations.</w:t>
      </w:r>
    </w:p>
    <w:p w14:paraId="540DAD4E" w14:textId="1D53E232" w:rsidR="00835E00" w:rsidRPr="003B13C2" w:rsidRDefault="00835E00" w:rsidP="003B13C2">
      <w:pPr>
        <w:spacing w:line="360" w:lineRule="auto"/>
        <w:rPr>
          <w:rFonts w:ascii="Arial" w:hAnsi="Arial" w:cs="Arial"/>
          <w:color w:val="2B4F40"/>
          <w:u w:val="single"/>
        </w:rPr>
      </w:pPr>
      <w:r w:rsidRPr="003B13C2">
        <w:rPr>
          <w:rFonts w:ascii="Arial" w:hAnsi="Arial" w:cs="Arial"/>
          <w:color w:val="2B4F40"/>
          <w:u w:val="single"/>
        </w:rPr>
        <w:t xml:space="preserve">Economic Factors: </w:t>
      </w:r>
      <w:r w:rsidRPr="003B13C2">
        <w:rPr>
          <w:rFonts w:ascii="Arial" w:hAnsi="Arial" w:cs="Arial"/>
          <w:b/>
          <w:bCs/>
          <w:color w:val="2B4F40"/>
        </w:rPr>
        <w:t>High Importance, High Impact:</w:t>
      </w:r>
      <w:r w:rsidRPr="003B13C2">
        <w:rPr>
          <w:rFonts w:ascii="Arial" w:hAnsi="Arial" w:cs="Arial"/>
          <w:color w:val="2B4F40"/>
        </w:rPr>
        <w:t xml:space="preserve"> Economic conditions strongly affect consumer spending and production costs.</w:t>
      </w:r>
      <w:r w:rsidRPr="003B13C2">
        <w:rPr>
          <w:rFonts w:ascii="Arial" w:hAnsi="Arial" w:cs="Arial"/>
          <w:color w:val="2B4F40"/>
          <w:u w:val="single"/>
        </w:rPr>
        <w:t xml:space="preserve"> </w:t>
      </w:r>
      <w:r w:rsidRPr="003B13C2">
        <w:rPr>
          <w:rFonts w:ascii="Arial" w:hAnsi="Arial" w:cs="Arial"/>
          <w:b/>
          <w:bCs/>
          <w:color w:val="2B4F40"/>
        </w:rPr>
        <w:t>Medium Importance, High Impact:</w:t>
      </w:r>
      <w:r w:rsidRPr="003B13C2">
        <w:rPr>
          <w:rFonts w:ascii="Arial" w:hAnsi="Arial" w:cs="Arial"/>
          <w:color w:val="2B4F40"/>
        </w:rPr>
        <w:t xml:space="preserve"> Fluctuations in ingredient prices and consumer trends impact financial planning.</w:t>
      </w:r>
    </w:p>
    <w:p w14:paraId="2299001C" w14:textId="055989C1" w:rsidR="00835E00" w:rsidRPr="003B13C2" w:rsidRDefault="00835E00" w:rsidP="003B13C2">
      <w:pPr>
        <w:spacing w:line="360" w:lineRule="auto"/>
        <w:rPr>
          <w:rFonts w:ascii="Arial" w:hAnsi="Arial" w:cs="Arial"/>
          <w:color w:val="2B4F40"/>
          <w:u w:val="single"/>
        </w:rPr>
      </w:pPr>
      <w:r w:rsidRPr="003B13C2">
        <w:rPr>
          <w:rFonts w:ascii="Arial" w:hAnsi="Arial" w:cs="Arial"/>
          <w:color w:val="2B4F40"/>
          <w:u w:val="single"/>
        </w:rPr>
        <w:t xml:space="preserve">Social Factors: </w:t>
      </w:r>
      <w:r w:rsidRPr="003B13C2">
        <w:rPr>
          <w:rFonts w:ascii="Arial" w:hAnsi="Arial" w:cs="Arial"/>
          <w:b/>
          <w:bCs/>
          <w:color w:val="2B4F40"/>
        </w:rPr>
        <w:t>High Importance, High Impact:</w:t>
      </w:r>
      <w:r w:rsidRPr="003B13C2">
        <w:rPr>
          <w:rFonts w:ascii="Arial" w:hAnsi="Arial" w:cs="Arial"/>
          <w:color w:val="2B4F40"/>
        </w:rPr>
        <w:t xml:space="preserve"> Shifts towards health and sustainability drive demand for Rude Health’s products.</w:t>
      </w:r>
      <w:r w:rsidRPr="003B13C2">
        <w:rPr>
          <w:rFonts w:ascii="Arial" w:hAnsi="Arial" w:cs="Arial"/>
          <w:color w:val="2B4F40"/>
          <w:u w:val="single"/>
        </w:rPr>
        <w:t xml:space="preserve"> </w:t>
      </w:r>
      <w:r w:rsidRPr="003B13C2">
        <w:rPr>
          <w:rFonts w:ascii="Arial" w:hAnsi="Arial" w:cs="Arial"/>
          <w:b/>
          <w:bCs/>
          <w:color w:val="2B4F40"/>
        </w:rPr>
        <w:t>Medium Importance, High Impact</w:t>
      </w:r>
      <w:r w:rsidRPr="003B13C2">
        <w:rPr>
          <w:rFonts w:ascii="Arial" w:hAnsi="Arial" w:cs="Arial"/>
          <w:color w:val="2B4F40"/>
        </w:rPr>
        <w:t>: Ethical consumerism impacts brand perception and competitiveness.</w:t>
      </w:r>
    </w:p>
    <w:p w14:paraId="27F82B1B" w14:textId="184D446F" w:rsidR="00835E00" w:rsidRPr="003B13C2" w:rsidRDefault="00835E00" w:rsidP="003B13C2">
      <w:pPr>
        <w:spacing w:line="360" w:lineRule="auto"/>
        <w:rPr>
          <w:rFonts w:ascii="Arial" w:hAnsi="Arial" w:cs="Arial"/>
          <w:color w:val="2B4F40"/>
          <w:u w:val="single"/>
        </w:rPr>
      </w:pPr>
      <w:r w:rsidRPr="003B13C2">
        <w:rPr>
          <w:rFonts w:ascii="Arial" w:hAnsi="Arial" w:cs="Arial"/>
          <w:color w:val="2B4F40"/>
          <w:u w:val="single"/>
        </w:rPr>
        <w:lastRenderedPageBreak/>
        <w:t xml:space="preserve">Technological Factors: </w:t>
      </w:r>
      <w:r w:rsidRPr="003B13C2">
        <w:rPr>
          <w:rFonts w:ascii="Arial" w:hAnsi="Arial" w:cs="Arial"/>
          <w:b/>
          <w:bCs/>
          <w:color w:val="2B4F40"/>
        </w:rPr>
        <w:t>Medium Importance, Medium Impact</w:t>
      </w:r>
      <w:r w:rsidRPr="003B13C2">
        <w:rPr>
          <w:rFonts w:ascii="Arial" w:hAnsi="Arial" w:cs="Arial"/>
          <w:color w:val="2B4F40"/>
        </w:rPr>
        <w:t>: Advancements offer operational efficiencies and market expansion opportunities.</w:t>
      </w:r>
      <w:r w:rsidRPr="003B13C2">
        <w:rPr>
          <w:rFonts w:ascii="Arial" w:hAnsi="Arial" w:cs="Arial"/>
          <w:color w:val="2B4F40"/>
          <w:u w:val="single"/>
        </w:rPr>
        <w:t xml:space="preserve"> </w:t>
      </w:r>
      <w:r w:rsidRPr="003B13C2">
        <w:rPr>
          <w:rFonts w:ascii="Arial" w:hAnsi="Arial" w:cs="Arial"/>
          <w:b/>
          <w:bCs/>
          <w:color w:val="2B4F40"/>
        </w:rPr>
        <w:t>Low Importance, Medium Impact</w:t>
      </w:r>
      <w:r w:rsidRPr="003B13C2">
        <w:rPr>
          <w:rFonts w:ascii="Arial" w:hAnsi="Arial" w:cs="Arial"/>
          <w:color w:val="2B4F40"/>
        </w:rPr>
        <w:t>: Rapid technological changes influence digital strategies.</w:t>
      </w:r>
    </w:p>
    <w:p w14:paraId="673E4996" w14:textId="517E0940" w:rsidR="00835E00" w:rsidRPr="003B13C2" w:rsidRDefault="00835E00" w:rsidP="003B13C2">
      <w:pPr>
        <w:spacing w:line="360" w:lineRule="auto"/>
        <w:rPr>
          <w:rFonts w:ascii="Arial" w:hAnsi="Arial" w:cs="Arial"/>
          <w:color w:val="2B4F40"/>
          <w:u w:val="single"/>
        </w:rPr>
      </w:pPr>
      <w:r w:rsidRPr="003B13C2">
        <w:rPr>
          <w:rFonts w:ascii="Arial" w:hAnsi="Arial" w:cs="Arial"/>
          <w:color w:val="2B4F40"/>
          <w:u w:val="single"/>
        </w:rPr>
        <w:t xml:space="preserve">Legal Factors: </w:t>
      </w:r>
      <w:r w:rsidRPr="003B13C2">
        <w:rPr>
          <w:rFonts w:ascii="Arial" w:hAnsi="Arial" w:cs="Arial"/>
          <w:b/>
          <w:bCs/>
          <w:color w:val="2B4F40"/>
        </w:rPr>
        <w:t>Medium Importance, Medium Impact</w:t>
      </w:r>
      <w:r w:rsidRPr="003B13C2">
        <w:rPr>
          <w:rFonts w:ascii="Arial" w:hAnsi="Arial" w:cs="Arial"/>
          <w:color w:val="2B4F40"/>
        </w:rPr>
        <w:t>: Compliance with food safety and labelling is essential for consumer trust.</w:t>
      </w:r>
      <w:r w:rsidRPr="003B13C2">
        <w:rPr>
          <w:rFonts w:ascii="Arial" w:hAnsi="Arial" w:cs="Arial"/>
          <w:color w:val="2B4F40"/>
          <w:u w:val="single"/>
        </w:rPr>
        <w:t xml:space="preserve"> </w:t>
      </w:r>
      <w:r w:rsidRPr="003B13C2">
        <w:rPr>
          <w:rFonts w:ascii="Arial" w:hAnsi="Arial" w:cs="Arial"/>
          <w:b/>
          <w:bCs/>
          <w:color w:val="2B4F40"/>
        </w:rPr>
        <w:t>Low Importance, Medium Impact</w:t>
      </w:r>
      <w:r w:rsidRPr="003B13C2">
        <w:rPr>
          <w:rFonts w:ascii="Arial" w:hAnsi="Arial" w:cs="Arial"/>
          <w:color w:val="2B4F40"/>
        </w:rPr>
        <w:t>: Intellectual property and competition laws require strategic management.</w:t>
      </w:r>
    </w:p>
    <w:p w14:paraId="43312664" w14:textId="0EE22A46" w:rsidR="00835E00" w:rsidRPr="003B13C2" w:rsidRDefault="00835E00" w:rsidP="003B13C2">
      <w:pPr>
        <w:spacing w:line="360" w:lineRule="auto"/>
        <w:rPr>
          <w:rFonts w:ascii="Arial" w:hAnsi="Arial" w:cs="Arial"/>
          <w:color w:val="2B4F40"/>
          <w:u w:val="single"/>
        </w:rPr>
      </w:pPr>
      <w:r w:rsidRPr="003B13C2">
        <w:rPr>
          <w:rFonts w:ascii="Arial" w:hAnsi="Arial" w:cs="Arial"/>
          <w:color w:val="2B4F40"/>
          <w:u w:val="single"/>
        </w:rPr>
        <w:t xml:space="preserve">Environmental Factors: </w:t>
      </w:r>
      <w:r w:rsidRPr="003B13C2">
        <w:rPr>
          <w:rFonts w:ascii="Arial" w:hAnsi="Arial" w:cs="Arial"/>
          <w:b/>
          <w:bCs/>
          <w:color w:val="2B4F40"/>
        </w:rPr>
        <w:t>High Importance, High Impact</w:t>
      </w:r>
      <w:r w:rsidRPr="003B13C2">
        <w:rPr>
          <w:rFonts w:ascii="Arial" w:hAnsi="Arial" w:cs="Arial"/>
          <w:color w:val="2B4F40"/>
        </w:rPr>
        <w:t>: Sustainable practices and climate resilience are critical for brand reputation.</w:t>
      </w:r>
      <w:r w:rsidRPr="003B13C2">
        <w:rPr>
          <w:rFonts w:ascii="Arial" w:hAnsi="Arial" w:cs="Arial"/>
          <w:color w:val="2B4F40"/>
          <w:u w:val="single"/>
        </w:rPr>
        <w:t xml:space="preserve"> </w:t>
      </w:r>
      <w:r w:rsidRPr="003B13C2">
        <w:rPr>
          <w:rFonts w:ascii="Arial" w:hAnsi="Arial" w:cs="Arial"/>
          <w:b/>
          <w:bCs/>
          <w:color w:val="2B4F40"/>
        </w:rPr>
        <w:t xml:space="preserve">Medium Importance, Medium Impact: </w:t>
      </w:r>
      <w:r w:rsidRPr="003B13C2">
        <w:rPr>
          <w:rFonts w:ascii="Arial" w:hAnsi="Arial" w:cs="Arial"/>
          <w:color w:val="2B4F40"/>
        </w:rPr>
        <w:t>Regulations and resource management influence operational decisions.</w:t>
      </w:r>
    </w:p>
    <w:p w14:paraId="7B2B0E56" w14:textId="7B97B22D" w:rsidR="003C11D2" w:rsidRPr="003B13C2" w:rsidRDefault="00835E00" w:rsidP="003B13C2">
      <w:pPr>
        <w:spacing w:line="360" w:lineRule="auto"/>
        <w:rPr>
          <w:rFonts w:ascii="Arial" w:hAnsi="Arial" w:cs="Arial"/>
          <w:color w:val="2B4F40"/>
        </w:rPr>
      </w:pPr>
      <w:r w:rsidRPr="003B13C2">
        <w:rPr>
          <w:rFonts w:ascii="Arial" w:hAnsi="Arial" w:cs="Arial"/>
          <w:color w:val="2B4F40"/>
        </w:rPr>
        <w:t>This matrix highlights key external factors impacting Rude Health, aiding in strategic planning to leverage opportunities and manage challenges effectively.</w:t>
      </w:r>
    </w:p>
    <w:p w14:paraId="62B2C70E" w14:textId="77777777" w:rsidR="00835E00" w:rsidRPr="00F8668D" w:rsidRDefault="00835E00" w:rsidP="003C11D2">
      <w:pPr>
        <w:spacing w:line="360" w:lineRule="auto"/>
        <w:rPr>
          <w:rFonts w:ascii="Arial" w:hAnsi="Arial" w:cs="Arial"/>
          <w:color w:val="2D473F"/>
          <w:u w:val="single"/>
        </w:rPr>
      </w:pPr>
    </w:p>
    <w:p w14:paraId="48206972" w14:textId="01378F16" w:rsidR="003C11D2" w:rsidRPr="00F8668D" w:rsidRDefault="003C11D2" w:rsidP="003C11D2">
      <w:pPr>
        <w:pStyle w:val="Heading2"/>
        <w:numPr>
          <w:ilvl w:val="0"/>
          <w:numId w:val="4"/>
        </w:numPr>
        <w:rPr>
          <w:rFonts w:ascii="Arial" w:hAnsi="Arial" w:cs="Arial"/>
          <w:color w:val="2D473F"/>
        </w:rPr>
      </w:pPr>
      <w:bookmarkStart w:id="4" w:name="_Toc171288900"/>
      <w:r w:rsidRPr="00F8668D">
        <w:rPr>
          <w:rFonts w:ascii="Arial" w:hAnsi="Arial" w:cs="Arial"/>
          <w:color w:val="2D473F"/>
        </w:rPr>
        <w:t>SWOT Analysis</w:t>
      </w:r>
      <w:bookmarkEnd w:id="4"/>
    </w:p>
    <w:p w14:paraId="5534E682" w14:textId="77777777" w:rsidR="002D56F2" w:rsidRDefault="002D56F2" w:rsidP="003C11D2">
      <w:pPr>
        <w:rPr>
          <w:color w:val="2D473F"/>
        </w:rPr>
      </w:pPr>
    </w:p>
    <w:p w14:paraId="76C49C40" w14:textId="67F50BFE" w:rsidR="003C11D2" w:rsidRPr="003B13C2" w:rsidRDefault="002D56F2" w:rsidP="003B13C2">
      <w:pPr>
        <w:spacing w:line="360" w:lineRule="auto"/>
        <w:rPr>
          <w:rFonts w:ascii="Arial" w:hAnsi="Arial" w:cs="Arial"/>
          <w:color w:val="2B4F40"/>
        </w:rPr>
      </w:pPr>
      <w:r w:rsidRPr="003B13C2">
        <w:rPr>
          <w:rFonts w:ascii="Arial" w:hAnsi="Arial" w:cs="Arial"/>
          <w:color w:val="2B4F40"/>
        </w:rPr>
        <w:t>The SWOT analysis highlights the strategic insights into The Rude Health Company’s internal strengths and weaknesses, as well as external opportunities and threats in the health food industry</w:t>
      </w:r>
      <w:r w:rsidR="00CB324D" w:rsidRPr="003B13C2">
        <w:rPr>
          <w:rFonts w:ascii="Arial" w:hAnsi="Arial" w:cs="Arial"/>
          <w:color w:val="2B4F40"/>
        </w:rPr>
        <w:t xml:space="preserve"> (</w:t>
      </w:r>
      <w:r w:rsidR="003940C2" w:rsidRPr="003B13C2">
        <w:rPr>
          <w:rFonts w:ascii="Arial" w:hAnsi="Arial" w:cs="Arial"/>
          <w:color w:val="2B4F40"/>
        </w:rPr>
        <w:t xml:space="preserve">see </w:t>
      </w:r>
      <w:r w:rsidR="00CB324D" w:rsidRPr="003B13C2">
        <w:rPr>
          <w:rFonts w:ascii="Arial" w:hAnsi="Arial" w:cs="Arial"/>
          <w:color w:val="2B4F40"/>
        </w:rPr>
        <w:t>Table 2)</w:t>
      </w:r>
      <w:r w:rsidRPr="003B13C2">
        <w:rPr>
          <w:rFonts w:ascii="Arial" w:hAnsi="Arial" w:cs="Arial"/>
          <w:color w:val="2B4F40"/>
        </w:rPr>
        <w:t xml:space="preserve">. By critically assessing these factors, Rude Health can formulate informed strategies that leverage its strengths, mitigate weaknesses, capitalize on opportunities, and address threats. </w:t>
      </w:r>
    </w:p>
    <w:p w14:paraId="46C66EBC" w14:textId="53156B1B" w:rsidR="008B0FBE" w:rsidRPr="003B13C2" w:rsidRDefault="008B0FBE" w:rsidP="003B13C2">
      <w:pPr>
        <w:spacing w:line="360" w:lineRule="auto"/>
        <w:rPr>
          <w:rFonts w:ascii="Arial" w:hAnsi="Arial" w:cs="Arial"/>
          <w:color w:val="2B4F40"/>
          <w:u w:val="single"/>
        </w:rPr>
      </w:pPr>
      <w:r w:rsidRPr="003B13C2">
        <w:rPr>
          <w:rFonts w:ascii="Arial" w:hAnsi="Arial" w:cs="Arial"/>
          <w:color w:val="2B4F40"/>
          <w:u w:val="single"/>
        </w:rPr>
        <w:t>Strengths</w:t>
      </w:r>
      <w:r w:rsidR="00591FEE" w:rsidRPr="003B13C2">
        <w:rPr>
          <w:rFonts w:ascii="Arial" w:hAnsi="Arial" w:cs="Arial"/>
          <w:color w:val="2B4F40"/>
          <w:u w:val="single"/>
        </w:rPr>
        <w:t>:</w:t>
      </w:r>
    </w:p>
    <w:p w14:paraId="320DC5D4" w14:textId="370E111E" w:rsidR="008B0FBE" w:rsidRPr="003B13C2" w:rsidRDefault="008B0FBE" w:rsidP="003B13C2">
      <w:pPr>
        <w:spacing w:line="360" w:lineRule="auto"/>
        <w:rPr>
          <w:rFonts w:ascii="Arial" w:hAnsi="Arial" w:cs="Arial"/>
          <w:b/>
          <w:bCs/>
          <w:color w:val="2B4F40"/>
        </w:rPr>
      </w:pPr>
      <w:r w:rsidRPr="003B13C2">
        <w:rPr>
          <w:rFonts w:ascii="Arial" w:hAnsi="Arial" w:cs="Arial"/>
          <w:b/>
          <w:bCs/>
          <w:color w:val="2B4F40"/>
        </w:rPr>
        <w:t xml:space="preserve">Strong Brand Reputation and Identity: </w:t>
      </w:r>
      <w:r w:rsidRPr="003B13C2">
        <w:rPr>
          <w:rFonts w:ascii="Arial" w:hAnsi="Arial" w:cs="Arial"/>
          <w:color w:val="2B4F40"/>
        </w:rPr>
        <w:t>Rude Health has cultivated a robust brand synonymous with quality, health, and sustainability. The company's commitment to using whole, natural ingredients and sustainable sourcing resonates with health-conscious consumers (Rude Health, 2023). This strong brand reputation not only enhances customer loyalty but also differentiates Rude Health from its competitors.</w:t>
      </w:r>
    </w:p>
    <w:p w14:paraId="0B1DA17C" w14:textId="7C277A2F" w:rsidR="008B0FBE" w:rsidRPr="003B13C2" w:rsidRDefault="008B0FBE" w:rsidP="003B13C2">
      <w:pPr>
        <w:spacing w:line="360" w:lineRule="auto"/>
        <w:rPr>
          <w:rFonts w:ascii="Arial" w:hAnsi="Arial" w:cs="Arial"/>
          <w:b/>
          <w:bCs/>
          <w:color w:val="2B4F40"/>
        </w:rPr>
      </w:pPr>
      <w:r w:rsidRPr="003B13C2">
        <w:rPr>
          <w:rFonts w:ascii="Arial" w:hAnsi="Arial" w:cs="Arial"/>
          <w:b/>
          <w:bCs/>
          <w:color w:val="2B4F40"/>
        </w:rPr>
        <w:t xml:space="preserve">Product Innovation and Diversity: </w:t>
      </w:r>
      <w:r w:rsidRPr="003B13C2">
        <w:rPr>
          <w:rFonts w:ascii="Arial" w:hAnsi="Arial" w:cs="Arial"/>
          <w:color w:val="2B4F40"/>
        </w:rPr>
        <w:t>Rude Health excels in product innovation, offering a variety of dairy-free drinks, snacks, and cereals that cater to vegan, gluten-free, and organic preferences (Rude Health, 2023). For example, their plant-based milks, including almond, oat, and rice milk, meet the growing demand for dairy alternatives.</w:t>
      </w:r>
    </w:p>
    <w:p w14:paraId="553A013C" w14:textId="6044AE0E" w:rsidR="008B0FBE" w:rsidRPr="003B13C2" w:rsidRDefault="008B0FBE" w:rsidP="003B13C2">
      <w:pPr>
        <w:spacing w:line="360" w:lineRule="auto"/>
        <w:rPr>
          <w:rFonts w:ascii="Arial" w:hAnsi="Arial" w:cs="Arial"/>
          <w:b/>
          <w:bCs/>
          <w:color w:val="2B4F40"/>
        </w:rPr>
      </w:pPr>
      <w:r w:rsidRPr="003B13C2">
        <w:rPr>
          <w:rFonts w:ascii="Arial" w:hAnsi="Arial" w:cs="Arial"/>
          <w:b/>
          <w:bCs/>
          <w:color w:val="2B4F40"/>
        </w:rPr>
        <w:lastRenderedPageBreak/>
        <w:t xml:space="preserve">Commitment to Sustainability: </w:t>
      </w:r>
      <w:r w:rsidRPr="003B13C2">
        <w:rPr>
          <w:rFonts w:ascii="Arial" w:hAnsi="Arial" w:cs="Arial"/>
          <w:color w:val="2B4F40"/>
        </w:rPr>
        <w:t>Sustainability is central to Rude Health's operations. The company supports organic farming and fair-trade initiatives, ensuring that its products are nutritious and environmentally friendly (Rude Health, 2023). This commitment to reducing carbon footprint and promoting biodiversity enhances the brand’s appeal among eco-conscious consumers.</w:t>
      </w:r>
    </w:p>
    <w:p w14:paraId="2D4E4C64" w14:textId="77BADC19" w:rsidR="008B0FBE" w:rsidRPr="003B13C2" w:rsidRDefault="008B0FBE" w:rsidP="003B13C2">
      <w:pPr>
        <w:spacing w:line="360" w:lineRule="auto"/>
        <w:rPr>
          <w:rFonts w:ascii="Arial" w:hAnsi="Arial" w:cs="Arial"/>
          <w:color w:val="2B4F40"/>
          <w:u w:val="single"/>
        </w:rPr>
      </w:pPr>
      <w:r w:rsidRPr="003B13C2">
        <w:rPr>
          <w:rFonts w:ascii="Arial" w:hAnsi="Arial" w:cs="Arial"/>
          <w:color w:val="2B4F40"/>
          <w:u w:val="single"/>
        </w:rPr>
        <w:t>Weaknesses</w:t>
      </w:r>
      <w:r w:rsidR="00591FEE" w:rsidRPr="003B13C2">
        <w:rPr>
          <w:rFonts w:ascii="Arial" w:hAnsi="Arial" w:cs="Arial"/>
          <w:color w:val="2B4F40"/>
          <w:u w:val="single"/>
        </w:rPr>
        <w:t>:</w:t>
      </w:r>
    </w:p>
    <w:p w14:paraId="26E65732" w14:textId="48CACAC1" w:rsidR="008B0FBE" w:rsidRPr="003B13C2" w:rsidRDefault="008B0FBE" w:rsidP="003B13C2">
      <w:pPr>
        <w:spacing w:line="360" w:lineRule="auto"/>
        <w:rPr>
          <w:rFonts w:ascii="Arial" w:hAnsi="Arial" w:cs="Arial"/>
          <w:b/>
          <w:bCs/>
          <w:color w:val="2B4F40"/>
        </w:rPr>
      </w:pPr>
      <w:r w:rsidRPr="003B13C2">
        <w:rPr>
          <w:rFonts w:ascii="Arial" w:hAnsi="Arial" w:cs="Arial"/>
          <w:b/>
          <w:bCs/>
          <w:color w:val="2B4F40"/>
        </w:rPr>
        <w:t xml:space="preserve">Limited Market Share Compared to Larger Competitors: </w:t>
      </w:r>
      <w:r w:rsidRPr="003B13C2">
        <w:rPr>
          <w:rFonts w:ascii="Arial" w:hAnsi="Arial" w:cs="Arial"/>
          <w:color w:val="2B4F40"/>
        </w:rPr>
        <w:t>As an SME, Rude Health struggles to expand its market share against larger competitors. Limited resources and distribution capabilities hinder its ability to reach broader consumer segments globally (Mintel, 2020). Competing with multinational corporations with extensive distribution networks poses significant challenges.</w:t>
      </w:r>
    </w:p>
    <w:p w14:paraId="77658CBE" w14:textId="0C858051" w:rsidR="008B0FBE" w:rsidRPr="003B13C2" w:rsidRDefault="008B0FBE" w:rsidP="003B13C2">
      <w:pPr>
        <w:spacing w:line="360" w:lineRule="auto"/>
        <w:rPr>
          <w:rFonts w:ascii="Arial" w:hAnsi="Arial" w:cs="Arial"/>
          <w:b/>
          <w:bCs/>
          <w:color w:val="2B4F40"/>
        </w:rPr>
      </w:pPr>
      <w:r w:rsidRPr="003B13C2">
        <w:rPr>
          <w:rFonts w:ascii="Arial" w:hAnsi="Arial" w:cs="Arial"/>
          <w:b/>
          <w:bCs/>
          <w:color w:val="2B4F40"/>
        </w:rPr>
        <w:t xml:space="preserve">Dependency on External Suppliers: </w:t>
      </w:r>
      <w:r w:rsidRPr="003B13C2">
        <w:rPr>
          <w:rFonts w:ascii="Arial" w:hAnsi="Arial" w:cs="Arial"/>
          <w:color w:val="2B4F40"/>
        </w:rPr>
        <w:t xml:space="preserve">Rude Health relies heavily on external suppliers for organic ingredients which exposes the company to risks such as supply chain disruptions, price fluctuations, and quality inconsistencies (Christopher, 2016). </w:t>
      </w:r>
    </w:p>
    <w:p w14:paraId="489B8D33" w14:textId="4CF36AA6" w:rsidR="008B0FBE" w:rsidRPr="003B13C2" w:rsidRDefault="008B0FBE" w:rsidP="003B13C2">
      <w:pPr>
        <w:spacing w:line="360" w:lineRule="auto"/>
        <w:rPr>
          <w:rFonts w:ascii="Arial" w:hAnsi="Arial" w:cs="Arial"/>
          <w:b/>
          <w:bCs/>
          <w:color w:val="2B4F40"/>
        </w:rPr>
      </w:pPr>
      <w:r w:rsidRPr="003B13C2">
        <w:rPr>
          <w:rFonts w:ascii="Arial" w:hAnsi="Arial" w:cs="Arial"/>
          <w:b/>
          <w:bCs/>
          <w:color w:val="2B4F40"/>
        </w:rPr>
        <w:t xml:space="preserve">Operational Scale Challenges: </w:t>
      </w:r>
      <w:r w:rsidRPr="003B13C2">
        <w:rPr>
          <w:rFonts w:ascii="Arial" w:hAnsi="Arial" w:cs="Arial"/>
          <w:color w:val="2B4F40"/>
        </w:rPr>
        <w:t xml:space="preserve">Scaling operations while maintaining quality and sustainability is challenging for Rude Health. SMEs often struggle with balancing growth objectives with operational efficiency and cost management (Womack and Jones, 1996). </w:t>
      </w:r>
    </w:p>
    <w:p w14:paraId="1284CC46" w14:textId="569A9D7F" w:rsidR="008B0FBE" w:rsidRPr="003B13C2" w:rsidRDefault="008B0FBE" w:rsidP="003B13C2">
      <w:pPr>
        <w:spacing w:line="360" w:lineRule="auto"/>
        <w:rPr>
          <w:rFonts w:ascii="Arial" w:hAnsi="Arial" w:cs="Arial"/>
          <w:color w:val="2B4F40"/>
          <w:u w:val="single"/>
        </w:rPr>
      </w:pPr>
      <w:r w:rsidRPr="003B13C2">
        <w:rPr>
          <w:rFonts w:ascii="Arial" w:hAnsi="Arial" w:cs="Arial"/>
          <w:color w:val="2B4F40"/>
          <w:u w:val="single"/>
        </w:rPr>
        <w:t>Opportunities</w:t>
      </w:r>
      <w:r w:rsidR="00591FEE" w:rsidRPr="003B13C2">
        <w:rPr>
          <w:rFonts w:ascii="Arial" w:hAnsi="Arial" w:cs="Arial"/>
          <w:color w:val="2B4F40"/>
          <w:u w:val="single"/>
        </w:rPr>
        <w:t>:</w:t>
      </w:r>
    </w:p>
    <w:p w14:paraId="2F48532D" w14:textId="40C595C8" w:rsidR="008B0FBE" w:rsidRPr="003B13C2" w:rsidRDefault="008B0FBE" w:rsidP="003B13C2">
      <w:pPr>
        <w:spacing w:line="360" w:lineRule="auto"/>
        <w:rPr>
          <w:rFonts w:ascii="Arial" w:hAnsi="Arial" w:cs="Arial"/>
          <w:b/>
          <w:bCs/>
          <w:color w:val="2B4F40"/>
        </w:rPr>
      </w:pPr>
      <w:r w:rsidRPr="003B13C2">
        <w:rPr>
          <w:rFonts w:ascii="Arial" w:hAnsi="Arial" w:cs="Arial"/>
          <w:b/>
          <w:bCs/>
          <w:color w:val="2B4F40"/>
        </w:rPr>
        <w:t xml:space="preserve">Growing Demand for Health and Wellness Products: </w:t>
      </w:r>
      <w:r w:rsidRPr="003B13C2">
        <w:rPr>
          <w:rFonts w:ascii="Arial" w:hAnsi="Arial" w:cs="Arial"/>
          <w:color w:val="2B4F40"/>
        </w:rPr>
        <w:t>Increasing global awareness of health and wellness creates a favourable market for Rude Health. Consumers are seeking nutritious, natural, and functional foods that promote well-being (Euromonitor International, 2022). Rude Health can capitalise on this trend by expanding its product offerings and entering new markets.</w:t>
      </w:r>
    </w:p>
    <w:p w14:paraId="487F8C64" w14:textId="7516A473" w:rsidR="008B0FBE" w:rsidRPr="003B13C2" w:rsidRDefault="008B0FBE" w:rsidP="003B13C2">
      <w:pPr>
        <w:spacing w:line="360" w:lineRule="auto"/>
        <w:rPr>
          <w:rFonts w:ascii="Arial" w:hAnsi="Arial" w:cs="Arial"/>
          <w:b/>
          <w:bCs/>
          <w:color w:val="2B4F40"/>
        </w:rPr>
      </w:pPr>
      <w:r w:rsidRPr="003B13C2">
        <w:rPr>
          <w:rFonts w:ascii="Arial" w:hAnsi="Arial" w:cs="Arial"/>
          <w:b/>
          <w:bCs/>
          <w:color w:val="2B4F40"/>
        </w:rPr>
        <w:t>Technological Advancements in Manufacturing and Marketing:</w:t>
      </w:r>
      <w:r w:rsidRPr="003B13C2">
        <w:rPr>
          <w:rFonts w:ascii="Arial" w:hAnsi="Arial" w:cs="Arial"/>
          <w:color w:val="2B4F40"/>
        </w:rPr>
        <w:t xml:space="preserve"> offer opportunities to improve manufacturing efficiencies and enhance marketing strategies. Automation can streamline operations and reduce costs (Chaffey and Ellis-Chadwick, 2019). Embracing digital transformation can strengthen Rude Health’s competitive edge.</w:t>
      </w:r>
    </w:p>
    <w:p w14:paraId="1F38BB85" w14:textId="1EBF7155" w:rsidR="008B0FBE" w:rsidRPr="003B13C2" w:rsidRDefault="008B0FBE" w:rsidP="003B13C2">
      <w:pPr>
        <w:spacing w:line="360" w:lineRule="auto"/>
        <w:rPr>
          <w:rFonts w:ascii="Arial" w:hAnsi="Arial" w:cs="Arial"/>
          <w:b/>
          <w:bCs/>
          <w:color w:val="2B4F40"/>
        </w:rPr>
      </w:pPr>
      <w:r w:rsidRPr="003B13C2">
        <w:rPr>
          <w:rFonts w:ascii="Arial" w:hAnsi="Arial" w:cs="Arial"/>
          <w:b/>
          <w:bCs/>
          <w:color w:val="2B4F40"/>
        </w:rPr>
        <w:t xml:space="preserve">Strategic Partnerships and Collaborations: </w:t>
      </w:r>
      <w:r w:rsidRPr="003B13C2">
        <w:rPr>
          <w:rFonts w:ascii="Arial" w:hAnsi="Arial" w:cs="Arial"/>
          <w:color w:val="2B4F40"/>
        </w:rPr>
        <w:t>Forming alliances with retailers, health food stores, and online platforms can facilitate market expansion and increase brand visibility. Collaborative efforts in distribution, promotion, and co-branding can enhance consumer accessibility to Rude Health’s products (Kotler and Keller, 2012).</w:t>
      </w:r>
    </w:p>
    <w:p w14:paraId="5E7EAFA9" w14:textId="0498F911" w:rsidR="008B0FBE" w:rsidRPr="003B13C2" w:rsidRDefault="008B0FBE" w:rsidP="003B13C2">
      <w:pPr>
        <w:spacing w:line="360" w:lineRule="auto"/>
        <w:rPr>
          <w:rFonts w:ascii="Arial" w:hAnsi="Arial" w:cs="Arial"/>
          <w:color w:val="2B4F40"/>
          <w:u w:val="single"/>
        </w:rPr>
      </w:pPr>
      <w:r w:rsidRPr="003B13C2">
        <w:rPr>
          <w:rFonts w:ascii="Arial" w:hAnsi="Arial" w:cs="Arial"/>
          <w:color w:val="2B4F40"/>
          <w:u w:val="single"/>
        </w:rPr>
        <w:lastRenderedPageBreak/>
        <w:t>Threats</w:t>
      </w:r>
      <w:r w:rsidR="00591FEE" w:rsidRPr="003B13C2">
        <w:rPr>
          <w:rFonts w:ascii="Arial" w:hAnsi="Arial" w:cs="Arial"/>
          <w:color w:val="2B4F40"/>
          <w:u w:val="single"/>
        </w:rPr>
        <w:t>:</w:t>
      </w:r>
    </w:p>
    <w:p w14:paraId="6FE18636" w14:textId="602C8563" w:rsidR="008B0FBE" w:rsidRPr="003B13C2" w:rsidRDefault="008B0FBE" w:rsidP="003B13C2">
      <w:pPr>
        <w:spacing w:line="360" w:lineRule="auto"/>
        <w:rPr>
          <w:rFonts w:ascii="Arial" w:hAnsi="Arial" w:cs="Arial"/>
          <w:b/>
          <w:bCs/>
          <w:color w:val="2B4F40"/>
        </w:rPr>
      </w:pPr>
      <w:r w:rsidRPr="003B13C2">
        <w:rPr>
          <w:rFonts w:ascii="Arial" w:hAnsi="Arial" w:cs="Arial"/>
          <w:b/>
          <w:bCs/>
          <w:color w:val="2B4F40"/>
        </w:rPr>
        <w:t xml:space="preserve">Intense Competition in the Health Food Industry: </w:t>
      </w:r>
      <w:r w:rsidRPr="003B13C2">
        <w:rPr>
          <w:rFonts w:ascii="Arial" w:hAnsi="Arial" w:cs="Arial"/>
          <w:color w:val="2B4F40"/>
        </w:rPr>
        <w:t>Rude Health faces significant competition, where it ranks 9</w:t>
      </w:r>
      <w:r w:rsidRPr="003B13C2">
        <w:rPr>
          <w:rFonts w:ascii="Arial" w:hAnsi="Arial" w:cs="Arial"/>
          <w:color w:val="2B4F40"/>
          <w:vertAlign w:val="superscript"/>
        </w:rPr>
        <w:t>th</w:t>
      </w:r>
      <w:r w:rsidRPr="003B13C2">
        <w:rPr>
          <w:rFonts w:ascii="Arial" w:hAnsi="Arial" w:cs="Arial"/>
          <w:color w:val="2B4F40"/>
        </w:rPr>
        <w:t xml:space="preserve"> among 180 competitors. Major players like Danone, Unilever, and Hain Celestial pose formidable challenges with their extensive resources and global reach (Tracxn, 2024). Aggressive marketing, product innovation, and pricing dynamics can impact Rude Health’s market share and profitability.</w:t>
      </w:r>
    </w:p>
    <w:p w14:paraId="63A4CD74" w14:textId="24B9F8E6" w:rsidR="008B0FBE" w:rsidRPr="003B13C2" w:rsidRDefault="008B0FBE" w:rsidP="003B13C2">
      <w:pPr>
        <w:spacing w:line="360" w:lineRule="auto"/>
        <w:rPr>
          <w:rFonts w:ascii="Arial" w:hAnsi="Arial" w:cs="Arial"/>
          <w:b/>
          <w:bCs/>
          <w:color w:val="2B4F40"/>
        </w:rPr>
      </w:pPr>
      <w:r w:rsidRPr="003B13C2">
        <w:rPr>
          <w:rFonts w:ascii="Arial" w:hAnsi="Arial" w:cs="Arial"/>
          <w:b/>
          <w:bCs/>
          <w:color w:val="2B4F40"/>
        </w:rPr>
        <w:t xml:space="preserve">Regulatory and Compliance Challenges: </w:t>
      </w:r>
      <w:r w:rsidRPr="003B13C2">
        <w:rPr>
          <w:rFonts w:ascii="Arial" w:hAnsi="Arial" w:cs="Arial"/>
          <w:color w:val="2B4F40"/>
        </w:rPr>
        <w:t>Adherence to stringent food safety regulations, nutritional labelling requirements, and environmental standards presents regulatory challenges. Changes in regulations, particularly post-Brexit, may impact logistics, ingredient sourcing, and market access (Bailey and Tomlinson, 2017).</w:t>
      </w:r>
    </w:p>
    <w:p w14:paraId="44DE1C93" w14:textId="17FB1C28" w:rsidR="00094972" w:rsidRPr="003B13C2" w:rsidRDefault="008B0FBE" w:rsidP="003B13C2">
      <w:pPr>
        <w:spacing w:line="360" w:lineRule="auto"/>
        <w:rPr>
          <w:rFonts w:ascii="Arial" w:hAnsi="Arial" w:cs="Arial"/>
          <w:color w:val="2B4F40"/>
        </w:rPr>
      </w:pPr>
      <w:r w:rsidRPr="003B13C2">
        <w:rPr>
          <w:rFonts w:ascii="Arial" w:hAnsi="Arial" w:cs="Arial"/>
          <w:b/>
          <w:bCs/>
          <w:color w:val="2B4F40"/>
        </w:rPr>
        <w:t xml:space="preserve">Economic Uncertainty and Consumer Spending: </w:t>
      </w:r>
      <w:r w:rsidRPr="003B13C2">
        <w:rPr>
          <w:rFonts w:ascii="Arial" w:hAnsi="Arial" w:cs="Arial"/>
          <w:color w:val="2B4F40"/>
        </w:rPr>
        <w:t>Economic fluctuations, inflation rates, and shifts in consumer spending patterns influence demand for premium health food products. Economic downturns may lead consumers to prioritise affordability over premium-priced organic options, affecting Rude Health’s sales and revenue (Jensen, 2002). Monitoring economic indicators and adapting pricing strategies are crucial in navigating economic uncertainties.</w:t>
      </w:r>
    </w:p>
    <w:p w14:paraId="270425B9" w14:textId="2C34A185" w:rsidR="00CB324D" w:rsidRPr="003B13C2" w:rsidRDefault="00CB324D" w:rsidP="003B13C2">
      <w:pPr>
        <w:spacing w:line="360" w:lineRule="auto"/>
        <w:jc w:val="center"/>
        <w:rPr>
          <w:rFonts w:ascii="Arial" w:hAnsi="Arial" w:cs="Arial"/>
          <w:color w:val="2B4F40"/>
        </w:rPr>
      </w:pPr>
      <w:r w:rsidRPr="003B13C2">
        <w:rPr>
          <w:rFonts w:ascii="Arial" w:hAnsi="Arial" w:cs="Arial"/>
          <w:color w:val="2B4F40"/>
        </w:rPr>
        <w:t>Table 2: SWOT Analysis for Rude Health. Adapted from Humphrey's SWOT framework (Humphrey, 2005).</w:t>
      </w:r>
    </w:p>
    <w:tbl>
      <w:tblPr>
        <w:tblStyle w:val="TableGrid"/>
        <w:tblW w:w="0" w:type="auto"/>
        <w:tblBorders>
          <w:top w:val="double" w:sz="4" w:space="0" w:color="2B4F40"/>
          <w:left w:val="double" w:sz="4" w:space="0" w:color="2B4F40"/>
          <w:bottom w:val="double" w:sz="4" w:space="0" w:color="2B4F40"/>
          <w:right w:val="double" w:sz="4" w:space="0" w:color="2B4F40"/>
          <w:insideH w:val="double" w:sz="4" w:space="0" w:color="2B4F40"/>
          <w:insideV w:val="double" w:sz="4" w:space="0" w:color="2B4F40"/>
        </w:tblBorders>
        <w:tblLook w:val="04A0" w:firstRow="1" w:lastRow="0" w:firstColumn="1" w:lastColumn="0" w:noHBand="0" w:noVBand="1"/>
      </w:tblPr>
      <w:tblGrid>
        <w:gridCol w:w="4561"/>
        <w:gridCol w:w="4561"/>
      </w:tblGrid>
      <w:tr w:rsidR="003B13C2" w:rsidRPr="003B13C2" w14:paraId="71C883D2" w14:textId="77777777" w:rsidTr="00614EEA">
        <w:trPr>
          <w:trHeight w:val="1866"/>
        </w:trPr>
        <w:tc>
          <w:tcPr>
            <w:tcW w:w="4561" w:type="dxa"/>
            <w:shd w:val="clear" w:color="auto" w:fill="E7F5EE"/>
          </w:tcPr>
          <w:p w14:paraId="71F531BD" w14:textId="77777777" w:rsidR="00CB324D" w:rsidRPr="003B13C2" w:rsidRDefault="00CB324D" w:rsidP="00CB324D">
            <w:pPr>
              <w:spacing w:line="360" w:lineRule="auto"/>
              <w:jc w:val="center"/>
              <w:rPr>
                <w:rFonts w:ascii="Arial" w:hAnsi="Arial" w:cs="Arial"/>
                <w:color w:val="2B4F40"/>
                <w:sz w:val="19"/>
                <w:szCs w:val="19"/>
                <w:u w:val="single"/>
              </w:rPr>
            </w:pPr>
            <w:r w:rsidRPr="003B13C2">
              <w:rPr>
                <w:rFonts w:ascii="Arial" w:hAnsi="Arial" w:cs="Arial"/>
                <w:color w:val="2B4F40"/>
                <w:sz w:val="19"/>
                <w:szCs w:val="19"/>
                <w:u w:val="single"/>
              </w:rPr>
              <w:t>Strengths</w:t>
            </w:r>
          </w:p>
          <w:p w14:paraId="58E5184A" w14:textId="77777777" w:rsidR="00CB324D" w:rsidRPr="003B13C2" w:rsidRDefault="00CB324D" w:rsidP="00CB324D">
            <w:pPr>
              <w:pStyle w:val="ListParagraph"/>
              <w:numPr>
                <w:ilvl w:val="0"/>
                <w:numId w:val="20"/>
              </w:numPr>
              <w:spacing w:line="360" w:lineRule="auto"/>
              <w:rPr>
                <w:rFonts w:ascii="Arial" w:hAnsi="Arial" w:cs="Arial"/>
                <w:color w:val="2B4F40"/>
                <w:sz w:val="19"/>
                <w:szCs w:val="19"/>
              </w:rPr>
            </w:pPr>
            <w:r w:rsidRPr="003B13C2">
              <w:rPr>
                <w:rFonts w:ascii="Arial" w:hAnsi="Arial" w:cs="Arial"/>
                <w:color w:val="2B4F40"/>
                <w:sz w:val="19"/>
                <w:szCs w:val="19"/>
              </w:rPr>
              <w:t>Strong brand reputation and identity (Rude Health, 2023)</w:t>
            </w:r>
          </w:p>
          <w:p w14:paraId="619B0C33" w14:textId="2957BE0D" w:rsidR="00CB324D" w:rsidRPr="003B13C2" w:rsidRDefault="00CB324D" w:rsidP="00CB324D">
            <w:pPr>
              <w:pStyle w:val="ListParagraph"/>
              <w:numPr>
                <w:ilvl w:val="0"/>
                <w:numId w:val="20"/>
              </w:numPr>
              <w:spacing w:line="360" w:lineRule="auto"/>
              <w:rPr>
                <w:rFonts w:ascii="Arial" w:hAnsi="Arial" w:cs="Arial"/>
                <w:color w:val="2B4F40"/>
                <w:sz w:val="19"/>
                <w:szCs w:val="19"/>
              </w:rPr>
            </w:pPr>
            <w:r w:rsidRPr="003B13C2">
              <w:rPr>
                <w:rFonts w:ascii="Arial" w:hAnsi="Arial" w:cs="Arial"/>
                <w:color w:val="2B4F40"/>
                <w:sz w:val="19"/>
                <w:szCs w:val="19"/>
              </w:rPr>
              <w:t>Product innovation and diversity (Rude Health, 2023)</w:t>
            </w:r>
          </w:p>
          <w:p w14:paraId="116CE578" w14:textId="1FA89494" w:rsidR="00CB324D" w:rsidRPr="003B13C2" w:rsidRDefault="00591FEE" w:rsidP="00CB324D">
            <w:pPr>
              <w:pStyle w:val="ListParagraph"/>
              <w:numPr>
                <w:ilvl w:val="0"/>
                <w:numId w:val="20"/>
              </w:numPr>
              <w:spacing w:line="360" w:lineRule="auto"/>
              <w:rPr>
                <w:rFonts w:ascii="Arial" w:hAnsi="Arial" w:cs="Arial"/>
                <w:color w:val="2B4F40"/>
                <w:sz w:val="19"/>
                <w:szCs w:val="19"/>
              </w:rPr>
            </w:pPr>
            <w:r w:rsidRPr="003B13C2">
              <w:rPr>
                <w:rFonts w:ascii="Arial" w:hAnsi="Arial" w:cs="Arial"/>
                <w:noProof/>
                <w:color w:val="2B4F40"/>
                <w:sz w:val="19"/>
                <w:szCs w:val="19"/>
              </w:rPr>
              <mc:AlternateContent>
                <mc:Choice Requires="wps">
                  <w:drawing>
                    <wp:anchor distT="0" distB="0" distL="114300" distR="114300" simplePos="0" relativeHeight="251708416" behindDoc="0" locked="0" layoutInCell="1" allowOverlap="1" wp14:anchorId="7A0A709C" wp14:editId="6991FA1D">
                      <wp:simplePos x="0" y="0"/>
                      <wp:positionH relativeFrom="column">
                        <wp:posOffset>2430145</wp:posOffset>
                      </wp:positionH>
                      <wp:positionV relativeFrom="paragraph">
                        <wp:posOffset>75999</wp:posOffset>
                      </wp:positionV>
                      <wp:extent cx="367365" cy="343969"/>
                      <wp:effectExtent l="0" t="0" r="13970" b="18415"/>
                      <wp:wrapNone/>
                      <wp:docPr id="325210055" name="Flowchart: Delay 10"/>
                      <wp:cNvGraphicFramePr/>
                      <a:graphic xmlns:a="http://schemas.openxmlformats.org/drawingml/2006/main">
                        <a:graphicData uri="http://schemas.microsoft.com/office/word/2010/wordprocessingShape">
                          <wps:wsp>
                            <wps:cNvSpPr/>
                            <wps:spPr>
                              <a:xfrm rot="10800000">
                                <a:off x="0" y="0"/>
                                <a:ext cx="367365" cy="343969"/>
                              </a:xfrm>
                              <a:prstGeom prst="flowChartDelay">
                                <a:avLst/>
                              </a:prstGeom>
                              <a:solidFill>
                                <a:srgbClr val="E7F5EE"/>
                              </a:solidFill>
                            </wps:spPr>
                            <wps:style>
                              <a:lnRef idx="2">
                                <a:schemeClr val="accent1">
                                  <a:shade val="15000"/>
                                </a:schemeClr>
                              </a:lnRef>
                              <a:fillRef idx="1">
                                <a:schemeClr val="accent1"/>
                              </a:fillRef>
                              <a:effectRef idx="0">
                                <a:schemeClr val="accent1"/>
                              </a:effectRef>
                              <a:fontRef idx="minor">
                                <a:schemeClr val="lt1"/>
                              </a:fontRef>
                            </wps:style>
                            <wps:txbx>
                              <w:txbxContent>
                                <w:p w14:paraId="6A381007" w14:textId="0307C8DB" w:rsidR="002E1148" w:rsidRPr="002E1148" w:rsidRDefault="002E1148" w:rsidP="002E1148">
                                  <w:pPr>
                                    <w:jc w:val="center"/>
                                    <w:rPr>
                                      <w:b/>
                                      <w:color w:val="F6C5AC" w:themeColor="accent2" w:themeTint="66"/>
                                      <w:lang w:val="en-US"/>
                                      <w14:textOutline w14:w="11112" w14:cap="flat" w14:cmpd="sng" w14:algn="ctr">
                                        <w14:solidFill>
                                          <w14:schemeClr w14:val="accent2"/>
                                        </w14:solidFill>
                                        <w14:prstDash w14:val="solid"/>
                                        <w14:round/>
                                      </w14:textOutline>
                                    </w:rPr>
                                  </w:pPr>
                                  <w:r>
                                    <w:rPr>
                                      <w:b/>
                                      <w:color w:val="F6C5AC" w:themeColor="accent2" w:themeTint="66"/>
                                      <w:lang w:val="en-US"/>
                                      <w14:textOutline w14:w="11112" w14:cap="flat" w14:cmpd="sng" w14:algn="ctr">
                                        <w14:solidFill>
                                          <w14:schemeClr w14:val="accent2"/>
                                        </w14:solidFill>
                                        <w14:prstDash w14:val="solid"/>
                                        <w14:round/>
                                      </w14:textOutline>
                                    </w:rPr>
                                    <w: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A0A709C" id="_x0000_t135" coordsize="21600,21600" o:spt="135" path="m10800,qx21600,10800,10800,21600l,21600,,xe">
                      <v:stroke joinstyle="miter"/>
                      <v:path gradientshapeok="t" o:connecttype="rect" textboxrect="0,3163,18437,18437"/>
                    </v:shapetype>
                    <v:shape id="Flowchart: Delay 10" o:spid="_x0000_s1026" type="#_x0000_t135" style="position:absolute;left:0;text-align:left;margin-left:191.35pt;margin-top:6pt;width:28.95pt;height:27.1pt;rotation:180;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zcDfjAIAAGoFAAAOAAAAZHJzL2Uyb0RvYy54bWysVEtv2zAMvg/YfxB0Xx3n1TaoUwRpMwwo&#10;2mDt0LMiS7EBWdIoJU7260dJjhu0PQ3zQaBE8uPDH3lze2gU2QtwtdEFzS8GlAjNTVnrbUF/vay+&#10;XVHiPNMlU0aLgh6Fo7fzr19uWjsTQ1MZVQogCKLdrLUFrby3syxzvBINcxfGCo1KaaBhHq+wzUpg&#10;LaI3KhsOBtOsNVBaMFw4h693SUnnEV9Kwf2TlE54ogqKufl4Qjw34czmN2y2BWarmndpsH/IomG1&#10;xqA91B3zjOyg/gDV1ByMM9JfcNNkRsqai1gDVpMP3lXzXDErYi3YHGf7Nrn/B8sf9892DdiG1rqZ&#10;QzFUcZDQEDDYrXxwNQhfLA7TJYfYu2PfO3HwhOPjaHo5mk4o4agajUfX0+vQ2yxhBUwLzn8XpiFB&#10;KKhUpl1WDPydUOwY4dn+wfnkdDIOjs6oulzVSsULbDdLBWTP8IfeX64m9/ddnDOz7K2WKPmjEsFZ&#10;6Z9CkrrEdIcxYqSZ6PEY50L7PKkqVooUJp+EBqTEeo9YWwQMyBLT67E7gEDhj9gJprMPriKytHdO&#10;ne7DpAxOiSXn3iNGNtr3zk2tDXxWmcKqusjJHtM/a00Q/WFzQJMgbkx5XEMiAA6Ns3xV4097YM6v&#10;GeB84CPOvH/CI/zHgppOoqQy8Oez92CPtEUtJS3OW0Hd7x0DQYn6oZHQ1/l4HAY0XsaTyyFe4Fyz&#10;OdfoXbM0yIA8ZhfFYO/VSZRgmldcDYsQFVVMc4xdUO7hdFn6tAdwuXCxWEQzHErL/IN+tjyAhwYH&#10;Kr4cXhnYjrkeKf9oTrPJZu9om2yDpzaLnTeyjpx+62vXehzoyKFu+YSNcX6PVm8rcv4XAAD//wMA&#10;UEsDBBQABgAIAAAAIQDcBY9u3QAAAAkBAAAPAAAAZHJzL2Rvd25yZXYueG1sTI8xT8MwFIR3JP6D&#10;9ZDYqEOoQkjjVKhSxMACpQOjEz+SlPg5st00/fc8JhhPd7r7rtwudhQz+jA4UnC/SkAgtc4M1Ck4&#10;fNR3OYgQNRk9OkIFFwywra6vSl0Yd6Z3nPexE1xCodAK+hinQsrQ9mh1WLkJib0v562OLH0njddn&#10;LrejTJMkk1YPxAu9nnDXY/u9P1nefd2Z40W+HD7zuo6+WWLzNj8pdXuzPG9ARFziXxh+8RkdKmZq&#10;3IlMEKOChzx95CgbKX/iwHqdZCAaBVmWgqxK+f9B9QMAAP//AwBQSwECLQAUAAYACAAAACEAtoM4&#10;kv4AAADhAQAAEwAAAAAAAAAAAAAAAAAAAAAAW0NvbnRlbnRfVHlwZXNdLnhtbFBLAQItABQABgAI&#10;AAAAIQA4/SH/1gAAAJQBAAALAAAAAAAAAAAAAAAAAC8BAABfcmVscy8ucmVsc1BLAQItABQABgAI&#10;AAAAIQDSzcDfjAIAAGoFAAAOAAAAAAAAAAAAAAAAAC4CAABkcnMvZTJvRG9jLnhtbFBLAQItABQA&#10;BgAIAAAAIQDcBY9u3QAAAAkBAAAPAAAAAAAAAAAAAAAAAOYEAABkcnMvZG93bnJldi54bWxQSwUG&#10;AAAAAAQABADzAAAA8AUAAAAA&#10;" fillcolor="#e7f5ee" strokecolor="#030e13 [484]" strokeweight="1pt">
                      <v:textbox>
                        <w:txbxContent>
                          <w:p w14:paraId="6A381007" w14:textId="0307C8DB" w:rsidR="002E1148" w:rsidRPr="002E1148" w:rsidRDefault="002E1148" w:rsidP="002E1148">
                            <w:pPr>
                              <w:jc w:val="center"/>
                              <w:rPr>
                                <w:b/>
                                <w:color w:val="F6C5AC" w:themeColor="accent2" w:themeTint="66"/>
                                <w:lang w:val="en-US"/>
                                <w14:textOutline w14:w="11112" w14:cap="flat" w14:cmpd="sng" w14:algn="ctr">
                                  <w14:solidFill>
                                    <w14:schemeClr w14:val="accent2"/>
                                  </w14:solidFill>
                                  <w14:prstDash w14:val="solid"/>
                                  <w14:round/>
                                </w14:textOutline>
                              </w:rPr>
                            </w:pPr>
                            <w:r>
                              <w:rPr>
                                <w:b/>
                                <w:color w:val="F6C5AC" w:themeColor="accent2" w:themeTint="66"/>
                                <w:lang w:val="en-US"/>
                                <w14:textOutline w14:w="11112" w14:cap="flat" w14:cmpd="sng" w14:algn="ctr">
                                  <w14:solidFill>
                                    <w14:schemeClr w14:val="accent2"/>
                                  </w14:solidFill>
                                  <w14:prstDash w14:val="solid"/>
                                  <w14:round/>
                                </w14:textOutline>
                              </w:rPr>
                              <w:t>S</w:t>
                            </w:r>
                          </w:p>
                        </w:txbxContent>
                      </v:textbox>
                    </v:shape>
                  </w:pict>
                </mc:Fallback>
              </mc:AlternateContent>
            </w:r>
            <w:r w:rsidR="00CB324D" w:rsidRPr="003B13C2">
              <w:rPr>
                <w:rFonts w:ascii="Arial" w:hAnsi="Arial" w:cs="Arial"/>
                <w:color w:val="2B4F40"/>
                <w:sz w:val="19"/>
                <w:szCs w:val="19"/>
              </w:rPr>
              <w:t>Commitment to sustainability (Rude Health, 2023)</w:t>
            </w:r>
          </w:p>
        </w:tc>
        <w:tc>
          <w:tcPr>
            <w:tcW w:w="4561" w:type="dxa"/>
            <w:shd w:val="clear" w:color="auto" w:fill="FCEAE0"/>
          </w:tcPr>
          <w:p w14:paraId="7EDB8F3D" w14:textId="77777777" w:rsidR="00CB324D" w:rsidRPr="003B13C2" w:rsidRDefault="00CB324D" w:rsidP="00CB324D">
            <w:pPr>
              <w:spacing w:line="360" w:lineRule="auto"/>
              <w:jc w:val="center"/>
              <w:rPr>
                <w:rFonts w:ascii="Arial" w:hAnsi="Arial" w:cs="Arial"/>
                <w:color w:val="2B4F40"/>
                <w:sz w:val="19"/>
                <w:szCs w:val="19"/>
                <w:u w:val="single"/>
              </w:rPr>
            </w:pPr>
            <w:r w:rsidRPr="003B13C2">
              <w:rPr>
                <w:rFonts w:ascii="Arial" w:hAnsi="Arial" w:cs="Arial"/>
                <w:color w:val="2B4F40"/>
                <w:sz w:val="19"/>
                <w:szCs w:val="19"/>
                <w:u w:val="single"/>
              </w:rPr>
              <w:t>Weaknesses</w:t>
            </w:r>
          </w:p>
          <w:p w14:paraId="2C23564F" w14:textId="4334FCD1" w:rsidR="00CB324D" w:rsidRPr="003B13C2" w:rsidRDefault="00CB324D" w:rsidP="00CB324D">
            <w:pPr>
              <w:pStyle w:val="ListParagraph"/>
              <w:numPr>
                <w:ilvl w:val="0"/>
                <w:numId w:val="20"/>
              </w:numPr>
              <w:spacing w:line="360" w:lineRule="auto"/>
              <w:rPr>
                <w:rFonts w:ascii="Arial" w:hAnsi="Arial" w:cs="Arial"/>
                <w:color w:val="2B4F40"/>
                <w:sz w:val="19"/>
                <w:szCs w:val="19"/>
              </w:rPr>
            </w:pPr>
            <w:r w:rsidRPr="003B13C2">
              <w:rPr>
                <w:rFonts w:ascii="Arial" w:hAnsi="Arial" w:cs="Arial"/>
                <w:color w:val="2B4F40"/>
                <w:sz w:val="19"/>
                <w:szCs w:val="19"/>
              </w:rPr>
              <w:t>Limited market share compared to larger competitors (Mintel, 2020)</w:t>
            </w:r>
          </w:p>
          <w:p w14:paraId="67EC745A" w14:textId="77777777" w:rsidR="00CB324D" w:rsidRPr="003B13C2" w:rsidRDefault="00CB324D" w:rsidP="00CB324D">
            <w:pPr>
              <w:pStyle w:val="ListParagraph"/>
              <w:numPr>
                <w:ilvl w:val="0"/>
                <w:numId w:val="20"/>
              </w:numPr>
              <w:spacing w:line="360" w:lineRule="auto"/>
              <w:rPr>
                <w:rFonts w:ascii="Arial" w:hAnsi="Arial" w:cs="Arial"/>
                <w:color w:val="2B4F40"/>
                <w:sz w:val="19"/>
                <w:szCs w:val="19"/>
              </w:rPr>
            </w:pPr>
            <w:r w:rsidRPr="003B13C2">
              <w:rPr>
                <w:rFonts w:ascii="Arial" w:hAnsi="Arial" w:cs="Arial"/>
                <w:color w:val="2B4F40"/>
                <w:sz w:val="19"/>
                <w:szCs w:val="19"/>
              </w:rPr>
              <w:t>Dependency on external suppliers (Christopher, 2016)</w:t>
            </w:r>
          </w:p>
          <w:p w14:paraId="19ABE04C" w14:textId="5EF1FDC0" w:rsidR="00CB324D" w:rsidRPr="003B13C2" w:rsidRDefault="00CB324D" w:rsidP="00CB324D">
            <w:pPr>
              <w:pStyle w:val="ListParagraph"/>
              <w:numPr>
                <w:ilvl w:val="0"/>
                <w:numId w:val="20"/>
              </w:numPr>
              <w:spacing w:line="360" w:lineRule="auto"/>
              <w:rPr>
                <w:rFonts w:ascii="Arial" w:hAnsi="Arial" w:cs="Arial"/>
                <w:color w:val="2B4F40"/>
                <w:sz w:val="19"/>
                <w:szCs w:val="19"/>
              </w:rPr>
            </w:pPr>
            <w:r w:rsidRPr="003B13C2">
              <w:rPr>
                <w:rFonts w:ascii="Arial" w:hAnsi="Arial" w:cs="Arial"/>
                <w:color w:val="2B4F40"/>
                <w:sz w:val="19"/>
                <w:szCs w:val="19"/>
              </w:rPr>
              <w:t>Operational scale challenges (Womack and Jones, 1996)</w:t>
            </w:r>
          </w:p>
        </w:tc>
      </w:tr>
      <w:tr w:rsidR="003B13C2" w:rsidRPr="003B13C2" w14:paraId="0BF00181" w14:textId="77777777" w:rsidTr="00614EEA">
        <w:trPr>
          <w:trHeight w:val="1772"/>
        </w:trPr>
        <w:tc>
          <w:tcPr>
            <w:tcW w:w="4561" w:type="dxa"/>
            <w:shd w:val="clear" w:color="auto" w:fill="E3F6FD"/>
          </w:tcPr>
          <w:p w14:paraId="1F3C6783" w14:textId="5BB73CE9" w:rsidR="00CB324D" w:rsidRPr="003B13C2" w:rsidRDefault="00591FEE" w:rsidP="00CB324D">
            <w:pPr>
              <w:spacing w:line="360" w:lineRule="auto"/>
              <w:jc w:val="center"/>
              <w:rPr>
                <w:rFonts w:ascii="Arial" w:hAnsi="Arial" w:cs="Arial"/>
                <w:color w:val="2B4F40"/>
                <w:sz w:val="19"/>
                <w:szCs w:val="19"/>
                <w:u w:val="single"/>
              </w:rPr>
            </w:pPr>
            <w:r w:rsidRPr="003B13C2">
              <w:rPr>
                <w:rFonts w:ascii="Arial" w:hAnsi="Arial" w:cs="Arial"/>
                <w:noProof/>
                <w:color w:val="2B4F40"/>
                <w:sz w:val="19"/>
                <w:szCs w:val="19"/>
                <w:u w:val="single"/>
              </w:rPr>
              <mc:AlternateContent>
                <mc:Choice Requires="wps">
                  <w:drawing>
                    <wp:anchor distT="0" distB="0" distL="114300" distR="114300" simplePos="0" relativeHeight="251709440" behindDoc="0" locked="0" layoutInCell="1" allowOverlap="1" wp14:anchorId="1EAA8437" wp14:editId="44C8C027">
                      <wp:simplePos x="0" y="0"/>
                      <wp:positionH relativeFrom="column">
                        <wp:posOffset>2434089</wp:posOffset>
                      </wp:positionH>
                      <wp:positionV relativeFrom="paragraph">
                        <wp:posOffset>3408</wp:posOffset>
                      </wp:positionV>
                      <wp:extent cx="363454" cy="356135"/>
                      <wp:effectExtent l="0" t="0" r="17780" b="25400"/>
                      <wp:wrapNone/>
                      <wp:docPr id="786776042" name="Flowchart: Delay 11"/>
                      <wp:cNvGraphicFramePr/>
                      <a:graphic xmlns:a="http://schemas.openxmlformats.org/drawingml/2006/main">
                        <a:graphicData uri="http://schemas.microsoft.com/office/word/2010/wordprocessingShape">
                          <wps:wsp>
                            <wps:cNvSpPr/>
                            <wps:spPr>
                              <a:xfrm rot="10800000">
                                <a:off x="0" y="0"/>
                                <a:ext cx="363454" cy="356135"/>
                              </a:xfrm>
                              <a:prstGeom prst="flowChartDelay">
                                <a:avLst/>
                              </a:prstGeom>
                              <a:solidFill>
                                <a:srgbClr val="E7F5EE"/>
                              </a:solidFill>
                            </wps:spPr>
                            <wps:style>
                              <a:lnRef idx="2">
                                <a:schemeClr val="accent1">
                                  <a:shade val="15000"/>
                                </a:schemeClr>
                              </a:lnRef>
                              <a:fillRef idx="1">
                                <a:schemeClr val="accent1"/>
                              </a:fillRef>
                              <a:effectRef idx="0">
                                <a:schemeClr val="accent1"/>
                              </a:effectRef>
                              <a:fontRef idx="minor">
                                <a:schemeClr val="lt1"/>
                              </a:fontRef>
                            </wps:style>
                            <wps:txbx>
                              <w:txbxContent>
                                <w:p w14:paraId="74279608" w14:textId="492B5A39" w:rsidR="002E1148" w:rsidRPr="002E1148" w:rsidRDefault="002E1148" w:rsidP="002E1148">
                                  <w:pPr>
                                    <w:jc w:val="center"/>
                                    <w:rPr>
                                      <w:b/>
                                      <w:color w:val="F6C5AC" w:themeColor="accent2" w:themeTint="66"/>
                                      <w:lang w:val="en-US"/>
                                      <w14:textOutline w14:w="11112" w14:cap="flat" w14:cmpd="sng" w14:algn="ctr">
                                        <w14:solidFill>
                                          <w14:schemeClr w14:val="accent2"/>
                                        </w14:solidFill>
                                        <w14:prstDash w14:val="solid"/>
                                        <w14:round/>
                                      </w14:textOutline>
                                    </w:rPr>
                                  </w:pPr>
                                  <w:r>
                                    <w:rPr>
                                      <w:b/>
                                      <w:color w:val="F6C5AC" w:themeColor="accent2" w:themeTint="66"/>
                                      <w:lang w:val="en-US"/>
                                      <w14:textOutline w14:w="11112" w14:cap="flat" w14:cmpd="sng" w14:algn="ctr">
                                        <w14:solidFill>
                                          <w14:schemeClr w14:val="accent2"/>
                                        </w14:solidFill>
                                        <w14:prstDash w14:val="solid"/>
                                        <w14:round/>
                                      </w14:textOutline>
                                    </w:rPr>
                                    <w:t>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AA8437" id="Flowchart: Delay 11" o:spid="_x0000_s1027" type="#_x0000_t135" style="position:absolute;left:0;text-align:left;margin-left:191.65pt;margin-top:.25pt;width:28.6pt;height:28.05pt;rotation:180;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Fc6skQIAAHEFAAAOAAAAZHJzL2Uyb0RvYy54bWysVEtv2zAMvg/YfxB0Xx3n0XZBnSJIm2FA&#10;0RZth54VWYoNyJJGKbGzXz9Kctyg7WmYDwYlkh8f+sir665RZC/A1UYXND8bUSI0N2WttwX99bL+&#10;dkmJ80yXTBktCnoQjl4vvn65au1cjE1lVCmAIIh289YWtPLezrPM8Uo0zJ0ZKzQqpYGGeTzCNiuB&#10;tYjeqGw8Gp1nrYHSguHCOby9SUq6iPhSCu4fpHTCE1VQzM3HP8T/JvyzxRWbb4HZquZ9GuwfsmhY&#10;rTHoAHXDPCM7qD9ANTUH44z0Z9w0mZGy5iLWgNXko3fVPFfMilgLNsfZoU3u/8Hy+/2zfQRsQ2vd&#10;3KEYqugkNAQMdisfXY7CF4vDdEkXe3cYeic6TzheTs4n09mUEo6qyew8n8xCb7OEFTAtOP9DmIYE&#10;oaBSmXZVMfA3QrFDhGf7O+eT09E4ODqj6nJdKxUPsN2sFJA9wwe9vVjPbm/7OCdm2VstUfIHJYKz&#10;0k9CkrrEdMcxYqSZGPAY50L7PKkqVooUJp+FBqTEBo9YWwQMyBLTG7B7gEDhj9gJprcPriKydHBO&#10;nR7CpAyOiSXnwSNGNtoPzk2tDXxWmcKq+sjJHtM/aU0QfbfpsDf45MEy3GxMeXiExAOcHWf5usa3&#10;u2POPzLAMcFLHH3/gL/wnAU1vURJZeDPZ/fBHtmLWkpaHLuCut87BoIS9VMjr7/n02mY03iYzi7G&#10;eIBTzeZUo3fNyiAR8phdFIO9V0dRgmlecUMsQ1RUMc0xdkG5h+Nh5dM6wB3DxXIZzXA2LfN3+tny&#10;AB76HBj50r0ysD2BPTL/3hxHlM3fsTfZBk9tljtvZB2p/dbX/gVwriOV+h0UFsfpOVq9bcrFXwAA&#10;AP//AwBQSwMEFAAGAAgAAAAhAJywu1PbAAAABwEAAA8AAABkcnMvZG93bnJldi54bWxMjjFPwzAU&#10;hHck/oP1kNioAylRSONUqFLEwAKlA6MTvyaB+Dmy3TT99zwm2O50p7uv3C52FDP6MDhScL9KQCC1&#10;zgzUKTh81Hc5iBA1GT06QgUXDLCtrq9KXRh3pnec97ETPEKh0Ar6GKdCytD2aHVYuQmJs6PzVke2&#10;vpPG6zOP21E+JEkmrR6IH3o94a7H9nt/svz7ujNfF/ly+MzrOvpmic3b/KTU7c3yvAERcYl/ZfjF&#10;Z3SomKlxJzJBjArSPE25quARBMfrdcKiYZtlIKtS/uevfgAAAP//AwBQSwECLQAUAAYACAAAACEA&#10;toM4kv4AAADhAQAAEwAAAAAAAAAAAAAAAAAAAAAAW0NvbnRlbnRfVHlwZXNdLnhtbFBLAQItABQA&#10;BgAIAAAAIQA4/SH/1gAAAJQBAAALAAAAAAAAAAAAAAAAAC8BAABfcmVscy8ucmVsc1BLAQItABQA&#10;BgAIAAAAIQApFc6skQIAAHEFAAAOAAAAAAAAAAAAAAAAAC4CAABkcnMvZTJvRG9jLnhtbFBLAQIt&#10;ABQABgAIAAAAIQCcsLtT2wAAAAcBAAAPAAAAAAAAAAAAAAAAAOsEAABkcnMvZG93bnJldi54bWxQ&#10;SwUGAAAAAAQABADzAAAA8wUAAAAA&#10;" fillcolor="#e7f5ee" strokecolor="#030e13 [484]" strokeweight="1pt">
                      <v:textbox>
                        <w:txbxContent>
                          <w:p w14:paraId="74279608" w14:textId="492B5A39" w:rsidR="002E1148" w:rsidRPr="002E1148" w:rsidRDefault="002E1148" w:rsidP="002E1148">
                            <w:pPr>
                              <w:jc w:val="center"/>
                              <w:rPr>
                                <w:b/>
                                <w:color w:val="F6C5AC" w:themeColor="accent2" w:themeTint="66"/>
                                <w:lang w:val="en-US"/>
                                <w14:textOutline w14:w="11112" w14:cap="flat" w14:cmpd="sng" w14:algn="ctr">
                                  <w14:solidFill>
                                    <w14:schemeClr w14:val="accent2"/>
                                  </w14:solidFill>
                                  <w14:prstDash w14:val="solid"/>
                                  <w14:round/>
                                </w14:textOutline>
                              </w:rPr>
                            </w:pPr>
                            <w:r>
                              <w:rPr>
                                <w:b/>
                                <w:color w:val="F6C5AC" w:themeColor="accent2" w:themeTint="66"/>
                                <w:lang w:val="en-US"/>
                                <w14:textOutline w14:w="11112" w14:cap="flat" w14:cmpd="sng" w14:algn="ctr">
                                  <w14:solidFill>
                                    <w14:schemeClr w14:val="accent2"/>
                                  </w14:solidFill>
                                  <w14:prstDash w14:val="solid"/>
                                  <w14:round/>
                                </w14:textOutline>
                              </w:rPr>
                              <w:t>O</w:t>
                            </w:r>
                          </w:p>
                        </w:txbxContent>
                      </v:textbox>
                    </v:shape>
                  </w:pict>
                </mc:Fallback>
              </mc:AlternateContent>
            </w:r>
            <w:r w:rsidR="00CB324D" w:rsidRPr="003B13C2">
              <w:rPr>
                <w:rFonts w:ascii="Arial" w:hAnsi="Arial" w:cs="Arial"/>
                <w:color w:val="2B4F40"/>
                <w:sz w:val="19"/>
                <w:szCs w:val="19"/>
                <w:u w:val="single"/>
              </w:rPr>
              <w:t>Opportunities</w:t>
            </w:r>
          </w:p>
          <w:p w14:paraId="2D1E9EDA" w14:textId="4AF19B2C" w:rsidR="00CB324D" w:rsidRPr="003B13C2" w:rsidRDefault="00CB324D" w:rsidP="00CB324D">
            <w:pPr>
              <w:pStyle w:val="ListParagraph"/>
              <w:numPr>
                <w:ilvl w:val="0"/>
                <w:numId w:val="20"/>
              </w:numPr>
              <w:spacing w:line="360" w:lineRule="auto"/>
              <w:rPr>
                <w:rFonts w:ascii="Arial" w:hAnsi="Arial" w:cs="Arial"/>
                <w:color w:val="2B4F40"/>
                <w:sz w:val="19"/>
                <w:szCs w:val="19"/>
                <w:u w:val="single"/>
              </w:rPr>
            </w:pPr>
            <w:r w:rsidRPr="003B13C2">
              <w:rPr>
                <w:rFonts w:ascii="Arial" w:hAnsi="Arial" w:cs="Arial"/>
                <w:color w:val="2B4F40"/>
                <w:sz w:val="19"/>
                <w:szCs w:val="19"/>
              </w:rPr>
              <w:t>Growing demand for health and wellness products (Euromonitor International, 2022)</w:t>
            </w:r>
          </w:p>
          <w:p w14:paraId="0315DD45" w14:textId="77777777" w:rsidR="00CB324D" w:rsidRPr="003B13C2" w:rsidRDefault="00CB324D" w:rsidP="00CB324D">
            <w:pPr>
              <w:pStyle w:val="ListParagraph"/>
              <w:numPr>
                <w:ilvl w:val="0"/>
                <w:numId w:val="20"/>
              </w:numPr>
              <w:spacing w:line="360" w:lineRule="auto"/>
              <w:rPr>
                <w:rFonts w:ascii="Arial" w:hAnsi="Arial" w:cs="Arial"/>
                <w:color w:val="2B4F40"/>
                <w:sz w:val="19"/>
                <w:szCs w:val="19"/>
                <w:u w:val="single"/>
              </w:rPr>
            </w:pPr>
            <w:r w:rsidRPr="003B13C2">
              <w:rPr>
                <w:rFonts w:ascii="Arial" w:hAnsi="Arial" w:cs="Arial"/>
                <w:color w:val="2B4F40"/>
                <w:sz w:val="19"/>
                <w:szCs w:val="19"/>
              </w:rPr>
              <w:t>Technological advancements in manufacturing and marketing (Chaffey and Ellis-Chadwick, 2019)</w:t>
            </w:r>
          </w:p>
          <w:p w14:paraId="347602AE" w14:textId="3EE60AD6" w:rsidR="00CB324D" w:rsidRPr="003B13C2" w:rsidRDefault="00CB324D" w:rsidP="00CB324D">
            <w:pPr>
              <w:pStyle w:val="ListParagraph"/>
              <w:numPr>
                <w:ilvl w:val="0"/>
                <w:numId w:val="20"/>
              </w:numPr>
              <w:spacing w:line="360" w:lineRule="auto"/>
              <w:rPr>
                <w:rFonts w:ascii="Arial" w:hAnsi="Arial" w:cs="Arial"/>
                <w:color w:val="2B4F40"/>
                <w:sz w:val="19"/>
                <w:szCs w:val="19"/>
                <w:u w:val="single"/>
              </w:rPr>
            </w:pPr>
            <w:r w:rsidRPr="003B13C2">
              <w:rPr>
                <w:rFonts w:ascii="Arial" w:hAnsi="Arial" w:cs="Arial"/>
                <w:color w:val="2B4F40"/>
                <w:sz w:val="19"/>
                <w:szCs w:val="19"/>
              </w:rPr>
              <w:t>Strategic partnerships and collaborations (Kotler and Keller, 2012)</w:t>
            </w:r>
          </w:p>
        </w:tc>
        <w:tc>
          <w:tcPr>
            <w:tcW w:w="4561" w:type="dxa"/>
            <w:shd w:val="clear" w:color="auto" w:fill="FBEFFA"/>
          </w:tcPr>
          <w:p w14:paraId="38F2060E" w14:textId="6A557564" w:rsidR="00CB324D" w:rsidRPr="003B13C2" w:rsidRDefault="008069C6" w:rsidP="00CB324D">
            <w:pPr>
              <w:spacing w:line="360" w:lineRule="auto"/>
              <w:jc w:val="center"/>
              <w:rPr>
                <w:rFonts w:ascii="Arial" w:hAnsi="Arial" w:cs="Arial"/>
                <w:color w:val="2B4F40"/>
                <w:sz w:val="19"/>
                <w:szCs w:val="19"/>
                <w:u w:val="single"/>
              </w:rPr>
            </w:pPr>
            <w:r w:rsidRPr="003B13C2">
              <w:rPr>
                <w:rFonts w:ascii="Arial" w:hAnsi="Arial" w:cs="Arial"/>
                <w:noProof/>
                <w:color w:val="2B4F40"/>
                <w:sz w:val="19"/>
                <w:szCs w:val="19"/>
              </w:rPr>
              <mc:AlternateContent>
                <mc:Choice Requires="wps">
                  <w:drawing>
                    <wp:anchor distT="0" distB="0" distL="114300" distR="114300" simplePos="0" relativeHeight="251707392" behindDoc="0" locked="0" layoutInCell="1" allowOverlap="1" wp14:anchorId="3250F50B" wp14:editId="0883E36F">
                      <wp:simplePos x="0" y="0"/>
                      <wp:positionH relativeFrom="column">
                        <wp:posOffset>-48260</wp:posOffset>
                      </wp:positionH>
                      <wp:positionV relativeFrom="paragraph">
                        <wp:posOffset>-362517</wp:posOffset>
                      </wp:positionV>
                      <wp:extent cx="384910" cy="332506"/>
                      <wp:effectExtent l="0" t="0" r="15240" b="10795"/>
                      <wp:wrapNone/>
                      <wp:docPr id="2118413419" name="Flowchart: Delay 9"/>
                      <wp:cNvGraphicFramePr/>
                      <a:graphic xmlns:a="http://schemas.openxmlformats.org/drawingml/2006/main">
                        <a:graphicData uri="http://schemas.microsoft.com/office/word/2010/wordprocessingShape">
                          <wps:wsp>
                            <wps:cNvSpPr/>
                            <wps:spPr>
                              <a:xfrm>
                                <a:off x="0" y="0"/>
                                <a:ext cx="384910" cy="332506"/>
                              </a:xfrm>
                              <a:prstGeom prst="flowChartDelay">
                                <a:avLst/>
                              </a:prstGeom>
                              <a:solidFill>
                                <a:srgbClr val="E7F5EE"/>
                              </a:solidFill>
                            </wps:spPr>
                            <wps:style>
                              <a:lnRef idx="2">
                                <a:schemeClr val="accent1">
                                  <a:shade val="15000"/>
                                </a:schemeClr>
                              </a:lnRef>
                              <a:fillRef idx="1">
                                <a:schemeClr val="accent1"/>
                              </a:fillRef>
                              <a:effectRef idx="0">
                                <a:schemeClr val="accent1"/>
                              </a:effectRef>
                              <a:fontRef idx="minor">
                                <a:schemeClr val="lt1"/>
                              </a:fontRef>
                            </wps:style>
                            <wps:txbx>
                              <w:txbxContent>
                                <w:p w14:paraId="67C90C50" w14:textId="0992DED4" w:rsidR="002E1148" w:rsidRPr="002E1148" w:rsidRDefault="002E1148" w:rsidP="002E1148">
                                  <w:pPr>
                                    <w:jc w:val="center"/>
                                    <w:rPr>
                                      <w:b/>
                                      <w:color w:val="F6C5AC" w:themeColor="accent2" w:themeTint="66"/>
                                      <w:lang w:val="en-US"/>
                                      <w14:textOutline w14:w="11112" w14:cap="flat" w14:cmpd="sng" w14:algn="ctr">
                                        <w14:solidFill>
                                          <w14:schemeClr w14:val="accent2"/>
                                        </w14:solidFill>
                                        <w14:prstDash w14:val="solid"/>
                                        <w14:round/>
                                      </w14:textOutline>
                                    </w:rPr>
                                  </w:pPr>
                                  <w:r>
                                    <w:rPr>
                                      <w:b/>
                                      <w:color w:val="F6C5AC" w:themeColor="accent2" w:themeTint="66"/>
                                      <w:lang w:val="en-US"/>
                                      <w14:textOutline w14:w="11112" w14:cap="flat" w14:cmpd="sng" w14:algn="ctr">
                                        <w14:solidFill>
                                          <w14:schemeClr w14:val="accent2"/>
                                        </w14:solidFill>
                                        <w14:prstDash w14:val="solid"/>
                                        <w14:round/>
                                      </w14:textOutline>
                                    </w:rPr>
                                    <w:t>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50F50B" id="Flowchart: Delay 9" o:spid="_x0000_s1028" type="#_x0000_t135" style="position:absolute;left:0;text-align:left;margin-left:-3.8pt;margin-top:-28.55pt;width:30.3pt;height:26.2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xDshgIAAGIFAAAOAAAAZHJzL2Uyb0RvYy54bWysVEtv2zAMvg/YfxB0X22nSR9BnSJIm2FA&#10;0QZth54VWYoNyJJGKbGzXz9KdpygLXYYdrEpkfz40Efe3La1IjsBrjI6p9lZSonQ3BSV3uT05+vy&#10;2xUlzjNdMGW0yOleOHo7+/rlprFTMTKlUYUAgiDaTRub09J7O00Sx0tRM3dmrNColAZq5vEIm6QA&#10;1iB6rZJRml4kjYHCguHCOby965R0FvGlFNw/SemEJyqnmJuPX4jfdfgmsxs23QCzZcX7NNg/ZFGz&#10;SmPQAeqOeUa2UH2AqisOxhnpz7ipEyNlxUWsAavJ0nfVvJTMilgLNsfZoU3u/8Hyx92LXQG2obFu&#10;6lAMVbQS6vDH/Egbm7UfmiVaTzhenl+NrzNsKUfV+flokl6EZiZHZwvOfxemJkHIqVSmWZQM/J1Q&#10;bB+bxXYPzndOB+MQ1RlVFctKqXiAzXqhgOwYvuD95XJyf9/HOTFLjslHye+VCM5KPwtJqgLTHcWI&#10;kVdiwGOcC+2zTlWyQnRhskmaRmpgNYNHrC0CBmSJ6Q3YPUDg7Efsrr7ePriKSMvBOf1bYp3z4BEj&#10;G+0H57rSBj4DUFhVH7mzx/RPWhNE365b7E1oDVqGm7Up9isgYLoxcZYvK3y7B+b8igHOBT43zrp/&#10;wk94zpyaXqKkNPD7s/tgj3RFLSUNzllO3a8tA0GJ+qGRyNfZeBwGMx7Gk8sRHuBUsz7V6G29MEiE&#10;DLeK5VEM9l4dRAmmfsOVMA9RUcU0x9g55R4Oh4Xv5h+XChfzeTTDYbTMP+gXywN46HNg5Gv7xsD2&#10;BPbI/EdzmEk2fcfezjZ4ajPfeiOrSO1jX/sXwEGOVOqXTtgUp+dodVyNsz8AAAD//wMAUEsDBBQA&#10;BgAIAAAAIQCyYcAa3AAAAAgBAAAPAAAAZHJzL2Rvd25yZXYueG1sTI9BT8MwDIXvSPyHyEjctnSw&#10;rVPXdCog7myAxDFrTBtInKpJt/LvMSd2suz39Py9cjd5J044RBtIwWKegUBqgrHUKnh7fZ5tQMSk&#10;yWgXCBX8YIRddX1V6sKEM+3xdEit4BCKhVbQpdQXUsamQ6/jPPRIrH2GwevE69BKM+gzh3sn77Js&#10;Lb22xB863eNjh833YfQK3muX1a3dj/HFhC/78LR0YfhQ6vZmqrcgEk7p3wx/+IwOFTMdw0gmCqdg&#10;lq/ZyXOVL0CwYXXP3Y58WOYgq1JeFqh+AQAA//8DAFBLAQItABQABgAIAAAAIQC2gziS/gAAAOEB&#10;AAATAAAAAAAAAAAAAAAAAAAAAABbQ29udGVudF9UeXBlc10ueG1sUEsBAi0AFAAGAAgAAAAhADj9&#10;If/WAAAAlAEAAAsAAAAAAAAAAAAAAAAALwEAAF9yZWxzLy5yZWxzUEsBAi0AFAAGAAgAAAAhAL53&#10;EOyGAgAAYgUAAA4AAAAAAAAAAAAAAAAALgIAAGRycy9lMm9Eb2MueG1sUEsBAi0AFAAGAAgAAAAh&#10;ALJhwBrcAAAACAEAAA8AAAAAAAAAAAAAAAAA4AQAAGRycy9kb3ducmV2LnhtbFBLBQYAAAAABAAE&#10;APMAAADpBQAAAAA=&#10;" fillcolor="#e7f5ee" strokecolor="#030e13 [484]" strokeweight="1pt">
                      <v:textbox>
                        <w:txbxContent>
                          <w:p w14:paraId="67C90C50" w14:textId="0992DED4" w:rsidR="002E1148" w:rsidRPr="002E1148" w:rsidRDefault="002E1148" w:rsidP="002E1148">
                            <w:pPr>
                              <w:jc w:val="center"/>
                              <w:rPr>
                                <w:b/>
                                <w:color w:val="F6C5AC" w:themeColor="accent2" w:themeTint="66"/>
                                <w:lang w:val="en-US"/>
                                <w14:textOutline w14:w="11112" w14:cap="flat" w14:cmpd="sng" w14:algn="ctr">
                                  <w14:solidFill>
                                    <w14:schemeClr w14:val="accent2"/>
                                  </w14:solidFill>
                                  <w14:prstDash w14:val="solid"/>
                                  <w14:round/>
                                </w14:textOutline>
                              </w:rPr>
                            </w:pPr>
                            <w:r>
                              <w:rPr>
                                <w:b/>
                                <w:color w:val="F6C5AC" w:themeColor="accent2" w:themeTint="66"/>
                                <w:lang w:val="en-US"/>
                                <w14:textOutline w14:w="11112" w14:cap="flat" w14:cmpd="sng" w14:algn="ctr">
                                  <w14:solidFill>
                                    <w14:schemeClr w14:val="accent2"/>
                                  </w14:solidFill>
                                  <w14:prstDash w14:val="solid"/>
                                  <w14:round/>
                                </w14:textOutline>
                              </w:rPr>
                              <w:t>W</w:t>
                            </w:r>
                          </w:p>
                        </w:txbxContent>
                      </v:textbox>
                    </v:shape>
                  </w:pict>
                </mc:Fallback>
              </mc:AlternateContent>
            </w:r>
            <w:r w:rsidR="00591FEE" w:rsidRPr="003B13C2">
              <w:rPr>
                <w:rFonts w:ascii="Arial" w:hAnsi="Arial" w:cs="Arial"/>
                <w:noProof/>
                <w:color w:val="2B4F40"/>
                <w:sz w:val="19"/>
                <w:szCs w:val="19"/>
              </w:rPr>
              <mc:AlternateContent>
                <mc:Choice Requires="wps">
                  <w:drawing>
                    <wp:anchor distT="0" distB="0" distL="114300" distR="114300" simplePos="0" relativeHeight="251706368" behindDoc="0" locked="0" layoutInCell="1" allowOverlap="1" wp14:anchorId="6592CDC2" wp14:editId="7CA471DB">
                      <wp:simplePos x="0" y="0"/>
                      <wp:positionH relativeFrom="column">
                        <wp:posOffset>-38635</wp:posOffset>
                      </wp:positionH>
                      <wp:positionV relativeFrom="paragraph">
                        <wp:posOffset>3409</wp:posOffset>
                      </wp:positionV>
                      <wp:extent cx="375285" cy="355601"/>
                      <wp:effectExtent l="0" t="0" r="24765" b="25400"/>
                      <wp:wrapNone/>
                      <wp:docPr id="2039242687" name="Flowchart: Delay 8"/>
                      <wp:cNvGraphicFramePr/>
                      <a:graphic xmlns:a="http://schemas.openxmlformats.org/drawingml/2006/main">
                        <a:graphicData uri="http://schemas.microsoft.com/office/word/2010/wordprocessingShape">
                          <wps:wsp>
                            <wps:cNvSpPr/>
                            <wps:spPr>
                              <a:xfrm>
                                <a:off x="0" y="0"/>
                                <a:ext cx="375285" cy="355601"/>
                              </a:xfrm>
                              <a:prstGeom prst="flowChartDelay">
                                <a:avLst/>
                              </a:prstGeom>
                              <a:solidFill>
                                <a:srgbClr val="E7F5EE"/>
                              </a:solidFill>
                            </wps:spPr>
                            <wps:style>
                              <a:lnRef idx="2">
                                <a:schemeClr val="accent1">
                                  <a:shade val="15000"/>
                                </a:schemeClr>
                              </a:lnRef>
                              <a:fillRef idx="1">
                                <a:schemeClr val="accent1"/>
                              </a:fillRef>
                              <a:effectRef idx="0">
                                <a:schemeClr val="accent1"/>
                              </a:effectRef>
                              <a:fontRef idx="minor">
                                <a:schemeClr val="lt1"/>
                              </a:fontRef>
                            </wps:style>
                            <wps:txbx>
                              <w:txbxContent>
                                <w:p w14:paraId="1CE3E908" w14:textId="3B281A5F" w:rsidR="002E1148" w:rsidRPr="002E1148" w:rsidRDefault="002E1148" w:rsidP="002E1148">
                                  <w:pPr>
                                    <w:jc w:val="center"/>
                                    <w:rPr>
                                      <w:b/>
                                      <w:color w:val="F6C5AC" w:themeColor="accent2" w:themeTint="66"/>
                                      <w:lang w:val="en-US"/>
                                      <w14:textOutline w14:w="11112" w14:cap="flat" w14:cmpd="sng" w14:algn="ctr">
                                        <w14:solidFill>
                                          <w14:schemeClr w14:val="accent2"/>
                                        </w14:solidFill>
                                        <w14:prstDash w14:val="solid"/>
                                        <w14:round/>
                                      </w14:textOutline>
                                    </w:rPr>
                                  </w:pPr>
                                  <w:r>
                                    <w:rPr>
                                      <w:b/>
                                      <w:color w:val="F6C5AC" w:themeColor="accent2" w:themeTint="66"/>
                                      <w:lang w:val="en-US"/>
                                      <w14:textOutline w14:w="11112" w14:cap="flat" w14:cmpd="sng" w14:algn="ctr">
                                        <w14:solidFill>
                                          <w14:schemeClr w14:val="accent2"/>
                                        </w14:solidFill>
                                        <w14:prstDash w14:val="solid"/>
                                        <w14:round/>
                                      </w14:textOutline>
                                    </w:rPr>
                                    <w:t>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92CDC2" id="Flowchart: Delay 8" o:spid="_x0000_s1029" type="#_x0000_t135" style="position:absolute;left:0;text-align:left;margin-left:-3.05pt;margin-top:.25pt;width:29.55pt;height:28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a1VYhgIAAGIFAAAOAAAAZHJzL2Uyb0RvYy54bWysVE1v2zAMvQ/YfxB0X22nddsFdYogbYYB&#10;RRusHXpWZCk2IIuapMTOfv0o2XGCtthh2MWmRPLxQ4+8ue0aRXbCuhp0QbOzlBKhOZS13hT058vy&#10;yzUlzjNdMgVaFHQvHL2dff5005qpmEAFqhSWIIh209YUtPLeTJPE8Uo0zJ2BERqVEmzDPB7tJikt&#10;axG9UckkTS+TFmxpLHDhHN7e9Uo6i/hSCu6fpHTCE1VQzM3Hr43fdfgmsxs23VhmqpoPabB/yKJh&#10;tcagI9Qd84xsbf0Oqqm5BQfSn3FoEpCy5iLWgNVk6ZtqnitmRKwFm+PM2Cb3/2D54+7ZrCy2oTVu&#10;6lAMVXTSNuGP+ZEuNms/Nkt0nnC8PL/KJ9c5JRxV53l+mWahmcnR2VjnvwloSBAKKhW0i4pZfycU&#10;28dmsd2D873TwThEdaDqclkrFQ92s14oS3YMX/D+apnf3w9xTsySY/JR8nslgrPSP4QkdYnpTmLE&#10;yCsx4jHOhfZZr6pYKfowWZ6mkRpYzegRa4uAAVlieiP2ABA4+x67r2+wD64i0nJ0Tv+WWO88esTI&#10;oP3o3NQa7EcACqsaIvf2mP5Ja4Lou3WHvcHXC5bhZg3lfmWJhX5MnOHLGt/ugTm/YhbnAicIZ90/&#10;4Sc8Z0FhkCipwP7+6D7YI11RS0mLc1ZQ92vLrKBEfddI5K/ZxUUYzHi4yK8meLCnmvWpRm+bBSAR&#10;Mtwqhkcx2Ht1EKWF5hVXwjxERRXTHGMXlHt7OCx8P/+4VLiYz6MZDqNh/kE/Gx7AQ58DI1+6V2bN&#10;QGCPzH+Ew0yy6Rv29rbBU8N860HWkdrHvg4vgIMcqTQsnbApTs/R6rgaZ38AAAD//wMAUEsDBBQA&#10;BgAIAAAAIQCo4G0C2QAAAAUBAAAPAAAAZHJzL2Rvd25yZXYueG1sTI/BTsMwEETvSPyDtUjcWqdA&#10;IhTiVAHEnRaQOLrxkhjsdWQ7bfh7lhOcRqsZzbxttot34ogx2UAKNusCBFIfjKVBwevL0+oWRMqa&#10;jHaBUME3Jti252eNrk040Q6P+zwILqFUawVjzlMtZepH9Dqtw4TE3keIXmc+4yBN1Ccu905eFUUl&#10;vbbEC6Oe8GHE/ms/ewVvnSu6we7m9GzCp71/vHEhvit1ebF0dyAyLvkvDL/4jA4tMx3CTCYJp2BV&#10;bTipoATBbnnNjx1YqxJk28j/9O0PAAAA//8DAFBLAQItABQABgAIAAAAIQC2gziS/gAAAOEBAAAT&#10;AAAAAAAAAAAAAAAAAAAAAABbQ29udGVudF9UeXBlc10ueG1sUEsBAi0AFAAGAAgAAAAhADj9If/W&#10;AAAAlAEAAAsAAAAAAAAAAAAAAAAALwEAAF9yZWxzLy5yZWxzUEsBAi0AFAAGAAgAAAAhABNrVViG&#10;AgAAYgUAAA4AAAAAAAAAAAAAAAAALgIAAGRycy9lMm9Eb2MueG1sUEsBAi0AFAAGAAgAAAAhAKjg&#10;bQLZAAAABQEAAA8AAAAAAAAAAAAAAAAA4AQAAGRycy9kb3ducmV2LnhtbFBLBQYAAAAABAAEAPMA&#10;AADmBQAAAAA=&#10;" fillcolor="#e7f5ee" strokecolor="#030e13 [484]" strokeweight="1pt">
                      <v:textbox>
                        <w:txbxContent>
                          <w:p w14:paraId="1CE3E908" w14:textId="3B281A5F" w:rsidR="002E1148" w:rsidRPr="002E1148" w:rsidRDefault="002E1148" w:rsidP="002E1148">
                            <w:pPr>
                              <w:jc w:val="center"/>
                              <w:rPr>
                                <w:b/>
                                <w:color w:val="F6C5AC" w:themeColor="accent2" w:themeTint="66"/>
                                <w:lang w:val="en-US"/>
                                <w14:textOutline w14:w="11112" w14:cap="flat" w14:cmpd="sng" w14:algn="ctr">
                                  <w14:solidFill>
                                    <w14:schemeClr w14:val="accent2"/>
                                  </w14:solidFill>
                                  <w14:prstDash w14:val="solid"/>
                                  <w14:round/>
                                </w14:textOutline>
                              </w:rPr>
                            </w:pPr>
                            <w:r>
                              <w:rPr>
                                <w:b/>
                                <w:color w:val="F6C5AC" w:themeColor="accent2" w:themeTint="66"/>
                                <w:lang w:val="en-US"/>
                                <w14:textOutline w14:w="11112" w14:cap="flat" w14:cmpd="sng" w14:algn="ctr">
                                  <w14:solidFill>
                                    <w14:schemeClr w14:val="accent2"/>
                                  </w14:solidFill>
                                  <w14:prstDash w14:val="solid"/>
                                  <w14:round/>
                                </w14:textOutline>
                              </w:rPr>
                              <w:t>T</w:t>
                            </w:r>
                          </w:p>
                        </w:txbxContent>
                      </v:textbox>
                    </v:shape>
                  </w:pict>
                </mc:Fallback>
              </mc:AlternateContent>
            </w:r>
            <w:r w:rsidR="00CB324D" w:rsidRPr="003B13C2">
              <w:rPr>
                <w:rFonts w:ascii="Arial" w:hAnsi="Arial" w:cs="Arial"/>
                <w:color w:val="2B4F40"/>
                <w:sz w:val="19"/>
                <w:szCs w:val="19"/>
                <w:u w:val="single"/>
              </w:rPr>
              <w:t>Threats</w:t>
            </w:r>
          </w:p>
          <w:p w14:paraId="0F67E343" w14:textId="51277807" w:rsidR="00CB324D" w:rsidRPr="003B13C2" w:rsidRDefault="00CB324D" w:rsidP="00CB324D">
            <w:pPr>
              <w:pStyle w:val="ListParagraph"/>
              <w:numPr>
                <w:ilvl w:val="0"/>
                <w:numId w:val="20"/>
              </w:numPr>
              <w:spacing w:line="360" w:lineRule="auto"/>
              <w:rPr>
                <w:rFonts w:ascii="Arial" w:hAnsi="Arial" w:cs="Arial"/>
                <w:color w:val="2B4F40"/>
                <w:sz w:val="19"/>
                <w:szCs w:val="19"/>
                <w:u w:val="single"/>
              </w:rPr>
            </w:pPr>
            <w:r w:rsidRPr="003B13C2">
              <w:rPr>
                <w:rFonts w:ascii="Arial" w:hAnsi="Arial" w:cs="Arial"/>
                <w:color w:val="2B4F40"/>
                <w:sz w:val="19"/>
                <w:szCs w:val="19"/>
              </w:rPr>
              <w:t>- Intense competition in the health food industry (Tracxn, 2024)</w:t>
            </w:r>
          </w:p>
          <w:p w14:paraId="2F8ADF24" w14:textId="77777777" w:rsidR="00CB324D" w:rsidRPr="003B13C2" w:rsidRDefault="00CB324D" w:rsidP="00CB324D">
            <w:pPr>
              <w:pStyle w:val="ListParagraph"/>
              <w:numPr>
                <w:ilvl w:val="0"/>
                <w:numId w:val="20"/>
              </w:numPr>
              <w:spacing w:line="360" w:lineRule="auto"/>
              <w:rPr>
                <w:rFonts w:ascii="Arial" w:hAnsi="Arial" w:cs="Arial"/>
                <w:color w:val="2B4F40"/>
                <w:sz w:val="19"/>
                <w:szCs w:val="19"/>
                <w:u w:val="single"/>
              </w:rPr>
            </w:pPr>
            <w:r w:rsidRPr="003B13C2">
              <w:rPr>
                <w:rFonts w:ascii="Arial" w:hAnsi="Arial" w:cs="Arial"/>
                <w:color w:val="2B4F40"/>
                <w:sz w:val="19"/>
                <w:szCs w:val="19"/>
              </w:rPr>
              <w:t>Regulatory and compliance challenges (Bailey and Tomlinson, 2017)</w:t>
            </w:r>
          </w:p>
          <w:p w14:paraId="2E519C90" w14:textId="49BBC7F6" w:rsidR="00CB324D" w:rsidRPr="003B13C2" w:rsidRDefault="00CB324D" w:rsidP="00CB324D">
            <w:pPr>
              <w:pStyle w:val="ListParagraph"/>
              <w:numPr>
                <w:ilvl w:val="0"/>
                <w:numId w:val="20"/>
              </w:numPr>
              <w:spacing w:line="360" w:lineRule="auto"/>
              <w:rPr>
                <w:rFonts w:ascii="Arial" w:hAnsi="Arial" w:cs="Arial"/>
                <w:color w:val="2B4F40"/>
                <w:sz w:val="19"/>
                <w:szCs w:val="19"/>
                <w:u w:val="single"/>
              </w:rPr>
            </w:pPr>
            <w:r w:rsidRPr="003B13C2">
              <w:rPr>
                <w:rFonts w:ascii="Arial" w:hAnsi="Arial" w:cs="Arial"/>
                <w:color w:val="2B4F40"/>
                <w:sz w:val="19"/>
                <w:szCs w:val="19"/>
              </w:rPr>
              <w:t>Economic uncertainty and consumer spending patterns (Jensen, 2002)</w:t>
            </w:r>
          </w:p>
        </w:tc>
      </w:tr>
    </w:tbl>
    <w:p w14:paraId="76EAF7BE" w14:textId="77777777" w:rsidR="008B0FBE" w:rsidRPr="008B0FBE" w:rsidRDefault="008B0FBE" w:rsidP="008B0FBE">
      <w:pPr>
        <w:spacing w:line="360" w:lineRule="auto"/>
        <w:rPr>
          <w:rFonts w:ascii="Arial" w:hAnsi="Arial" w:cs="Arial"/>
          <w:b/>
          <w:bCs/>
          <w:color w:val="2B4F40"/>
        </w:rPr>
      </w:pPr>
    </w:p>
    <w:p w14:paraId="18A77F08" w14:textId="3DC58027" w:rsidR="003C11D2" w:rsidRPr="00F8668D" w:rsidRDefault="003C11D2" w:rsidP="00614EEA">
      <w:pPr>
        <w:pStyle w:val="Heading1"/>
        <w:shd w:val="clear" w:color="auto" w:fill="E7F5EE"/>
        <w:rPr>
          <w:rFonts w:ascii="Arial" w:hAnsi="Arial" w:cs="Arial"/>
          <w:color w:val="2D473F"/>
          <w:sz w:val="36"/>
          <w:szCs w:val="36"/>
        </w:rPr>
      </w:pPr>
      <w:bookmarkStart w:id="5" w:name="_Toc171288901"/>
      <w:r w:rsidRPr="00F8668D">
        <w:rPr>
          <w:rFonts w:ascii="Arial" w:hAnsi="Arial" w:cs="Arial"/>
          <w:color w:val="2D473F"/>
          <w:sz w:val="36"/>
          <w:szCs w:val="36"/>
        </w:rPr>
        <w:lastRenderedPageBreak/>
        <w:t>Stakeholder Analysi</w:t>
      </w:r>
      <w:r w:rsidR="00CB2D96">
        <w:rPr>
          <w:rFonts w:ascii="Arial" w:hAnsi="Arial" w:cs="Arial"/>
          <w:color w:val="2D473F"/>
          <w:sz w:val="36"/>
          <w:szCs w:val="36"/>
        </w:rPr>
        <w:t>s</w:t>
      </w:r>
      <w:bookmarkEnd w:id="5"/>
    </w:p>
    <w:p w14:paraId="20F01560" w14:textId="77777777" w:rsidR="003C11D2" w:rsidRPr="00F8668D" w:rsidRDefault="003C11D2" w:rsidP="003C11D2">
      <w:pPr>
        <w:spacing w:line="360" w:lineRule="auto"/>
        <w:rPr>
          <w:rFonts w:ascii="Arial" w:hAnsi="Arial" w:cs="Arial"/>
          <w:color w:val="2D473F"/>
        </w:rPr>
      </w:pPr>
    </w:p>
    <w:p w14:paraId="20F43282" w14:textId="41C3B8A0" w:rsidR="003C11D2" w:rsidRDefault="003C11D2" w:rsidP="00DB70A8">
      <w:pPr>
        <w:pStyle w:val="Heading2"/>
        <w:numPr>
          <w:ilvl w:val="0"/>
          <w:numId w:val="5"/>
        </w:numPr>
        <w:rPr>
          <w:rFonts w:ascii="Arial" w:hAnsi="Arial" w:cs="Arial"/>
          <w:color w:val="2D473F"/>
        </w:rPr>
      </w:pPr>
      <w:bookmarkStart w:id="6" w:name="_Toc171288902"/>
      <w:r w:rsidRPr="00F8668D">
        <w:rPr>
          <w:rFonts w:ascii="Arial" w:hAnsi="Arial" w:cs="Arial"/>
          <w:color w:val="2D473F"/>
        </w:rPr>
        <w:t>Key Stakeholders</w:t>
      </w:r>
      <w:r w:rsidR="008A4667">
        <w:rPr>
          <w:rFonts w:ascii="Arial" w:hAnsi="Arial" w:cs="Arial"/>
          <w:color w:val="2D473F"/>
        </w:rPr>
        <w:t xml:space="preserve">. </w:t>
      </w:r>
      <w:r w:rsidR="008A4667" w:rsidRPr="00F8668D">
        <w:rPr>
          <w:rFonts w:ascii="Arial" w:hAnsi="Arial" w:cs="Arial"/>
          <w:color w:val="2D473F"/>
        </w:rPr>
        <w:t>Expectations and Power</w:t>
      </w:r>
      <w:bookmarkEnd w:id="6"/>
    </w:p>
    <w:p w14:paraId="5229659F" w14:textId="77777777" w:rsidR="00C33DE8" w:rsidRPr="00C33DE8" w:rsidRDefault="00C33DE8" w:rsidP="00C33DE8"/>
    <w:p w14:paraId="6A470F6C" w14:textId="61D50A7B" w:rsidR="00C33DE8" w:rsidRPr="003B13C2" w:rsidRDefault="00C33DE8" w:rsidP="003B13C2">
      <w:pPr>
        <w:spacing w:line="360" w:lineRule="auto"/>
        <w:rPr>
          <w:rFonts w:ascii="Arial" w:hAnsi="Arial" w:cs="Arial"/>
          <w:color w:val="2B4F40"/>
        </w:rPr>
      </w:pPr>
      <w:r w:rsidRPr="003B13C2">
        <w:rPr>
          <w:rFonts w:ascii="Arial" w:hAnsi="Arial" w:cs="Arial"/>
          <w:color w:val="2B4F40"/>
        </w:rPr>
        <w:t>Stakeholder analysis involves identifying the stakeholders involved in or affected by the company's activities and evaluating their expectations and power relative to the organisation. For The Rude Health Company, stakeholders include customers, employees, suppliers, investors, regulatory bodies, and the local community.</w:t>
      </w:r>
    </w:p>
    <w:p w14:paraId="40367684" w14:textId="5F768A4A" w:rsidR="00C33DE8" w:rsidRPr="003B13C2" w:rsidRDefault="00C33DE8" w:rsidP="003B13C2">
      <w:pPr>
        <w:spacing w:line="360" w:lineRule="auto"/>
        <w:rPr>
          <w:rFonts w:ascii="Arial" w:hAnsi="Arial" w:cs="Arial"/>
          <w:color w:val="2B4F40"/>
          <w:u w:val="single"/>
        </w:rPr>
      </w:pPr>
      <w:r w:rsidRPr="003B13C2">
        <w:rPr>
          <w:rFonts w:ascii="Arial" w:hAnsi="Arial" w:cs="Arial"/>
          <w:color w:val="2B4F40"/>
          <w:u w:val="single"/>
        </w:rPr>
        <w:t>Customers</w:t>
      </w:r>
    </w:p>
    <w:p w14:paraId="046D7C0D" w14:textId="296D4180" w:rsidR="00C33DE8" w:rsidRPr="003B13C2" w:rsidRDefault="00C33DE8" w:rsidP="003B13C2">
      <w:pPr>
        <w:spacing w:line="360" w:lineRule="auto"/>
        <w:rPr>
          <w:rFonts w:ascii="Arial" w:hAnsi="Arial" w:cs="Arial"/>
          <w:color w:val="2B4F40"/>
        </w:rPr>
      </w:pPr>
      <w:r w:rsidRPr="003B13C2">
        <w:rPr>
          <w:rFonts w:ascii="Arial" w:hAnsi="Arial" w:cs="Arial"/>
          <w:b/>
          <w:bCs/>
          <w:color w:val="2B4F40"/>
        </w:rPr>
        <w:t>Expectations</w:t>
      </w:r>
      <w:r w:rsidRPr="003B13C2">
        <w:rPr>
          <w:rFonts w:ascii="Arial" w:hAnsi="Arial" w:cs="Arial"/>
          <w:color w:val="2B4F40"/>
        </w:rPr>
        <w:t>: Customers expect high-quality, nutritious, and sustainable food products. They value transparency regarding ingredients and sourcing practices and seek products that align with their health and environmental values (Rude Health, 2023).</w:t>
      </w:r>
    </w:p>
    <w:p w14:paraId="773CA6E2" w14:textId="77777777" w:rsidR="00C33DE8" w:rsidRPr="003B13C2" w:rsidRDefault="00C33DE8" w:rsidP="003B13C2">
      <w:pPr>
        <w:spacing w:line="360" w:lineRule="auto"/>
        <w:rPr>
          <w:rFonts w:ascii="Arial" w:hAnsi="Arial" w:cs="Arial"/>
          <w:color w:val="2B4F40"/>
        </w:rPr>
      </w:pPr>
      <w:r w:rsidRPr="003B13C2">
        <w:rPr>
          <w:rFonts w:ascii="Arial" w:hAnsi="Arial" w:cs="Arial"/>
          <w:b/>
          <w:bCs/>
          <w:color w:val="2B4F40"/>
        </w:rPr>
        <w:t>Power</w:t>
      </w:r>
      <w:r w:rsidRPr="003B13C2">
        <w:rPr>
          <w:rFonts w:ascii="Arial" w:hAnsi="Arial" w:cs="Arial"/>
          <w:color w:val="2B4F40"/>
        </w:rPr>
        <w:t>: High. Customers' purchasing choices directly impact the company's sales and market position. Positive word-of-mouth and customer loyalty significantly influence brand reputation and growth (Kotler and Keller, 2012).</w:t>
      </w:r>
    </w:p>
    <w:p w14:paraId="2B90A881" w14:textId="61A41AF6" w:rsidR="00C33DE8" w:rsidRPr="003B13C2" w:rsidRDefault="00C33DE8" w:rsidP="003B13C2">
      <w:pPr>
        <w:spacing w:line="360" w:lineRule="auto"/>
        <w:rPr>
          <w:rFonts w:ascii="Arial" w:hAnsi="Arial" w:cs="Arial"/>
          <w:color w:val="2B4F40"/>
          <w:u w:val="single"/>
        </w:rPr>
      </w:pPr>
      <w:r w:rsidRPr="003B13C2">
        <w:rPr>
          <w:rFonts w:ascii="Arial" w:hAnsi="Arial" w:cs="Arial"/>
          <w:color w:val="2B4F40"/>
          <w:u w:val="single"/>
        </w:rPr>
        <w:t>Employees</w:t>
      </w:r>
    </w:p>
    <w:p w14:paraId="679D1FEC" w14:textId="77777777" w:rsidR="00C33DE8" w:rsidRPr="003B13C2" w:rsidRDefault="00C33DE8" w:rsidP="003B13C2">
      <w:pPr>
        <w:spacing w:line="360" w:lineRule="auto"/>
        <w:rPr>
          <w:rFonts w:ascii="Arial" w:hAnsi="Arial" w:cs="Arial"/>
          <w:color w:val="2B4F40"/>
        </w:rPr>
      </w:pPr>
      <w:r w:rsidRPr="003B13C2">
        <w:rPr>
          <w:rFonts w:ascii="Arial" w:hAnsi="Arial" w:cs="Arial"/>
          <w:b/>
          <w:bCs/>
          <w:color w:val="2B4F40"/>
        </w:rPr>
        <w:t>Expectations</w:t>
      </w:r>
      <w:r w:rsidRPr="003B13C2">
        <w:rPr>
          <w:rFonts w:ascii="Arial" w:hAnsi="Arial" w:cs="Arial"/>
          <w:color w:val="2B4F40"/>
        </w:rPr>
        <w:t>: Employees expect fair wages, job security, a safe working environment, and opportunities for career development. They also value the company’s commitment to sustainability and ethical practices (Armstrong and Taylor, 2020).</w:t>
      </w:r>
    </w:p>
    <w:p w14:paraId="11DE9061" w14:textId="77777777" w:rsidR="00C33DE8" w:rsidRPr="003B13C2" w:rsidRDefault="00C33DE8" w:rsidP="003B13C2">
      <w:pPr>
        <w:spacing w:line="360" w:lineRule="auto"/>
        <w:rPr>
          <w:rFonts w:ascii="Arial" w:hAnsi="Arial" w:cs="Arial"/>
          <w:color w:val="2B4F40"/>
        </w:rPr>
      </w:pPr>
      <w:r w:rsidRPr="003B13C2">
        <w:rPr>
          <w:rFonts w:ascii="Arial" w:hAnsi="Arial" w:cs="Arial"/>
          <w:b/>
          <w:bCs/>
          <w:color w:val="2B4F40"/>
        </w:rPr>
        <w:t>Power</w:t>
      </w:r>
      <w:r w:rsidRPr="003B13C2">
        <w:rPr>
          <w:rFonts w:ascii="Arial" w:hAnsi="Arial" w:cs="Arial"/>
          <w:color w:val="2B4F40"/>
        </w:rPr>
        <w:t>: Moderate. Employees' satisfaction and productivity influence operational efficiency and company culture. High employee turnover can disrupt operations and incur additional training costs (Macey and Schneider, 2008).</w:t>
      </w:r>
    </w:p>
    <w:p w14:paraId="4AB8AF79" w14:textId="6FAB46A7" w:rsidR="00C33DE8" w:rsidRPr="003B13C2" w:rsidRDefault="00C33DE8" w:rsidP="003B13C2">
      <w:pPr>
        <w:spacing w:line="360" w:lineRule="auto"/>
        <w:rPr>
          <w:rFonts w:ascii="Arial" w:hAnsi="Arial" w:cs="Arial"/>
          <w:color w:val="2B4F40"/>
          <w:u w:val="single"/>
        </w:rPr>
      </w:pPr>
      <w:r w:rsidRPr="003B13C2">
        <w:rPr>
          <w:rFonts w:ascii="Arial" w:hAnsi="Arial" w:cs="Arial"/>
          <w:color w:val="2B4F40"/>
          <w:u w:val="single"/>
        </w:rPr>
        <w:t>Suppliers</w:t>
      </w:r>
    </w:p>
    <w:p w14:paraId="2A30A37A" w14:textId="77777777" w:rsidR="00C33DE8" w:rsidRPr="003B13C2" w:rsidRDefault="00C33DE8" w:rsidP="003B13C2">
      <w:pPr>
        <w:spacing w:line="360" w:lineRule="auto"/>
        <w:rPr>
          <w:rFonts w:ascii="Arial" w:hAnsi="Arial" w:cs="Arial"/>
          <w:color w:val="2B4F40"/>
        </w:rPr>
      </w:pPr>
      <w:r w:rsidRPr="003B13C2">
        <w:rPr>
          <w:rFonts w:ascii="Arial" w:hAnsi="Arial" w:cs="Arial"/>
          <w:b/>
          <w:bCs/>
          <w:color w:val="2B4F40"/>
        </w:rPr>
        <w:t>Expectations</w:t>
      </w:r>
      <w:r w:rsidRPr="003B13C2">
        <w:rPr>
          <w:rFonts w:ascii="Arial" w:hAnsi="Arial" w:cs="Arial"/>
          <w:color w:val="2B4F40"/>
        </w:rPr>
        <w:t>: Suppliers expect consistent orders, fair pricing, and long-term partnerships. They seek reliability and ethical business practices from Rude Health (Christopher, 2016).</w:t>
      </w:r>
    </w:p>
    <w:p w14:paraId="26FC5617" w14:textId="77777777" w:rsidR="00C33DE8" w:rsidRPr="003B13C2" w:rsidRDefault="00C33DE8" w:rsidP="003B13C2">
      <w:pPr>
        <w:spacing w:line="360" w:lineRule="auto"/>
        <w:rPr>
          <w:rFonts w:ascii="Arial" w:hAnsi="Arial" w:cs="Arial"/>
          <w:color w:val="2B4F40"/>
        </w:rPr>
      </w:pPr>
      <w:r w:rsidRPr="003B13C2">
        <w:rPr>
          <w:rFonts w:ascii="Arial" w:hAnsi="Arial" w:cs="Arial"/>
          <w:b/>
          <w:bCs/>
          <w:color w:val="2B4F40"/>
        </w:rPr>
        <w:t>Power</w:t>
      </w:r>
      <w:r w:rsidRPr="003B13C2">
        <w:rPr>
          <w:rFonts w:ascii="Arial" w:hAnsi="Arial" w:cs="Arial"/>
          <w:color w:val="2B4F40"/>
        </w:rPr>
        <w:t>: Moderate. Dependence on key suppliers for organic and high-quality ingredients means that supplier relations can impact product quality and supply chain stability (Christopher, 2016).</w:t>
      </w:r>
    </w:p>
    <w:p w14:paraId="397F70DF" w14:textId="77777777" w:rsidR="00C33DE8" w:rsidRPr="003B13C2" w:rsidRDefault="00C33DE8" w:rsidP="003B13C2">
      <w:pPr>
        <w:spacing w:line="360" w:lineRule="auto"/>
        <w:rPr>
          <w:rFonts w:ascii="Arial" w:hAnsi="Arial" w:cs="Arial"/>
          <w:color w:val="2B4F40"/>
          <w:u w:val="single"/>
        </w:rPr>
      </w:pPr>
      <w:r w:rsidRPr="003B13C2">
        <w:rPr>
          <w:rFonts w:ascii="Arial" w:hAnsi="Arial" w:cs="Arial"/>
          <w:color w:val="2B4F40"/>
          <w:u w:val="single"/>
        </w:rPr>
        <w:t>Investors</w:t>
      </w:r>
    </w:p>
    <w:p w14:paraId="6919DD8C" w14:textId="77777777" w:rsidR="00C33DE8" w:rsidRPr="003B13C2" w:rsidRDefault="00C33DE8" w:rsidP="003B13C2">
      <w:pPr>
        <w:spacing w:line="360" w:lineRule="auto"/>
        <w:rPr>
          <w:rFonts w:ascii="Arial" w:hAnsi="Arial" w:cs="Arial"/>
          <w:color w:val="2B4F40"/>
        </w:rPr>
      </w:pPr>
    </w:p>
    <w:p w14:paraId="20552917" w14:textId="77777777" w:rsidR="00C33DE8" w:rsidRPr="003B13C2" w:rsidRDefault="00C33DE8" w:rsidP="003B13C2">
      <w:pPr>
        <w:spacing w:line="360" w:lineRule="auto"/>
        <w:rPr>
          <w:rFonts w:ascii="Arial" w:hAnsi="Arial" w:cs="Arial"/>
          <w:color w:val="2B4F40"/>
        </w:rPr>
      </w:pPr>
      <w:r w:rsidRPr="003B13C2">
        <w:rPr>
          <w:rFonts w:ascii="Arial" w:hAnsi="Arial" w:cs="Arial"/>
          <w:b/>
          <w:bCs/>
          <w:color w:val="2B4F40"/>
        </w:rPr>
        <w:t>Expectations</w:t>
      </w:r>
      <w:r w:rsidRPr="003B13C2">
        <w:rPr>
          <w:rFonts w:ascii="Arial" w:hAnsi="Arial" w:cs="Arial"/>
          <w:color w:val="2B4F40"/>
        </w:rPr>
        <w:t>: Investors expect financial returns, sustainable growth, and sound management practices. They are interested in the company’s ability to innovate and maintain a competitive edge in the market (Fink, 2018).</w:t>
      </w:r>
    </w:p>
    <w:p w14:paraId="7E161A0A" w14:textId="77777777" w:rsidR="00C33DE8" w:rsidRPr="003B13C2" w:rsidRDefault="00C33DE8" w:rsidP="003B13C2">
      <w:pPr>
        <w:spacing w:line="360" w:lineRule="auto"/>
        <w:rPr>
          <w:rFonts w:ascii="Arial" w:hAnsi="Arial" w:cs="Arial"/>
          <w:color w:val="2B4F40"/>
        </w:rPr>
      </w:pPr>
      <w:r w:rsidRPr="003B13C2">
        <w:rPr>
          <w:rFonts w:ascii="Arial" w:hAnsi="Arial" w:cs="Arial"/>
          <w:b/>
          <w:bCs/>
          <w:color w:val="2B4F40"/>
        </w:rPr>
        <w:t>Power</w:t>
      </w:r>
      <w:r w:rsidRPr="003B13C2">
        <w:rPr>
          <w:rFonts w:ascii="Arial" w:hAnsi="Arial" w:cs="Arial"/>
          <w:color w:val="2B4F40"/>
        </w:rPr>
        <w:t>: High. Investors' decisions affect the company's capital and financial stability. Their support is crucial for funding expansions and new initiatives (Freeman, 1984).</w:t>
      </w:r>
    </w:p>
    <w:p w14:paraId="4AE346FE" w14:textId="18C2551A" w:rsidR="00C33DE8" w:rsidRPr="003B13C2" w:rsidRDefault="00C33DE8" w:rsidP="003B13C2">
      <w:pPr>
        <w:spacing w:line="360" w:lineRule="auto"/>
        <w:rPr>
          <w:rFonts w:ascii="Arial" w:hAnsi="Arial" w:cs="Arial"/>
          <w:color w:val="2B4F40"/>
          <w:u w:val="single"/>
        </w:rPr>
      </w:pPr>
      <w:r w:rsidRPr="003B13C2">
        <w:rPr>
          <w:rFonts w:ascii="Arial" w:hAnsi="Arial" w:cs="Arial"/>
          <w:color w:val="2B4F40"/>
          <w:u w:val="single"/>
        </w:rPr>
        <w:t>Regulatory Bodies</w:t>
      </w:r>
    </w:p>
    <w:p w14:paraId="0C2752CC" w14:textId="3F8F7132" w:rsidR="00C33DE8" w:rsidRPr="003B13C2" w:rsidRDefault="00C33DE8" w:rsidP="003B13C2">
      <w:pPr>
        <w:spacing w:line="360" w:lineRule="auto"/>
        <w:rPr>
          <w:rFonts w:ascii="Arial" w:hAnsi="Arial" w:cs="Arial"/>
          <w:color w:val="2B4F40"/>
        </w:rPr>
      </w:pPr>
      <w:r w:rsidRPr="003B13C2">
        <w:rPr>
          <w:rFonts w:ascii="Arial" w:hAnsi="Arial" w:cs="Arial"/>
          <w:b/>
          <w:bCs/>
          <w:color w:val="2B4F40"/>
        </w:rPr>
        <w:t>Expectations</w:t>
      </w:r>
      <w:r w:rsidRPr="003B13C2">
        <w:rPr>
          <w:rFonts w:ascii="Arial" w:hAnsi="Arial" w:cs="Arial"/>
          <w:color w:val="2B4F40"/>
        </w:rPr>
        <w:t>: Regulatory bodies expect compliance with food safety standards, environmental regulations, and fair-trading laws. Post-Brexit regulations also require adherence to new import/export standards (Bailey and Tomlinson, 2017).</w:t>
      </w:r>
    </w:p>
    <w:p w14:paraId="5BA00B63" w14:textId="77777777" w:rsidR="00C33DE8" w:rsidRPr="003B13C2" w:rsidRDefault="00C33DE8" w:rsidP="003B13C2">
      <w:pPr>
        <w:spacing w:line="360" w:lineRule="auto"/>
        <w:rPr>
          <w:rFonts w:ascii="Arial" w:hAnsi="Arial" w:cs="Arial"/>
          <w:color w:val="2B4F40"/>
        </w:rPr>
      </w:pPr>
      <w:r w:rsidRPr="003B13C2">
        <w:rPr>
          <w:rFonts w:ascii="Arial" w:hAnsi="Arial" w:cs="Arial"/>
          <w:b/>
          <w:bCs/>
          <w:color w:val="2B4F40"/>
        </w:rPr>
        <w:t>Power</w:t>
      </w:r>
      <w:r w:rsidRPr="003B13C2">
        <w:rPr>
          <w:rFonts w:ascii="Arial" w:hAnsi="Arial" w:cs="Arial"/>
          <w:color w:val="2B4F40"/>
        </w:rPr>
        <w:t>: High. Regulatory compliance is mandatory, and failure to adhere can result in legal penalties, fines, or operational shutdowns (Porter, 2008).</w:t>
      </w:r>
    </w:p>
    <w:p w14:paraId="61855DC5" w14:textId="7CF65005" w:rsidR="00C33DE8" w:rsidRPr="003B13C2" w:rsidRDefault="00C33DE8" w:rsidP="003B13C2">
      <w:pPr>
        <w:spacing w:line="360" w:lineRule="auto"/>
        <w:rPr>
          <w:rFonts w:ascii="Arial" w:hAnsi="Arial" w:cs="Arial"/>
          <w:color w:val="2B4F40"/>
          <w:u w:val="single"/>
        </w:rPr>
      </w:pPr>
      <w:r w:rsidRPr="003B13C2">
        <w:rPr>
          <w:rFonts w:ascii="Arial" w:hAnsi="Arial" w:cs="Arial"/>
          <w:color w:val="2B4F40"/>
          <w:u w:val="single"/>
        </w:rPr>
        <w:t>Local Community</w:t>
      </w:r>
    </w:p>
    <w:p w14:paraId="546B2E2D" w14:textId="77777777" w:rsidR="00C33DE8" w:rsidRPr="003B13C2" w:rsidRDefault="00C33DE8" w:rsidP="003B13C2">
      <w:pPr>
        <w:spacing w:line="360" w:lineRule="auto"/>
        <w:rPr>
          <w:rFonts w:ascii="Arial" w:hAnsi="Arial" w:cs="Arial"/>
          <w:color w:val="2B4F40"/>
        </w:rPr>
      </w:pPr>
      <w:r w:rsidRPr="003B13C2">
        <w:rPr>
          <w:rFonts w:ascii="Arial" w:hAnsi="Arial" w:cs="Arial"/>
          <w:b/>
          <w:bCs/>
          <w:color w:val="2B4F40"/>
        </w:rPr>
        <w:t>Expectations</w:t>
      </w:r>
      <w:r w:rsidRPr="003B13C2">
        <w:rPr>
          <w:rFonts w:ascii="Arial" w:hAnsi="Arial" w:cs="Arial"/>
          <w:color w:val="2B4F40"/>
        </w:rPr>
        <w:t>: The local community expects the company to contribute positively through job creation, ethical business practices, and environmental stewardship. They also value corporate social responsibility initiatives (Carroll and Buchholtz, 2014).</w:t>
      </w:r>
    </w:p>
    <w:p w14:paraId="2ED7457F" w14:textId="77777777" w:rsidR="00C33DE8" w:rsidRPr="003B13C2" w:rsidRDefault="00C33DE8" w:rsidP="003B13C2">
      <w:pPr>
        <w:spacing w:line="360" w:lineRule="auto"/>
        <w:rPr>
          <w:rFonts w:ascii="Arial" w:hAnsi="Arial" w:cs="Arial"/>
          <w:color w:val="2B4F40"/>
        </w:rPr>
      </w:pPr>
      <w:r w:rsidRPr="003B13C2">
        <w:rPr>
          <w:rFonts w:ascii="Arial" w:hAnsi="Arial" w:cs="Arial"/>
          <w:b/>
          <w:bCs/>
          <w:color w:val="2B4F40"/>
        </w:rPr>
        <w:t>Power</w:t>
      </w:r>
      <w:r w:rsidRPr="003B13C2">
        <w:rPr>
          <w:rFonts w:ascii="Arial" w:hAnsi="Arial" w:cs="Arial"/>
          <w:color w:val="2B4F40"/>
        </w:rPr>
        <w:t>: Low to moderate. Community relations can influence local support and the company’s social licence to operate. Negative community sentiment can affect the company’s reputation (Carroll and Buchholtz, 2014).</w:t>
      </w:r>
    </w:p>
    <w:p w14:paraId="57F1F4AF" w14:textId="77777777" w:rsidR="00C33DE8" w:rsidRPr="00C33DE8" w:rsidRDefault="00C33DE8" w:rsidP="00C33DE8">
      <w:pPr>
        <w:spacing w:line="360" w:lineRule="auto"/>
        <w:rPr>
          <w:rFonts w:ascii="Arial" w:hAnsi="Arial" w:cs="Arial"/>
          <w:color w:val="2B4F40"/>
        </w:rPr>
      </w:pPr>
    </w:p>
    <w:p w14:paraId="1391E81D" w14:textId="1F73A9E4" w:rsidR="00C33DE8" w:rsidRPr="00C33DE8" w:rsidRDefault="00C33DE8" w:rsidP="00C33DE8">
      <w:pPr>
        <w:pStyle w:val="Heading2"/>
        <w:numPr>
          <w:ilvl w:val="0"/>
          <w:numId w:val="5"/>
        </w:numPr>
        <w:rPr>
          <w:rFonts w:ascii="Arial" w:hAnsi="Arial" w:cs="Arial"/>
          <w:color w:val="2B4F40"/>
        </w:rPr>
      </w:pPr>
      <w:bookmarkStart w:id="7" w:name="_Toc171288903"/>
      <w:r w:rsidRPr="00C33DE8">
        <w:rPr>
          <w:rFonts w:ascii="Arial" w:hAnsi="Arial" w:cs="Arial"/>
          <w:color w:val="2B4F40"/>
        </w:rPr>
        <w:t>Critical Evaluation of Stakeholder Power and Interests</w:t>
      </w:r>
      <w:bookmarkEnd w:id="7"/>
    </w:p>
    <w:p w14:paraId="68A053B3" w14:textId="77777777" w:rsidR="00C33DE8" w:rsidRDefault="00C33DE8" w:rsidP="00C33DE8">
      <w:pPr>
        <w:spacing w:line="360" w:lineRule="auto"/>
        <w:rPr>
          <w:rFonts w:ascii="Arial" w:hAnsi="Arial" w:cs="Arial"/>
          <w:color w:val="2B4F40"/>
        </w:rPr>
      </w:pPr>
    </w:p>
    <w:p w14:paraId="2872EB05" w14:textId="5A0EBDF5" w:rsidR="00C33DE8" w:rsidRPr="00094972" w:rsidRDefault="00C33DE8" w:rsidP="00094972">
      <w:pPr>
        <w:spacing w:line="360" w:lineRule="auto"/>
        <w:rPr>
          <w:rFonts w:ascii="Arial" w:hAnsi="Arial" w:cs="Arial"/>
          <w:color w:val="2B4F40"/>
        </w:rPr>
      </w:pPr>
      <w:r w:rsidRPr="00094972">
        <w:rPr>
          <w:rFonts w:ascii="Arial" w:hAnsi="Arial" w:cs="Arial"/>
          <w:b/>
          <w:bCs/>
          <w:color w:val="2B4F40"/>
        </w:rPr>
        <w:t xml:space="preserve">High Power, High Interest: </w:t>
      </w:r>
      <w:r w:rsidRPr="00094972">
        <w:rPr>
          <w:rFonts w:ascii="Arial" w:hAnsi="Arial" w:cs="Arial"/>
          <w:color w:val="2B4F40"/>
        </w:rPr>
        <w:t>Customers and investors wield substantial power due to their direct influence on the company's financial performance and market positioning. Ensuring customer satisfaction through product quality and sustainability initiatives is essential for maintaining market share and growth. Investors' expectations for financial returns necessitate transparent and strategic management practices to foster confidence and continued investment.</w:t>
      </w:r>
    </w:p>
    <w:p w14:paraId="5BAEDD15" w14:textId="77777777" w:rsidR="00C33DE8" w:rsidRPr="00094972" w:rsidRDefault="00C33DE8" w:rsidP="00094972">
      <w:pPr>
        <w:spacing w:line="360" w:lineRule="auto"/>
        <w:rPr>
          <w:rFonts w:ascii="Arial" w:hAnsi="Arial" w:cs="Arial"/>
          <w:color w:val="2B4F40"/>
        </w:rPr>
      </w:pPr>
    </w:p>
    <w:p w14:paraId="67A00C43" w14:textId="42C5286F" w:rsidR="00C33DE8" w:rsidRPr="00094972" w:rsidRDefault="00C33DE8" w:rsidP="00094972">
      <w:pPr>
        <w:spacing w:line="360" w:lineRule="auto"/>
        <w:rPr>
          <w:rFonts w:ascii="Arial" w:hAnsi="Arial" w:cs="Arial"/>
          <w:color w:val="2B4F40"/>
        </w:rPr>
      </w:pPr>
      <w:r w:rsidRPr="00094972">
        <w:rPr>
          <w:rFonts w:ascii="Arial" w:hAnsi="Arial" w:cs="Arial"/>
          <w:b/>
          <w:bCs/>
          <w:color w:val="2B4F40"/>
        </w:rPr>
        <w:lastRenderedPageBreak/>
        <w:t xml:space="preserve">High Power, Low Interest: </w:t>
      </w:r>
      <w:r w:rsidRPr="00094972">
        <w:rPr>
          <w:rFonts w:ascii="Arial" w:hAnsi="Arial" w:cs="Arial"/>
          <w:color w:val="2B4F40"/>
        </w:rPr>
        <w:t>Regulatory bodies hold significant power due to their ability to enforce compliance and regulations. Although their direct interest in the company's daily operations may be limited, adherence to regulatory standards is crucial to avoid legal repercussions and maintain operational continuity.</w:t>
      </w:r>
    </w:p>
    <w:p w14:paraId="6B6597D0" w14:textId="219F61E0" w:rsidR="00C33DE8" w:rsidRPr="00094972" w:rsidRDefault="00C33DE8" w:rsidP="00094972">
      <w:pPr>
        <w:spacing w:line="360" w:lineRule="auto"/>
        <w:rPr>
          <w:rFonts w:ascii="Arial" w:hAnsi="Arial" w:cs="Arial"/>
          <w:color w:val="2B4F40"/>
        </w:rPr>
      </w:pPr>
      <w:r w:rsidRPr="00094972">
        <w:rPr>
          <w:rFonts w:ascii="Arial" w:hAnsi="Arial" w:cs="Arial"/>
          <w:b/>
          <w:bCs/>
          <w:color w:val="2B4F40"/>
        </w:rPr>
        <w:t>Low Power, High Interest</w:t>
      </w:r>
      <w:r w:rsidRPr="00094972">
        <w:rPr>
          <w:rFonts w:ascii="Arial" w:hAnsi="Arial" w:cs="Arial"/>
          <w:color w:val="2B4F40"/>
        </w:rPr>
        <w:t>: Employees and the local community have high interest in the company's activities but wield comparatively less power. However, maintaining positive employee relations and engaging with the local community through ethical practices and CSR initiatives can enhance the company’s reputation and operational stability.</w:t>
      </w:r>
    </w:p>
    <w:p w14:paraId="231DE91C" w14:textId="4AF9612A" w:rsidR="00C33DE8" w:rsidRPr="00094972" w:rsidRDefault="00C33DE8" w:rsidP="00094972">
      <w:pPr>
        <w:spacing w:line="360" w:lineRule="auto"/>
        <w:rPr>
          <w:rFonts w:ascii="Arial" w:hAnsi="Arial" w:cs="Arial"/>
          <w:color w:val="2B4F40"/>
        </w:rPr>
      </w:pPr>
      <w:r w:rsidRPr="00094972">
        <w:rPr>
          <w:rFonts w:ascii="Arial" w:hAnsi="Arial" w:cs="Arial"/>
          <w:b/>
          <w:bCs/>
          <w:color w:val="2B4F40"/>
        </w:rPr>
        <w:t>Moderate Power, Moderate Interest</w:t>
      </w:r>
      <w:r w:rsidRPr="00094972">
        <w:rPr>
          <w:rFonts w:ascii="Arial" w:hAnsi="Arial" w:cs="Arial"/>
          <w:color w:val="2B4F40"/>
        </w:rPr>
        <w:t>: Suppliers hold moderate power as their reliability affects product quality and supply chain effectiveness. Developing strong supplier relationships ensures consistency in raw material quality and aligns with Rude Health’s sustainability goals.</w:t>
      </w:r>
    </w:p>
    <w:p w14:paraId="6740625F" w14:textId="77777777" w:rsidR="00DB70A8" w:rsidRPr="00F8668D" w:rsidRDefault="00DB70A8" w:rsidP="00DB70A8">
      <w:pPr>
        <w:rPr>
          <w:color w:val="2D473F"/>
        </w:rPr>
      </w:pPr>
    </w:p>
    <w:p w14:paraId="031BCFCA" w14:textId="49D6A221" w:rsidR="00DB70A8" w:rsidRPr="00F8668D" w:rsidRDefault="00DB70A8" w:rsidP="00614EEA">
      <w:pPr>
        <w:pStyle w:val="Heading1"/>
        <w:shd w:val="clear" w:color="auto" w:fill="E7F5EE"/>
        <w:rPr>
          <w:rFonts w:ascii="Arial" w:hAnsi="Arial" w:cs="Arial"/>
          <w:color w:val="2D473F"/>
          <w:sz w:val="36"/>
          <w:szCs w:val="36"/>
        </w:rPr>
      </w:pPr>
      <w:bookmarkStart w:id="8" w:name="_Toc171288904"/>
      <w:r w:rsidRPr="00F8668D">
        <w:rPr>
          <w:rFonts w:ascii="Arial" w:hAnsi="Arial" w:cs="Arial"/>
          <w:color w:val="2D473F"/>
          <w:sz w:val="36"/>
          <w:szCs w:val="36"/>
        </w:rPr>
        <w:t>Strategic Growth Choices</w:t>
      </w:r>
      <w:bookmarkEnd w:id="8"/>
    </w:p>
    <w:p w14:paraId="3BB09E2C" w14:textId="77777777" w:rsidR="00C33DE8" w:rsidRPr="00F8668D" w:rsidRDefault="00C33DE8" w:rsidP="003C11D2">
      <w:pPr>
        <w:spacing w:line="360" w:lineRule="auto"/>
        <w:rPr>
          <w:rFonts w:ascii="Arial" w:hAnsi="Arial" w:cs="Arial"/>
          <w:color w:val="2D473F"/>
        </w:rPr>
      </w:pPr>
    </w:p>
    <w:p w14:paraId="156E2970" w14:textId="169D874B" w:rsidR="003C11D2" w:rsidRPr="00F8668D" w:rsidRDefault="00DB70A8" w:rsidP="00DB70A8">
      <w:pPr>
        <w:pStyle w:val="Heading2"/>
        <w:numPr>
          <w:ilvl w:val="0"/>
          <w:numId w:val="6"/>
        </w:numPr>
        <w:spacing w:line="360" w:lineRule="auto"/>
        <w:rPr>
          <w:rFonts w:ascii="Arial" w:hAnsi="Arial" w:cs="Arial"/>
          <w:color w:val="2D473F"/>
        </w:rPr>
      </w:pPr>
      <w:bookmarkStart w:id="9" w:name="_Toc171288905"/>
      <w:r w:rsidRPr="00F8668D">
        <w:rPr>
          <w:rFonts w:ascii="Arial" w:hAnsi="Arial" w:cs="Arial"/>
          <w:color w:val="2D473F"/>
        </w:rPr>
        <w:t>Strategic Models</w:t>
      </w:r>
      <w:bookmarkEnd w:id="9"/>
    </w:p>
    <w:p w14:paraId="28545625" w14:textId="77777777" w:rsidR="00DB70A8" w:rsidRPr="00F8668D" w:rsidRDefault="00DB70A8" w:rsidP="00DB70A8">
      <w:pPr>
        <w:pStyle w:val="ListParagraph"/>
        <w:numPr>
          <w:ilvl w:val="0"/>
          <w:numId w:val="7"/>
        </w:numPr>
        <w:spacing w:line="360" w:lineRule="auto"/>
        <w:rPr>
          <w:rFonts w:ascii="Arial" w:hAnsi="Arial" w:cs="Arial"/>
          <w:color w:val="2D473F"/>
          <w:u w:val="single"/>
        </w:rPr>
      </w:pPr>
      <w:r w:rsidRPr="00F8668D">
        <w:rPr>
          <w:rFonts w:ascii="Arial" w:hAnsi="Arial" w:cs="Arial"/>
          <w:color w:val="2D473F"/>
          <w:u w:val="single"/>
        </w:rPr>
        <w:t>Ansoff Matrix</w:t>
      </w:r>
    </w:p>
    <w:p w14:paraId="35BD1CF3" w14:textId="64A569E8" w:rsidR="00A11388" w:rsidRPr="00094972" w:rsidRDefault="00A11388" w:rsidP="00094972">
      <w:pPr>
        <w:spacing w:line="360" w:lineRule="auto"/>
        <w:rPr>
          <w:rFonts w:ascii="Arial" w:hAnsi="Arial" w:cs="Arial"/>
          <w:color w:val="2B4F40"/>
        </w:rPr>
      </w:pPr>
      <w:r w:rsidRPr="00094972">
        <w:rPr>
          <w:rFonts w:ascii="Arial" w:hAnsi="Arial" w:cs="Arial"/>
          <w:color w:val="2B4F40"/>
        </w:rPr>
        <w:t>The Ansoff Matrix offers a framework for exploring growth strategies through market penetration, market development, product development, and diversification (Ansoff, 1957).</w:t>
      </w:r>
    </w:p>
    <w:p w14:paraId="330C75E3" w14:textId="77777777" w:rsidR="00A11388" w:rsidRPr="00094972" w:rsidRDefault="00A11388" w:rsidP="00094972">
      <w:pPr>
        <w:spacing w:line="360" w:lineRule="auto"/>
        <w:rPr>
          <w:rFonts w:ascii="Arial" w:hAnsi="Arial" w:cs="Arial"/>
          <w:color w:val="2B4F40"/>
        </w:rPr>
      </w:pPr>
      <w:r w:rsidRPr="00094972">
        <w:rPr>
          <w:rFonts w:ascii="Arial" w:hAnsi="Arial" w:cs="Arial"/>
          <w:color w:val="2B4F40"/>
        </w:rPr>
        <w:t>Market Penetration: Increase market share in existing markets through aggressive marketing and promotional strategies.</w:t>
      </w:r>
    </w:p>
    <w:p w14:paraId="0013569E" w14:textId="77777777" w:rsidR="00A11388" w:rsidRPr="00094972" w:rsidRDefault="00A11388" w:rsidP="00094972">
      <w:pPr>
        <w:spacing w:line="360" w:lineRule="auto"/>
        <w:rPr>
          <w:rFonts w:ascii="Arial" w:hAnsi="Arial" w:cs="Arial"/>
          <w:color w:val="2B4F40"/>
        </w:rPr>
      </w:pPr>
      <w:r w:rsidRPr="00094972">
        <w:rPr>
          <w:rFonts w:ascii="Arial" w:hAnsi="Arial" w:cs="Arial"/>
          <w:color w:val="2B4F40"/>
        </w:rPr>
        <w:t>Market Development: Expand into new geographical markets or demographic segments.</w:t>
      </w:r>
    </w:p>
    <w:p w14:paraId="00EE9404" w14:textId="77777777" w:rsidR="00A11388" w:rsidRPr="00094972" w:rsidRDefault="00A11388" w:rsidP="00094972">
      <w:pPr>
        <w:spacing w:line="360" w:lineRule="auto"/>
        <w:rPr>
          <w:rFonts w:ascii="Arial" w:hAnsi="Arial" w:cs="Arial"/>
          <w:color w:val="2B4F40"/>
        </w:rPr>
      </w:pPr>
      <w:r w:rsidRPr="00094972">
        <w:rPr>
          <w:rFonts w:ascii="Arial" w:hAnsi="Arial" w:cs="Arial"/>
          <w:color w:val="2B4F40"/>
        </w:rPr>
        <w:t>Product Development: Innovate and introduce new products to existing markets.</w:t>
      </w:r>
    </w:p>
    <w:p w14:paraId="67D8403A" w14:textId="77777777" w:rsidR="00A11388" w:rsidRPr="00094972" w:rsidRDefault="00A11388" w:rsidP="00094972">
      <w:pPr>
        <w:spacing w:line="360" w:lineRule="auto"/>
        <w:rPr>
          <w:rFonts w:ascii="Arial" w:hAnsi="Arial" w:cs="Arial"/>
          <w:color w:val="2B4F40"/>
        </w:rPr>
      </w:pPr>
      <w:r w:rsidRPr="00094972">
        <w:rPr>
          <w:rFonts w:ascii="Arial" w:hAnsi="Arial" w:cs="Arial"/>
          <w:color w:val="2B4F40"/>
        </w:rPr>
        <w:t>Diversification: Enter new markets with new products, reducing dependence on current markets.</w:t>
      </w:r>
    </w:p>
    <w:p w14:paraId="47365CC5" w14:textId="09B4601F" w:rsidR="00DB70A8" w:rsidRPr="00094972" w:rsidRDefault="00DB70A8" w:rsidP="00094972">
      <w:pPr>
        <w:pStyle w:val="ListParagraph"/>
        <w:numPr>
          <w:ilvl w:val="0"/>
          <w:numId w:val="7"/>
        </w:numPr>
        <w:spacing w:line="360" w:lineRule="auto"/>
        <w:rPr>
          <w:rFonts w:ascii="Arial" w:hAnsi="Arial" w:cs="Arial"/>
          <w:color w:val="2B4F40"/>
          <w:u w:val="single"/>
        </w:rPr>
      </w:pPr>
      <w:r w:rsidRPr="00094972">
        <w:rPr>
          <w:rFonts w:ascii="Arial" w:hAnsi="Arial" w:cs="Arial"/>
          <w:color w:val="2B4F40"/>
          <w:u w:val="single"/>
        </w:rPr>
        <w:t>Porter’s Generic Strategies</w:t>
      </w:r>
    </w:p>
    <w:p w14:paraId="1DC421A8" w14:textId="77777777" w:rsidR="00A11388" w:rsidRPr="00094972" w:rsidRDefault="00A11388" w:rsidP="00094972">
      <w:pPr>
        <w:spacing w:line="360" w:lineRule="auto"/>
        <w:rPr>
          <w:rFonts w:ascii="Arial" w:hAnsi="Arial" w:cs="Arial"/>
          <w:color w:val="2B4F40"/>
        </w:rPr>
      </w:pPr>
      <w:r w:rsidRPr="00094972">
        <w:rPr>
          <w:rFonts w:ascii="Arial" w:hAnsi="Arial" w:cs="Arial"/>
          <w:color w:val="2B4F40"/>
        </w:rPr>
        <w:t>Porter’s Generic Strategies provide options for gaining competitive advantage through cost leadership, differentiation, and focus (Porter, 1985).</w:t>
      </w:r>
    </w:p>
    <w:p w14:paraId="084BE05C" w14:textId="77777777" w:rsidR="00A11388" w:rsidRPr="00094972" w:rsidRDefault="00A11388" w:rsidP="00094972">
      <w:pPr>
        <w:spacing w:line="360" w:lineRule="auto"/>
        <w:rPr>
          <w:rFonts w:ascii="Arial" w:hAnsi="Arial" w:cs="Arial"/>
          <w:color w:val="2B4F40"/>
        </w:rPr>
      </w:pPr>
    </w:p>
    <w:p w14:paraId="61EAD0FB" w14:textId="77777777" w:rsidR="00A11388" w:rsidRPr="00094972" w:rsidRDefault="00A11388" w:rsidP="00094972">
      <w:pPr>
        <w:spacing w:line="360" w:lineRule="auto"/>
        <w:rPr>
          <w:rFonts w:ascii="Arial" w:hAnsi="Arial" w:cs="Arial"/>
          <w:color w:val="2B4F40"/>
        </w:rPr>
      </w:pPr>
      <w:r w:rsidRPr="00094972">
        <w:rPr>
          <w:rFonts w:ascii="Arial" w:hAnsi="Arial" w:cs="Arial"/>
          <w:color w:val="2B4F40"/>
        </w:rPr>
        <w:lastRenderedPageBreak/>
        <w:t>Cost Leadership: Not applicable due to the premium nature of Rude Health’s products.</w:t>
      </w:r>
    </w:p>
    <w:p w14:paraId="086029CB" w14:textId="77777777" w:rsidR="00A11388" w:rsidRPr="00094972" w:rsidRDefault="00A11388" w:rsidP="00094972">
      <w:pPr>
        <w:spacing w:line="360" w:lineRule="auto"/>
        <w:rPr>
          <w:rFonts w:ascii="Arial" w:hAnsi="Arial" w:cs="Arial"/>
          <w:color w:val="2B4F40"/>
        </w:rPr>
      </w:pPr>
      <w:r w:rsidRPr="00094972">
        <w:rPr>
          <w:rFonts w:ascii="Arial" w:hAnsi="Arial" w:cs="Arial"/>
          <w:color w:val="2B4F40"/>
        </w:rPr>
        <w:t>Differentiation: Emphasise unique product attributes such as organic certification, sustainability, and superior quality.</w:t>
      </w:r>
    </w:p>
    <w:p w14:paraId="18EE5707" w14:textId="6C3006D8" w:rsidR="00A11388" w:rsidRPr="00094972" w:rsidRDefault="00A11388" w:rsidP="00094972">
      <w:pPr>
        <w:spacing w:line="360" w:lineRule="auto"/>
        <w:rPr>
          <w:rFonts w:ascii="Arial" w:hAnsi="Arial" w:cs="Arial"/>
          <w:color w:val="2B4F40"/>
        </w:rPr>
      </w:pPr>
      <w:r w:rsidRPr="00094972">
        <w:rPr>
          <w:rFonts w:ascii="Arial" w:hAnsi="Arial" w:cs="Arial"/>
          <w:color w:val="2B4F40"/>
        </w:rPr>
        <w:t>Focus: Target niche markets with specific health and dietary needs.</w:t>
      </w:r>
    </w:p>
    <w:p w14:paraId="691259A1" w14:textId="33D7DAEB" w:rsidR="00DB70A8" w:rsidRPr="00F8668D" w:rsidRDefault="00DB70A8" w:rsidP="00DB70A8">
      <w:pPr>
        <w:pStyle w:val="Heading2"/>
        <w:numPr>
          <w:ilvl w:val="0"/>
          <w:numId w:val="6"/>
        </w:numPr>
        <w:spacing w:line="360" w:lineRule="auto"/>
        <w:rPr>
          <w:rFonts w:ascii="Arial" w:hAnsi="Arial" w:cs="Arial"/>
          <w:color w:val="2D473F"/>
        </w:rPr>
      </w:pPr>
      <w:bookmarkStart w:id="10" w:name="_Toc171288906"/>
      <w:r w:rsidRPr="00F8668D">
        <w:rPr>
          <w:rFonts w:ascii="Arial" w:hAnsi="Arial" w:cs="Arial"/>
          <w:color w:val="2D473F"/>
        </w:rPr>
        <w:t>Proposed Strategy</w:t>
      </w:r>
      <w:bookmarkEnd w:id="10"/>
    </w:p>
    <w:p w14:paraId="1A66A9AF" w14:textId="6C924C65" w:rsidR="00A11388" w:rsidRPr="00F8668D" w:rsidRDefault="00A11388" w:rsidP="00094972">
      <w:pPr>
        <w:spacing w:line="360" w:lineRule="auto"/>
        <w:rPr>
          <w:rFonts w:ascii="Arial" w:hAnsi="Arial" w:cs="Arial"/>
          <w:color w:val="2D473F"/>
        </w:rPr>
      </w:pPr>
      <w:r w:rsidRPr="00A11388">
        <w:rPr>
          <w:rFonts w:ascii="Arial" w:hAnsi="Arial" w:cs="Arial"/>
          <w:color w:val="2D473F"/>
        </w:rPr>
        <w:t>Based on the analysis, the recommended strategy for Rude Health is a combination of market development and product development, underpinned by a differentiation focus. This strategy aligns with the company's strengths and market opportunities, promoting sustainable growth.</w:t>
      </w:r>
    </w:p>
    <w:p w14:paraId="090CD077" w14:textId="77777777" w:rsidR="00DB70A8" w:rsidRPr="00F8668D" w:rsidRDefault="00DB70A8" w:rsidP="00094972">
      <w:pPr>
        <w:spacing w:line="360" w:lineRule="auto"/>
        <w:rPr>
          <w:rFonts w:ascii="Arial" w:hAnsi="Arial" w:cs="Arial"/>
          <w:color w:val="2D473F"/>
          <w:u w:val="single"/>
        </w:rPr>
      </w:pPr>
      <w:r w:rsidRPr="00F8668D">
        <w:rPr>
          <w:rFonts w:ascii="Arial" w:hAnsi="Arial" w:cs="Arial"/>
          <w:color w:val="2D473F"/>
          <w:u w:val="single"/>
        </w:rPr>
        <w:t>Justification</w:t>
      </w:r>
    </w:p>
    <w:p w14:paraId="4FD5A682" w14:textId="77777777" w:rsidR="00A11388" w:rsidRPr="00A11388" w:rsidRDefault="00A11388" w:rsidP="00094972">
      <w:pPr>
        <w:spacing w:line="360" w:lineRule="auto"/>
        <w:rPr>
          <w:rFonts w:ascii="Arial" w:hAnsi="Arial" w:cs="Arial"/>
          <w:color w:val="2D473F"/>
        </w:rPr>
      </w:pPr>
      <w:r w:rsidRPr="00A11388">
        <w:rPr>
          <w:rFonts w:ascii="Arial" w:hAnsi="Arial" w:cs="Arial"/>
          <w:color w:val="2D473F"/>
        </w:rPr>
        <w:t>Market Development: Expanding into international markets, particularly in regions with growing demand for organic and health foods, will diversify revenue streams and reduce market saturation risks in the UK (Euromonitor International, 2022).</w:t>
      </w:r>
    </w:p>
    <w:p w14:paraId="5261A862" w14:textId="77777777" w:rsidR="00A11388" w:rsidRPr="00A11388" w:rsidRDefault="00A11388" w:rsidP="00094972">
      <w:pPr>
        <w:spacing w:line="360" w:lineRule="auto"/>
        <w:rPr>
          <w:rFonts w:ascii="Arial" w:hAnsi="Arial" w:cs="Arial"/>
          <w:color w:val="2D473F"/>
        </w:rPr>
      </w:pPr>
      <w:r w:rsidRPr="00A11388">
        <w:rPr>
          <w:rFonts w:ascii="Arial" w:hAnsi="Arial" w:cs="Arial"/>
          <w:color w:val="2D473F"/>
        </w:rPr>
        <w:t>Product Development: Introducing innovative products that cater to emerging health trends (e.g., plant-based proteins, gut health) will meet evolving consumer preferences and enhance brand loyalty (Mintel, 2020).</w:t>
      </w:r>
    </w:p>
    <w:p w14:paraId="5E491ABC" w14:textId="0785ABAB" w:rsidR="00265CBE" w:rsidRPr="00F8668D" w:rsidRDefault="00A11388" w:rsidP="00094972">
      <w:pPr>
        <w:spacing w:line="360" w:lineRule="auto"/>
        <w:rPr>
          <w:rFonts w:ascii="Arial" w:hAnsi="Arial" w:cs="Arial"/>
          <w:color w:val="2D473F"/>
        </w:rPr>
      </w:pPr>
      <w:r w:rsidRPr="00A11388">
        <w:rPr>
          <w:rFonts w:ascii="Arial" w:hAnsi="Arial" w:cs="Arial"/>
          <w:color w:val="2D473F"/>
        </w:rPr>
        <w:t>Differentiation Focus: Maintaining a strong emphasis on sustainability, quality, and transparency will continue to differentiate Rude Health from competitors and align with consumer values (Porter, 1985).</w:t>
      </w:r>
    </w:p>
    <w:p w14:paraId="1B46073A" w14:textId="77777777" w:rsidR="00265CBE" w:rsidRPr="00F8668D" w:rsidRDefault="00265CBE" w:rsidP="00265CBE">
      <w:pPr>
        <w:spacing w:line="360" w:lineRule="auto"/>
        <w:rPr>
          <w:rFonts w:ascii="Arial" w:hAnsi="Arial" w:cs="Arial"/>
          <w:color w:val="2D473F"/>
        </w:rPr>
      </w:pPr>
    </w:p>
    <w:p w14:paraId="54828E40" w14:textId="7E4A5040" w:rsidR="00DB70A8" w:rsidRPr="0048037F" w:rsidRDefault="0048037F" w:rsidP="0048037F">
      <w:pPr>
        <w:pStyle w:val="Heading1"/>
        <w:shd w:val="clear" w:color="auto" w:fill="E7F5EE"/>
        <w:rPr>
          <w:rFonts w:ascii="Arial" w:hAnsi="Arial" w:cs="Arial"/>
          <w:sz w:val="36"/>
          <w:szCs w:val="36"/>
        </w:rPr>
      </w:pPr>
      <w:bookmarkStart w:id="11" w:name="_Toc171288907"/>
      <w:r w:rsidRPr="0048037F">
        <w:rPr>
          <w:rFonts w:ascii="Arial" w:hAnsi="Arial" w:cs="Arial"/>
          <w:sz w:val="36"/>
          <w:szCs w:val="36"/>
        </w:rPr>
        <w:t>Key Strategic Recommendations for Future Developments and Implementation</w:t>
      </w:r>
      <w:bookmarkEnd w:id="11"/>
    </w:p>
    <w:p w14:paraId="4AB24CEF" w14:textId="77777777" w:rsidR="0048037F" w:rsidRDefault="0048037F" w:rsidP="0048037F">
      <w:pPr>
        <w:pStyle w:val="ListParagraph"/>
        <w:spacing w:line="360" w:lineRule="auto"/>
        <w:rPr>
          <w:rFonts w:ascii="Arial" w:hAnsi="Arial" w:cs="Arial"/>
          <w:color w:val="2D473F"/>
          <w:u w:val="single"/>
        </w:rPr>
      </w:pPr>
    </w:p>
    <w:p w14:paraId="1D08CEEA" w14:textId="0A45F185" w:rsidR="00094972" w:rsidRPr="00094972" w:rsidRDefault="00094972" w:rsidP="00094972">
      <w:pPr>
        <w:spacing w:line="360" w:lineRule="auto"/>
        <w:rPr>
          <w:rFonts w:ascii="Arial" w:hAnsi="Arial" w:cs="Arial"/>
          <w:color w:val="2B4F40"/>
        </w:rPr>
      </w:pPr>
      <w:r w:rsidRPr="00094972">
        <w:rPr>
          <w:rFonts w:ascii="Arial" w:hAnsi="Arial" w:cs="Arial"/>
          <w:b/>
          <w:bCs/>
          <w:color w:val="2B4F40"/>
        </w:rPr>
        <w:t>Enhance Digital Presence and E-commerce Capabilities</w:t>
      </w:r>
      <w:r w:rsidRPr="00094972">
        <w:rPr>
          <w:rFonts w:ascii="Arial" w:hAnsi="Arial" w:cs="Arial"/>
          <w:color w:val="2B4F40"/>
        </w:rPr>
        <w:t>:</w:t>
      </w:r>
      <w:r>
        <w:rPr>
          <w:rFonts w:ascii="Arial" w:hAnsi="Arial" w:cs="Arial"/>
          <w:color w:val="2B4F40"/>
        </w:rPr>
        <w:t xml:space="preserve"> </w:t>
      </w:r>
      <w:r w:rsidRPr="00094972">
        <w:rPr>
          <w:rFonts w:ascii="Arial" w:hAnsi="Arial" w:cs="Arial"/>
          <w:color w:val="2B4F40"/>
        </w:rPr>
        <w:t>To capitalise on the growing trend of online shopping, Rude Health should enhance its digital presence. Investing in a mobile-optimised e-commerce platform will expand reach and improve the shopping experience. Digital marketing strategies, including SEO, social media marketing, and targeted online advertising, can drive traffic and boost sales (Chaffey and Ellis-Chadwick, 2019).</w:t>
      </w:r>
    </w:p>
    <w:p w14:paraId="75826315" w14:textId="531D7FD8" w:rsidR="00094972" w:rsidRPr="00094972" w:rsidRDefault="00094972" w:rsidP="00094972">
      <w:pPr>
        <w:spacing w:line="360" w:lineRule="auto"/>
        <w:rPr>
          <w:rFonts w:ascii="Arial" w:hAnsi="Arial" w:cs="Arial"/>
          <w:color w:val="2B4F40"/>
        </w:rPr>
      </w:pPr>
      <w:r w:rsidRPr="00094972">
        <w:rPr>
          <w:rFonts w:ascii="Arial" w:hAnsi="Arial" w:cs="Arial"/>
          <w:b/>
          <w:bCs/>
          <w:color w:val="2B4F40"/>
        </w:rPr>
        <w:lastRenderedPageBreak/>
        <w:t>Diversify Product Line</w:t>
      </w:r>
      <w:r w:rsidRPr="00094972">
        <w:rPr>
          <w:rFonts w:ascii="Arial" w:hAnsi="Arial" w:cs="Arial"/>
          <w:color w:val="2B4F40"/>
        </w:rPr>
        <w:t>:</w:t>
      </w:r>
      <w:r>
        <w:rPr>
          <w:rFonts w:ascii="Arial" w:hAnsi="Arial" w:cs="Arial"/>
          <w:color w:val="2B4F40"/>
        </w:rPr>
        <w:t xml:space="preserve"> </w:t>
      </w:r>
      <w:r w:rsidRPr="00094972">
        <w:rPr>
          <w:rFonts w:ascii="Arial" w:hAnsi="Arial" w:cs="Arial"/>
          <w:color w:val="2B4F40"/>
        </w:rPr>
        <w:t>Rude Health should diversify its product line to cater to health-conscious consumers. Expanding into new categories like healthy ready-to-eat meals or functional beverages can attract a broader customer base. Product innovation aligned with health trends such as gut health, plant-based diets, and immunity-boosting foods will position Rude Health as a market leader (Euromonitor International, 2022).</w:t>
      </w:r>
    </w:p>
    <w:p w14:paraId="172D2D74" w14:textId="68DDE132" w:rsidR="00094972" w:rsidRPr="00094972" w:rsidRDefault="00094972" w:rsidP="00094972">
      <w:pPr>
        <w:spacing w:line="360" w:lineRule="auto"/>
        <w:rPr>
          <w:rFonts w:ascii="Arial" w:hAnsi="Arial" w:cs="Arial"/>
          <w:color w:val="2B4F40"/>
        </w:rPr>
      </w:pPr>
      <w:r w:rsidRPr="00094972">
        <w:rPr>
          <w:rFonts w:ascii="Arial" w:hAnsi="Arial" w:cs="Arial"/>
          <w:b/>
          <w:bCs/>
          <w:color w:val="2B4F40"/>
        </w:rPr>
        <w:t>Strengthen Supply Chain Resilience</w:t>
      </w:r>
      <w:r w:rsidRPr="00094972">
        <w:rPr>
          <w:rFonts w:ascii="Arial" w:hAnsi="Arial" w:cs="Arial"/>
          <w:color w:val="2B4F40"/>
        </w:rPr>
        <w:t>:</w:t>
      </w:r>
      <w:r>
        <w:rPr>
          <w:rFonts w:ascii="Arial" w:hAnsi="Arial" w:cs="Arial"/>
          <w:color w:val="2B4F40"/>
        </w:rPr>
        <w:t xml:space="preserve"> </w:t>
      </w:r>
      <w:r w:rsidRPr="00094972">
        <w:rPr>
          <w:rFonts w:ascii="Arial" w:hAnsi="Arial" w:cs="Arial"/>
          <w:color w:val="2B4F40"/>
        </w:rPr>
        <w:t>To mitigate supply chain disruptions, Rude Health should diversify its supplier base and build strong supplier relationships. Implementing advanced supply chain management technologies can enhance efficiency and reduce risks. A robust supply chain is essential for maintaining product quality and meeting consumer demand consistently (Christopher, 2016).</w:t>
      </w:r>
    </w:p>
    <w:p w14:paraId="24487EF6" w14:textId="2FF3041B" w:rsidR="00094972" w:rsidRPr="00094972" w:rsidRDefault="00094972" w:rsidP="00094972">
      <w:pPr>
        <w:spacing w:line="360" w:lineRule="auto"/>
        <w:rPr>
          <w:rFonts w:ascii="Arial" w:hAnsi="Arial" w:cs="Arial"/>
          <w:color w:val="2B4F40"/>
        </w:rPr>
      </w:pPr>
      <w:r w:rsidRPr="00094972">
        <w:rPr>
          <w:rFonts w:ascii="Arial" w:hAnsi="Arial" w:cs="Arial"/>
          <w:b/>
          <w:bCs/>
          <w:color w:val="2B4F40"/>
        </w:rPr>
        <w:t>Invest in Sustainable Practices</w:t>
      </w:r>
      <w:r w:rsidRPr="00094972">
        <w:rPr>
          <w:rFonts w:ascii="Arial" w:hAnsi="Arial" w:cs="Arial"/>
          <w:color w:val="2B4F40"/>
        </w:rPr>
        <w:t>:</w:t>
      </w:r>
      <w:r>
        <w:rPr>
          <w:rFonts w:ascii="Arial" w:hAnsi="Arial" w:cs="Arial"/>
          <w:color w:val="2B4F40"/>
        </w:rPr>
        <w:t xml:space="preserve"> </w:t>
      </w:r>
      <w:r w:rsidRPr="00094972">
        <w:rPr>
          <w:rFonts w:ascii="Arial" w:hAnsi="Arial" w:cs="Arial"/>
          <w:color w:val="2B4F40"/>
        </w:rPr>
        <w:t>Sustainability should remain a strategic focus for Rude Health. Investing in sustainable packaging, reducing carbon emissions, and supporting regenerative agriculture will enhance the company’s reputation among eco-conscious consumers. This commitment can also foster partnerships with like-minded organisations (Carroll and Buchholtz, 2014).</w:t>
      </w:r>
    </w:p>
    <w:p w14:paraId="4FA41998" w14:textId="0DEB693F" w:rsidR="00094972" w:rsidRPr="00094972" w:rsidRDefault="00094972" w:rsidP="00094972">
      <w:pPr>
        <w:spacing w:line="360" w:lineRule="auto"/>
        <w:rPr>
          <w:rFonts w:ascii="Arial" w:hAnsi="Arial" w:cs="Arial"/>
          <w:color w:val="2B4F40"/>
        </w:rPr>
      </w:pPr>
      <w:r w:rsidRPr="00094972">
        <w:rPr>
          <w:rFonts w:ascii="Arial" w:hAnsi="Arial" w:cs="Arial"/>
          <w:b/>
          <w:bCs/>
          <w:color w:val="2B4F40"/>
        </w:rPr>
        <w:t>Expand Internationally</w:t>
      </w:r>
      <w:r w:rsidRPr="00094972">
        <w:rPr>
          <w:rFonts w:ascii="Arial" w:hAnsi="Arial" w:cs="Arial"/>
          <w:color w:val="2B4F40"/>
        </w:rPr>
        <w:t>:</w:t>
      </w:r>
      <w:r>
        <w:rPr>
          <w:rFonts w:ascii="Arial" w:hAnsi="Arial" w:cs="Arial"/>
          <w:color w:val="2B4F40"/>
        </w:rPr>
        <w:t xml:space="preserve"> </w:t>
      </w:r>
      <w:r w:rsidRPr="00094972">
        <w:rPr>
          <w:rFonts w:ascii="Arial" w:hAnsi="Arial" w:cs="Arial"/>
          <w:color w:val="2B4F40"/>
        </w:rPr>
        <w:t>Rude Health should explore international markets to reduce dependency on domestic sales. Identifying regions with high demand for health foods and developing tailored market entry strategies will be crucial. Collaborating with local distributors and retailers can facilitate market penetration and brand establishment (Kotler and Keller, 2012).</w:t>
      </w:r>
    </w:p>
    <w:p w14:paraId="0D70CE28" w14:textId="667DB3E7" w:rsidR="00094972" w:rsidRPr="00094972" w:rsidRDefault="00094972" w:rsidP="00094972">
      <w:pPr>
        <w:spacing w:line="360" w:lineRule="auto"/>
        <w:rPr>
          <w:rFonts w:ascii="Arial" w:hAnsi="Arial" w:cs="Arial"/>
          <w:color w:val="2B4F40"/>
        </w:rPr>
      </w:pPr>
      <w:r w:rsidRPr="00094972">
        <w:rPr>
          <w:rFonts w:ascii="Arial" w:hAnsi="Arial" w:cs="Arial"/>
          <w:b/>
          <w:bCs/>
          <w:color w:val="2B4F40"/>
        </w:rPr>
        <w:t>Enhance Employee Engagement and Development</w:t>
      </w:r>
      <w:r w:rsidRPr="00094972">
        <w:rPr>
          <w:rFonts w:ascii="Arial" w:hAnsi="Arial" w:cs="Arial"/>
          <w:color w:val="2B4F40"/>
        </w:rPr>
        <w:t>:</w:t>
      </w:r>
      <w:r>
        <w:rPr>
          <w:rFonts w:ascii="Arial" w:hAnsi="Arial" w:cs="Arial"/>
          <w:color w:val="2B4F40"/>
        </w:rPr>
        <w:t xml:space="preserve"> </w:t>
      </w:r>
      <w:r w:rsidRPr="00094972">
        <w:rPr>
          <w:rFonts w:ascii="Arial" w:hAnsi="Arial" w:cs="Arial"/>
          <w:color w:val="2B4F40"/>
        </w:rPr>
        <w:t>Investing in employee engagement and development is vital for a motivated and productive workforce. Providing continuous learning opportunities, fostering a positive workplace culture, and recognising employee contributions can enhance job satisfaction and retention. Engaged employees are key to operational excellence and business success (Armstrong and Taylor, 2020).</w:t>
      </w:r>
    </w:p>
    <w:p w14:paraId="1989E6E5" w14:textId="5B0CFD16" w:rsidR="0048037F" w:rsidRPr="00094972" w:rsidRDefault="00094972" w:rsidP="00094972">
      <w:pPr>
        <w:spacing w:line="360" w:lineRule="auto"/>
        <w:rPr>
          <w:rFonts w:ascii="Arial" w:hAnsi="Arial" w:cs="Arial"/>
          <w:color w:val="2B4F40"/>
        </w:rPr>
      </w:pPr>
      <w:r w:rsidRPr="00094972">
        <w:rPr>
          <w:rFonts w:ascii="Arial" w:hAnsi="Arial" w:cs="Arial"/>
          <w:b/>
          <w:bCs/>
          <w:color w:val="2B4F40"/>
        </w:rPr>
        <w:t>Leverage Technological Innovations</w:t>
      </w:r>
      <w:r w:rsidRPr="00094972">
        <w:rPr>
          <w:rFonts w:ascii="Arial" w:hAnsi="Arial" w:cs="Arial"/>
          <w:color w:val="2B4F40"/>
        </w:rPr>
        <w:t>:</w:t>
      </w:r>
      <w:r>
        <w:rPr>
          <w:rFonts w:ascii="Arial" w:hAnsi="Arial" w:cs="Arial"/>
          <w:color w:val="2B4F40"/>
        </w:rPr>
        <w:t xml:space="preserve"> </w:t>
      </w:r>
      <w:r w:rsidRPr="00094972">
        <w:rPr>
          <w:rFonts w:ascii="Arial" w:hAnsi="Arial" w:cs="Arial"/>
          <w:color w:val="2B4F40"/>
        </w:rPr>
        <w:t>Adopting technological innovations can improve operational efficiency and customer engagement. Automation in production can reduce costs, while advanced data analytics can offer insights into consumer behaviour. Technologies like AI and machine learning can optimise inventory management, personalise marketing, and enhance customer service (Chaffey and Ellis-Chadwick, 2019).</w:t>
      </w:r>
    </w:p>
    <w:p w14:paraId="528BB330" w14:textId="77777777" w:rsidR="00D36C76" w:rsidRPr="0048037F" w:rsidRDefault="00D36C76" w:rsidP="0047735A">
      <w:pPr>
        <w:spacing w:line="360" w:lineRule="auto"/>
        <w:rPr>
          <w:rFonts w:ascii="Arial" w:hAnsi="Arial" w:cs="Arial"/>
          <w:color w:val="2D473F"/>
        </w:rPr>
      </w:pPr>
    </w:p>
    <w:p w14:paraId="70336A42" w14:textId="251A457E" w:rsidR="0048037F" w:rsidRPr="0048037F" w:rsidRDefault="0048037F" w:rsidP="0048037F">
      <w:pPr>
        <w:pStyle w:val="Heading1"/>
        <w:shd w:val="clear" w:color="auto" w:fill="E7F5EE"/>
        <w:rPr>
          <w:rFonts w:ascii="Arial" w:hAnsi="Arial" w:cs="Arial"/>
          <w:color w:val="2B4F40"/>
          <w:sz w:val="36"/>
          <w:szCs w:val="36"/>
        </w:rPr>
      </w:pPr>
      <w:bookmarkStart w:id="12" w:name="_Toc171288908"/>
      <w:r w:rsidRPr="0048037F">
        <w:rPr>
          <w:rFonts w:ascii="Arial" w:hAnsi="Arial" w:cs="Arial"/>
          <w:color w:val="2B4F40"/>
          <w:sz w:val="36"/>
          <w:szCs w:val="36"/>
        </w:rPr>
        <w:lastRenderedPageBreak/>
        <w:t>Conclusion</w:t>
      </w:r>
      <w:bookmarkEnd w:id="12"/>
    </w:p>
    <w:p w14:paraId="0F3C0FB3" w14:textId="77777777" w:rsidR="0048037F" w:rsidRDefault="0048037F" w:rsidP="0048037F">
      <w:pPr>
        <w:spacing w:line="360" w:lineRule="auto"/>
        <w:rPr>
          <w:rFonts w:ascii="Arial" w:hAnsi="Arial" w:cs="Arial"/>
          <w:color w:val="2D473F"/>
        </w:rPr>
      </w:pPr>
    </w:p>
    <w:p w14:paraId="63400EAE" w14:textId="7B97F26C" w:rsidR="0048037F" w:rsidRPr="0048037F" w:rsidRDefault="0048037F" w:rsidP="00094972">
      <w:pPr>
        <w:spacing w:line="360" w:lineRule="auto"/>
        <w:rPr>
          <w:rFonts w:ascii="Arial" w:hAnsi="Arial" w:cs="Arial"/>
          <w:color w:val="2D473F"/>
        </w:rPr>
      </w:pPr>
      <w:r w:rsidRPr="0048037F">
        <w:rPr>
          <w:rFonts w:ascii="Arial" w:hAnsi="Arial" w:cs="Arial"/>
          <w:color w:val="2D473F"/>
        </w:rPr>
        <w:t>This report has provided a comprehensive analysis of The Rude Health Company’s strategic direction, internal and external environments, stakeholder expectations, and potential growth strategies. Key strengths identified include a strong brand reputation, product innovation, and a commitment to sustainability. However, challenges such as limited market share, dependency on external suppliers, and operational scale issues need to be addressed.</w:t>
      </w:r>
    </w:p>
    <w:p w14:paraId="2B801050" w14:textId="77777777" w:rsidR="0048037F" w:rsidRPr="0048037F" w:rsidRDefault="0048037F" w:rsidP="00094972">
      <w:pPr>
        <w:spacing w:line="360" w:lineRule="auto"/>
        <w:rPr>
          <w:rFonts w:ascii="Arial" w:hAnsi="Arial" w:cs="Arial"/>
          <w:color w:val="2D473F"/>
        </w:rPr>
      </w:pPr>
    </w:p>
    <w:p w14:paraId="1505A4AE" w14:textId="6AFEA480" w:rsidR="0048037F" w:rsidRDefault="0048037F" w:rsidP="00094972">
      <w:pPr>
        <w:spacing w:line="360" w:lineRule="auto"/>
        <w:rPr>
          <w:rFonts w:ascii="Arial" w:hAnsi="Arial" w:cs="Arial"/>
          <w:color w:val="2D473F"/>
        </w:rPr>
      </w:pPr>
      <w:r w:rsidRPr="0048037F">
        <w:rPr>
          <w:rFonts w:ascii="Arial" w:hAnsi="Arial" w:cs="Arial"/>
          <w:color w:val="2D473F"/>
        </w:rPr>
        <w:t>Strategic recommendations for future developments include enhancing digital presence, diversifying product lines, strengthening supply chain resilience, investing in sustainable practices, expanding internationally, enhancing employee engagement, and leveraging technological innovations. By implementing these strategies, Rude Health can navigate the challenges faced by SMEs and sustain long-term growth and competitiveness in the health food industry.</w:t>
      </w:r>
    </w:p>
    <w:p w14:paraId="36BB9997" w14:textId="77777777" w:rsidR="00F82767" w:rsidRDefault="00F82767" w:rsidP="0047735A">
      <w:pPr>
        <w:spacing w:line="360" w:lineRule="auto"/>
        <w:rPr>
          <w:rFonts w:ascii="Arial" w:hAnsi="Arial" w:cs="Arial"/>
          <w:color w:val="2D473F"/>
        </w:rPr>
      </w:pPr>
    </w:p>
    <w:p w14:paraId="34EA5297" w14:textId="77777777" w:rsidR="00F82767" w:rsidRDefault="00F82767" w:rsidP="0047735A">
      <w:pPr>
        <w:spacing w:line="360" w:lineRule="auto"/>
        <w:rPr>
          <w:rFonts w:ascii="Arial" w:hAnsi="Arial" w:cs="Arial"/>
          <w:color w:val="2D473F"/>
        </w:rPr>
      </w:pPr>
    </w:p>
    <w:p w14:paraId="69C49BED" w14:textId="77777777" w:rsidR="00F82767" w:rsidRDefault="00F82767" w:rsidP="0047735A">
      <w:pPr>
        <w:spacing w:line="360" w:lineRule="auto"/>
        <w:rPr>
          <w:rFonts w:ascii="Arial" w:hAnsi="Arial" w:cs="Arial"/>
          <w:color w:val="2D473F"/>
        </w:rPr>
      </w:pPr>
    </w:p>
    <w:p w14:paraId="2D52C9BE" w14:textId="77777777" w:rsidR="00094972" w:rsidRDefault="00094972" w:rsidP="0047735A">
      <w:pPr>
        <w:spacing w:line="360" w:lineRule="auto"/>
        <w:rPr>
          <w:rFonts w:ascii="Arial" w:hAnsi="Arial" w:cs="Arial"/>
          <w:color w:val="2D473F"/>
        </w:rPr>
      </w:pPr>
    </w:p>
    <w:p w14:paraId="42777C5C" w14:textId="77777777" w:rsidR="00094972" w:rsidRDefault="00094972" w:rsidP="0047735A">
      <w:pPr>
        <w:spacing w:line="360" w:lineRule="auto"/>
        <w:rPr>
          <w:rFonts w:ascii="Arial" w:hAnsi="Arial" w:cs="Arial"/>
          <w:color w:val="2D473F"/>
        </w:rPr>
      </w:pPr>
    </w:p>
    <w:p w14:paraId="5274ED76" w14:textId="77777777" w:rsidR="00094972" w:rsidRDefault="00094972" w:rsidP="0047735A">
      <w:pPr>
        <w:spacing w:line="360" w:lineRule="auto"/>
        <w:rPr>
          <w:rFonts w:ascii="Arial" w:hAnsi="Arial" w:cs="Arial"/>
          <w:color w:val="2D473F"/>
        </w:rPr>
      </w:pPr>
    </w:p>
    <w:p w14:paraId="5F818215" w14:textId="77777777" w:rsidR="00094972" w:rsidRDefault="00094972" w:rsidP="0047735A">
      <w:pPr>
        <w:spacing w:line="360" w:lineRule="auto"/>
        <w:rPr>
          <w:rFonts w:ascii="Arial" w:hAnsi="Arial" w:cs="Arial"/>
          <w:color w:val="2D473F"/>
        </w:rPr>
      </w:pPr>
    </w:p>
    <w:p w14:paraId="6948ED0E" w14:textId="77777777" w:rsidR="00094972" w:rsidRDefault="00094972" w:rsidP="0047735A">
      <w:pPr>
        <w:spacing w:line="360" w:lineRule="auto"/>
        <w:rPr>
          <w:rFonts w:ascii="Arial" w:hAnsi="Arial" w:cs="Arial"/>
          <w:color w:val="2D473F"/>
        </w:rPr>
      </w:pPr>
    </w:p>
    <w:p w14:paraId="7346BA16" w14:textId="77777777" w:rsidR="00094972" w:rsidRDefault="00094972" w:rsidP="0047735A">
      <w:pPr>
        <w:spacing w:line="360" w:lineRule="auto"/>
        <w:rPr>
          <w:rFonts w:ascii="Arial" w:hAnsi="Arial" w:cs="Arial"/>
          <w:color w:val="2D473F"/>
        </w:rPr>
      </w:pPr>
    </w:p>
    <w:p w14:paraId="59E8A415" w14:textId="77777777" w:rsidR="00094972" w:rsidRDefault="00094972" w:rsidP="0047735A">
      <w:pPr>
        <w:spacing w:line="360" w:lineRule="auto"/>
        <w:rPr>
          <w:rFonts w:ascii="Arial" w:hAnsi="Arial" w:cs="Arial"/>
          <w:color w:val="2D473F"/>
        </w:rPr>
      </w:pPr>
    </w:p>
    <w:p w14:paraId="059005C7" w14:textId="77777777" w:rsidR="00F82767" w:rsidRPr="00F8668D" w:rsidRDefault="00F82767" w:rsidP="0047735A">
      <w:pPr>
        <w:spacing w:line="360" w:lineRule="auto"/>
        <w:rPr>
          <w:rFonts w:ascii="Arial" w:hAnsi="Arial" w:cs="Arial"/>
          <w:color w:val="2D473F"/>
        </w:rPr>
      </w:pPr>
    </w:p>
    <w:p w14:paraId="465DDE8D" w14:textId="24E336D6" w:rsidR="002E7309" w:rsidRPr="00F8668D" w:rsidRDefault="002E7309" w:rsidP="00614EEA">
      <w:pPr>
        <w:pStyle w:val="Heading1"/>
        <w:shd w:val="clear" w:color="auto" w:fill="E7F5EE"/>
        <w:rPr>
          <w:rFonts w:ascii="Arial" w:hAnsi="Arial" w:cs="Arial"/>
          <w:color w:val="2D473F"/>
          <w:sz w:val="36"/>
          <w:szCs w:val="36"/>
        </w:rPr>
      </w:pPr>
      <w:bookmarkStart w:id="13" w:name="_Toc171288909"/>
      <w:r w:rsidRPr="00F8668D">
        <w:rPr>
          <w:rFonts w:ascii="Arial" w:hAnsi="Arial" w:cs="Arial"/>
          <w:color w:val="2D473F"/>
          <w:sz w:val="36"/>
          <w:szCs w:val="36"/>
        </w:rPr>
        <w:lastRenderedPageBreak/>
        <w:t>List of references</w:t>
      </w:r>
      <w:bookmarkEnd w:id="13"/>
    </w:p>
    <w:p w14:paraId="187C6525" w14:textId="77777777" w:rsidR="002E7309" w:rsidRPr="00F8668D" w:rsidRDefault="002E7309" w:rsidP="002E7309">
      <w:pPr>
        <w:rPr>
          <w:rFonts w:ascii="Arial" w:hAnsi="Arial" w:cs="Arial"/>
          <w:color w:val="2D473F"/>
        </w:rPr>
      </w:pPr>
    </w:p>
    <w:p w14:paraId="26184D81" w14:textId="7702F10F" w:rsidR="003B13C2" w:rsidRPr="003B13C2" w:rsidRDefault="003B13C2" w:rsidP="003B13C2">
      <w:pPr>
        <w:pStyle w:val="ListParagraph"/>
        <w:numPr>
          <w:ilvl w:val="0"/>
          <w:numId w:val="21"/>
        </w:numPr>
        <w:spacing w:line="360" w:lineRule="auto"/>
        <w:ind w:left="714" w:hanging="357"/>
        <w:rPr>
          <w:rFonts w:ascii="Arial" w:hAnsi="Arial" w:cs="Arial"/>
          <w:color w:val="2B4F40"/>
        </w:rPr>
      </w:pPr>
      <w:r w:rsidRPr="003B13C2">
        <w:rPr>
          <w:rFonts w:ascii="Arial" w:hAnsi="Arial" w:cs="Arial"/>
          <w:color w:val="2B4F40"/>
        </w:rPr>
        <w:t>Aaker, D.A. and Keller, K.L., 1990. Consumer Evaluations of Brand Extensions. Journal of Marketing, 54(1), pp.27-41.</w:t>
      </w:r>
    </w:p>
    <w:p w14:paraId="07806E40" w14:textId="12810417" w:rsidR="003B13C2" w:rsidRPr="003B13C2" w:rsidRDefault="003B13C2" w:rsidP="003B13C2">
      <w:pPr>
        <w:pStyle w:val="ListParagraph"/>
        <w:numPr>
          <w:ilvl w:val="0"/>
          <w:numId w:val="21"/>
        </w:numPr>
        <w:spacing w:line="360" w:lineRule="auto"/>
        <w:ind w:left="714" w:hanging="357"/>
        <w:rPr>
          <w:rFonts w:ascii="Arial" w:hAnsi="Arial" w:cs="Arial"/>
          <w:color w:val="2B4F40"/>
        </w:rPr>
      </w:pPr>
      <w:r w:rsidRPr="003B13C2">
        <w:rPr>
          <w:rFonts w:ascii="Arial" w:hAnsi="Arial" w:cs="Arial"/>
          <w:color w:val="2B4F40"/>
        </w:rPr>
        <w:t>Ansoff, H.I., 1957. 'Strategies for Diversification', Harvard Business Review, 35(5), pp. 113-124.</w:t>
      </w:r>
    </w:p>
    <w:p w14:paraId="08BA0C34" w14:textId="2837BAAC" w:rsidR="003B13C2" w:rsidRPr="003B13C2" w:rsidRDefault="003B13C2" w:rsidP="003B13C2">
      <w:pPr>
        <w:pStyle w:val="ListParagraph"/>
        <w:numPr>
          <w:ilvl w:val="0"/>
          <w:numId w:val="21"/>
        </w:numPr>
        <w:spacing w:line="360" w:lineRule="auto"/>
        <w:ind w:left="714" w:hanging="357"/>
        <w:rPr>
          <w:rFonts w:ascii="Arial" w:hAnsi="Arial" w:cs="Arial"/>
          <w:color w:val="2B4F40"/>
        </w:rPr>
      </w:pPr>
      <w:r w:rsidRPr="003B13C2">
        <w:rPr>
          <w:rFonts w:ascii="Arial" w:hAnsi="Arial" w:cs="Arial"/>
          <w:color w:val="2B4F40"/>
        </w:rPr>
        <w:t>Armstrong, M. and Taylor, S., 2020. Armstrong's Handbook of Human Resource Management Practice. 15th ed. London: Kogan Page.</w:t>
      </w:r>
    </w:p>
    <w:p w14:paraId="24080725" w14:textId="16C500E0" w:rsidR="003B13C2" w:rsidRPr="003B13C2" w:rsidRDefault="003B13C2" w:rsidP="003B13C2">
      <w:pPr>
        <w:pStyle w:val="ListParagraph"/>
        <w:numPr>
          <w:ilvl w:val="0"/>
          <w:numId w:val="21"/>
        </w:numPr>
        <w:spacing w:line="360" w:lineRule="auto"/>
        <w:ind w:left="714" w:hanging="357"/>
        <w:rPr>
          <w:rFonts w:ascii="Arial" w:hAnsi="Arial" w:cs="Arial"/>
          <w:color w:val="2B4F40"/>
        </w:rPr>
      </w:pPr>
      <w:r w:rsidRPr="003B13C2">
        <w:rPr>
          <w:rFonts w:ascii="Arial" w:hAnsi="Arial" w:cs="Arial"/>
          <w:color w:val="2B4F40"/>
        </w:rPr>
        <w:t>Bailey, D. and Tomlinson, P.R., 2017. Post-Brexit restructuring of the UK automotive industry: Understanding the firm and supply chain impacts. Regional Studies, 51(10), pp. 1607-1618.</w:t>
      </w:r>
    </w:p>
    <w:p w14:paraId="16CAAA8E" w14:textId="325D4DE4" w:rsidR="003B13C2" w:rsidRPr="003B13C2" w:rsidRDefault="003B13C2" w:rsidP="003B13C2">
      <w:pPr>
        <w:pStyle w:val="ListParagraph"/>
        <w:numPr>
          <w:ilvl w:val="0"/>
          <w:numId w:val="21"/>
        </w:numPr>
        <w:spacing w:line="360" w:lineRule="auto"/>
        <w:ind w:left="714" w:hanging="357"/>
        <w:rPr>
          <w:rFonts w:ascii="Arial" w:hAnsi="Arial" w:cs="Arial"/>
          <w:color w:val="2B4F40"/>
        </w:rPr>
      </w:pPr>
      <w:r w:rsidRPr="003B13C2">
        <w:rPr>
          <w:rFonts w:ascii="Arial" w:hAnsi="Arial" w:cs="Arial"/>
          <w:color w:val="2B4F40"/>
        </w:rPr>
        <w:t>Barney, J. and Hesterly, W., 2018. Strategic Management and Competitive Advantage: Concepts and Cases, Global Edition. Pearson Education, Limited, Harlow. Available from: ProQuest eBook Central. [Accessed 17 June 2024]. Available at: http://ebookcentral.proquest.com/lib/trinity/detail.action?docID=5573680.</w:t>
      </w:r>
    </w:p>
    <w:p w14:paraId="5CCC3AAA" w14:textId="51B21EFF" w:rsidR="003B13C2" w:rsidRPr="003B13C2" w:rsidRDefault="003B13C2" w:rsidP="003B13C2">
      <w:pPr>
        <w:pStyle w:val="ListParagraph"/>
        <w:numPr>
          <w:ilvl w:val="0"/>
          <w:numId w:val="21"/>
        </w:numPr>
        <w:spacing w:line="360" w:lineRule="auto"/>
        <w:ind w:left="714" w:hanging="357"/>
        <w:rPr>
          <w:rFonts w:ascii="Arial" w:hAnsi="Arial" w:cs="Arial"/>
          <w:color w:val="2B4F40"/>
        </w:rPr>
      </w:pPr>
      <w:r w:rsidRPr="003B13C2">
        <w:rPr>
          <w:rFonts w:ascii="Arial" w:hAnsi="Arial" w:cs="Arial"/>
          <w:color w:val="2B4F40"/>
        </w:rPr>
        <w:t>Carroll, A.B. and Buchholtz, A.K., 2014. Business and Society: Ethics, Sustainability, and Stakeholder Management. 9th ed.</w:t>
      </w:r>
    </w:p>
    <w:p w14:paraId="127365E9" w14:textId="44D706A3" w:rsidR="003B13C2" w:rsidRPr="003B13C2" w:rsidRDefault="003B13C2" w:rsidP="003B13C2">
      <w:pPr>
        <w:pStyle w:val="ListParagraph"/>
        <w:numPr>
          <w:ilvl w:val="0"/>
          <w:numId w:val="21"/>
        </w:numPr>
        <w:spacing w:line="360" w:lineRule="auto"/>
        <w:ind w:left="714" w:hanging="357"/>
        <w:rPr>
          <w:rFonts w:ascii="Arial" w:hAnsi="Arial" w:cs="Arial"/>
          <w:color w:val="2B4F40"/>
        </w:rPr>
      </w:pPr>
      <w:r w:rsidRPr="003B13C2">
        <w:rPr>
          <w:rFonts w:ascii="Arial" w:hAnsi="Arial" w:cs="Arial"/>
          <w:color w:val="2B4F40"/>
        </w:rPr>
        <w:t>Chaffey, D. and Ellis-Chadwick, F., 2019. Digital Marketing: Strategy, Implementation, and Practice. 7th ed.</w:t>
      </w:r>
    </w:p>
    <w:p w14:paraId="1841CFD0" w14:textId="485E4BB0" w:rsidR="003B13C2" w:rsidRPr="003B13C2" w:rsidRDefault="003B13C2" w:rsidP="003B13C2">
      <w:pPr>
        <w:pStyle w:val="ListParagraph"/>
        <w:numPr>
          <w:ilvl w:val="0"/>
          <w:numId w:val="21"/>
        </w:numPr>
        <w:spacing w:line="360" w:lineRule="auto"/>
        <w:ind w:left="714" w:hanging="357"/>
        <w:rPr>
          <w:rFonts w:ascii="Arial" w:hAnsi="Arial" w:cs="Arial"/>
          <w:color w:val="2B4F40"/>
        </w:rPr>
      </w:pPr>
      <w:r w:rsidRPr="003B13C2">
        <w:rPr>
          <w:rFonts w:ascii="Arial" w:hAnsi="Arial" w:cs="Arial"/>
          <w:color w:val="2B4F40"/>
        </w:rPr>
        <w:t>Christopher, M., 2016. Logistics and Supply Chain Management. 5th ed.</w:t>
      </w:r>
    </w:p>
    <w:p w14:paraId="1140482B" w14:textId="55A0F656" w:rsidR="003B13C2" w:rsidRPr="003B13C2" w:rsidRDefault="003B13C2" w:rsidP="003B13C2">
      <w:pPr>
        <w:pStyle w:val="ListParagraph"/>
        <w:numPr>
          <w:ilvl w:val="0"/>
          <w:numId w:val="21"/>
        </w:numPr>
        <w:spacing w:line="360" w:lineRule="auto"/>
        <w:ind w:left="714" w:hanging="357"/>
        <w:rPr>
          <w:rFonts w:ascii="Arial" w:hAnsi="Arial" w:cs="Arial"/>
          <w:color w:val="2B4F40"/>
        </w:rPr>
      </w:pPr>
      <w:r w:rsidRPr="003B13C2">
        <w:rPr>
          <w:rFonts w:ascii="Arial" w:hAnsi="Arial" w:cs="Arial"/>
          <w:color w:val="2B4F40"/>
        </w:rPr>
        <w:t>European Food Safety Authority, 2021. EFSA's comprehensive European food consumption database. Available at: https://www.efsa.europa.eu/en/food-consumption/comprehensive-database [Accessed 5 July 2024].</w:t>
      </w:r>
    </w:p>
    <w:p w14:paraId="01A7C3CF" w14:textId="2BF64986" w:rsidR="003B13C2" w:rsidRPr="003B13C2" w:rsidRDefault="003B13C2" w:rsidP="003B13C2">
      <w:pPr>
        <w:pStyle w:val="ListParagraph"/>
        <w:numPr>
          <w:ilvl w:val="0"/>
          <w:numId w:val="21"/>
        </w:numPr>
        <w:spacing w:line="360" w:lineRule="auto"/>
        <w:ind w:left="714" w:hanging="357"/>
        <w:rPr>
          <w:rFonts w:ascii="Arial" w:hAnsi="Arial" w:cs="Arial"/>
          <w:color w:val="2B4F40"/>
        </w:rPr>
      </w:pPr>
      <w:r w:rsidRPr="003B13C2">
        <w:rPr>
          <w:rFonts w:ascii="Arial" w:hAnsi="Arial" w:cs="Arial"/>
          <w:color w:val="2B4F40"/>
        </w:rPr>
        <w:t>Euromonitor International, 2022. Global Health and Wellness Market Report. Available at: https://www.euromonitor.com/health-and-wellness.</w:t>
      </w:r>
    </w:p>
    <w:p w14:paraId="1C4CAE6B" w14:textId="6DB9A1AB" w:rsidR="003B13C2" w:rsidRPr="003B13C2" w:rsidRDefault="003B13C2" w:rsidP="003B13C2">
      <w:pPr>
        <w:pStyle w:val="ListParagraph"/>
        <w:numPr>
          <w:ilvl w:val="0"/>
          <w:numId w:val="21"/>
        </w:numPr>
        <w:spacing w:line="360" w:lineRule="auto"/>
        <w:ind w:left="714" w:hanging="357"/>
        <w:rPr>
          <w:rFonts w:ascii="Arial" w:hAnsi="Arial" w:cs="Arial"/>
          <w:color w:val="2B4F40"/>
        </w:rPr>
      </w:pPr>
      <w:r w:rsidRPr="003B13C2">
        <w:rPr>
          <w:rFonts w:ascii="Arial" w:hAnsi="Arial" w:cs="Arial"/>
          <w:color w:val="2B4F40"/>
        </w:rPr>
        <w:t>Fink, L., 2018. A Sense of Purpose. BlackRock Annual Letter to CEOs. Available at: https://www.blackrock.com/corporate/investor-relations/larry-fink-ceo-letter.</w:t>
      </w:r>
    </w:p>
    <w:p w14:paraId="6331F2FE" w14:textId="73691224" w:rsidR="003B13C2" w:rsidRPr="003B13C2" w:rsidRDefault="003B13C2" w:rsidP="003B13C2">
      <w:pPr>
        <w:pStyle w:val="ListParagraph"/>
        <w:numPr>
          <w:ilvl w:val="0"/>
          <w:numId w:val="21"/>
        </w:numPr>
        <w:spacing w:line="360" w:lineRule="auto"/>
        <w:ind w:left="714" w:hanging="357"/>
        <w:rPr>
          <w:rFonts w:ascii="Arial" w:hAnsi="Arial" w:cs="Arial"/>
          <w:color w:val="2B4F40"/>
        </w:rPr>
      </w:pPr>
      <w:r w:rsidRPr="003B13C2">
        <w:rPr>
          <w:rFonts w:ascii="Arial" w:hAnsi="Arial" w:cs="Arial"/>
          <w:color w:val="2B4F40"/>
        </w:rPr>
        <w:t>Freeman, R.E., 1984. Strategic Management: A Stakeholder Approach.</w:t>
      </w:r>
    </w:p>
    <w:p w14:paraId="5DB3F11B" w14:textId="34F376AF" w:rsidR="003B13C2" w:rsidRPr="003B13C2" w:rsidRDefault="003B13C2" w:rsidP="003B13C2">
      <w:pPr>
        <w:pStyle w:val="ListParagraph"/>
        <w:numPr>
          <w:ilvl w:val="0"/>
          <w:numId w:val="21"/>
        </w:numPr>
        <w:spacing w:line="360" w:lineRule="auto"/>
        <w:ind w:left="714" w:hanging="357"/>
        <w:rPr>
          <w:rFonts w:ascii="Arial" w:hAnsi="Arial" w:cs="Arial"/>
          <w:color w:val="2B4F40"/>
        </w:rPr>
      </w:pPr>
      <w:r w:rsidRPr="003B13C2">
        <w:rPr>
          <w:rFonts w:ascii="Arial" w:hAnsi="Arial" w:cs="Arial"/>
          <w:color w:val="2B4F40"/>
        </w:rPr>
        <w:t>Hart, S.L., 1995. A Natural-Resource-Based View of the Firm. Academy of Management Review, 20(4), pp.986-1014.</w:t>
      </w:r>
    </w:p>
    <w:p w14:paraId="313085CA" w14:textId="53CE2F55" w:rsidR="003B13C2" w:rsidRPr="003B13C2" w:rsidRDefault="003B13C2" w:rsidP="003B13C2">
      <w:pPr>
        <w:pStyle w:val="ListParagraph"/>
        <w:numPr>
          <w:ilvl w:val="0"/>
          <w:numId w:val="21"/>
        </w:numPr>
        <w:spacing w:line="360" w:lineRule="auto"/>
        <w:ind w:left="714" w:hanging="357"/>
        <w:rPr>
          <w:rFonts w:ascii="Arial" w:hAnsi="Arial" w:cs="Arial"/>
          <w:color w:val="2B4F40"/>
        </w:rPr>
      </w:pPr>
      <w:r w:rsidRPr="003B13C2">
        <w:rPr>
          <w:rFonts w:ascii="Arial" w:hAnsi="Arial" w:cs="Arial"/>
          <w:color w:val="2B4F40"/>
        </w:rPr>
        <w:t>IPCC, 2021. Climate Change 2021: The Physical Science Basis. Available at: https://www.ipcc.ch/report/ar6/wg1/ [Accessed 5 July 2024].</w:t>
      </w:r>
    </w:p>
    <w:p w14:paraId="0C836DCE" w14:textId="32758CA8" w:rsidR="003B13C2" w:rsidRPr="003B13C2" w:rsidRDefault="003B13C2" w:rsidP="003B13C2">
      <w:pPr>
        <w:pStyle w:val="ListParagraph"/>
        <w:numPr>
          <w:ilvl w:val="0"/>
          <w:numId w:val="21"/>
        </w:numPr>
        <w:spacing w:line="360" w:lineRule="auto"/>
        <w:ind w:left="714" w:hanging="357"/>
        <w:rPr>
          <w:rFonts w:ascii="Arial" w:hAnsi="Arial" w:cs="Arial"/>
          <w:color w:val="2B4F40"/>
        </w:rPr>
      </w:pPr>
      <w:r w:rsidRPr="003B13C2">
        <w:rPr>
          <w:rFonts w:ascii="Arial" w:hAnsi="Arial" w:cs="Arial"/>
          <w:color w:val="2B4F40"/>
        </w:rPr>
        <w:lastRenderedPageBreak/>
        <w:t>Jensen, M., 2002. Economic impacts of food policy. Journal of Food Distribution Research, 33(1), pp. 40-48.</w:t>
      </w:r>
    </w:p>
    <w:p w14:paraId="203C827C" w14:textId="27BB6528" w:rsidR="003B13C2" w:rsidRPr="003B13C2" w:rsidRDefault="003B13C2" w:rsidP="003B13C2">
      <w:pPr>
        <w:pStyle w:val="ListParagraph"/>
        <w:numPr>
          <w:ilvl w:val="0"/>
          <w:numId w:val="21"/>
        </w:numPr>
        <w:spacing w:line="360" w:lineRule="auto"/>
        <w:ind w:left="714" w:hanging="357"/>
        <w:rPr>
          <w:rFonts w:ascii="Arial" w:hAnsi="Arial" w:cs="Arial"/>
          <w:color w:val="2B4F40"/>
        </w:rPr>
      </w:pPr>
      <w:r w:rsidRPr="003B13C2">
        <w:rPr>
          <w:rFonts w:ascii="Arial" w:hAnsi="Arial" w:cs="Arial"/>
          <w:color w:val="2B4F40"/>
        </w:rPr>
        <w:t>Jensen, M.C., 2002. Value Maximization, Stakeholder Theory, and the Corporate Objective Function. Business Ethics Quarterly, 12(2), pp. 235-256.</w:t>
      </w:r>
    </w:p>
    <w:p w14:paraId="175BD5CE" w14:textId="3AE34DDE" w:rsidR="003B13C2" w:rsidRPr="003B13C2" w:rsidRDefault="003B13C2" w:rsidP="003B13C2">
      <w:pPr>
        <w:pStyle w:val="ListParagraph"/>
        <w:numPr>
          <w:ilvl w:val="0"/>
          <w:numId w:val="21"/>
        </w:numPr>
        <w:spacing w:line="360" w:lineRule="auto"/>
        <w:ind w:left="714" w:hanging="357"/>
        <w:rPr>
          <w:rFonts w:ascii="Arial" w:hAnsi="Arial" w:cs="Arial"/>
          <w:color w:val="2B4F40"/>
        </w:rPr>
      </w:pPr>
      <w:r w:rsidRPr="003B13C2">
        <w:rPr>
          <w:rFonts w:ascii="Arial" w:hAnsi="Arial" w:cs="Arial"/>
          <w:color w:val="2B4F40"/>
        </w:rPr>
        <w:t>Kotler, P. and Keller, K.L., 2012. Marketing Management. 14th ed.</w:t>
      </w:r>
    </w:p>
    <w:p w14:paraId="03AB8AEE" w14:textId="364BF369" w:rsidR="003B13C2" w:rsidRPr="003B13C2" w:rsidRDefault="003B13C2" w:rsidP="003B13C2">
      <w:pPr>
        <w:pStyle w:val="ListParagraph"/>
        <w:numPr>
          <w:ilvl w:val="0"/>
          <w:numId w:val="21"/>
        </w:numPr>
        <w:spacing w:line="360" w:lineRule="auto"/>
        <w:ind w:left="714" w:hanging="357"/>
        <w:rPr>
          <w:rFonts w:ascii="Arial" w:hAnsi="Arial" w:cs="Arial"/>
          <w:color w:val="2B4F40"/>
        </w:rPr>
      </w:pPr>
      <w:r w:rsidRPr="003B13C2">
        <w:rPr>
          <w:rFonts w:ascii="Arial" w:hAnsi="Arial" w:cs="Arial"/>
          <w:color w:val="2B4F40"/>
        </w:rPr>
        <w:t>Macey, W.H. and Schneider, B., 2008. The Meaning of Employee Engagement. Industrial and Organizational Psychology, 1(1), pp. 3-30.</w:t>
      </w:r>
    </w:p>
    <w:p w14:paraId="289D2F48" w14:textId="4537F5F5" w:rsidR="003B13C2" w:rsidRPr="003B13C2" w:rsidRDefault="003B13C2" w:rsidP="003B13C2">
      <w:pPr>
        <w:pStyle w:val="ListParagraph"/>
        <w:numPr>
          <w:ilvl w:val="0"/>
          <w:numId w:val="21"/>
        </w:numPr>
        <w:spacing w:line="360" w:lineRule="auto"/>
        <w:ind w:left="714" w:hanging="357"/>
        <w:rPr>
          <w:rFonts w:ascii="Arial" w:hAnsi="Arial" w:cs="Arial"/>
          <w:color w:val="2B4F40"/>
        </w:rPr>
      </w:pPr>
      <w:r w:rsidRPr="003B13C2">
        <w:rPr>
          <w:rFonts w:ascii="Arial" w:hAnsi="Arial" w:cs="Arial"/>
          <w:color w:val="2B4F40"/>
        </w:rPr>
        <w:t>Mintel, 2020. Global Food and Drink Trends 2020. Available at: https://www.mintel.com/global-food-and-drink-trends.</w:t>
      </w:r>
    </w:p>
    <w:p w14:paraId="70C57819" w14:textId="4DCA9EE7" w:rsidR="003B13C2" w:rsidRPr="003B13C2" w:rsidRDefault="003B13C2" w:rsidP="003B13C2">
      <w:pPr>
        <w:pStyle w:val="ListParagraph"/>
        <w:numPr>
          <w:ilvl w:val="0"/>
          <w:numId w:val="21"/>
        </w:numPr>
        <w:spacing w:line="360" w:lineRule="auto"/>
        <w:ind w:left="714" w:hanging="357"/>
        <w:rPr>
          <w:rFonts w:ascii="Arial" w:hAnsi="Arial" w:cs="Arial"/>
          <w:color w:val="2B4F40"/>
        </w:rPr>
      </w:pPr>
      <w:r w:rsidRPr="003B13C2">
        <w:rPr>
          <w:rFonts w:ascii="Arial" w:hAnsi="Arial" w:cs="Arial"/>
          <w:color w:val="2B4F40"/>
        </w:rPr>
        <w:t>Porter, M.E., 2008. Competitive Advantage: Creating and Sustaining Superior Performance.</w:t>
      </w:r>
    </w:p>
    <w:p w14:paraId="45676884" w14:textId="153829B0" w:rsidR="003B13C2" w:rsidRPr="003B13C2" w:rsidRDefault="003B13C2" w:rsidP="003B13C2">
      <w:pPr>
        <w:pStyle w:val="ListParagraph"/>
        <w:numPr>
          <w:ilvl w:val="0"/>
          <w:numId w:val="21"/>
        </w:numPr>
        <w:spacing w:line="360" w:lineRule="auto"/>
        <w:ind w:left="714" w:hanging="357"/>
        <w:rPr>
          <w:rFonts w:ascii="Arial" w:hAnsi="Arial" w:cs="Arial"/>
          <w:color w:val="2B4F40"/>
        </w:rPr>
      </w:pPr>
      <w:r w:rsidRPr="003B13C2">
        <w:rPr>
          <w:rFonts w:ascii="Arial" w:hAnsi="Arial" w:cs="Arial"/>
          <w:color w:val="2B4F40"/>
        </w:rPr>
        <w:t>Rude Health, 2023. About Us. Available at: https://www.rudehealth.com/about-us [Accessed 11 June 2024].</w:t>
      </w:r>
    </w:p>
    <w:p w14:paraId="3BBF041A" w14:textId="05D2C31E" w:rsidR="003B13C2" w:rsidRPr="003B13C2" w:rsidRDefault="003B13C2" w:rsidP="003B13C2">
      <w:pPr>
        <w:pStyle w:val="ListParagraph"/>
        <w:numPr>
          <w:ilvl w:val="0"/>
          <w:numId w:val="21"/>
        </w:numPr>
        <w:spacing w:line="360" w:lineRule="auto"/>
        <w:ind w:left="714" w:hanging="357"/>
        <w:rPr>
          <w:rFonts w:ascii="Arial" w:hAnsi="Arial" w:cs="Arial"/>
          <w:color w:val="2B4F40"/>
        </w:rPr>
      </w:pPr>
      <w:r w:rsidRPr="003B13C2">
        <w:rPr>
          <w:rFonts w:ascii="Arial" w:hAnsi="Arial" w:cs="Arial"/>
          <w:color w:val="2B4F40"/>
        </w:rPr>
        <w:t>Tracxn, 2024. Rude Health Competitors, Alternatives, Traffic and 14 Marketing Contacts. Tracxn. Available at: https://tracxn.com/d/companies/rude-health/__g-qv_4y94scV7Pc38Vuexk1qZShtTx3u-q7Lzu5GJ_I/competitors [Accessed 5 July 2024].</w:t>
      </w:r>
    </w:p>
    <w:p w14:paraId="42B82D56" w14:textId="2A0D1BAF" w:rsidR="00C33DE8" w:rsidRPr="003B13C2" w:rsidRDefault="003B13C2" w:rsidP="003B13C2">
      <w:pPr>
        <w:pStyle w:val="ListParagraph"/>
        <w:numPr>
          <w:ilvl w:val="0"/>
          <w:numId w:val="21"/>
        </w:numPr>
        <w:spacing w:line="360" w:lineRule="auto"/>
        <w:ind w:left="714" w:hanging="357"/>
        <w:rPr>
          <w:rFonts w:ascii="Arial" w:hAnsi="Arial" w:cs="Arial"/>
          <w:color w:val="2B4F40"/>
        </w:rPr>
      </w:pPr>
      <w:r w:rsidRPr="003B13C2">
        <w:rPr>
          <w:rFonts w:ascii="Arial" w:hAnsi="Arial" w:cs="Arial"/>
          <w:color w:val="2B4F40"/>
        </w:rPr>
        <w:t>Womack, J.P. and Jones, D.T., 1996. Lean Thinking: Banish Waste and Create Wealth in Your Corporation.</w:t>
      </w:r>
    </w:p>
    <w:sectPr w:rsidR="00C33DE8" w:rsidRPr="003B13C2" w:rsidSect="006F474F">
      <w:footerReference w:type="default" r:id="rId19"/>
      <w:pgSz w:w="12240" w:h="15840"/>
      <w:pgMar w:top="1440" w:right="1440" w:bottom="1440" w:left="1440" w:header="720" w:footer="720" w:gutter="0"/>
      <w:pgBorders w:display="firstPage" w:offsetFrom="page">
        <w:top w:val="single" w:sz="4" w:space="24" w:color="2D473F"/>
        <w:left w:val="single" w:sz="4" w:space="24" w:color="2D473F"/>
        <w:bottom w:val="single" w:sz="4" w:space="24" w:color="2D473F"/>
        <w:right w:val="single" w:sz="4" w:space="24" w:color="2D473F"/>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A61CEDF" w14:textId="77777777" w:rsidR="007653C8" w:rsidRDefault="007653C8" w:rsidP="00265CBE">
      <w:pPr>
        <w:spacing w:after="0" w:line="240" w:lineRule="auto"/>
      </w:pPr>
      <w:r>
        <w:separator/>
      </w:r>
    </w:p>
  </w:endnote>
  <w:endnote w:type="continuationSeparator" w:id="0">
    <w:p w14:paraId="5D7B03BA" w14:textId="77777777" w:rsidR="007653C8" w:rsidRDefault="007653C8" w:rsidP="00265C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68948432"/>
      <w:docPartObj>
        <w:docPartGallery w:val="Page Numbers (Bottom of Page)"/>
        <w:docPartUnique/>
      </w:docPartObj>
    </w:sdtPr>
    <w:sdtEndPr>
      <w:rPr>
        <w:noProof/>
      </w:rPr>
    </w:sdtEndPr>
    <w:sdtContent>
      <w:p w14:paraId="222EC0EF" w14:textId="2915BF44" w:rsidR="00265CBE" w:rsidRDefault="00265CBE">
        <w:pPr>
          <w:pStyle w:val="Footer"/>
          <w:jc w:val="center"/>
        </w:pPr>
        <w:r>
          <w:rPr>
            <w:noProof/>
          </w:rPr>
          <mc:AlternateContent>
            <mc:Choice Requires="wps">
              <w:drawing>
                <wp:inline distT="0" distB="0" distL="0" distR="0" wp14:anchorId="506D3EBC" wp14:editId="565321BE">
                  <wp:extent cx="5467350" cy="45085"/>
                  <wp:effectExtent l="9525" t="9525" r="0" b="2540"/>
                  <wp:docPr id="1203318127" name="Flowchart: Decision 7"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299AE166" id="_x0000_t110" coordsize="21600,21600" o:spt="110" path="m10800,l,10800,10800,21600,21600,10800xe">
                  <v:stroke joinstyle="miter"/>
                  <v:path gradientshapeok="t" o:connecttype="rect" textboxrect="5400,5400,16200,16200"/>
                </v:shapetype>
                <v:shape id="Flowchart: Decision 7"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vGmCgIAABYEAAAOAAAAZHJzL2Uyb0RvYy54bWysU02P0zAQvSPxHyzfadrS7i5R09WqVQFp&#10;+ZAWuDuOnVg4HjN2my6/nrEbtRVwQvhgeTwzb948j1f3x96yg8JgwFV8NplyppyExri24l+/7F7d&#10;cRaicI2w4FTFn1Xg9+uXL1aDL9UcOrCNQkYgLpSDr3gXoy+LIshO9SJMwCtHTg3Yi0gmtkWDYiD0&#10;3hbz6fSmGAAbjyBVCHS7PTn5OuNrrWT8pHVQkdmKE7eYd8x7nfZivRJli8J3Ro40xD+w6IVxVPQM&#10;tRVRsD2aP6B6IxEC6DiR0BegtZEq90DdzKa/dfPUCa9yLyRO8GeZwv+DlR8PT/4zJurBP4L8HpiD&#10;TSdcqx4QYeiUaKjcLAlVDD6U54RkBEpl9fABGnpasY+QNThq7Jm2xn9LiQma+mTHLPrzWXR1jEzS&#10;5XJxc/t6SW8jybdYTu+WuZYoE0xK9hjiWwU9S4eKawsDEcS4VdKkscsVxOExxMTxEp9zRYw7Y+2Y&#10;a+M7wJ85Qbcbi7ltbGs6soNII5LXSOAcUv81dpfXGDuGpPJjyYRtXdodJAoncukm65ikS1Mayhqa&#10;Z5IR4TSc9Jno0CWebKDBrHj4sReoOLPvHT3Fm9likSY5G4vl7ZwMvPbU1x7hJEFVPHJ2Om7iafr3&#10;Hk3bUaXTCzl4oOfTJmt4YTWSpeHL0o4fJU33tZ2jLt95/QsAAP//AwBQSwMEFAAGAAgAAAAhAFV2&#10;giLaAAAAAwEAAA8AAABkcnMvZG93bnJldi54bWxMj0FLw0AQhe+C/2EZwZvdpEINMZsixUJVKNio&#10;5212mgSzMyG7beO/d/SilwePN7z3TbGcfK9OOIaOyUA6S0Ah1ew6agy8VeubDFSIlpztmdDAFwZY&#10;lpcXhc0dn+kVT7vYKCmhkFsDbYxDrnWoW/Q2zHhAkuzAo7dR7NhoN9qzlPtez5Nkob3tSBZaO+Cq&#10;xfpzd/QGbrd6U1Uv/Ezrp9XH/PC+2WaPbMz11fRwDyriFP+O4Qdf0KEUpj0fyQXVG5BH4q9Kli1S&#10;sXsDdynostD/2ctvAAAA//8DAFBLAQItABQABgAIAAAAIQC2gziS/gAAAOEBAAATAAAAAAAAAAAA&#10;AAAAAAAAAABbQ29udGVudF9UeXBlc10ueG1sUEsBAi0AFAAGAAgAAAAhADj9If/WAAAAlAEAAAsA&#10;AAAAAAAAAAAAAAAALwEAAF9yZWxzLy5yZWxzUEsBAi0AFAAGAAgAAAAhABoS8aYKAgAAFgQAAA4A&#10;AAAAAAAAAAAAAAAALgIAAGRycy9lMm9Eb2MueG1sUEsBAi0AFAAGAAgAAAAhAFV2giLaAAAAAwEA&#10;AA8AAAAAAAAAAAAAAAAAZAQAAGRycy9kb3ducmV2LnhtbFBLBQYAAAAABAAEAPMAAABrBQAAAAA=&#10;" fillcolor="black" stroked="f">
                  <v:fill r:id="rId1" o:title="" type="pattern"/>
                  <w10:anchorlock/>
                </v:shape>
              </w:pict>
            </mc:Fallback>
          </mc:AlternateContent>
        </w:r>
      </w:p>
      <w:p w14:paraId="76AC669D" w14:textId="64659BC5" w:rsidR="00265CBE" w:rsidRDefault="00265CB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7991A3" w14:textId="58870F92" w:rsidR="00265CBE" w:rsidRDefault="00265C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72B6AE4" w14:textId="77777777" w:rsidR="007653C8" w:rsidRDefault="007653C8" w:rsidP="00265CBE">
      <w:pPr>
        <w:spacing w:after="0" w:line="240" w:lineRule="auto"/>
      </w:pPr>
      <w:r>
        <w:separator/>
      </w:r>
    </w:p>
  </w:footnote>
  <w:footnote w:type="continuationSeparator" w:id="0">
    <w:p w14:paraId="0AB7F976" w14:textId="77777777" w:rsidR="007653C8" w:rsidRDefault="007653C8" w:rsidP="00265C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57793B"/>
    <w:multiLevelType w:val="hybridMultilevel"/>
    <w:tmpl w:val="27809FC0"/>
    <w:lvl w:ilvl="0" w:tplc="0409000D">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 w15:restartNumberingAfterBreak="0">
    <w:nsid w:val="0626017D"/>
    <w:multiLevelType w:val="hybridMultilevel"/>
    <w:tmpl w:val="408221D2"/>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2" w15:restartNumberingAfterBreak="0">
    <w:nsid w:val="095230D7"/>
    <w:multiLevelType w:val="hybridMultilevel"/>
    <w:tmpl w:val="CADAA12E"/>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3" w15:restartNumberingAfterBreak="0">
    <w:nsid w:val="14390085"/>
    <w:multiLevelType w:val="hybridMultilevel"/>
    <w:tmpl w:val="A9A48026"/>
    <w:lvl w:ilvl="0" w:tplc="B930EFEA">
      <w:start w:val="1"/>
      <w:numFmt w:val="bullet"/>
      <w:lvlText w:val="-"/>
      <w:lvlJc w:val="left"/>
      <w:pPr>
        <w:ind w:left="720" w:hanging="360"/>
      </w:pPr>
      <w:rPr>
        <w:rFonts w:ascii="Arial" w:eastAsiaTheme="minorHAnsi" w:hAnsi="Arial" w:cs="Aria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4" w15:restartNumberingAfterBreak="0">
    <w:nsid w:val="156C7414"/>
    <w:multiLevelType w:val="hybridMultilevel"/>
    <w:tmpl w:val="21F61E4C"/>
    <w:lvl w:ilvl="0" w:tplc="0409000B">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5" w15:restartNumberingAfterBreak="0">
    <w:nsid w:val="15EA6A22"/>
    <w:multiLevelType w:val="hybridMultilevel"/>
    <w:tmpl w:val="DA522694"/>
    <w:lvl w:ilvl="0" w:tplc="0409000D">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6" w15:restartNumberingAfterBreak="0">
    <w:nsid w:val="1ADD3784"/>
    <w:multiLevelType w:val="hybridMultilevel"/>
    <w:tmpl w:val="97D2D404"/>
    <w:lvl w:ilvl="0" w:tplc="0409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7" w15:restartNumberingAfterBreak="0">
    <w:nsid w:val="1D475BE6"/>
    <w:multiLevelType w:val="hybridMultilevel"/>
    <w:tmpl w:val="F050ED22"/>
    <w:lvl w:ilvl="0" w:tplc="0409000D">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8" w15:restartNumberingAfterBreak="0">
    <w:nsid w:val="1D870B61"/>
    <w:multiLevelType w:val="hybridMultilevel"/>
    <w:tmpl w:val="CB3C448E"/>
    <w:lvl w:ilvl="0" w:tplc="0409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9" w15:restartNumberingAfterBreak="0">
    <w:nsid w:val="222F0B70"/>
    <w:multiLevelType w:val="hybridMultilevel"/>
    <w:tmpl w:val="84FE64E0"/>
    <w:lvl w:ilvl="0" w:tplc="0409000D">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0" w15:restartNumberingAfterBreak="0">
    <w:nsid w:val="24C43F00"/>
    <w:multiLevelType w:val="hybridMultilevel"/>
    <w:tmpl w:val="37DA31EC"/>
    <w:lvl w:ilvl="0" w:tplc="0409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1" w15:restartNumberingAfterBreak="0">
    <w:nsid w:val="27D978B2"/>
    <w:multiLevelType w:val="hybridMultilevel"/>
    <w:tmpl w:val="53EE281A"/>
    <w:lvl w:ilvl="0" w:tplc="0409000D">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2" w15:restartNumberingAfterBreak="0">
    <w:nsid w:val="28DE756E"/>
    <w:multiLevelType w:val="hybridMultilevel"/>
    <w:tmpl w:val="2F30C28A"/>
    <w:lvl w:ilvl="0" w:tplc="0409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3" w15:restartNumberingAfterBreak="0">
    <w:nsid w:val="2A8440F3"/>
    <w:multiLevelType w:val="hybridMultilevel"/>
    <w:tmpl w:val="046CF11C"/>
    <w:lvl w:ilvl="0" w:tplc="0409000B">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4" w15:restartNumberingAfterBreak="0">
    <w:nsid w:val="3DB4628B"/>
    <w:multiLevelType w:val="hybridMultilevel"/>
    <w:tmpl w:val="EF0E9A5E"/>
    <w:lvl w:ilvl="0" w:tplc="0409000D">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5" w15:restartNumberingAfterBreak="0">
    <w:nsid w:val="3E4E6634"/>
    <w:multiLevelType w:val="hybridMultilevel"/>
    <w:tmpl w:val="47EA6296"/>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6" w15:restartNumberingAfterBreak="0">
    <w:nsid w:val="4AD8767A"/>
    <w:multiLevelType w:val="hybridMultilevel"/>
    <w:tmpl w:val="EF20313E"/>
    <w:lvl w:ilvl="0" w:tplc="0409000B">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7" w15:restartNumberingAfterBreak="0">
    <w:nsid w:val="4F6231B4"/>
    <w:multiLevelType w:val="hybridMultilevel"/>
    <w:tmpl w:val="C81094B8"/>
    <w:lvl w:ilvl="0" w:tplc="04090001">
      <w:start w:val="1"/>
      <w:numFmt w:val="bullet"/>
      <w:lvlText w:val=""/>
      <w:lvlJc w:val="left"/>
      <w:pPr>
        <w:ind w:left="1440" w:hanging="360"/>
      </w:pPr>
      <w:rPr>
        <w:rFonts w:ascii="Symbol" w:hAnsi="Symbol" w:hint="default"/>
      </w:rPr>
    </w:lvl>
    <w:lvl w:ilvl="1" w:tplc="04020003" w:tentative="1">
      <w:start w:val="1"/>
      <w:numFmt w:val="bullet"/>
      <w:lvlText w:val="o"/>
      <w:lvlJc w:val="left"/>
      <w:pPr>
        <w:ind w:left="2160" w:hanging="360"/>
      </w:pPr>
      <w:rPr>
        <w:rFonts w:ascii="Courier New" w:hAnsi="Courier New" w:cs="Courier New" w:hint="default"/>
      </w:rPr>
    </w:lvl>
    <w:lvl w:ilvl="2" w:tplc="04020005" w:tentative="1">
      <w:start w:val="1"/>
      <w:numFmt w:val="bullet"/>
      <w:lvlText w:val=""/>
      <w:lvlJc w:val="left"/>
      <w:pPr>
        <w:ind w:left="2880" w:hanging="360"/>
      </w:pPr>
      <w:rPr>
        <w:rFonts w:ascii="Wingdings" w:hAnsi="Wingdings" w:hint="default"/>
      </w:rPr>
    </w:lvl>
    <w:lvl w:ilvl="3" w:tplc="04020001" w:tentative="1">
      <w:start w:val="1"/>
      <w:numFmt w:val="bullet"/>
      <w:lvlText w:val=""/>
      <w:lvlJc w:val="left"/>
      <w:pPr>
        <w:ind w:left="3600" w:hanging="360"/>
      </w:pPr>
      <w:rPr>
        <w:rFonts w:ascii="Symbol" w:hAnsi="Symbol" w:hint="default"/>
      </w:rPr>
    </w:lvl>
    <w:lvl w:ilvl="4" w:tplc="04020003" w:tentative="1">
      <w:start w:val="1"/>
      <w:numFmt w:val="bullet"/>
      <w:lvlText w:val="o"/>
      <w:lvlJc w:val="left"/>
      <w:pPr>
        <w:ind w:left="4320" w:hanging="360"/>
      </w:pPr>
      <w:rPr>
        <w:rFonts w:ascii="Courier New" w:hAnsi="Courier New" w:cs="Courier New" w:hint="default"/>
      </w:rPr>
    </w:lvl>
    <w:lvl w:ilvl="5" w:tplc="04020005" w:tentative="1">
      <w:start w:val="1"/>
      <w:numFmt w:val="bullet"/>
      <w:lvlText w:val=""/>
      <w:lvlJc w:val="left"/>
      <w:pPr>
        <w:ind w:left="5040" w:hanging="360"/>
      </w:pPr>
      <w:rPr>
        <w:rFonts w:ascii="Wingdings" w:hAnsi="Wingdings" w:hint="default"/>
      </w:rPr>
    </w:lvl>
    <w:lvl w:ilvl="6" w:tplc="04020001" w:tentative="1">
      <w:start w:val="1"/>
      <w:numFmt w:val="bullet"/>
      <w:lvlText w:val=""/>
      <w:lvlJc w:val="left"/>
      <w:pPr>
        <w:ind w:left="5760" w:hanging="360"/>
      </w:pPr>
      <w:rPr>
        <w:rFonts w:ascii="Symbol" w:hAnsi="Symbol" w:hint="default"/>
      </w:rPr>
    </w:lvl>
    <w:lvl w:ilvl="7" w:tplc="04020003" w:tentative="1">
      <w:start w:val="1"/>
      <w:numFmt w:val="bullet"/>
      <w:lvlText w:val="o"/>
      <w:lvlJc w:val="left"/>
      <w:pPr>
        <w:ind w:left="6480" w:hanging="360"/>
      </w:pPr>
      <w:rPr>
        <w:rFonts w:ascii="Courier New" w:hAnsi="Courier New" w:cs="Courier New" w:hint="default"/>
      </w:rPr>
    </w:lvl>
    <w:lvl w:ilvl="8" w:tplc="04020005" w:tentative="1">
      <w:start w:val="1"/>
      <w:numFmt w:val="bullet"/>
      <w:lvlText w:val=""/>
      <w:lvlJc w:val="left"/>
      <w:pPr>
        <w:ind w:left="7200" w:hanging="360"/>
      </w:pPr>
      <w:rPr>
        <w:rFonts w:ascii="Wingdings" w:hAnsi="Wingdings" w:hint="default"/>
      </w:rPr>
    </w:lvl>
  </w:abstractNum>
  <w:abstractNum w:abstractNumId="18" w15:restartNumberingAfterBreak="0">
    <w:nsid w:val="50162A06"/>
    <w:multiLevelType w:val="hybridMultilevel"/>
    <w:tmpl w:val="1D7C7546"/>
    <w:lvl w:ilvl="0" w:tplc="0409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9" w15:restartNumberingAfterBreak="0">
    <w:nsid w:val="619C69A3"/>
    <w:multiLevelType w:val="hybridMultilevel"/>
    <w:tmpl w:val="8480A53E"/>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20" w15:restartNumberingAfterBreak="0">
    <w:nsid w:val="7660054E"/>
    <w:multiLevelType w:val="hybridMultilevel"/>
    <w:tmpl w:val="D1AC4270"/>
    <w:lvl w:ilvl="0" w:tplc="D45C7102">
      <w:start w:val="1"/>
      <w:numFmt w:val="bullet"/>
      <w:lvlText w:val="-"/>
      <w:lvlJc w:val="left"/>
      <w:pPr>
        <w:ind w:left="720" w:hanging="360"/>
      </w:pPr>
      <w:rPr>
        <w:rFonts w:ascii="Arial" w:eastAsiaTheme="minorHAnsi" w:hAnsi="Arial" w:cs="Aria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16cid:durableId="1065181660">
    <w:abstractNumId w:val="0"/>
  </w:num>
  <w:num w:numId="2" w16cid:durableId="637998138">
    <w:abstractNumId w:val="9"/>
  </w:num>
  <w:num w:numId="3" w16cid:durableId="408235171">
    <w:abstractNumId w:val="7"/>
  </w:num>
  <w:num w:numId="4" w16cid:durableId="290864582">
    <w:abstractNumId w:val="1"/>
  </w:num>
  <w:num w:numId="5" w16cid:durableId="539367093">
    <w:abstractNumId w:val="19"/>
  </w:num>
  <w:num w:numId="6" w16cid:durableId="1615743893">
    <w:abstractNumId w:val="2"/>
  </w:num>
  <w:num w:numId="7" w16cid:durableId="1025985184">
    <w:abstractNumId w:val="13"/>
  </w:num>
  <w:num w:numId="8" w16cid:durableId="2007394708">
    <w:abstractNumId w:val="4"/>
  </w:num>
  <w:num w:numId="9" w16cid:durableId="2047682784">
    <w:abstractNumId w:val="16"/>
  </w:num>
  <w:num w:numId="10" w16cid:durableId="1360356110">
    <w:abstractNumId w:val="17"/>
  </w:num>
  <w:num w:numId="11" w16cid:durableId="185484356">
    <w:abstractNumId w:val="11"/>
  </w:num>
  <w:num w:numId="12" w16cid:durableId="621115246">
    <w:abstractNumId w:val="5"/>
  </w:num>
  <w:num w:numId="13" w16cid:durableId="269898218">
    <w:abstractNumId w:val="14"/>
  </w:num>
  <w:num w:numId="14" w16cid:durableId="662897931">
    <w:abstractNumId w:val="8"/>
  </w:num>
  <w:num w:numId="15" w16cid:durableId="1783107755">
    <w:abstractNumId w:val="6"/>
  </w:num>
  <w:num w:numId="16" w16cid:durableId="1392266320">
    <w:abstractNumId w:val="18"/>
  </w:num>
  <w:num w:numId="17" w16cid:durableId="1025323098">
    <w:abstractNumId w:val="10"/>
  </w:num>
  <w:num w:numId="18" w16cid:durableId="1911424174">
    <w:abstractNumId w:val="12"/>
  </w:num>
  <w:num w:numId="19" w16cid:durableId="488181596">
    <w:abstractNumId w:val="20"/>
  </w:num>
  <w:num w:numId="20" w16cid:durableId="1539776586">
    <w:abstractNumId w:val="3"/>
  </w:num>
  <w:num w:numId="21" w16cid:durableId="106819125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9"/>
  <w:displayBackgroundShape/>
  <w:proofState w:spelling="clean" w:grammar="clean"/>
  <w:defaultTabStop w:val="720"/>
  <w:hyphenationZone w:val="425"/>
  <w:characterSpacingControl w:val="doNotCompress"/>
  <w:hdrShapeDefaults>
    <o:shapedefaults v:ext="edit" spidmax="2050">
      <o:colormru v:ext="edit" colors="#f3faec,#f9fdf5,#f4faf7"/>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2EBB"/>
    <w:rsid w:val="00094972"/>
    <w:rsid w:val="000B104F"/>
    <w:rsid w:val="000B4756"/>
    <w:rsid w:val="000C2D0B"/>
    <w:rsid w:val="000D42CE"/>
    <w:rsid w:val="00145695"/>
    <w:rsid w:val="0015029D"/>
    <w:rsid w:val="00166664"/>
    <w:rsid w:val="00197498"/>
    <w:rsid w:val="001D4491"/>
    <w:rsid w:val="00211937"/>
    <w:rsid w:val="0022202C"/>
    <w:rsid w:val="00265CBE"/>
    <w:rsid w:val="00285D6B"/>
    <w:rsid w:val="00294BE1"/>
    <w:rsid w:val="002D56F2"/>
    <w:rsid w:val="002E1148"/>
    <w:rsid w:val="002E2EBB"/>
    <w:rsid w:val="002E7309"/>
    <w:rsid w:val="00302D38"/>
    <w:rsid w:val="00313644"/>
    <w:rsid w:val="00360F10"/>
    <w:rsid w:val="003940C2"/>
    <w:rsid w:val="003B13C2"/>
    <w:rsid w:val="003C11D2"/>
    <w:rsid w:val="0047735A"/>
    <w:rsid w:val="0048037F"/>
    <w:rsid w:val="00492A58"/>
    <w:rsid w:val="004C040C"/>
    <w:rsid w:val="004C2B08"/>
    <w:rsid w:val="004C4730"/>
    <w:rsid w:val="004F7BDE"/>
    <w:rsid w:val="00532F16"/>
    <w:rsid w:val="00591FEE"/>
    <w:rsid w:val="005F328A"/>
    <w:rsid w:val="00614EEA"/>
    <w:rsid w:val="006432C4"/>
    <w:rsid w:val="00660C6D"/>
    <w:rsid w:val="006F474F"/>
    <w:rsid w:val="006F7B54"/>
    <w:rsid w:val="00705E3F"/>
    <w:rsid w:val="00707849"/>
    <w:rsid w:val="00744431"/>
    <w:rsid w:val="007653C8"/>
    <w:rsid w:val="00765670"/>
    <w:rsid w:val="00766632"/>
    <w:rsid w:val="007C714B"/>
    <w:rsid w:val="007D390D"/>
    <w:rsid w:val="007D4816"/>
    <w:rsid w:val="008069C6"/>
    <w:rsid w:val="00812246"/>
    <w:rsid w:val="00835E00"/>
    <w:rsid w:val="00846C91"/>
    <w:rsid w:val="00876323"/>
    <w:rsid w:val="008A4667"/>
    <w:rsid w:val="008B0FBE"/>
    <w:rsid w:val="008B4E1A"/>
    <w:rsid w:val="00915571"/>
    <w:rsid w:val="00956A67"/>
    <w:rsid w:val="00990E25"/>
    <w:rsid w:val="00A11388"/>
    <w:rsid w:val="00A1697F"/>
    <w:rsid w:val="00A327D6"/>
    <w:rsid w:val="00A43835"/>
    <w:rsid w:val="00AA5E53"/>
    <w:rsid w:val="00AF2689"/>
    <w:rsid w:val="00B50B88"/>
    <w:rsid w:val="00BD3D93"/>
    <w:rsid w:val="00C16ECD"/>
    <w:rsid w:val="00C33DE8"/>
    <w:rsid w:val="00C83DA2"/>
    <w:rsid w:val="00C8402B"/>
    <w:rsid w:val="00CB2D96"/>
    <w:rsid w:val="00CB324D"/>
    <w:rsid w:val="00CD6CE5"/>
    <w:rsid w:val="00CE08CD"/>
    <w:rsid w:val="00D04DC8"/>
    <w:rsid w:val="00D32529"/>
    <w:rsid w:val="00D36C76"/>
    <w:rsid w:val="00D81638"/>
    <w:rsid w:val="00D8585C"/>
    <w:rsid w:val="00DB70A8"/>
    <w:rsid w:val="00DD5896"/>
    <w:rsid w:val="00E50D50"/>
    <w:rsid w:val="00E64004"/>
    <w:rsid w:val="00F278BA"/>
    <w:rsid w:val="00F74A28"/>
    <w:rsid w:val="00F76889"/>
    <w:rsid w:val="00F808BE"/>
    <w:rsid w:val="00F82767"/>
    <w:rsid w:val="00F8668D"/>
    <w:rsid w:val="00FA0A8A"/>
    <w:rsid w:val="00FD33E6"/>
    <w:rsid w:val="00FE770E"/>
    <w:rsid w:val="00FF36E2"/>
    <w:rsid w:val="00FF66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f3faec,#f9fdf5,#f4faf7"/>
    </o:shapedefaults>
    <o:shapelayout v:ext="edit">
      <o:idmap v:ext="edit" data="2"/>
    </o:shapelayout>
  </w:shapeDefaults>
  <w:decimalSymbol w:val="."/>
  <w:listSeparator w:val=","/>
  <w14:docId w14:val="7F3B2E50"/>
  <w15:chartTrackingRefBased/>
  <w15:docId w15:val="{17C175E8-F88F-4EB8-84BB-73BAA941AC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4667"/>
    <w:rPr>
      <w:lang w:val="en-GB"/>
    </w:rPr>
  </w:style>
  <w:style w:type="paragraph" w:styleId="Heading1">
    <w:name w:val="heading 1"/>
    <w:basedOn w:val="Normal"/>
    <w:next w:val="Normal"/>
    <w:link w:val="Heading1Char"/>
    <w:uiPriority w:val="9"/>
    <w:qFormat/>
    <w:rsid w:val="002E2EB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E2EB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E2EB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E2EB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E2EB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E2EB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2EB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2EB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2EB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2EBB"/>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rsid w:val="002E2EBB"/>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2E2EBB"/>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2E2EBB"/>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2E2EBB"/>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2E2EBB"/>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2E2EBB"/>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2E2EBB"/>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2E2EBB"/>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2E2E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2EBB"/>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2E2E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2EBB"/>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2E2EBB"/>
    <w:pPr>
      <w:spacing w:before="160"/>
      <w:jc w:val="center"/>
    </w:pPr>
    <w:rPr>
      <w:i/>
      <w:iCs/>
      <w:color w:val="404040" w:themeColor="text1" w:themeTint="BF"/>
    </w:rPr>
  </w:style>
  <w:style w:type="character" w:customStyle="1" w:styleId="QuoteChar">
    <w:name w:val="Quote Char"/>
    <w:basedOn w:val="DefaultParagraphFont"/>
    <w:link w:val="Quote"/>
    <w:uiPriority w:val="29"/>
    <w:rsid w:val="002E2EBB"/>
    <w:rPr>
      <w:i/>
      <w:iCs/>
      <w:color w:val="404040" w:themeColor="text1" w:themeTint="BF"/>
      <w:lang w:val="en-GB"/>
    </w:rPr>
  </w:style>
  <w:style w:type="paragraph" w:styleId="ListParagraph">
    <w:name w:val="List Paragraph"/>
    <w:basedOn w:val="Normal"/>
    <w:uiPriority w:val="34"/>
    <w:qFormat/>
    <w:rsid w:val="002E2EBB"/>
    <w:pPr>
      <w:ind w:left="720"/>
      <w:contextualSpacing/>
    </w:pPr>
  </w:style>
  <w:style w:type="character" w:styleId="IntenseEmphasis">
    <w:name w:val="Intense Emphasis"/>
    <w:basedOn w:val="DefaultParagraphFont"/>
    <w:uiPriority w:val="21"/>
    <w:qFormat/>
    <w:rsid w:val="002E2EBB"/>
    <w:rPr>
      <w:i/>
      <w:iCs/>
      <w:color w:val="0F4761" w:themeColor="accent1" w:themeShade="BF"/>
    </w:rPr>
  </w:style>
  <w:style w:type="paragraph" w:styleId="IntenseQuote">
    <w:name w:val="Intense Quote"/>
    <w:basedOn w:val="Normal"/>
    <w:next w:val="Normal"/>
    <w:link w:val="IntenseQuoteChar"/>
    <w:uiPriority w:val="30"/>
    <w:qFormat/>
    <w:rsid w:val="002E2E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E2EBB"/>
    <w:rPr>
      <w:i/>
      <w:iCs/>
      <w:color w:val="0F4761" w:themeColor="accent1" w:themeShade="BF"/>
      <w:lang w:val="en-GB"/>
    </w:rPr>
  </w:style>
  <w:style w:type="character" w:styleId="IntenseReference">
    <w:name w:val="Intense Reference"/>
    <w:basedOn w:val="DefaultParagraphFont"/>
    <w:uiPriority w:val="32"/>
    <w:qFormat/>
    <w:rsid w:val="002E2EBB"/>
    <w:rPr>
      <w:b/>
      <w:bCs/>
      <w:smallCaps/>
      <w:color w:val="0F4761" w:themeColor="accent1" w:themeShade="BF"/>
      <w:spacing w:val="5"/>
    </w:rPr>
  </w:style>
  <w:style w:type="paragraph" w:styleId="TOCHeading">
    <w:name w:val="TOC Heading"/>
    <w:basedOn w:val="Heading1"/>
    <w:next w:val="Normal"/>
    <w:uiPriority w:val="39"/>
    <w:unhideWhenUsed/>
    <w:qFormat/>
    <w:rsid w:val="00DD5896"/>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15029D"/>
    <w:pPr>
      <w:tabs>
        <w:tab w:val="right" w:leader="dot" w:pos="9350"/>
      </w:tabs>
      <w:spacing w:after="100"/>
    </w:pPr>
  </w:style>
  <w:style w:type="character" w:styleId="Hyperlink">
    <w:name w:val="Hyperlink"/>
    <w:basedOn w:val="DefaultParagraphFont"/>
    <w:uiPriority w:val="99"/>
    <w:unhideWhenUsed/>
    <w:rsid w:val="0015029D"/>
    <w:rPr>
      <w:color w:val="467886" w:themeColor="hyperlink"/>
      <w:u w:val="single"/>
    </w:rPr>
  </w:style>
  <w:style w:type="table" w:styleId="TableGrid">
    <w:name w:val="Table Grid"/>
    <w:basedOn w:val="TableNormal"/>
    <w:uiPriority w:val="39"/>
    <w:rsid w:val="00F768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B70A8"/>
    <w:pPr>
      <w:spacing w:after="100"/>
      <w:ind w:left="220"/>
    </w:pPr>
  </w:style>
  <w:style w:type="paragraph" w:styleId="Header">
    <w:name w:val="header"/>
    <w:basedOn w:val="Normal"/>
    <w:link w:val="HeaderChar"/>
    <w:uiPriority w:val="99"/>
    <w:unhideWhenUsed/>
    <w:rsid w:val="00265CBE"/>
    <w:pPr>
      <w:tabs>
        <w:tab w:val="center" w:pos="4680"/>
        <w:tab w:val="right" w:pos="9360"/>
      </w:tabs>
      <w:spacing w:after="0" w:line="240" w:lineRule="auto"/>
    </w:pPr>
  </w:style>
  <w:style w:type="character" w:customStyle="1" w:styleId="HeaderChar">
    <w:name w:val="Header Char"/>
    <w:basedOn w:val="DefaultParagraphFont"/>
    <w:link w:val="Header"/>
    <w:uiPriority w:val="99"/>
    <w:rsid w:val="00265CBE"/>
    <w:rPr>
      <w:lang w:val="en-GB"/>
    </w:rPr>
  </w:style>
  <w:style w:type="paragraph" w:styleId="Footer">
    <w:name w:val="footer"/>
    <w:basedOn w:val="Normal"/>
    <w:link w:val="FooterChar"/>
    <w:uiPriority w:val="99"/>
    <w:unhideWhenUsed/>
    <w:rsid w:val="00265CBE"/>
    <w:pPr>
      <w:tabs>
        <w:tab w:val="center" w:pos="4680"/>
        <w:tab w:val="right" w:pos="9360"/>
      </w:tabs>
      <w:spacing w:after="0" w:line="240" w:lineRule="auto"/>
    </w:pPr>
  </w:style>
  <w:style w:type="character" w:customStyle="1" w:styleId="FooterChar">
    <w:name w:val="Footer Char"/>
    <w:basedOn w:val="DefaultParagraphFont"/>
    <w:link w:val="Footer"/>
    <w:uiPriority w:val="99"/>
    <w:rsid w:val="00265CBE"/>
    <w:rPr>
      <w:lang w:val="en-GB"/>
    </w:rPr>
  </w:style>
  <w:style w:type="character" w:styleId="UnresolvedMention">
    <w:name w:val="Unresolved Mention"/>
    <w:basedOn w:val="DefaultParagraphFont"/>
    <w:uiPriority w:val="99"/>
    <w:semiHidden/>
    <w:unhideWhenUsed/>
    <w:rsid w:val="00A1697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5173008">
      <w:bodyDiv w:val="1"/>
      <w:marLeft w:val="0"/>
      <w:marRight w:val="0"/>
      <w:marTop w:val="0"/>
      <w:marBottom w:val="0"/>
      <w:divBdr>
        <w:top w:val="none" w:sz="0" w:space="0" w:color="auto"/>
        <w:left w:val="none" w:sz="0" w:space="0" w:color="auto"/>
        <w:bottom w:val="none" w:sz="0" w:space="0" w:color="auto"/>
        <w:right w:val="none" w:sz="0" w:space="0" w:color="auto"/>
      </w:divBdr>
    </w:div>
    <w:div w:id="219633557">
      <w:bodyDiv w:val="1"/>
      <w:marLeft w:val="0"/>
      <w:marRight w:val="0"/>
      <w:marTop w:val="0"/>
      <w:marBottom w:val="0"/>
      <w:divBdr>
        <w:top w:val="none" w:sz="0" w:space="0" w:color="auto"/>
        <w:left w:val="none" w:sz="0" w:space="0" w:color="auto"/>
        <w:bottom w:val="none" w:sz="0" w:space="0" w:color="auto"/>
        <w:right w:val="none" w:sz="0" w:space="0" w:color="auto"/>
      </w:divBdr>
    </w:div>
    <w:div w:id="222373552">
      <w:bodyDiv w:val="1"/>
      <w:marLeft w:val="0"/>
      <w:marRight w:val="0"/>
      <w:marTop w:val="0"/>
      <w:marBottom w:val="0"/>
      <w:divBdr>
        <w:top w:val="none" w:sz="0" w:space="0" w:color="auto"/>
        <w:left w:val="none" w:sz="0" w:space="0" w:color="auto"/>
        <w:bottom w:val="none" w:sz="0" w:space="0" w:color="auto"/>
        <w:right w:val="none" w:sz="0" w:space="0" w:color="auto"/>
      </w:divBdr>
    </w:div>
    <w:div w:id="510413342">
      <w:bodyDiv w:val="1"/>
      <w:marLeft w:val="0"/>
      <w:marRight w:val="0"/>
      <w:marTop w:val="0"/>
      <w:marBottom w:val="0"/>
      <w:divBdr>
        <w:top w:val="none" w:sz="0" w:space="0" w:color="auto"/>
        <w:left w:val="none" w:sz="0" w:space="0" w:color="auto"/>
        <w:bottom w:val="none" w:sz="0" w:space="0" w:color="auto"/>
        <w:right w:val="none" w:sz="0" w:space="0" w:color="auto"/>
      </w:divBdr>
    </w:div>
    <w:div w:id="527528107">
      <w:bodyDiv w:val="1"/>
      <w:marLeft w:val="0"/>
      <w:marRight w:val="0"/>
      <w:marTop w:val="0"/>
      <w:marBottom w:val="0"/>
      <w:divBdr>
        <w:top w:val="none" w:sz="0" w:space="0" w:color="auto"/>
        <w:left w:val="none" w:sz="0" w:space="0" w:color="auto"/>
        <w:bottom w:val="none" w:sz="0" w:space="0" w:color="auto"/>
        <w:right w:val="none" w:sz="0" w:space="0" w:color="auto"/>
      </w:divBdr>
    </w:div>
    <w:div w:id="649289264">
      <w:bodyDiv w:val="1"/>
      <w:marLeft w:val="0"/>
      <w:marRight w:val="0"/>
      <w:marTop w:val="0"/>
      <w:marBottom w:val="0"/>
      <w:divBdr>
        <w:top w:val="none" w:sz="0" w:space="0" w:color="auto"/>
        <w:left w:val="none" w:sz="0" w:space="0" w:color="auto"/>
        <w:bottom w:val="none" w:sz="0" w:space="0" w:color="auto"/>
        <w:right w:val="none" w:sz="0" w:space="0" w:color="auto"/>
      </w:divBdr>
    </w:div>
    <w:div w:id="864555780">
      <w:bodyDiv w:val="1"/>
      <w:marLeft w:val="0"/>
      <w:marRight w:val="0"/>
      <w:marTop w:val="0"/>
      <w:marBottom w:val="0"/>
      <w:divBdr>
        <w:top w:val="none" w:sz="0" w:space="0" w:color="auto"/>
        <w:left w:val="none" w:sz="0" w:space="0" w:color="auto"/>
        <w:bottom w:val="none" w:sz="0" w:space="0" w:color="auto"/>
        <w:right w:val="none" w:sz="0" w:space="0" w:color="auto"/>
      </w:divBdr>
    </w:div>
    <w:div w:id="944577424">
      <w:bodyDiv w:val="1"/>
      <w:marLeft w:val="0"/>
      <w:marRight w:val="0"/>
      <w:marTop w:val="0"/>
      <w:marBottom w:val="0"/>
      <w:divBdr>
        <w:top w:val="none" w:sz="0" w:space="0" w:color="auto"/>
        <w:left w:val="none" w:sz="0" w:space="0" w:color="auto"/>
        <w:bottom w:val="none" w:sz="0" w:space="0" w:color="auto"/>
        <w:right w:val="none" w:sz="0" w:space="0" w:color="auto"/>
      </w:divBdr>
    </w:div>
    <w:div w:id="1014769670">
      <w:bodyDiv w:val="1"/>
      <w:marLeft w:val="0"/>
      <w:marRight w:val="0"/>
      <w:marTop w:val="0"/>
      <w:marBottom w:val="0"/>
      <w:divBdr>
        <w:top w:val="none" w:sz="0" w:space="0" w:color="auto"/>
        <w:left w:val="none" w:sz="0" w:space="0" w:color="auto"/>
        <w:bottom w:val="none" w:sz="0" w:space="0" w:color="auto"/>
        <w:right w:val="none" w:sz="0" w:space="0" w:color="auto"/>
      </w:divBdr>
    </w:div>
    <w:div w:id="1050500643">
      <w:bodyDiv w:val="1"/>
      <w:marLeft w:val="0"/>
      <w:marRight w:val="0"/>
      <w:marTop w:val="0"/>
      <w:marBottom w:val="0"/>
      <w:divBdr>
        <w:top w:val="none" w:sz="0" w:space="0" w:color="auto"/>
        <w:left w:val="none" w:sz="0" w:space="0" w:color="auto"/>
        <w:bottom w:val="none" w:sz="0" w:space="0" w:color="auto"/>
        <w:right w:val="none" w:sz="0" w:space="0" w:color="auto"/>
      </w:divBdr>
    </w:div>
    <w:div w:id="1059208828">
      <w:bodyDiv w:val="1"/>
      <w:marLeft w:val="0"/>
      <w:marRight w:val="0"/>
      <w:marTop w:val="0"/>
      <w:marBottom w:val="0"/>
      <w:divBdr>
        <w:top w:val="none" w:sz="0" w:space="0" w:color="auto"/>
        <w:left w:val="none" w:sz="0" w:space="0" w:color="auto"/>
        <w:bottom w:val="none" w:sz="0" w:space="0" w:color="auto"/>
        <w:right w:val="none" w:sz="0" w:space="0" w:color="auto"/>
      </w:divBdr>
    </w:div>
    <w:div w:id="1092552571">
      <w:bodyDiv w:val="1"/>
      <w:marLeft w:val="0"/>
      <w:marRight w:val="0"/>
      <w:marTop w:val="0"/>
      <w:marBottom w:val="0"/>
      <w:divBdr>
        <w:top w:val="none" w:sz="0" w:space="0" w:color="auto"/>
        <w:left w:val="none" w:sz="0" w:space="0" w:color="auto"/>
        <w:bottom w:val="none" w:sz="0" w:space="0" w:color="auto"/>
        <w:right w:val="none" w:sz="0" w:space="0" w:color="auto"/>
      </w:divBdr>
    </w:div>
    <w:div w:id="1224557805">
      <w:bodyDiv w:val="1"/>
      <w:marLeft w:val="0"/>
      <w:marRight w:val="0"/>
      <w:marTop w:val="0"/>
      <w:marBottom w:val="0"/>
      <w:divBdr>
        <w:top w:val="none" w:sz="0" w:space="0" w:color="auto"/>
        <w:left w:val="none" w:sz="0" w:space="0" w:color="auto"/>
        <w:bottom w:val="none" w:sz="0" w:space="0" w:color="auto"/>
        <w:right w:val="none" w:sz="0" w:space="0" w:color="auto"/>
      </w:divBdr>
    </w:div>
    <w:div w:id="1305086365">
      <w:bodyDiv w:val="1"/>
      <w:marLeft w:val="0"/>
      <w:marRight w:val="0"/>
      <w:marTop w:val="0"/>
      <w:marBottom w:val="0"/>
      <w:divBdr>
        <w:top w:val="none" w:sz="0" w:space="0" w:color="auto"/>
        <w:left w:val="none" w:sz="0" w:space="0" w:color="auto"/>
        <w:bottom w:val="none" w:sz="0" w:space="0" w:color="auto"/>
        <w:right w:val="none" w:sz="0" w:space="0" w:color="auto"/>
      </w:divBdr>
    </w:div>
    <w:div w:id="1317496355">
      <w:bodyDiv w:val="1"/>
      <w:marLeft w:val="0"/>
      <w:marRight w:val="0"/>
      <w:marTop w:val="0"/>
      <w:marBottom w:val="0"/>
      <w:divBdr>
        <w:top w:val="none" w:sz="0" w:space="0" w:color="auto"/>
        <w:left w:val="none" w:sz="0" w:space="0" w:color="auto"/>
        <w:bottom w:val="none" w:sz="0" w:space="0" w:color="auto"/>
        <w:right w:val="none" w:sz="0" w:space="0" w:color="auto"/>
      </w:divBdr>
    </w:div>
    <w:div w:id="1328633650">
      <w:bodyDiv w:val="1"/>
      <w:marLeft w:val="0"/>
      <w:marRight w:val="0"/>
      <w:marTop w:val="0"/>
      <w:marBottom w:val="0"/>
      <w:divBdr>
        <w:top w:val="none" w:sz="0" w:space="0" w:color="auto"/>
        <w:left w:val="none" w:sz="0" w:space="0" w:color="auto"/>
        <w:bottom w:val="none" w:sz="0" w:space="0" w:color="auto"/>
        <w:right w:val="none" w:sz="0" w:space="0" w:color="auto"/>
      </w:divBdr>
    </w:div>
    <w:div w:id="1448618540">
      <w:bodyDiv w:val="1"/>
      <w:marLeft w:val="0"/>
      <w:marRight w:val="0"/>
      <w:marTop w:val="0"/>
      <w:marBottom w:val="0"/>
      <w:divBdr>
        <w:top w:val="none" w:sz="0" w:space="0" w:color="auto"/>
        <w:left w:val="none" w:sz="0" w:space="0" w:color="auto"/>
        <w:bottom w:val="none" w:sz="0" w:space="0" w:color="auto"/>
        <w:right w:val="none" w:sz="0" w:space="0" w:color="auto"/>
      </w:divBdr>
    </w:div>
    <w:div w:id="1504777581">
      <w:bodyDiv w:val="1"/>
      <w:marLeft w:val="0"/>
      <w:marRight w:val="0"/>
      <w:marTop w:val="0"/>
      <w:marBottom w:val="0"/>
      <w:divBdr>
        <w:top w:val="none" w:sz="0" w:space="0" w:color="auto"/>
        <w:left w:val="none" w:sz="0" w:space="0" w:color="auto"/>
        <w:bottom w:val="none" w:sz="0" w:space="0" w:color="auto"/>
        <w:right w:val="none" w:sz="0" w:space="0" w:color="auto"/>
      </w:divBdr>
    </w:div>
    <w:div w:id="1528366669">
      <w:bodyDiv w:val="1"/>
      <w:marLeft w:val="0"/>
      <w:marRight w:val="0"/>
      <w:marTop w:val="0"/>
      <w:marBottom w:val="0"/>
      <w:divBdr>
        <w:top w:val="none" w:sz="0" w:space="0" w:color="auto"/>
        <w:left w:val="none" w:sz="0" w:space="0" w:color="auto"/>
        <w:bottom w:val="none" w:sz="0" w:space="0" w:color="auto"/>
        <w:right w:val="none" w:sz="0" w:space="0" w:color="auto"/>
      </w:divBdr>
    </w:div>
    <w:div w:id="1534418696">
      <w:bodyDiv w:val="1"/>
      <w:marLeft w:val="0"/>
      <w:marRight w:val="0"/>
      <w:marTop w:val="0"/>
      <w:marBottom w:val="0"/>
      <w:divBdr>
        <w:top w:val="none" w:sz="0" w:space="0" w:color="auto"/>
        <w:left w:val="none" w:sz="0" w:space="0" w:color="auto"/>
        <w:bottom w:val="none" w:sz="0" w:space="0" w:color="auto"/>
        <w:right w:val="none" w:sz="0" w:space="0" w:color="auto"/>
      </w:divBdr>
    </w:div>
    <w:div w:id="1554342644">
      <w:bodyDiv w:val="1"/>
      <w:marLeft w:val="0"/>
      <w:marRight w:val="0"/>
      <w:marTop w:val="0"/>
      <w:marBottom w:val="0"/>
      <w:divBdr>
        <w:top w:val="none" w:sz="0" w:space="0" w:color="auto"/>
        <w:left w:val="none" w:sz="0" w:space="0" w:color="auto"/>
        <w:bottom w:val="none" w:sz="0" w:space="0" w:color="auto"/>
        <w:right w:val="none" w:sz="0" w:space="0" w:color="auto"/>
      </w:divBdr>
    </w:div>
    <w:div w:id="1729962411">
      <w:bodyDiv w:val="1"/>
      <w:marLeft w:val="0"/>
      <w:marRight w:val="0"/>
      <w:marTop w:val="0"/>
      <w:marBottom w:val="0"/>
      <w:divBdr>
        <w:top w:val="none" w:sz="0" w:space="0" w:color="auto"/>
        <w:left w:val="none" w:sz="0" w:space="0" w:color="auto"/>
        <w:bottom w:val="none" w:sz="0" w:space="0" w:color="auto"/>
        <w:right w:val="none" w:sz="0" w:space="0" w:color="auto"/>
      </w:divBdr>
    </w:div>
    <w:div w:id="1762219914">
      <w:bodyDiv w:val="1"/>
      <w:marLeft w:val="0"/>
      <w:marRight w:val="0"/>
      <w:marTop w:val="0"/>
      <w:marBottom w:val="0"/>
      <w:divBdr>
        <w:top w:val="none" w:sz="0" w:space="0" w:color="auto"/>
        <w:left w:val="none" w:sz="0" w:space="0" w:color="auto"/>
        <w:bottom w:val="none" w:sz="0" w:space="0" w:color="auto"/>
        <w:right w:val="none" w:sz="0" w:space="0" w:color="auto"/>
      </w:divBdr>
    </w:div>
    <w:div w:id="1763988663">
      <w:bodyDiv w:val="1"/>
      <w:marLeft w:val="0"/>
      <w:marRight w:val="0"/>
      <w:marTop w:val="0"/>
      <w:marBottom w:val="0"/>
      <w:divBdr>
        <w:top w:val="none" w:sz="0" w:space="0" w:color="auto"/>
        <w:left w:val="none" w:sz="0" w:space="0" w:color="auto"/>
        <w:bottom w:val="none" w:sz="0" w:space="0" w:color="auto"/>
        <w:right w:val="none" w:sz="0" w:space="0" w:color="auto"/>
      </w:divBdr>
    </w:div>
    <w:div w:id="1801147440">
      <w:bodyDiv w:val="1"/>
      <w:marLeft w:val="0"/>
      <w:marRight w:val="0"/>
      <w:marTop w:val="0"/>
      <w:marBottom w:val="0"/>
      <w:divBdr>
        <w:top w:val="none" w:sz="0" w:space="0" w:color="auto"/>
        <w:left w:val="none" w:sz="0" w:space="0" w:color="auto"/>
        <w:bottom w:val="none" w:sz="0" w:space="0" w:color="auto"/>
        <w:right w:val="none" w:sz="0" w:space="0" w:color="auto"/>
      </w:divBdr>
    </w:div>
    <w:div w:id="1865897439">
      <w:bodyDiv w:val="1"/>
      <w:marLeft w:val="0"/>
      <w:marRight w:val="0"/>
      <w:marTop w:val="0"/>
      <w:marBottom w:val="0"/>
      <w:divBdr>
        <w:top w:val="none" w:sz="0" w:space="0" w:color="auto"/>
        <w:left w:val="none" w:sz="0" w:space="0" w:color="auto"/>
        <w:bottom w:val="none" w:sz="0" w:space="0" w:color="auto"/>
        <w:right w:val="none" w:sz="0" w:space="0" w:color="auto"/>
      </w:divBdr>
    </w:div>
    <w:div w:id="1921476299">
      <w:bodyDiv w:val="1"/>
      <w:marLeft w:val="0"/>
      <w:marRight w:val="0"/>
      <w:marTop w:val="0"/>
      <w:marBottom w:val="0"/>
      <w:divBdr>
        <w:top w:val="none" w:sz="0" w:space="0" w:color="auto"/>
        <w:left w:val="none" w:sz="0" w:space="0" w:color="auto"/>
        <w:bottom w:val="none" w:sz="0" w:space="0" w:color="auto"/>
        <w:right w:val="none" w:sz="0" w:space="0" w:color="auto"/>
      </w:divBdr>
    </w:div>
    <w:div w:id="1950046836">
      <w:bodyDiv w:val="1"/>
      <w:marLeft w:val="0"/>
      <w:marRight w:val="0"/>
      <w:marTop w:val="0"/>
      <w:marBottom w:val="0"/>
      <w:divBdr>
        <w:top w:val="none" w:sz="0" w:space="0" w:color="auto"/>
        <w:left w:val="none" w:sz="0" w:space="0" w:color="auto"/>
        <w:bottom w:val="none" w:sz="0" w:space="0" w:color="auto"/>
        <w:right w:val="none" w:sz="0" w:space="0" w:color="auto"/>
      </w:divBdr>
    </w:div>
    <w:div w:id="1974097618">
      <w:bodyDiv w:val="1"/>
      <w:marLeft w:val="0"/>
      <w:marRight w:val="0"/>
      <w:marTop w:val="0"/>
      <w:marBottom w:val="0"/>
      <w:divBdr>
        <w:top w:val="none" w:sz="0" w:space="0" w:color="auto"/>
        <w:left w:val="none" w:sz="0" w:space="0" w:color="auto"/>
        <w:bottom w:val="none" w:sz="0" w:space="0" w:color="auto"/>
        <w:right w:val="none" w:sz="0" w:space="0" w:color="auto"/>
      </w:divBdr>
    </w:div>
    <w:div w:id="1975868570">
      <w:bodyDiv w:val="1"/>
      <w:marLeft w:val="0"/>
      <w:marRight w:val="0"/>
      <w:marTop w:val="0"/>
      <w:marBottom w:val="0"/>
      <w:divBdr>
        <w:top w:val="none" w:sz="0" w:space="0" w:color="auto"/>
        <w:left w:val="none" w:sz="0" w:space="0" w:color="auto"/>
        <w:bottom w:val="none" w:sz="0" w:space="0" w:color="auto"/>
        <w:right w:val="none" w:sz="0" w:space="0" w:color="auto"/>
      </w:divBdr>
    </w:div>
    <w:div w:id="1984579694">
      <w:bodyDiv w:val="1"/>
      <w:marLeft w:val="0"/>
      <w:marRight w:val="0"/>
      <w:marTop w:val="0"/>
      <w:marBottom w:val="0"/>
      <w:divBdr>
        <w:top w:val="none" w:sz="0" w:space="0" w:color="auto"/>
        <w:left w:val="none" w:sz="0" w:space="0" w:color="auto"/>
        <w:bottom w:val="none" w:sz="0" w:space="0" w:color="auto"/>
        <w:right w:val="none" w:sz="0" w:space="0" w:color="auto"/>
      </w:divBdr>
    </w:div>
    <w:div w:id="2001422456">
      <w:bodyDiv w:val="1"/>
      <w:marLeft w:val="0"/>
      <w:marRight w:val="0"/>
      <w:marTop w:val="0"/>
      <w:marBottom w:val="0"/>
      <w:divBdr>
        <w:top w:val="none" w:sz="0" w:space="0" w:color="auto"/>
        <w:left w:val="none" w:sz="0" w:space="0" w:color="auto"/>
        <w:bottom w:val="none" w:sz="0" w:space="0" w:color="auto"/>
        <w:right w:val="none" w:sz="0" w:space="0" w:color="auto"/>
      </w:divBdr>
    </w:div>
    <w:div w:id="2048868106">
      <w:bodyDiv w:val="1"/>
      <w:marLeft w:val="0"/>
      <w:marRight w:val="0"/>
      <w:marTop w:val="0"/>
      <w:marBottom w:val="0"/>
      <w:divBdr>
        <w:top w:val="none" w:sz="0" w:space="0" w:color="auto"/>
        <w:left w:val="none" w:sz="0" w:space="0" w:color="auto"/>
        <w:bottom w:val="none" w:sz="0" w:space="0" w:color="auto"/>
        <w:right w:val="none" w:sz="0" w:space="0" w:color="auto"/>
      </w:divBdr>
    </w:div>
    <w:div w:id="2136097141">
      <w:bodyDiv w:val="1"/>
      <w:marLeft w:val="0"/>
      <w:marRight w:val="0"/>
      <w:marTop w:val="0"/>
      <w:marBottom w:val="0"/>
      <w:divBdr>
        <w:top w:val="none" w:sz="0" w:space="0" w:color="auto"/>
        <w:left w:val="none" w:sz="0" w:space="0" w:color="auto"/>
        <w:bottom w:val="none" w:sz="0" w:space="0" w:color="auto"/>
        <w:right w:val="none" w:sz="0" w:space="0" w:color="auto"/>
      </w:divBdr>
    </w:div>
    <w:div w:id="21454629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07/relationships/hdphoto" Target="media/hdphoto1.wdp"/><Relationship Id="rId18" Type="http://schemas.microsoft.com/office/2007/relationships/diagramDrawing" Target="diagrams/drawing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diagramColors" Target="diagrams/colors1.xml"/><Relationship Id="rId2" Type="http://schemas.openxmlformats.org/officeDocument/2006/relationships/customXml" Target="../customXml/item2.xml"/><Relationship Id="rId16" Type="http://schemas.openxmlformats.org/officeDocument/2006/relationships/diagramQuickStyle" Target="diagrams/quickStyle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diagramLayout" Target="diagrams/layout1.xm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Data" Target="diagrams/data1.xml"/></Relationships>
</file>

<file path=word/_rels/footer1.xml.rels><?xml version="1.0" encoding="UTF-8" standalone="yes"?>
<Relationships xmlns="http://schemas.openxmlformats.org/package/2006/relationships"><Relationship Id="rId1" Type="http://schemas.openxmlformats.org/officeDocument/2006/relationships/image" Target="media/image3.gif"/></Relationships>
</file>

<file path=word/diagrams/colors1.xml><?xml version="1.0" encoding="utf-8"?>
<dgm:colorsDef xmlns:dgm="http://schemas.openxmlformats.org/drawingml/2006/diagram" xmlns:a="http://schemas.openxmlformats.org/drawingml/2006/main" uniqueId="urn:microsoft.com/office/officeart/2005/8/colors/accent3_1">
  <dgm:title val=""/>
  <dgm:desc val=""/>
  <dgm:catLst>
    <dgm:cat type="accent3" pri="11100"/>
  </dgm:catLst>
  <dgm:styleLbl name="node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3">
        <a:shade val="80000"/>
      </a:schemeClr>
    </dgm:linClrLst>
    <dgm:effectClrLst/>
    <dgm:txLinClrLst/>
    <dgm:txFillClrLst/>
    <dgm:txEffectClrLst/>
  </dgm:styleLbl>
  <dgm:styleLbl name="node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f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align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b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dgm:txEffectClrLst/>
  </dgm:styleLbl>
  <dgm:styleLbl name="parChTrans2D2">
    <dgm:fillClrLst meth="repeat">
      <a:schemeClr val="accent3"/>
    </dgm:fillClrLst>
    <dgm:linClrLst meth="repeat">
      <a:schemeClr val="accent3"/>
    </dgm:linClrLst>
    <dgm:effectClrLst/>
    <dgm:txLinClrLst/>
    <dgm:txFillClrLst/>
    <dgm:txEffectClrLst/>
  </dgm:styleLbl>
  <dgm:styleLbl name="parChTrans2D3">
    <dgm:fillClrLst meth="repeat">
      <a:schemeClr val="accent3"/>
    </dgm:fillClrLst>
    <dgm:linClrLst meth="repeat">
      <a:schemeClr val="accent3"/>
    </dgm:linClrLst>
    <dgm:effectClrLst/>
    <dgm:txLinClrLst/>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con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align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trAlignAcc1">
    <dgm:fillClrLst meth="repeat">
      <a:schemeClr val="accent3">
        <a:alpha val="40000"/>
        <a:tint val="40000"/>
      </a:schemeClr>
    </dgm:fillClrLst>
    <dgm:linClrLst meth="repeat">
      <a:schemeClr val="accent3"/>
    </dgm:linClrLst>
    <dgm:effectClrLst/>
    <dgm:txLinClrLst/>
    <dgm:txFillClrLst meth="repeat">
      <a:schemeClr val="dk1"/>
    </dgm:txFillClrLst>
    <dgm:txEffectClrLst/>
  </dgm:styleLbl>
  <dgm:styleLbl name="b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fgAcc0">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2">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3">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4">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196A1E7-762B-4D18-8525-E2F36C7ECA6F}" type="doc">
      <dgm:prSet loTypeId="urn:microsoft.com/office/officeart/2005/8/layout/process1" loCatId="process" qsTypeId="urn:microsoft.com/office/officeart/2005/8/quickstyle/simple5" qsCatId="simple" csTypeId="urn:microsoft.com/office/officeart/2005/8/colors/accent3_1" csCatId="accent3" phldr="1"/>
      <dgm:spPr/>
      <dgm:t>
        <a:bodyPr/>
        <a:lstStyle/>
        <a:p>
          <a:endParaRPr lang="bg-BG"/>
        </a:p>
      </dgm:t>
    </dgm:pt>
    <dgm:pt modelId="{D4F833B9-042D-4FF3-A7B1-3C0A75272C14}">
      <dgm:prSet custT="1"/>
      <dgm:spPr/>
      <dgm:t>
        <a:bodyPr/>
        <a:lstStyle/>
        <a:p>
          <a:br>
            <a:rPr lang="bg-BG" sz="900">
              <a:latin typeface="Arial" panose="020B0604020202020204" pitchFamily="34" charset="0"/>
              <a:cs typeface="Arial" panose="020B0604020202020204" pitchFamily="34" charset="0"/>
            </a:rPr>
          </a:br>
          <a:r>
            <a:rPr lang="en-GB" sz="900">
              <a:latin typeface="Arial" panose="020B0604020202020204" pitchFamily="34" charset="0"/>
              <a:cs typeface="Arial" panose="020B0604020202020204" pitchFamily="34" charset="0"/>
            </a:rPr>
            <a:t>Mission</a:t>
          </a:r>
          <a:endParaRPr lang="bg-BG" sz="900">
            <a:latin typeface="Arial" panose="020B0604020202020204" pitchFamily="34" charset="0"/>
            <a:cs typeface="Arial" panose="020B0604020202020204" pitchFamily="34" charset="0"/>
          </a:endParaRPr>
        </a:p>
      </dgm:t>
    </dgm:pt>
    <dgm:pt modelId="{3149F94E-C1E7-42C9-82C4-B681F7067179}" type="parTrans" cxnId="{9EDC0179-F54B-460A-8EDA-F5385F8B57DE}">
      <dgm:prSet/>
      <dgm:spPr/>
      <dgm:t>
        <a:bodyPr/>
        <a:lstStyle/>
        <a:p>
          <a:endParaRPr lang="bg-BG"/>
        </a:p>
      </dgm:t>
    </dgm:pt>
    <dgm:pt modelId="{B7D001EE-FD80-4DA7-8318-FA304499DDF7}" type="sibTrans" cxnId="{9EDC0179-F54B-460A-8EDA-F5385F8B57DE}">
      <dgm:prSet/>
      <dgm:spPr/>
      <dgm:t>
        <a:bodyPr/>
        <a:lstStyle/>
        <a:p>
          <a:endParaRPr lang="bg-BG"/>
        </a:p>
      </dgm:t>
    </dgm:pt>
    <dgm:pt modelId="{912E82F1-4FE5-4F18-8550-7AB1C1FB4AF0}">
      <dgm:prSet phldrT="[Text]" custT="1"/>
      <dgm:spPr/>
      <dgm:t>
        <a:bodyPr/>
        <a:lstStyle/>
        <a:p>
          <a:r>
            <a:rPr lang="en-GB" sz="900">
              <a:latin typeface="Arial" panose="020B0604020202020204" pitchFamily="34" charset="0"/>
              <a:cs typeface="Arial" panose="020B0604020202020204" pitchFamily="34" charset="0"/>
            </a:rPr>
            <a:t>Objectives</a:t>
          </a:r>
          <a:endParaRPr lang="bg-BG" sz="900">
            <a:latin typeface="Arial" panose="020B0604020202020204" pitchFamily="34" charset="0"/>
            <a:cs typeface="Arial" panose="020B0604020202020204" pitchFamily="34" charset="0"/>
          </a:endParaRPr>
        </a:p>
      </dgm:t>
    </dgm:pt>
    <dgm:pt modelId="{7E462FF8-6208-42A4-8ECF-6096656BD254}" type="parTrans" cxnId="{DC212696-8183-4BEE-830F-4FB5120EFB15}">
      <dgm:prSet/>
      <dgm:spPr/>
      <dgm:t>
        <a:bodyPr/>
        <a:lstStyle/>
        <a:p>
          <a:endParaRPr lang="bg-BG"/>
        </a:p>
      </dgm:t>
    </dgm:pt>
    <dgm:pt modelId="{764D83D8-C9FD-4361-8A25-8BCC9E592647}" type="sibTrans" cxnId="{DC212696-8183-4BEE-830F-4FB5120EFB15}">
      <dgm:prSet/>
      <dgm:spPr/>
      <dgm:t>
        <a:bodyPr/>
        <a:lstStyle/>
        <a:p>
          <a:endParaRPr lang="bg-BG"/>
        </a:p>
      </dgm:t>
    </dgm:pt>
    <dgm:pt modelId="{49B1CE7B-17A9-4F3A-B64D-0AD874E6C565}">
      <dgm:prSet phldrT="[Text]" custT="1"/>
      <dgm:spPr/>
      <dgm:t>
        <a:bodyPr/>
        <a:lstStyle/>
        <a:p>
          <a:r>
            <a:rPr lang="en-GB" sz="900">
              <a:latin typeface="Arial" panose="020B0604020202020204" pitchFamily="34" charset="0"/>
              <a:cs typeface="Arial" panose="020B0604020202020204" pitchFamily="34" charset="0"/>
            </a:rPr>
            <a:t>External analysis  </a:t>
          </a:r>
        </a:p>
        <a:p>
          <a:endParaRPr lang="en-GB" sz="900">
            <a:latin typeface="Arial" panose="020B0604020202020204" pitchFamily="34" charset="0"/>
            <a:cs typeface="Arial" panose="020B0604020202020204" pitchFamily="34" charset="0"/>
          </a:endParaRPr>
        </a:p>
        <a:p>
          <a:r>
            <a:rPr lang="en-GB" sz="900">
              <a:latin typeface="Arial" panose="020B0604020202020204" pitchFamily="34" charset="0"/>
              <a:cs typeface="Arial" panose="020B0604020202020204" pitchFamily="34" charset="0"/>
            </a:rPr>
            <a:t>  Internal analysis</a:t>
          </a:r>
          <a:endParaRPr lang="bg-BG" sz="900">
            <a:latin typeface="Arial" panose="020B0604020202020204" pitchFamily="34" charset="0"/>
            <a:cs typeface="Arial" panose="020B0604020202020204" pitchFamily="34" charset="0"/>
          </a:endParaRPr>
        </a:p>
      </dgm:t>
    </dgm:pt>
    <dgm:pt modelId="{F782EC8A-8D3A-4141-ADD0-3FE5DBACDAAD}" type="parTrans" cxnId="{3BC7B30A-D3D0-4F04-8563-D74D4851076F}">
      <dgm:prSet/>
      <dgm:spPr/>
      <dgm:t>
        <a:bodyPr/>
        <a:lstStyle/>
        <a:p>
          <a:endParaRPr lang="bg-BG"/>
        </a:p>
      </dgm:t>
    </dgm:pt>
    <dgm:pt modelId="{26AEB2D0-50B1-4CB4-822B-FDC8A658B80D}" type="sibTrans" cxnId="{3BC7B30A-D3D0-4F04-8563-D74D4851076F}">
      <dgm:prSet/>
      <dgm:spPr/>
      <dgm:t>
        <a:bodyPr/>
        <a:lstStyle/>
        <a:p>
          <a:endParaRPr lang="bg-BG"/>
        </a:p>
      </dgm:t>
    </dgm:pt>
    <dgm:pt modelId="{CE0E9304-8005-4589-9270-0E917C15B884}">
      <dgm:prSet custT="1"/>
      <dgm:spPr/>
      <dgm:t>
        <a:bodyPr/>
        <a:lstStyle/>
        <a:p>
          <a:r>
            <a:rPr lang="en-GB" sz="900">
              <a:latin typeface="Arial" panose="020B0604020202020204" pitchFamily="34" charset="0"/>
              <a:cs typeface="Arial" panose="020B0604020202020204" pitchFamily="34" charset="0"/>
            </a:rPr>
            <a:t>Competitive Advantage </a:t>
          </a:r>
          <a:endParaRPr lang="bg-BG" sz="900">
            <a:latin typeface="Arial" panose="020B0604020202020204" pitchFamily="34" charset="0"/>
            <a:cs typeface="Arial" panose="020B0604020202020204" pitchFamily="34" charset="0"/>
          </a:endParaRPr>
        </a:p>
      </dgm:t>
    </dgm:pt>
    <dgm:pt modelId="{5D7074D3-DDFE-4ABF-AF66-E2E4D2B1494E}" type="parTrans" cxnId="{EBCFBC04-EE3C-4737-86B8-D20B7CB1713C}">
      <dgm:prSet/>
      <dgm:spPr/>
      <dgm:t>
        <a:bodyPr/>
        <a:lstStyle/>
        <a:p>
          <a:endParaRPr lang="bg-BG"/>
        </a:p>
      </dgm:t>
    </dgm:pt>
    <dgm:pt modelId="{8C545822-9B16-4E46-957B-B1B2C821FD3B}" type="sibTrans" cxnId="{EBCFBC04-EE3C-4737-86B8-D20B7CB1713C}">
      <dgm:prSet/>
      <dgm:spPr/>
      <dgm:t>
        <a:bodyPr/>
        <a:lstStyle/>
        <a:p>
          <a:endParaRPr lang="bg-BG"/>
        </a:p>
      </dgm:t>
    </dgm:pt>
    <dgm:pt modelId="{4C4A2340-1F7B-491A-A0AA-9BA8A8E23AB9}">
      <dgm:prSet phldrT="[Text]" custT="1"/>
      <dgm:spPr/>
      <dgm:t>
        <a:bodyPr/>
        <a:lstStyle/>
        <a:p>
          <a:r>
            <a:rPr lang="en-GB" sz="900">
              <a:latin typeface="Arial" panose="020B0604020202020204" pitchFamily="34" charset="0"/>
              <a:cs typeface="Arial" panose="020B0604020202020204" pitchFamily="34" charset="0"/>
            </a:rPr>
            <a:t>Strategy Implementation</a:t>
          </a:r>
          <a:endParaRPr lang="bg-BG" sz="900">
            <a:latin typeface="Arial" panose="020B0604020202020204" pitchFamily="34" charset="0"/>
            <a:cs typeface="Arial" panose="020B0604020202020204" pitchFamily="34" charset="0"/>
          </a:endParaRPr>
        </a:p>
      </dgm:t>
    </dgm:pt>
    <dgm:pt modelId="{4378BB19-1FCF-4565-9808-6D030AA0751D}" type="parTrans" cxnId="{2E16B34A-DCD2-4BC8-A608-1EA7888EE399}">
      <dgm:prSet/>
      <dgm:spPr/>
      <dgm:t>
        <a:bodyPr/>
        <a:lstStyle/>
        <a:p>
          <a:endParaRPr lang="bg-BG"/>
        </a:p>
      </dgm:t>
    </dgm:pt>
    <dgm:pt modelId="{21B6AF52-8606-456D-8C3D-EDEF4DD70F1B}" type="sibTrans" cxnId="{2E16B34A-DCD2-4BC8-A608-1EA7888EE399}">
      <dgm:prSet/>
      <dgm:spPr/>
      <dgm:t>
        <a:bodyPr/>
        <a:lstStyle/>
        <a:p>
          <a:endParaRPr lang="bg-BG"/>
        </a:p>
      </dgm:t>
    </dgm:pt>
    <dgm:pt modelId="{B8D73AB5-6881-4191-8E92-3DA7D2671A9E}">
      <dgm:prSet phldrT="[Text]" custT="1"/>
      <dgm:spPr/>
      <dgm:t>
        <a:bodyPr/>
        <a:lstStyle/>
        <a:p>
          <a:r>
            <a:rPr lang="en-GB" sz="900">
              <a:latin typeface="Arial" panose="020B0604020202020204" pitchFamily="34" charset="0"/>
              <a:cs typeface="Arial" panose="020B0604020202020204" pitchFamily="34" charset="0"/>
            </a:rPr>
            <a:t>Strategic Choice</a:t>
          </a:r>
          <a:endParaRPr lang="bg-BG" sz="900">
            <a:latin typeface="Arial" panose="020B0604020202020204" pitchFamily="34" charset="0"/>
            <a:cs typeface="Arial" panose="020B0604020202020204" pitchFamily="34" charset="0"/>
          </a:endParaRPr>
        </a:p>
      </dgm:t>
    </dgm:pt>
    <dgm:pt modelId="{ED99FB7F-0A02-45D2-BD8C-E665BCBD67D2}" type="parTrans" cxnId="{B2735E2D-74D4-41C0-86D0-A75D6A567FC4}">
      <dgm:prSet/>
      <dgm:spPr/>
      <dgm:t>
        <a:bodyPr/>
        <a:lstStyle/>
        <a:p>
          <a:endParaRPr lang="bg-BG"/>
        </a:p>
      </dgm:t>
    </dgm:pt>
    <dgm:pt modelId="{36D890A3-DF31-46A7-8206-72DF671AF572}" type="sibTrans" cxnId="{B2735E2D-74D4-41C0-86D0-A75D6A567FC4}">
      <dgm:prSet/>
      <dgm:spPr/>
      <dgm:t>
        <a:bodyPr/>
        <a:lstStyle/>
        <a:p>
          <a:endParaRPr lang="bg-BG"/>
        </a:p>
      </dgm:t>
    </dgm:pt>
    <dgm:pt modelId="{7C544C85-7CAB-4269-A275-A950CFAA8054}" type="pres">
      <dgm:prSet presAssocID="{B196A1E7-762B-4D18-8525-E2F36C7ECA6F}" presName="Name0" presStyleCnt="0">
        <dgm:presLayoutVars>
          <dgm:dir/>
          <dgm:resizeHandles val="exact"/>
        </dgm:presLayoutVars>
      </dgm:prSet>
      <dgm:spPr/>
    </dgm:pt>
    <dgm:pt modelId="{247F2D10-571F-4F13-A38A-064F4EA31A16}" type="pres">
      <dgm:prSet presAssocID="{D4F833B9-042D-4FF3-A7B1-3C0A75272C14}" presName="node" presStyleLbl="node1" presStyleIdx="0" presStyleCnt="6" custFlipHor="1" custScaleX="53384" custScaleY="42324">
        <dgm:presLayoutVars>
          <dgm:bulletEnabled val="1"/>
        </dgm:presLayoutVars>
      </dgm:prSet>
      <dgm:spPr/>
    </dgm:pt>
    <dgm:pt modelId="{7E1CC373-AF35-4383-82AB-74D710A89A11}" type="pres">
      <dgm:prSet presAssocID="{B7D001EE-FD80-4DA7-8318-FA304499DDF7}" presName="sibTrans" presStyleLbl="sibTrans2D1" presStyleIdx="0" presStyleCnt="5"/>
      <dgm:spPr/>
    </dgm:pt>
    <dgm:pt modelId="{B9254CAA-C80E-41EF-B5EC-7F19224C5961}" type="pres">
      <dgm:prSet presAssocID="{B7D001EE-FD80-4DA7-8318-FA304499DDF7}" presName="connectorText" presStyleLbl="sibTrans2D1" presStyleIdx="0" presStyleCnt="5"/>
      <dgm:spPr/>
    </dgm:pt>
    <dgm:pt modelId="{66FE7F3D-E7CE-4D51-9397-F93643BA4393}" type="pres">
      <dgm:prSet presAssocID="{912E82F1-4FE5-4F18-8550-7AB1C1FB4AF0}" presName="node" presStyleLbl="node1" presStyleIdx="1" presStyleCnt="6" custScaleX="73395" custScaleY="28736" custLinFactNeighborX="5480" custLinFactNeighborY="-3335">
        <dgm:presLayoutVars>
          <dgm:bulletEnabled val="1"/>
        </dgm:presLayoutVars>
      </dgm:prSet>
      <dgm:spPr/>
    </dgm:pt>
    <dgm:pt modelId="{BA2772C6-F65A-4131-9FAA-1D4DF2D47DCE}" type="pres">
      <dgm:prSet presAssocID="{764D83D8-C9FD-4361-8A25-8BCC9E592647}" presName="sibTrans" presStyleLbl="sibTrans2D1" presStyleIdx="1" presStyleCnt="5"/>
      <dgm:spPr/>
    </dgm:pt>
    <dgm:pt modelId="{4FB7BF9E-1765-4ACE-8469-5280E219C730}" type="pres">
      <dgm:prSet presAssocID="{764D83D8-C9FD-4361-8A25-8BCC9E592647}" presName="connectorText" presStyleLbl="sibTrans2D1" presStyleIdx="1" presStyleCnt="5"/>
      <dgm:spPr/>
    </dgm:pt>
    <dgm:pt modelId="{37D3AD03-C8BF-4821-A740-4D6DACC6AC6D}" type="pres">
      <dgm:prSet presAssocID="{49B1CE7B-17A9-4F3A-B64D-0AD874E6C565}" presName="node" presStyleLbl="node1" presStyleIdx="2" presStyleCnt="6" custScaleX="100516" custScaleY="134733">
        <dgm:presLayoutVars>
          <dgm:bulletEnabled val="1"/>
        </dgm:presLayoutVars>
      </dgm:prSet>
      <dgm:spPr/>
    </dgm:pt>
    <dgm:pt modelId="{3025DA22-8C94-46A1-A4ED-28CDDD0305E2}" type="pres">
      <dgm:prSet presAssocID="{26AEB2D0-50B1-4CB4-822B-FDC8A658B80D}" presName="sibTrans" presStyleLbl="sibTrans2D1" presStyleIdx="2" presStyleCnt="5"/>
      <dgm:spPr/>
    </dgm:pt>
    <dgm:pt modelId="{712D8DB6-95F1-4D60-AE0B-C84F7CBDEE67}" type="pres">
      <dgm:prSet presAssocID="{26AEB2D0-50B1-4CB4-822B-FDC8A658B80D}" presName="connectorText" presStyleLbl="sibTrans2D1" presStyleIdx="2" presStyleCnt="5"/>
      <dgm:spPr/>
    </dgm:pt>
    <dgm:pt modelId="{7EC76A17-E7D0-423D-8F66-B4190BAB9FEA}" type="pres">
      <dgm:prSet presAssocID="{B8D73AB5-6881-4191-8E92-3DA7D2671A9E}" presName="node" presStyleLbl="node1" presStyleIdx="3" presStyleCnt="6" custScaleX="62603" custScaleY="39144">
        <dgm:presLayoutVars>
          <dgm:bulletEnabled val="1"/>
        </dgm:presLayoutVars>
      </dgm:prSet>
      <dgm:spPr/>
    </dgm:pt>
    <dgm:pt modelId="{5167977F-A582-4AF1-87DC-67E6D40387DB}" type="pres">
      <dgm:prSet presAssocID="{36D890A3-DF31-46A7-8206-72DF671AF572}" presName="sibTrans" presStyleLbl="sibTrans2D1" presStyleIdx="3" presStyleCnt="5"/>
      <dgm:spPr/>
    </dgm:pt>
    <dgm:pt modelId="{CAECA496-8035-4341-9DE2-BB420DFCF92E}" type="pres">
      <dgm:prSet presAssocID="{36D890A3-DF31-46A7-8206-72DF671AF572}" presName="connectorText" presStyleLbl="sibTrans2D1" presStyleIdx="3" presStyleCnt="5"/>
      <dgm:spPr/>
    </dgm:pt>
    <dgm:pt modelId="{CE6CA121-EE96-4DB8-8E9D-11CB417E25D0}" type="pres">
      <dgm:prSet presAssocID="{4C4A2340-1F7B-491A-A0AA-9BA8A8E23AB9}" presName="node" presStyleLbl="node1" presStyleIdx="4" presStyleCnt="6" custScaleX="84741" custScaleY="60013">
        <dgm:presLayoutVars>
          <dgm:bulletEnabled val="1"/>
        </dgm:presLayoutVars>
      </dgm:prSet>
      <dgm:spPr/>
    </dgm:pt>
    <dgm:pt modelId="{D58BC6EE-2CF4-4D83-84FB-391B598D5688}" type="pres">
      <dgm:prSet presAssocID="{21B6AF52-8606-456D-8C3D-EDEF4DD70F1B}" presName="sibTrans" presStyleLbl="sibTrans2D1" presStyleIdx="4" presStyleCnt="5"/>
      <dgm:spPr/>
    </dgm:pt>
    <dgm:pt modelId="{5E4B260B-DF12-49A1-8ECA-2D7D68098060}" type="pres">
      <dgm:prSet presAssocID="{21B6AF52-8606-456D-8C3D-EDEF4DD70F1B}" presName="connectorText" presStyleLbl="sibTrans2D1" presStyleIdx="4" presStyleCnt="5"/>
      <dgm:spPr/>
    </dgm:pt>
    <dgm:pt modelId="{31BFAD78-A497-41BA-87EF-54E075926AA2}" type="pres">
      <dgm:prSet presAssocID="{CE0E9304-8005-4589-9270-0E917C15B884}" presName="node" presStyleLbl="node1" presStyleIdx="5" presStyleCnt="6" custScaleX="93094" custScaleY="54825">
        <dgm:presLayoutVars>
          <dgm:bulletEnabled val="1"/>
        </dgm:presLayoutVars>
      </dgm:prSet>
      <dgm:spPr/>
    </dgm:pt>
  </dgm:ptLst>
  <dgm:cxnLst>
    <dgm:cxn modelId="{EBCFBC04-EE3C-4737-86B8-D20B7CB1713C}" srcId="{B196A1E7-762B-4D18-8525-E2F36C7ECA6F}" destId="{CE0E9304-8005-4589-9270-0E917C15B884}" srcOrd="5" destOrd="0" parTransId="{5D7074D3-DDFE-4ABF-AF66-E2E4D2B1494E}" sibTransId="{8C545822-9B16-4E46-957B-B1B2C821FD3B}"/>
    <dgm:cxn modelId="{59442007-A3FD-4120-8C9F-A1143B76508C}" type="presOf" srcId="{CE0E9304-8005-4589-9270-0E917C15B884}" destId="{31BFAD78-A497-41BA-87EF-54E075926AA2}" srcOrd="0" destOrd="0" presId="urn:microsoft.com/office/officeart/2005/8/layout/process1"/>
    <dgm:cxn modelId="{3BC7B30A-D3D0-4F04-8563-D74D4851076F}" srcId="{B196A1E7-762B-4D18-8525-E2F36C7ECA6F}" destId="{49B1CE7B-17A9-4F3A-B64D-0AD874E6C565}" srcOrd="2" destOrd="0" parTransId="{F782EC8A-8D3A-4141-ADD0-3FE5DBACDAAD}" sibTransId="{26AEB2D0-50B1-4CB4-822B-FDC8A658B80D}"/>
    <dgm:cxn modelId="{6284BF0F-A671-4CBE-A143-C2C402D90855}" type="presOf" srcId="{36D890A3-DF31-46A7-8206-72DF671AF572}" destId="{5167977F-A582-4AF1-87DC-67E6D40387DB}" srcOrd="0" destOrd="0" presId="urn:microsoft.com/office/officeart/2005/8/layout/process1"/>
    <dgm:cxn modelId="{60748010-AC08-4908-A811-5E18034886A3}" type="presOf" srcId="{764D83D8-C9FD-4361-8A25-8BCC9E592647}" destId="{BA2772C6-F65A-4131-9FAA-1D4DF2D47DCE}" srcOrd="0" destOrd="0" presId="urn:microsoft.com/office/officeart/2005/8/layout/process1"/>
    <dgm:cxn modelId="{81C43427-A1DD-4708-9DD5-34F680D98657}" type="presOf" srcId="{764D83D8-C9FD-4361-8A25-8BCC9E592647}" destId="{4FB7BF9E-1765-4ACE-8469-5280E219C730}" srcOrd="1" destOrd="0" presId="urn:microsoft.com/office/officeart/2005/8/layout/process1"/>
    <dgm:cxn modelId="{E761732C-4FC0-473C-8094-EB0EFAC59310}" type="presOf" srcId="{912E82F1-4FE5-4F18-8550-7AB1C1FB4AF0}" destId="{66FE7F3D-E7CE-4D51-9397-F93643BA4393}" srcOrd="0" destOrd="0" presId="urn:microsoft.com/office/officeart/2005/8/layout/process1"/>
    <dgm:cxn modelId="{B2735E2D-74D4-41C0-86D0-A75D6A567FC4}" srcId="{B196A1E7-762B-4D18-8525-E2F36C7ECA6F}" destId="{B8D73AB5-6881-4191-8E92-3DA7D2671A9E}" srcOrd="3" destOrd="0" parTransId="{ED99FB7F-0A02-45D2-BD8C-E665BCBD67D2}" sibTransId="{36D890A3-DF31-46A7-8206-72DF671AF572}"/>
    <dgm:cxn modelId="{35406B5C-1EC3-4324-B68C-5373F375BF11}" type="presOf" srcId="{26AEB2D0-50B1-4CB4-822B-FDC8A658B80D}" destId="{712D8DB6-95F1-4D60-AE0B-C84F7CBDEE67}" srcOrd="1" destOrd="0" presId="urn:microsoft.com/office/officeart/2005/8/layout/process1"/>
    <dgm:cxn modelId="{2E16B34A-DCD2-4BC8-A608-1EA7888EE399}" srcId="{B196A1E7-762B-4D18-8525-E2F36C7ECA6F}" destId="{4C4A2340-1F7B-491A-A0AA-9BA8A8E23AB9}" srcOrd="4" destOrd="0" parTransId="{4378BB19-1FCF-4565-9808-6D030AA0751D}" sibTransId="{21B6AF52-8606-456D-8C3D-EDEF4DD70F1B}"/>
    <dgm:cxn modelId="{9EDC0179-F54B-460A-8EDA-F5385F8B57DE}" srcId="{B196A1E7-762B-4D18-8525-E2F36C7ECA6F}" destId="{D4F833B9-042D-4FF3-A7B1-3C0A75272C14}" srcOrd="0" destOrd="0" parTransId="{3149F94E-C1E7-42C9-82C4-B681F7067179}" sibTransId="{B7D001EE-FD80-4DA7-8318-FA304499DDF7}"/>
    <dgm:cxn modelId="{A40FBC7D-1472-49DE-BC5D-A8A5A7FA6C05}" type="presOf" srcId="{B7D001EE-FD80-4DA7-8318-FA304499DDF7}" destId="{7E1CC373-AF35-4383-82AB-74D710A89A11}" srcOrd="0" destOrd="0" presId="urn:microsoft.com/office/officeart/2005/8/layout/process1"/>
    <dgm:cxn modelId="{6D1DD881-49D6-4F30-AB26-002022C001C7}" type="presOf" srcId="{B7D001EE-FD80-4DA7-8318-FA304499DDF7}" destId="{B9254CAA-C80E-41EF-B5EC-7F19224C5961}" srcOrd="1" destOrd="0" presId="urn:microsoft.com/office/officeart/2005/8/layout/process1"/>
    <dgm:cxn modelId="{7D5B0686-377E-42AF-BEEA-E49D7C221517}" type="presOf" srcId="{36D890A3-DF31-46A7-8206-72DF671AF572}" destId="{CAECA496-8035-4341-9DE2-BB420DFCF92E}" srcOrd="1" destOrd="0" presId="urn:microsoft.com/office/officeart/2005/8/layout/process1"/>
    <dgm:cxn modelId="{DC212696-8183-4BEE-830F-4FB5120EFB15}" srcId="{B196A1E7-762B-4D18-8525-E2F36C7ECA6F}" destId="{912E82F1-4FE5-4F18-8550-7AB1C1FB4AF0}" srcOrd="1" destOrd="0" parTransId="{7E462FF8-6208-42A4-8ECF-6096656BD254}" sibTransId="{764D83D8-C9FD-4361-8A25-8BCC9E592647}"/>
    <dgm:cxn modelId="{029B4FB3-70F6-4360-B9F7-C93B51DCA961}" type="presOf" srcId="{49B1CE7B-17A9-4F3A-B64D-0AD874E6C565}" destId="{37D3AD03-C8BF-4821-A740-4D6DACC6AC6D}" srcOrd="0" destOrd="0" presId="urn:microsoft.com/office/officeart/2005/8/layout/process1"/>
    <dgm:cxn modelId="{C440B9B8-36DC-4ED9-87FC-BE96F591AD7A}" type="presOf" srcId="{21B6AF52-8606-456D-8C3D-EDEF4DD70F1B}" destId="{5E4B260B-DF12-49A1-8ECA-2D7D68098060}" srcOrd="1" destOrd="0" presId="urn:microsoft.com/office/officeart/2005/8/layout/process1"/>
    <dgm:cxn modelId="{134B09D3-7C0C-41D3-839A-3D3FFEA530F2}" type="presOf" srcId="{26AEB2D0-50B1-4CB4-822B-FDC8A658B80D}" destId="{3025DA22-8C94-46A1-A4ED-28CDDD0305E2}" srcOrd="0" destOrd="0" presId="urn:microsoft.com/office/officeart/2005/8/layout/process1"/>
    <dgm:cxn modelId="{5CC0ABD4-6838-46B9-9355-5E527EE6CE7E}" type="presOf" srcId="{B8D73AB5-6881-4191-8E92-3DA7D2671A9E}" destId="{7EC76A17-E7D0-423D-8F66-B4190BAB9FEA}" srcOrd="0" destOrd="0" presId="urn:microsoft.com/office/officeart/2005/8/layout/process1"/>
    <dgm:cxn modelId="{A4C6FFD7-1EAD-4F2B-9C65-4E4BB0F12A3C}" type="presOf" srcId="{B196A1E7-762B-4D18-8525-E2F36C7ECA6F}" destId="{7C544C85-7CAB-4269-A275-A950CFAA8054}" srcOrd="0" destOrd="0" presId="urn:microsoft.com/office/officeart/2005/8/layout/process1"/>
    <dgm:cxn modelId="{8C9A84DE-EF66-4FA5-960F-0FACC1BB5A48}" type="presOf" srcId="{4C4A2340-1F7B-491A-A0AA-9BA8A8E23AB9}" destId="{CE6CA121-EE96-4DB8-8E9D-11CB417E25D0}" srcOrd="0" destOrd="0" presId="urn:microsoft.com/office/officeart/2005/8/layout/process1"/>
    <dgm:cxn modelId="{7358F2F7-53C8-4D1E-BBD6-95B973D88ED3}" type="presOf" srcId="{D4F833B9-042D-4FF3-A7B1-3C0A75272C14}" destId="{247F2D10-571F-4F13-A38A-064F4EA31A16}" srcOrd="0" destOrd="0" presId="urn:microsoft.com/office/officeart/2005/8/layout/process1"/>
    <dgm:cxn modelId="{900D2EFC-7573-43CC-BE12-0711840D4AC8}" type="presOf" srcId="{21B6AF52-8606-456D-8C3D-EDEF4DD70F1B}" destId="{D58BC6EE-2CF4-4D83-84FB-391B598D5688}" srcOrd="0" destOrd="0" presId="urn:microsoft.com/office/officeart/2005/8/layout/process1"/>
    <dgm:cxn modelId="{0107763B-46F5-49F1-A145-AAE5ED3E2AC4}" type="presParOf" srcId="{7C544C85-7CAB-4269-A275-A950CFAA8054}" destId="{247F2D10-571F-4F13-A38A-064F4EA31A16}" srcOrd="0" destOrd="0" presId="urn:microsoft.com/office/officeart/2005/8/layout/process1"/>
    <dgm:cxn modelId="{3247B1FA-94D4-4726-A537-DAD81D0875BC}" type="presParOf" srcId="{7C544C85-7CAB-4269-A275-A950CFAA8054}" destId="{7E1CC373-AF35-4383-82AB-74D710A89A11}" srcOrd="1" destOrd="0" presId="urn:microsoft.com/office/officeart/2005/8/layout/process1"/>
    <dgm:cxn modelId="{710FE3F7-2469-45A9-B8D1-C38BF777CA1D}" type="presParOf" srcId="{7E1CC373-AF35-4383-82AB-74D710A89A11}" destId="{B9254CAA-C80E-41EF-B5EC-7F19224C5961}" srcOrd="0" destOrd="0" presId="urn:microsoft.com/office/officeart/2005/8/layout/process1"/>
    <dgm:cxn modelId="{4CC2D531-FACA-42C4-9B28-0F9C6386084B}" type="presParOf" srcId="{7C544C85-7CAB-4269-A275-A950CFAA8054}" destId="{66FE7F3D-E7CE-4D51-9397-F93643BA4393}" srcOrd="2" destOrd="0" presId="urn:microsoft.com/office/officeart/2005/8/layout/process1"/>
    <dgm:cxn modelId="{D9D63D5E-7771-430D-9B90-32C363D5ED3B}" type="presParOf" srcId="{7C544C85-7CAB-4269-A275-A950CFAA8054}" destId="{BA2772C6-F65A-4131-9FAA-1D4DF2D47DCE}" srcOrd="3" destOrd="0" presId="urn:microsoft.com/office/officeart/2005/8/layout/process1"/>
    <dgm:cxn modelId="{90D2C1E9-C90B-471A-90B3-A4E31543BA5D}" type="presParOf" srcId="{BA2772C6-F65A-4131-9FAA-1D4DF2D47DCE}" destId="{4FB7BF9E-1765-4ACE-8469-5280E219C730}" srcOrd="0" destOrd="0" presId="urn:microsoft.com/office/officeart/2005/8/layout/process1"/>
    <dgm:cxn modelId="{F3DE90FB-5CFF-43B8-B370-0B0C6E7F695F}" type="presParOf" srcId="{7C544C85-7CAB-4269-A275-A950CFAA8054}" destId="{37D3AD03-C8BF-4821-A740-4D6DACC6AC6D}" srcOrd="4" destOrd="0" presId="urn:microsoft.com/office/officeart/2005/8/layout/process1"/>
    <dgm:cxn modelId="{412A14FD-636E-453A-88CE-8E3DBE28D1B9}" type="presParOf" srcId="{7C544C85-7CAB-4269-A275-A950CFAA8054}" destId="{3025DA22-8C94-46A1-A4ED-28CDDD0305E2}" srcOrd="5" destOrd="0" presId="urn:microsoft.com/office/officeart/2005/8/layout/process1"/>
    <dgm:cxn modelId="{32124D0D-2B46-4691-9B40-507B1235396E}" type="presParOf" srcId="{3025DA22-8C94-46A1-A4ED-28CDDD0305E2}" destId="{712D8DB6-95F1-4D60-AE0B-C84F7CBDEE67}" srcOrd="0" destOrd="0" presId="urn:microsoft.com/office/officeart/2005/8/layout/process1"/>
    <dgm:cxn modelId="{7A1F7423-DC0F-44E7-827E-4F8C9B2E030B}" type="presParOf" srcId="{7C544C85-7CAB-4269-A275-A950CFAA8054}" destId="{7EC76A17-E7D0-423D-8F66-B4190BAB9FEA}" srcOrd="6" destOrd="0" presId="urn:microsoft.com/office/officeart/2005/8/layout/process1"/>
    <dgm:cxn modelId="{A347EC27-5BE5-4A47-A034-A8C07AAA87AB}" type="presParOf" srcId="{7C544C85-7CAB-4269-A275-A950CFAA8054}" destId="{5167977F-A582-4AF1-87DC-67E6D40387DB}" srcOrd="7" destOrd="0" presId="urn:microsoft.com/office/officeart/2005/8/layout/process1"/>
    <dgm:cxn modelId="{F0A80F1A-C5D2-4C9D-953D-C5798E2764D6}" type="presParOf" srcId="{5167977F-A582-4AF1-87DC-67E6D40387DB}" destId="{CAECA496-8035-4341-9DE2-BB420DFCF92E}" srcOrd="0" destOrd="0" presId="urn:microsoft.com/office/officeart/2005/8/layout/process1"/>
    <dgm:cxn modelId="{B6449A3E-B0C7-40B7-9CC4-B583B6390441}" type="presParOf" srcId="{7C544C85-7CAB-4269-A275-A950CFAA8054}" destId="{CE6CA121-EE96-4DB8-8E9D-11CB417E25D0}" srcOrd="8" destOrd="0" presId="urn:microsoft.com/office/officeart/2005/8/layout/process1"/>
    <dgm:cxn modelId="{E58D7E58-58F4-4EA8-AA98-80177843A70D}" type="presParOf" srcId="{7C544C85-7CAB-4269-A275-A950CFAA8054}" destId="{D58BC6EE-2CF4-4D83-84FB-391B598D5688}" srcOrd="9" destOrd="0" presId="urn:microsoft.com/office/officeart/2005/8/layout/process1"/>
    <dgm:cxn modelId="{F84012B1-D561-4513-A77D-E6D5F0820C74}" type="presParOf" srcId="{D58BC6EE-2CF4-4D83-84FB-391B598D5688}" destId="{5E4B260B-DF12-49A1-8ECA-2D7D68098060}" srcOrd="0" destOrd="0" presId="urn:microsoft.com/office/officeart/2005/8/layout/process1"/>
    <dgm:cxn modelId="{F1721603-B630-4BB6-A156-CCB91B1C24D5}" type="presParOf" srcId="{7C544C85-7CAB-4269-A275-A950CFAA8054}" destId="{31BFAD78-A497-41BA-87EF-54E075926AA2}" srcOrd="10" destOrd="0" presId="urn:microsoft.com/office/officeart/2005/8/layout/process1"/>
  </dgm:cxnLst>
  <dgm:bg>
    <a:solidFill>
      <a:srgbClr val="E7F5EE"/>
    </a:solidFill>
  </dgm:bg>
  <dgm:whole/>
  <dgm:extLst>
    <a:ext uri="http://schemas.microsoft.com/office/drawing/2008/diagram">
      <dsp:dataModelExt xmlns:dsp="http://schemas.microsoft.com/office/drawing/2008/diagram" relId="rId18" minVer="http://schemas.openxmlformats.org/drawingml/2006/diagram"/>
    </a:ext>
    <a:ext uri="{C62137D5-CB1D-491B-B009-E17868A290BF}">
      <dgm14:recolorImg xmlns:dgm14="http://schemas.microsoft.com/office/drawing/2010/diagram" val="1"/>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47F2D10-571F-4F13-A38A-064F4EA31A16}">
      <dsp:nvSpPr>
        <dsp:cNvPr id="0" name=""/>
        <dsp:cNvSpPr/>
      </dsp:nvSpPr>
      <dsp:spPr>
        <a:xfrm flipH="1">
          <a:off x="4859" y="752688"/>
          <a:ext cx="467689" cy="343669"/>
        </a:xfrm>
        <a:prstGeom prst="roundRect">
          <a:avLst>
            <a:gd name="adj" fmla="val 10000"/>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br>
            <a:rPr lang="bg-BG" sz="900" kern="1200">
              <a:latin typeface="Arial" panose="020B0604020202020204" pitchFamily="34" charset="0"/>
              <a:cs typeface="Arial" panose="020B0604020202020204" pitchFamily="34" charset="0"/>
            </a:rPr>
          </a:br>
          <a:r>
            <a:rPr lang="en-GB" sz="900" kern="1200">
              <a:latin typeface="Arial" panose="020B0604020202020204" pitchFamily="34" charset="0"/>
              <a:cs typeface="Arial" panose="020B0604020202020204" pitchFamily="34" charset="0"/>
            </a:rPr>
            <a:t>Mission</a:t>
          </a:r>
          <a:endParaRPr lang="bg-BG" sz="900" kern="1200">
            <a:latin typeface="Arial" panose="020B0604020202020204" pitchFamily="34" charset="0"/>
            <a:cs typeface="Arial" panose="020B0604020202020204" pitchFamily="34" charset="0"/>
          </a:endParaRPr>
        </a:p>
      </dsp:txBody>
      <dsp:txXfrm>
        <a:off x="14925" y="762754"/>
        <a:ext cx="447557" cy="323537"/>
      </dsp:txXfrm>
    </dsp:sp>
    <dsp:sp modelId="{7E1CC373-AF35-4383-82AB-74D710A89A11}">
      <dsp:nvSpPr>
        <dsp:cNvPr id="0" name=""/>
        <dsp:cNvSpPr/>
      </dsp:nvSpPr>
      <dsp:spPr>
        <a:xfrm rot="21499384">
          <a:off x="564916" y="803469"/>
          <a:ext cx="195992" cy="217269"/>
        </a:xfrm>
        <a:prstGeom prst="rightArrow">
          <a:avLst>
            <a:gd name="adj1" fmla="val 60000"/>
            <a:gd name="adj2" fmla="val 50000"/>
          </a:avLst>
        </a:prstGeom>
        <a:gradFill rotWithShape="0">
          <a:gsLst>
            <a:gs pos="0">
              <a:schemeClr val="accent3">
                <a:tint val="60000"/>
                <a:hueOff val="0"/>
                <a:satOff val="0"/>
                <a:lumOff val="0"/>
                <a:alphaOff val="0"/>
                <a:satMod val="103000"/>
                <a:lumMod val="102000"/>
                <a:tint val="94000"/>
              </a:schemeClr>
            </a:gs>
            <a:gs pos="50000">
              <a:schemeClr val="accent3">
                <a:tint val="60000"/>
                <a:hueOff val="0"/>
                <a:satOff val="0"/>
                <a:lumOff val="0"/>
                <a:alphaOff val="0"/>
                <a:satMod val="110000"/>
                <a:lumMod val="100000"/>
                <a:shade val="100000"/>
              </a:schemeClr>
            </a:gs>
            <a:gs pos="100000">
              <a:schemeClr val="accent3">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bg-BG" sz="900" kern="1200"/>
        </a:p>
      </dsp:txBody>
      <dsp:txXfrm>
        <a:off x="564929" y="847783"/>
        <a:ext cx="137194" cy="130361"/>
      </dsp:txXfrm>
    </dsp:sp>
    <dsp:sp modelId="{66FE7F3D-E7CE-4D51-9397-F93643BA4393}">
      <dsp:nvSpPr>
        <dsp:cNvPr id="0" name=""/>
        <dsp:cNvSpPr/>
      </dsp:nvSpPr>
      <dsp:spPr>
        <a:xfrm>
          <a:off x="842187" y="780775"/>
          <a:ext cx="643002" cy="233335"/>
        </a:xfrm>
        <a:prstGeom prst="roundRect">
          <a:avLst>
            <a:gd name="adj" fmla="val 10000"/>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Objectives</a:t>
          </a:r>
          <a:endParaRPr lang="bg-BG" sz="900" kern="1200">
            <a:latin typeface="Arial" panose="020B0604020202020204" pitchFamily="34" charset="0"/>
            <a:cs typeface="Arial" panose="020B0604020202020204" pitchFamily="34" charset="0"/>
          </a:endParaRPr>
        </a:p>
      </dsp:txBody>
      <dsp:txXfrm>
        <a:off x="849021" y="787609"/>
        <a:ext cx="629334" cy="219667"/>
      </dsp:txXfrm>
    </dsp:sp>
    <dsp:sp modelId="{BA2772C6-F65A-4131-9FAA-1D4DF2D47DCE}">
      <dsp:nvSpPr>
        <dsp:cNvPr id="0" name=""/>
        <dsp:cNvSpPr/>
      </dsp:nvSpPr>
      <dsp:spPr>
        <a:xfrm rot="85153">
          <a:off x="1567970" y="800999"/>
          <a:ext cx="175605" cy="217269"/>
        </a:xfrm>
        <a:prstGeom prst="rightArrow">
          <a:avLst>
            <a:gd name="adj1" fmla="val 60000"/>
            <a:gd name="adj2" fmla="val 50000"/>
          </a:avLst>
        </a:prstGeom>
        <a:gradFill rotWithShape="0">
          <a:gsLst>
            <a:gs pos="0">
              <a:schemeClr val="accent3">
                <a:tint val="60000"/>
                <a:hueOff val="0"/>
                <a:satOff val="0"/>
                <a:lumOff val="0"/>
                <a:alphaOff val="0"/>
                <a:satMod val="103000"/>
                <a:lumMod val="102000"/>
                <a:tint val="94000"/>
              </a:schemeClr>
            </a:gs>
            <a:gs pos="50000">
              <a:schemeClr val="accent3">
                <a:tint val="60000"/>
                <a:hueOff val="0"/>
                <a:satOff val="0"/>
                <a:lumOff val="0"/>
                <a:alphaOff val="0"/>
                <a:satMod val="110000"/>
                <a:lumMod val="100000"/>
                <a:shade val="100000"/>
              </a:schemeClr>
            </a:gs>
            <a:gs pos="100000">
              <a:schemeClr val="accent3">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bg-BG" sz="900" kern="1200"/>
        </a:p>
      </dsp:txBody>
      <dsp:txXfrm>
        <a:off x="1567978" y="843801"/>
        <a:ext cx="122924" cy="130361"/>
      </dsp:txXfrm>
    </dsp:sp>
    <dsp:sp modelId="{37D3AD03-C8BF-4821-A740-4D6DACC6AC6D}">
      <dsp:nvSpPr>
        <dsp:cNvPr id="0" name=""/>
        <dsp:cNvSpPr/>
      </dsp:nvSpPr>
      <dsp:spPr>
        <a:xfrm>
          <a:off x="1816420" y="377508"/>
          <a:ext cx="880606" cy="1094028"/>
        </a:xfrm>
        <a:prstGeom prst="roundRect">
          <a:avLst>
            <a:gd name="adj" fmla="val 10000"/>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External analysis  </a:t>
          </a:r>
        </a:p>
        <a:p>
          <a:pPr marL="0" lvl="0" indent="0" algn="ctr" defTabSz="400050">
            <a:lnSpc>
              <a:spcPct val="90000"/>
            </a:lnSpc>
            <a:spcBef>
              <a:spcPct val="0"/>
            </a:spcBef>
            <a:spcAft>
              <a:spcPct val="35000"/>
            </a:spcAft>
            <a:buNone/>
          </a:pPr>
          <a:endParaRPr lang="en-GB" sz="900" kern="1200">
            <a:latin typeface="Arial" panose="020B0604020202020204" pitchFamily="34" charset="0"/>
            <a:cs typeface="Arial" panose="020B0604020202020204" pitchFamily="34" charset="0"/>
          </a:endParaRPr>
        </a:p>
        <a:p>
          <a:pPr marL="0" lvl="0" indent="0" algn="ctr" defTabSz="4000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  Internal analysis</a:t>
          </a:r>
          <a:endParaRPr lang="bg-BG" sz="900" kern="1200">
            <a:latin typeface="Arial" panose="020B0604020202020204" pitchFamily="34" charset="0"/>
            <a:cs typeface="Arial" panose="020B0604020202020204" pitchFamily="34" charset="0"/>
          </a:endParaRPr>
        </a:p>
      </dsp:txBody>
      <dsp:txXfrm>
        <a:off x="1842212" y="403300"/>
        <a:ext cx="829022" cy="1042444"/>
      </dsp:txXfrm>
    </dsp:sp>
    <dsp:sp modelId="{3025DA22-8C94-46A1-A4ED-28CDDD0305E2}">
      <dsp:nvSpPr>
        <dsp:cNvPr id="0" name=""/>
        <dsp:cNvSpPr/>
      </dsp:nvSpPr>
      <dsp:spPr>
        <a:xfrm>
          <a:off x="2784634" y="815888"/>
          <a:ext cx="185730" cy="217269"/>
        </a:xfrm>
        <a:prstGeom prst="rightArrow">
          <a:avLst>
            <a:gd name="adj1" fmla="val 60000"/>
            <a:gd name="adj2" fmla="val 50000"/>
          </a:avLst>
        </a:prstGeom>
        <a:gradFill rotWithShape="0">
          <a:gsLst>
            <a:gs pos="0">
              <a:schemeClr val="accent3">
                <a:tint val="60000"/>
                <a:hueOff val="0"/>
                <a:satOff val="0"/>
                <a:lumOff val="0"/>
                <a:alphaOff val="0"/>
                <a:satMod val="103000"/>
                <a:lumMod val="102000"/>
                <a:tint val="94000"/>
              </a:schemeClr>
            </a:gs>
            <a:gs pos="50000">
              <a:schemeClr val="accent3">
                <a:tint val="60000"/>
                <a:hueOff val="0"/>
                <a:satOff val="0"/>
                <a:lumOff val="0"/>
                <a:alphaOff val="0"/>
                <a:satMod val="110000"/>
                <a:lumMod val="100000"/>
                <a:shade val="100000"/>
              </a:schemeClr>
            </a:gs>
            <a:gs pos="100000">
              <a:schemeClr val="accent3">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bg-BG" sz="900" kern="1200"/>
        </a:p>
      </dsp:txBody>
      <dsp:txXfrm>
        <a:off x="2784634" y="859342"/>
        <a:ext cx="130011" cy="130361"/>
      </dsp:txXfrm>
    </dsp:sp>
    <dsp:sp modelId="{7EC76A17-E7D0-423D-8F66-B4190BAB9FEA}">
      <dsp:nvSpPr>
        <dsp:cNvPr id="0" name=""/>
        <dsp:cNvSpPr/>
      </dsp:nvSpPr>
      <dsp:spPr>
        <a:xfrm>
          <a:off x="3047460" y="765598"/>
          <a:ext cx="548455" cy="317848"/>
        </a:xfrm>
        <a:prstGeom prst="roundRect">
          <a:avLst>
            <a:gd name="adj" fmla="val 10000"/>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Strategic Choice</a:t>
          </a:r>
          <a:endParaRPr lang="bg-BG" sz="900" kern="1200">
            <a:latin typeface="Arial" panose="020B0604020202020204" pitchFamily="34" charset="0"/>
            <a:cs typeface="Arial" panose="020B0604020202020204" pitchFamily="34" charset="0"/>
          </a:endParaRPr>
        </a:p>
      </dsp:txBody>
      <dsp:txXfrm>
        <a:off x="3056769" y="774907"/>
        <a:ext cx="529837" cy="299230"/>
      </dsp:txXfrm>
    </dsp:sp>
    <dsp:sp modelId="{5167977F-A582-4AF1-87DC-67E6D40387DB}">
      <dsp:nvSpPr>
        <dsp:cNvPr id="0" name=""/>
        <dsp:cNvSpPr/>
      </dsp:nvSpPr>
      <dsp:spPr>
        <a:xfrm>
          <a:off x="3683524" y="815888"/>
          <a:ext cx="185730" cy="217269"/>
        </a:xfrm>
        <a:prstGeom prst="rightArrow">
          <a:avLst>
            <a:gd name="adj1" fmla="val 60000"/>
            <a:gd name="adj2" fmla="val 50000"/>
          </a:avLst>
        </a:prstGeom>
        <a:gradFill rotWithShape="0">
          <a:gsLst>
            <a:gs pos="0">
              <a:schemeClr val="accent3">
                <a:tint val="60000"/>
                <a:hueOff val="0"/>
                <a:satOff val="0"/>
                <a:lumOff val="0"/>
                <a:alphaOff val="0"/>
                <a:satMod val="103000"/>
                <a:lumMod val="102000"/>
                <a:tint val="94000"/>
              </a:schemeClr>
            </a:gs>
            <a:gs pos="50000">
              <a:schemeClr val="accent3">
                <a:tint val="60000"/>
                <a:hueOff val="0"/>
                <a:satOff val="0"/>
                <a:lumOff val="0"/>
                <a:alphaOff val="0"/>
                <a:satMod val="110000"/>
                <a:lumMod val="100000"/>
                <a:shade val="100000"/>
              </a:schemeClr>
            </a:gs>
            <a:gs pos="100000">
              <a:schemeClr val="accent3">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bg-BG" sz="900" kern="1200"/>
        </a:p>
      </dsp:txBody>
      <dsp:txXfrm>
        <a:off x="3683524" y="859342"/>
        <a:ext cx="130011" cy="130361"/>
      </dsp:txXfrm>
    </dsp:sp>
    <dsp:sp modelId="{CE6CA121-EE96-4DB8-8E9D-11CB417E25D0}">
      <dsp:nvSpPr>
        <dsp:cNvPr id="0" name=""/>
        <dsp:cNvSpPr/>
      </dsp:nvSpPr>
      <dsp:spPr>
        <a:xfrm>
          <a:off x="3946350" y="680871"/>
          <a:ext cx="742403" cy="487303"/>
        </a:xfrm>
        <a:prstGeom prst="roundRect">
          <a:avLst>
            <a:gd name="adj" fmla="val 10000"/>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Strategy Implementation</a:t>
          </a:r>
          <a:endParaRPr lang="bg-BG" sz="900" kern="1200">
            <a:latin typeface="Arial" panose="020B0604020202020204" pitchFamily="34" charset="0"/>
            <a:cs typeface="Arial" panose="020B0604020202020204" pitchFamily="34" charset="0"/>
          </a:endParaRPr>
        </a:p>
      </dsp:txBody>
      <dsp:txXfrm>
        <a:off x="3960623" y="695144"/>
        <a:ext cx="713857" cy="458757"/>
      </dsp:txXfrm>
    </dsp:sp>
    <dsp:sp modelId="{D58BC6EE-2CF4-4D83-84FB-391B598D5688}">
      <dsp:nvSpPr>
        <dsp:cNvPr id="0" name=""/>
        <dsp:cNvSpPr/>
      </dsp:nvSpPr>
      <dsp:spPr>
        <a:xfrm>
          <a:off x="4776362" y="815888"/>
          <a:ext cx="185730" cy="217269"/>
        </a:xfrm>
        <a:prstGeom prst="rightArrow">
          <a:avLst>
            <a:gd name="adj1" fmla="val 60000"/>
            <a:gd name="adj2" fmla="val 50000"/>
          </a:avLst>
        </a:prstGeom>
        <a:gradFill rotWithShape="0">
          <a:gsLst>
            <a:gs pos="0">
              <a:schemeClr val="accent3">
                <a:tint val="60000"/>
                <a:hueOff val="0"/>
                <a:satOff val="0"/>
                <a:lumOff val="0"/>
                <a:alphaOff val="0"/>
                <a:satMod val="103000"/>
                <a:lumMod val="102000"/>
                <a:tint val="94000"/>
              </a:schemeClr>
            </a:gs>
            <a:gs pos="50000">
              <a:schemeClr val="accent3">
                <a:tint val="60000"/>
                <a:hueOff val="0"/>
                <a:satOff val="0"/>
                <a:lumOff val="0"/>
                <a:alphaOff val="0"/>
                <a:satMod val="110000"/>
                <a:lumMod val="100000"/>
                <a:shade val="100000"/>
              </a:schemeClr>
            </a:gs>
            <a:gs pos="100000">
              <a:schemeClr val="accent3">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bg-BG" sz="900" kern="1200"/>
        </a:p>
      </dsp:txBody>
      <dsp:txXfrm>
        <a:off x="4776362" y="859342"/>
        <a:ext cx="130011" cy="130361"/>
      </dsp:txXfrm>
    </dsp:sp>
    <dsp:sp modelId="{31BFAD78-A497-41BA-87EF-54E075926AA2}">
      <dsp:nvSpPr>
        <dsp:cNvPr id="0" name=""/>
        <dsp:cNvSpPr/>
      </dsp:nvSpPr>
      <dsp:spPr>
        <a:xfrm>
          <a:off x="5039188" y="701934"/>
          <a:ext cx="815582" cy="445177"/>
        </a:xfrm>
        <a:prstGeom prst="roundRect">
          <a:avLst>
            <a:gd name="adj" fmla="val 10000"/>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Competitive Advantage </a:t>
          </a:r>
          <a:endParaRPr lang="bg-BG" sz="900" kern="1200">
            <a:latin typeface="Arial" panose="020B0604020202020204" pitchFamily="34" charset="0"/>
            <a:cs typeface="Arial" panose="020B0604020202020204" pitchFamily="34" charset="0"/>
          </a:endParaRPr>
        </a:p>
      </dsp:txBody>
      <dsp:txXfrm>
        <a:off x="5052227" y="714973"/>
        <a:ext cx="789504" cy="419099"/>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15" ma:contentTypeDescription="Create a new document." ma:contentTypeScope="" ma:versionID="a4031dda8815c6b278da84f54263ef19">
  <xsd:schema xmlns:xsd="http://www.w3.org/2001/XMLSchema" xmlns:xs="http://www.w3.org/2001/XMLSchema" xmlns:p="http://schemas.microsoft.com/office/2006/metadata/properties" xmlns:ns3="6730e359-ea60-4bf4-a90a-e46339816358" xmlns:ns4="5e11eeeb-aea2-48d1-b3ff-7dffc84c1762" targetNamespace="http://schemas.microsoft.com/office/2006/metadata/properties" ma:root="true" ma:fieldsID="54aa6ad2f159743ff10af28a7a001a59" ns3:_="" ns4:_="">
    <xsd:import namespace="6730e359-ea60-4bf4-a90a-e46339816358"/>
    <xsd:import namespace="5e11eeeb-aea2-48d1-b3ff-7dffc84c176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6730e359-ea60-4bf4-a90a-e46339816358"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EAFB527-8895-495C-8518-835F0C59C99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730e359-ea60-4bf4-a90a-e46339816358"/>
    <ds:schemaRef ds:uri="5e11eeeb-aea2-48d1-b3ff-7dffc84c17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70CB1E2-8154-41AF-A846-5F15FBF70693}">
  <ds:schemaRefs>
    <ds:schemaRef ds:uri="http://schemas.openxmlformats.org/officeDocument/2006/bibliography"/>
  </ds:schemaRefs>
</ds:datastoreItem>
</file>

<file path=customXml/itemProps3.xml><?xml version="1.0" encoding="utf-8"?>
<ds:datastoreItem xmlns:ds="http://schemas.openxmlformats.org/officeDocument/2006/customXml" ds:itemID="{1D8A496A-CD6A-4251-8389-07953D514093}">
  <ds:schemaRefs>
    <ds:schemaRef ds:uri="6730e359-ea60-4bf4-a90a-e46339816358"/>
    <ds:schemaRef ds:uri="http://schemas.microsoft.com/office/2006/documentManagement/types"/>
    <ds:schemaRef ds:uri="http://purl.org/dc/terms/"/>
    <ds:schemaRef ds:uri="http://www.w3.org/XML/1998/namespace"/>
    <ds:schemaRef ds:uri="http://schemas.microsoft.com/office/2006/metadata/properties"/>
    <ds:schemaRef ds:uri="http://schemas.microsoft.com/office/infopath/2007/PartnerControls"/>
    <ds:schemaRef ds:uri="http://purl.org/dc/elements/1.1/"/>
    <ds:schemaRef ds:uri="http://purl.org/dc/dcmitype/"/>
    <ds:schemaRef ds:uri="5e11eeeb-aea2-48d1-b3ff-7dffc84c1762"/>
    <ds:schemaRef ds:uri="http://schemas.openxmlformats.org/package/2006/metadata/core-properties"/>
  </ds:schemaRefs>
</ds:datastoreItem>
</file>

<file path=customXml/itemProps4.xml><?xml version="1.0" encoding="utf-8"?>
<ds:datastoreItem xmlns:ds="http://schemas.openxmlformats.org/officeDocument/2006/customXml" ds:itemID="{F521D5ED-F0CE-4264-B67B-9C119919DE3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5191</Words>
  <Characters>29590</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Yordanka</dc:creator>
  <cp:keywords/>
  <dc:description/>
  <cp:lastModifiedBy>Yordanka Kancheva (2017633)</cp:lastModifiedBy>
  <cp:revision>3</cp:revision>
  <dcterms:created xsi:type="dcterms:W3CDTF">2024-07-07T23:08:00Z</dcterms:created>
  <dcterms:modified xsi:type="dcterms:W3CDTF">2024-07-07T23:16:00Z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