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B5B6A" w14:textId="77777777" w:rsidR="00CE2EF0" w:rsidRPr="0059134C" w:rsidRDefault="00CE2EF0" w:rsidP="0059134C">
      <w:pPr>
        <w:spacing w:after="0" w:line="480" w:lineRule="auto"/>
        <w:jc w:val="center"/>
        <w:rPr>
          <w:rFonts w:ascii="Times New Roman" w:hAnsi="Times New Roman" w:cs="Times New Roman"/>
          <w:sz w:val="24"/>
          <w:szCs w:val="24"/>
        </w:rPr>
      </w:pPr>
    </w:p>
    <w:p w14:paraId="261F5E36" w14:textId="77777777" w:rsidR="00CE2EF0" w:rsidRPr="0059134C" w:rsidRDefault="00CE2EF0" w:rsidP="0059134C">
      <w:pPr>
        <w:spacing w:after="0" w:line="480" w:lineRule="auto"/>
        <w:jc w:val="center"/>
        <w:rPr>
          <w:rFonts w:ascii="Times New Roman" w:hAnsi="Times New Roman" w:cs="Times New Roman"/>
          <w:sz w:val="24"/>
          <w:szCs w:val="24"/>
        </w:rPr>
      </w:pPr>
    </w:p>
    <w:p w14:paraId="2863F872" w14:textId="77777777" w:rsidR="00CE2EF0" w:rsidRPr="0059134C" w:rsidRDefault="00CE2EF0" w:rsidP="0059134C">
      <w:pPr>
        <w:spacing w:after="0" w:line="480" w:lineRule="auto"/>
        <w:jc w:val="center"/>
        <w:rPr>
          <w:rFonts w:ascii="Times New Roman" w:hAnsi="Times New Roman" w:cs="Times New Roman"/>
          <w:sz w:val="24"/>
          <w:szCs w:val="24"/>
        </w:rPr>
      </w:pPr>
    </w:p>
    <w:p w14:paraId="6F1DC74A" w14:textId="77777777" w:rsidR="00CE2EF0" w:rsidRPr="0059134C" w:rsidRDefault="00CE2EF0" w:rsidP="0059134C">
      <w:pPr>
        <w:spacing w:after="0" w:line="480" w:lineRule="auto"/>
        <w:jc w:val="center"/>
        <w:rPr>
          <w:rFonts w:ascii="Times New Roman" w:hAnsi="Times New Roman" w:cs="Times New Roman"/>
          <w:sz w:val="24"/>
          <w:szCs w:val="24"/>
        </w:rPr>
      </w:pPr>
    </w:p>
    <w:p w14:paraId="35E92162" w14:textId="77777777" w:rsidR="00CE2EF0" w:rsidRPr="0059134C" w:rsidRDefault="00CE2EF0" w:rsidP="0059134C">
      <w:pPr>
        <w:spacing w:after="0" w:line="480" w:lineRule="auto"/>
        <w:jc w:val="center"/>
        <w:rPr>
          <w:rFonts w:ascii="Times New Roman" w:hAnsi="Times New Roman" w:cs="Times New Roman"/>
          <w:sz w:val="24"/>
          <w:szCs w:val="24"/>
        </w:rPr>
      </w:pPr>
    </w:p>
    <w:p w14:paraId="197ADEA2" w14:textId="77777777" w:rsidR="00CE2EF0" w:rsidRPr="0059134C" w:rsidRDefault="00CE2EF0" w:rsidP="0059134C">
      <w:pPr>
        <w:spacing w:after="0" w:line="480" w:lineRule="auto"/>
        <w:jc w:val="center"/>
        <w:rPr>
          <w:rFonts w:ascii="Times New Roman" w:hAnsi="Times New Roman" w:cs="Times New Roman"/>
          <w:sz w:val="24"/>
          <w:szCs w:val="24"/>
        </w:rPr>
      </w:pPr>
    </w:p>
    <w:p w14:paraId="4F2A9ADE" w14:textId="77777777" w:rsidR="00CE2EF0" w:rsidRPr="0059134C" w:rsidRDefault="00CE2EF0" w:rsidP="0059134C">
      <w:pPr>
        <w:spacing w:after="0" w:line="480" w:lineRule="auto"/>
        <w:jc w:val="center"/>
        <w:rPr>
          <w:rFonts w:ascii="Times New Roman" w:hAnsi="Times New Roman" w:cs="Times New Roman"/>
          <w:sz w:val="24"/>
          <w:szCs w:val="24"/>
        </w:rPr>
      </w:pPr>
    </w:p>
    <w:p w14:paraId="55094220" w14:textId="77777777" w:rsidR="00CE2EF0" w:rsidRPr="00267CE2" w:rsidRDefault="00CE2EF0" w:rsidP="00267CE2">
      <w:pPr>
        <w:pStyle w:val="NoSpacing"/>
        <w:jc w:val="center"/>
        <w:rPr>
          <w:rFonts w:ascii="Arial" w:hAnsi="Arial" w:cs="Arial"/>
        </w:rPr>
      </w:pPr>
    </w:p>
    <w:p w14:paraId="4C7183B2" w14:textId="41B9569C" w:rsidR="00CE2EF0" w:rsidRPr="00267CE2" w:rsidRDefault="00267CE2" w:rsidP="00267CE2">
      <w:pPr>
        <w:pStyle w:val="NoSpacing"/>
        <w:jc w:val="center"/>
        <w:rPr>
          <w:rFonts w:ascii="Times New Roman" w:hAnsi="Times New Roman" w:cs="Times New Roman"/>
          <w:b/>
          <w:bCs/>
          <w:i/>
          <w:iCs/>
          <w:sz w:val="24"/>
          <w:szCs w:val="24"/>
        </w:rPr>
      </w:pPr>
      <w:r w:rsidRPr="00267CE2">
        <w:rPr>
          <w:rFonts w:ascii="Times New Roman" w:hAnsi="Times New Roman" w:cs="Times New Roman"/>
          <w:b/>
          <w:bCs/>
          <w:i/>
          <w:iCs/>
          <w:sz w:val="24"/>
          <w:szCs w:val="24"/>
        </w:rPr>
        <w:t>Revitalizing The Seaview Resort: A Comprehensive Turnaround Strategy</w:t>
      </w:r>
    </w:p>
    <w:p w14:paraId="09F60F68" w14:textId="77777777" w:rsidR="00CE2EF0" w:rsidRPr="0059134C" w:rsidRDefault="00CE2EF0" w:rsidP="00267CE2">
      <w:pPr>
        <w:spacing w:after="0" w:line="480" w:lineRule="auto"/>
        <w:rPr>
          <w:rFonts w:ascii="Times New Roman" w:hAnsi="Times New Roman" w:cs="Times New Roman"/>
          <w:sz w:val="24"/>
          <w:szCs w:val="24"/>
        </w:rPr>
      </w:pPr>
    </w:p>
    <w:p w14:paraId="52A62B17" w14:textId="2BDA3DBC" w:rsidR="00CE2EF0" w:rsidRDefault="00267CE2" w:rsidP="00267CE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Nuri Begum</w:t>
      </w:r>
    </w:p>
    <w:p w14:paraId="22170D61" w14:textId="326A7D70" w:rsidR="00267CE2" w:rsidRPr="0059134C" w:rsidRDefault="00267CE2" w:rsidP="00267CE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Lecturer: Tristan Hawkins</w:t>
      </w:r>
    </w:p>
    <w:p w14:paraId="01849A17" w14:textId="0B9D3A62" w:rsidR="00CE2EF0" w:rsidRPr="0059134C" w:rsidRDefault="00267CE2" w:rsidP="00267CE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Financial Management of the Hotel Industry BMIH5007</w:t>
      </w:r>
    </w:p>
    <w:p w14:paraId="3A1EA87D" w14:textId="48EE1727" w:rsidR="00267CE2" w:rsidRDefault="00CE2EF0" w:rsidP="00267CE2">
      <w:pPr>
        <w:spacing w:after="0" w:line="480" w:lineRule="auto"/>
        <w:jc w:val="center"/>
        <w:rPr>
          <w:rFonts w:ascii="Times New Roman" w:hAnsi="Times New Roman" w:cs="Times New Roman"/>
          <w:sz w:val="24"/>
          <w:szCs w:val="24"/>
        </w:rPr>
      </w:pPr>
      <w:r w:rsidRPr="0059134C">
        <w:rPr>
          <w:rFonts w:ascii="Times New Roman" w:hAnsi="Times New Roman" w:cs="Times New Roman"/>
          <w:sz w:val="24"/>
          <w:szCs w:val="24"/>
        </w:rPr>
        <w:t>University</w:t>
      </w:r>
      <w:r w:rsidR="00267CE2">
        <w:rPr>
          <w:rFonts w:ascii="Times New Roman" w:hAnsi="Times New Roman" w:cs="Times New Roman"/>
          <w:sz w:val="24"/>
          <w:szCs w:val="24"/>
        </w:rPr>
        <w:t xml:space="preserve"> of Wales Trinidad Saint David</w:t>
      </w:r>
    </w:p>
    <w:p w14:paraId="7B854DF7" w14:textId="29D56B57" w:rsidR="00D02804" w:rsidRPr="0059134C" w:rsidRDefault="00D02804" w:rsidP="00D0280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Word count:</w:t>
      </w:r>
      <w:r w:rsidR="00267CE2">
        <w:rPr>
          <w:rFonts w:ascii="Times New Roman" w:hAnsi="Times New Roman" w:cs="Times New Roman"/>
          <w:sz w:val="24"/>
          <w:szCs w:val="24"/>
        </w:rPr>
        <w:t xml:space="preserve"> </w:t>
      </w:r>
      <w:r>
        <w:rPr>
          <w:rFonts w:ascii="Times New Roman" w:hAnsi="Times New Roman" w:cs="Times New Roman"/>
          <w:sz w:val="24"/>
          <w:szCs w:val="24"/>
        </w:rPr>
        <w:t>2</w:t>
      </w:r>
      <w:r w:rsidR="006C7F63">
        <w:rPr>
          <w:rFonts w:ascii="Times New Roman" w:hAnsi="Times New Roman" w:cs="Times New Roman"/>
          <w:sz w:val="24"/>
          <w:szCs w:val="24"/>
        </w:rPr>
        <w:t>129</w:t>
      </w:r>
    </w:p>
    <w:p w14:paraId="4CDB1138" w14:textId="77777777" w:rsidR="00CE2EF0" w:rsidRPr="0059134C" w:rsidRDefault="00CE2EF0" w:rsidP="00D02804">
      <w:pPr>
        <w:spacing w:after="0" w:line="480" w:lineRule="auto"/>
        <w:jc w:val="center"/>
        <w:rPr>
          <w:rFonts w:ascii="Times New Roman" w:hAnsi="Times New Roman" w:cs="Times New Roman"/>
          <w:sz w:val="24"/>
          <w:szCs w:val="24"/>
        </w:rPr>
      </w:pPr>
      <w:r w:rsidRPr="0059134C">
        <w:rPr>
          <w:rFonts w:ascii="Times New Roman" w:hAnsi="Times New Roman" w:cs="Times New Roman"/>
          <w:sz w:val="24"/>
          <w:szCs w:val="24"/>
        </w:rPr>
        <w:br w:type="page"/>
      </w:r>
    </w:p>
    <w:p w14:paraId="345ECC1D" w14:textId="1F3B9BF7" w:rsidR="00E231FC" w:rsidRPr="0059134C" w:rsidRDefault="00000000" w:rsidP="0059134C">
      <w:pPr>
        <w:spacing w:after="0" w:line="480" w:lineRule="auto"/>
        <w:jc w:val="center"/>
        <w:rPr>
          <w:rFonts w:ascii="Times New Roman" w:hAnsi="Times New Roman" w:cs="Times New Roman"/>
          <w:b/>
          <w:bCs/>
          <w:sz w:val="24"/>
          <w:szCs w:val="24"/>
        </w:rPr>
      </w:pPr>
      <w:r w:rsidRPr="0059134C">
        <w:rPr>
          <w:rFonts w:ascii="Times New Roman" w:hAnsi="Times New Roman" w:cs="Times New Roman"/>
          <w:b/>
          <w:bCs/>
          <w:sz w:val="24"/>
          <w:szCs w:val="24"/>
        </w:rPr>
        <w:lastRenderedPageBreak/>
        <w:t>Introduction</w:t>
      </w:r>
    </w:p>
    <w:p w14:paraId="33C94DA0" w14:textId="7DC91579" w:rsidR="005B216B" w:rsidRPr="0059134C" w:rsidRDefault="00000000" w:rsidP="00316DAF">
      <w:pPr>
        <w:pStyle w:val="tiptap-paragraph"/>
        <w:spacing w:before="0" w:beforeAutospacing="0" w:after="0" w:afterAutospacing="0" w:line="480" w:lineRule="auto"/>
        <w:ind w:firstLine="720"/>
      </w:pPr>
      <w:r w:rsidRPr="0059134C">
        <w:t xml:space="preserve">The Seaview Resort, nestled along a picturesque coastline, once stood as an epitome of luxury and relaxation, attracting vacationers seeking solace and rejuvenation. Unfortunately, </w:t>
      </w:r>
      <w:r w:rsidR="00B07C15">
        <w:t>recently</w:t>
      </w:r>
      <w:r w:rsidRPr="0059134C">
        <w:t xml:space="preserve">, this once picturesque refuge has been disquieted by a troubling diminishment in various significant gauges of success, specifically income, occupancy percentages, and customer fulfillment, which collectively </w:t>
      </w:r>
      <w:r w:rsidR="00B07C15" w:rsidRPr="0059134C">
        <w:t>foreshadow</w:t>
      </w:r>
      <w:r w:rsidRPr="0059134C">
        <w:t xml:space="preserve"> potential troubles ahead. The resort's owner, Mr. James Henderson, faces the daunting challenge of rejuvenating the resort's fortunes. </w:t>
      </w:r>
    </w:p>
    <w:p w14:paraId="4CB3CBD7" w14:textId="07CFFA87" w:rsidR="00E231FC" w:rsidRPr="0059134C" w:rsidRDefault="00000000" w:rsidP="00316DAF">
      <w:pPr>
        <w:pStyle w:val="tiptap-paragraph"/>
        <w:spacing w:before="0" w:beforeAutospacing="0" w:after="0" w:afterAutospacing="0" w:line="480" w:lineRule="auto"/>
        <w:ind w:firstLine="720"/>
      </w:pPr>
      <w:r w:rsidRPr="0059134C">
        <w:t xml:space="preserve">Given the immense challenges present, it appears as though Mr. </w:t>
      </w:r>
      <w:r w:rsidR="002C77AF" w:rsidRPr="0059134C">
        <w:t xml:space="preserve">James </w:t>
      </w:r>
      <w:r w:rsidRPr="0059134C">
        <w:t>may encounter significant difficulties in their efforts to overcome this challenge. We will need to consider his approach carefully. Henderson has turned to our expertise, seeking an in-depth evaluation of the resort's financial health and the formulation of a comprehensive turnaround strategy. This report is not just an assessment but a blueprint for transformation. This analysis aims to explore the resort's financial records spanning the previous three-year period, to discern and comprehend the underlying rationales contributing to diminishing returns, and ultimately to devise an encompassing recovery blueprint with the objective of not only reinvigorating fiscal fitness but also reinstating esteem as a preeminent place of the holiday. This strategy will be carefully crafted to encompass the most viable financial outcomes and ensure the Seaview Resort's resurgence in the competitive hospitality landscape.</w:t>
      </w:r>
    </w:p>
    <w:p w14:paraId="289FD358" w14:textId="77777777" w:rsidR="003A18FA" w:rsidRPr="0059134C" w:rsidRDefault="00000000" w:rsidP="0059134C">
      <w:pPr>
        <w:spacing w:after="0" w:line="480" w:lineRule="auto"/>
        <w:jc w:val="center"/>
        <w:rPr>
          <w:rFonts w:ascii="Times New Roman" w:hAnsi="Times New Roman" w:cs="Times New Roman"/>
          <w:b/>
          <w:bCs/>
          <w:sz w:val="24"/>
          <w:szCs w:val="24"/>
        </w:rPr>
      </w:pPr>
      <w:r w:rsidRPr="0059134C">
        <w:rPr>
          <w:rFonts w:ascii="Times New Roman" w:hAnsi="Times New Roman" w:cs="Times New Roman"/>
          <w:b/>
          <w:bCs/>
          <w:sz w:val="24"/>
          <w:szCs w:val="24"/>
        </w:rPr>
        <w:t>Analyzing Financial Performance (2020-2022)</w:t>
      </w:r>
    </w:p>
    <w:p w14:paraId="167BA173" w14:textId="4FD285EE" w:rsidR="00720B6F" w:rsidRPr="0059134C" w:rsidRDefault="00000000" w:rsidP="00316DAF">
      <w:pPr>
        <w:pStyle w:val="tiptap-paragraph"/>
        <w:spacing w:before="0" w:beforeAutospacing="0" w:after="0" w:afterAutospacing="0" w:line="480" w:lineRule="auto"/>
        <w:ind w:firstLine="720"/>
      </w:pPr>
      <w:r w:rsidRPr="0059134C">
        <w:t>The financial performance analysis of The Seaview Resort, spanning from 2020 to 2022, reveals a troubling narrative</w:t>
      </w:r>
      <w:r w:rsidR="002C77AF" w:rsidRPr="002C77AF">
        <w:t xml:space="preserve"> </w:t>
      </w:r>
      <w:r w:rsidR="002C77AF">
        <w:t>(Goodson and Greenberg, 2021)</w:t>
      </w:r>
      <w:r w:rsidRPr="0059134C">
        <w:t xml:space="preserve">. The resort's total revenue, a fundamental indicator of its fiscal health, has been on a persistent downward trajectory. Regrettably, over the three-year timeframe spanning 2020 through 2022, the property, which had </w:t>
      </w:r>
      <w:r w:rsidRPr="0059134C">
        <w:lastRenderedPageBreak/>
        <w:t>commenced with a relatively sound valuation of £520,000, witnessed a steady devaluation, first diminishing to £480,000 in the subsequent year prior to experiencing a more precipitous decline culminating in a mere £430,000 assessment by 2022's conclusion. This consistent decline in revenue should be viewed as a glaring red flag, demanding immediate attention and action. The looming revenue shortfall portends a dire fiscal emergency that jeopardizes the resort's capacity for continued economic survival and its prospects for maintaining operations over the long haul.</w:t>
      </w:r>
    </w:p>
    <w:p w14:paraId="1FED8163" w14:textId="77777777" w:rsidR="00720B6F" w:rsidRPr="0059134C" w:rsidRDefault="00000000" w:rsidP="00316DAF">
      <w:pPr>
        <w:pStyle w:val="tiptap-paragraph"/>
        <w:spacing w:before="0" w:beforeAutospacing="0" w:after="0" w:afterAutospacing="0" w:line="480" w:lineRule="auto"/>
        <w:ind w:firstLine="720"/>
      </w:pPr>
      <w:r w:rsidRPr="0059134C">
        <w:t>Simultaneously, the net profit of The Seaview Resort experienced a substantial decline over these three years. The resort's net profit plunged from a noteworthy £78,000 in 2020 to a concerning £40,000 in 2021, reaching a worrying low of only £17,500 in 2022. The precipitous decline in net earnings highlights the severity of the resort's fiscal difficulties, conveying that it is finding difficulty in achieving a profit sizeable enough to sustain its functions and satisfy its financial commitments.</w:t>
      </w:r>
    </w:p>
    <w:p w14:paraId="758966D0" w14:textId="77777777" w:rsidR="00E231FC" w:rsidRPr="0059134C" w:rsidRDefault="00000000" w:rsidP="00316DAF">
      <w:pPr>
        <w:pStyle w:val="tiptap-paragraph"/>
        <w:spacing w:before="0" w:beforeAutospacing="0" w:after="0" w:afterAutospacing="0" w:line="480" w:lineRule="auto"/>
        <w:ind w:firstLine="720"/>
      </w:pPr>
      <w:r w:rsidRPr="0059134C">
        <w:t>The decline in net profit margins further intensifies the concerns. Unfortunately for the resort, their once sturdy net profit margin, which had reliably demonstrated an ability to contain expenses and preserve profitability, reduced from a quite healthy 15% in the year 2020 down to a less reassuring 8% in 2021 prior to diminishing to a disquieting 4% in the year 2022. This consistent decline in profit margins highlights the resort's struggle to manage its expenses efficiently and maintain profitability. Collectively, these financial metrics underscore a distressing and consistent decline in The Seaview Resort's financial performance over the three-year period. The resort is confronted with severe sustainability challenges that necessitate immediate remediation. It is of utmost importance that these issues be urgently resolved so as to safeguard the resort's fiscal viability and restore its former status as a premier locale for visitors seeking leisure travel and rejuvenation</w:t>
      </w:r>
      <w:r w:rsidR="003A18FA" w:rsidRPr="0059134C">
        <w:t>.</w:t>
      </w:r>
    </w:p>
    <w:p w14:paraId="333A2E14" w14:textId="77777777" w:rsidR="00E231FC" w:rsidRPr="0059134C" w:rsidRDefault="00000000" w:rsidP="0059134C">
      <w:pPr>
        <w:spacing w:after="0" w:line="480" w:lineRule="auto"/>
        <w:jc w:val="center"/>
        <w:rPr>
          <w:rFonts w:ascii="Times New Roman" w:hAnsi="Times New Roman" w:cs="Times New Roman"/>
          <w:b/>
          <w:bCs/>
          <w:sz w:val="24"/>
          <w:szCs w:val="24"/>
        </w:rPr>
      </w:pPr>
      <w:r w:rsidRPr="0059134C">
        <w:rPr>
          <w:rFonts w:ascii="Times New Roman" w:hAnsi="Times New Roman" w:cs="Times New Roman"/>
          <w:b/>
          <w:bCs/>
          <w:sz w:val="24"/>
          <w:szCs w:val="24"/>
        </w:rPr>
        <w:lastRenderedPageBreak/>
        <w:t>Identifying Key Reasons Behind Decline in Profitability</w:t>
      </w:r>
    </w:p>
    <w:p w14:paraId="5A067A20" w14:textId="77777777" w:rsidR="00690F99" w:rsidRPr="0059134C" w:rsidRDefault="00000000" w:rsidP="00316DAF">
      <w:pPr>
        <w:pStyle w:val="tiptap-paragraph"/>
        <w:spacing w:before="0" w:beforeAutospacing="0" w:after="0" w:afterAutospacing="0" w:line="480" w:lineRule="auto"/>
        <w:ind w:firstLine="720"/>
      </w:pPr>
      <w:r w:rsidRPr="0059134C">
        <w:t>A number of interrelated causes have contributed significantly to The Seaview Resort's financial depression. These reasons are responsible for the resort's declining profitability. The foremost challenge lies in the diminishing Average Room Rate (ARR) and Occupancy Rate, both of which are critical drivers of revenue. In 2020, the ARR stood at a healthy £250, with a robust 70% occupancy rate. However, as of 2022, the ARR plummeted to £210, accompanied by a declining occupancy rate of 60%. This adverse trend suggests a decline in competitiveness that may have originated from an inability to adjust strategies to shifting market forces, emerging rivals, or transforming client needs. The resort's inability to maintain ARR and occupancy rates is a key reason for the drop in revenue.</w:t>
      </w:r>
    </w:p>
    <w:p w14:paraId="4587F4B1" w14:textId="77777777" w:rsidR="00690F99" w:rsidRPr="0059134C" w:rsidRDefault="00000000" w:rsidP="00316DAF">
      <w:pPr>
        <w:pStyle w:val="tiptap-paragraph"/>
        <w:spacing w:before="0" w:beforeAutospacing="0" w:after="0" w:afterAutospacing="0" w:line="480" w:lineRule="auto"/>
        <w:ind w:firstLine="720"/>
      </w:pPr>
      <w:r w:rsidRPr="0059134C">
        <w:t>Unfortunately, the resort's profitability has suffered due to a rise in its ongoing costs of business. Expenses associated with ongoing business operations experienced a substantial increase, jumping from three hundred and ninety thousand British pounds in 2020 to four hundred and fifty thousand in 2022. This upward trajectory in costs significantly impacted the resort's gross profit, leaving a narrower margin for net profit. The resort should focus on scrutinizing and optimizing these operating costs to enhance profitability.</w:t>
      </w:r>
    </w:p>
    <w:p w14:paraId="0BC306B1" w14:textId="77777777" w:rsidR="003A18FA" w:rsidRPr="0059134C" w:rsidRDefault="00000000" w:rsidP="00316DAF">
      <w:pPr>
        <w:pStyle w:val="tiptap-paragraph"/>
        <w:spacing w:before="0" w:beforeAutospacing="0" w:after="0" w:afterAutospacing="0" w:line="480" w:lineRule="auto"/>
        <w:ind w:firstLine="720"/>
      </w:pPr>
      <w:r w:rsidRPr="0059134C">
        <w:t>Negative net cash flow from operations of -£80,000 in 2021 presents another critical issue. This signals liquidity challenges that could lead to financial distress. Prudent oversight of incoming and outgoing funds is crucial to allow for daily functioning and fulfillment of duties owed financially. The resort's already tenuous financial situation has been exacerbated by the considerable long-term liability of £500,000 that places enormous strain on its fragile economic circumstances. This debt should be a priority for restructuring to secure more favorable terms, potentially reducing interest expenses and providing financial relief.</w:t>
      </w:r>
    </w:p>
    <w:p w14:paraId="7C37716B" w14:textId="1A5D2758" w:rsidR="00684AC8" w:rsidRPr="00E00E4F" w:rsidRDefault="00000000" w:rsidP="00E00E4F">
      <w:pPr>
        <w:spacing w:after="0" w:line="480" w:lineRule="auto"/>
        <w:jc w:val="center"/>
        <w:rPr>
          <w:rFonts w:ascii="Times New Roman" w:hAnsi="Times New Roman" w:cs="Times New Roman"/>
          <w:b/>
          <w:bCs/>
          <w:sz w:val="24"/>
          <w:szCs w:val="24"/>
        </w:rPr>
      </w:pPr>
      <w:r w:rsidRPr="0059134C">
        <w:rPr>
          <w:rFonts w:ascii="Times New Roman" w:hAnsi="Times New Roman" w:cs="Times New Roman"/>
          <w:b/>
          <w:bCs/>
          <w:sz w:val="24"/>
          <w:szCs w:val="24"/>
        </w:rPr>
        <w:lastRenderedPageBreak/>
        <w:t>Developing a Comprehensive Turnaround Strategy</w:t>
      </w:r>
    </w:p>
    <w:p w14:paraId="76071732" w14:textId="77777777" w:rsidR="00684AC8" w:rsidRPr="0059134C" w:rsidRDefault="00000000" w:rsidP="00316DAF">
      <w:pPr>
        <w:pStyle w:val="tiptap-paragraph"/>
        <w:spacing w:before="0" w:beforeAutospacing="0" w:after="0" w:afterAutospacing="0" w:line="480" w:lineRule="auto"/>
        <w:ind w:firstLine="720"/>
      </w:pPr>
      <w:r w:rsidRPr="0059134C">
        <w:t xml:space="preserve">The assessment's overarching goal lies in crafting </w:t>
      </w:r>
      <w:r w:rsidR="00BE5F9B" w:rsidRPr="0059134C">
        <w:t>an</w:t>
      </w:r>
      <w:r w:rsidRPr="0059134C">
        <w:t xml:space="preserve"> all-encompassing turnaround strategy that has the ability not simply to revive The Seaview Resort's fiscal well-being but additionally reestablish its standing as a premier locale for visitors seeking relaxation and escape. The resort's recent financial struggles, as evidenced by declining revenue, shrinking net earnings, and deteriorating profit margins, have prompted serious worries regarding its ability to persist and remain viable over the long run. To address these challenges effectively, it is imperative to formulate a holistic and adaptable strategy that encompasses multiple facets and can create the most viable financial outcomes for the resort.</w:t>
      </w:r>
    </w:p>
    <w:p w14:paraId="0911C6CA" w14:textId="74CFAD07" w:rsidR="00684AC8" w:rsidRPr="0059134C" w:rsidRDefault="00000000" w:rsidP="00316DAF">
      <w:pPr>
        <w:pStyle w:val="tiptap-paragraph"/>
        <w:spacing w:before="0" w:beforeAutospacing="0" w:after="0" w:afterAutospacing="0" w:line="480" w:lineRule="auto"/>
        <w:ind w:firstLine="720"/>
      </w:pPr>
      <w:r w:rsidRPr="0059134C">
        <w:t xml:space="preserve">This all-encompassing turnaround plan is intended to address the underlying reasons for the resort's financial downturn and act as a guide for its recovery. It will be thoughtfully designed to preserve and strengthen the resort's standing as a top holiday spot renowned for luxury and leisure. While this strategy could address immediate needs, its true purpose is to guide ongoing progress towards durable well-being, strength in adversity, and fruitful Plenty through seasons. Through a nuanced, multi-pronged approach, </w:t>
      </w:r>
      <w:r w:rsidR="00092A33">
        <w:t xml:space="preserve">we have </w:t>
      </w:r>
      <w:r w:rsidRPr="0059134C">
        <w:t>devised a strategic solution intended to overcome current fiscal difficulties while simultaneously refurbishing its renowned status as a premier locale for coastal vacationing. This strategy comprises several key components:</w:t>
      </w:r>
    </w:p>
    <w:p w14:paraId="5140E8AA" w14:textId="2C9C1354" w:rsidR="006969A9" w:rsidRPr="00316DAF"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1. Enhance Customer Experience</w:t>
      </w:r>
    </w:p>
    <w:p w14:paraId="422AA20A" w14:textId="7D5A0542" w:rsidR="006969A9"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Enhancing the customer experience is at the core of The Seaview Resort's revival strategy. Modernizing the resort's amenities, rooms, and common areas is not just about meeting customer expectations but exceeding them. By investing in renovations and upgrades, the resort creates a more appealing and attractive environment for guests, ultimately broadening its appeal to a more discerning clientele seeking contemporary comforts</w:t>
      </w:r>
      <w:r w:rsidR="00C01112">
        <w:rPr>
          <w:rFonts w:ascii="Times New Roman" w:hAnsi="Times New Roman" w:cs="Times New Roman"/>
          <w:sz w:val="24"/>
          <w:szCs w:val="24"/>
        </w:rPr>
        <w:t xml:space="preserve"> </w:t>
      </w:r>
      <w:r w:rsidR="00C01112" w:rsidRPr="00C01112">
        <w:rPr>
          <w:rFonts w:ascii="Times New Roman" w:hAnsi="Times New Roman" w:cs="Times New Roman"/>
          <w:sz w:val="24"/>
          <w:szCs w:val="24"/>
        </w:rPr>
        <w:t>(Roberts, 2023)</w:t>
      </w:r>
      <w:r w:rsidRPr="0059134C">
        <w:rPr>
          <w:rFonts w:ascii="Times New Roman" w:hAnsi="Times New Roman" w:cs="Times New Roman"/>
          <w:sz w:val="24"/>
          <w:szCs w:val="24"/>
        </w:rPr>
        <w:t>.</w:t>
      </w:r>
    </w:p>
    <w:p w14:paraId="5DF73F99"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lastRenderedPageBreak/>
        <w:t>2. Pricing and Revenue Management</w:t>
      </w:r>
    </w:p>
    <w:p w14:paraId="714FBF19" w14:textId="7EBC8264" w:rsidR="00E231FC"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An essential part of The Seaview Resort's rehabilitation plan is pricing and revenue control. A dynamic pricing strategy is necessary to address the problems of falling room prices and occupancy rates</w:t>
      </w:r>
      <w:r w:rsidR="00A373FD" w:rsidRPr="00A373FD">
        <w:t xml:space="preserve"> </w:t>
      </w:r>
      <w:r w:rsidR="00A373FD" w:rsidRPr="00A373FD">
        <w:rPr>
          <w:rFonts w:ascii="Times New Roman" w:hAnsi="Times New Roman" w:cs="Times New Roman"/>
          <w:sz w:val="24"/>
          <w:szCs w:val="24"/>
        </w:rPr>
        <w:t>(Cho et al., 2018)</w:t>
      </w:r>
      <w:r w:rsidRPr="0059134C">
        <w:rPr>
          <w:rFonts w:ascii="Times New Roman" w:hAnsi="Times New Roman" w:cs="Times New Roman"/>
          <w:sz w:val="24"/>
          <w:szCs w:val="24"/>
        </w:rPr>
        <w:t>. By keeping the resort competitive in the market, this method allows for flexible price modifications in response to events, demand, and seasonal swings, ultimately optimizing income for the resort</w:t>
      </w:r>
      <w:r w:rsidR="00196CFF">
        <w:rPr>
          <w:rFonts w:ascii="Times New Roman" w:hAnsi="Times New Roman" w:cs="Times New Roman"/>
          <w:sz w:val="24"/>
          <w:szCs w:val="24"/>
        </w:rPr>
        <w:t xml:space="preserve"> </w:t>
      </w:r>
      <w:r w:rsidR="00196CFF" w:rsidRPr="00196CFF">
        <w:rPr>
          <w:rFonts w:ascii="Times New Roman" w:hAnsi="Times New Roman" w:cs="Times New Roman"/>
          <w:sz w:val="24"/>
          <w:szCs w:val="24"/>
        </w:rPr>
        <w:t>(</w:t>
      </w:r>
      <w:proofErr w:type="spellStart"/>
      <w:r w:rsidR="00196CFF" w:rsidRPr="00196CFF">
        <w:rPr>
          <w:rFonts w:ascii="Times New Roman" w:hAnsi="Times New Roman" w:cs="Times New Roman"/>
          <w:sz w:val="24"/>
          <w:szCs w:val="24"/>
        </w:rPr>
        <w:t>Czinkota</w:t>
      </w:r>
      <w:proofErr w:type="spellEnd"/>
      <w:r w:rsidR="00196CFF" w:rsidRPr="00196CFF">
        <w:rPr>
          <w:rFonts w:ascii="Times New Roman" w:hAnsi="Times New Roman" w:cs="Times New Roman"/>
          <w:sz w:val="24"/>
          <w:szCs w:val="24"/>
        </w:rPr>
        <w:t xml:space="preserve"> et al., 2021)</w:t>
      </w:r>
      <w:r w:rsidRPr="0059134C">
        <w:rPr>
          <w:rFonts w:ascii="Times New Roman" w:hAnsi="Times New Roman" w:cs="Times New Roman"/>
          <w:sz w:val="24"/>
          <w:szCs w:val="24"/>
        </w:rPr>
        <w:t xml:space="preserve">. </w:t>
      </w:r>
    </w:p>
    <w:p w14:paraId="1B631F37"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3. Cost Control</w:t>
      </w:r>
    </w:p>
    <w:p w14:paraId="029A60A6" w14:textId="0224203E" w:rsidR="00316DAF" w:rsidRDefault="00000000" w:rsidP="00316DAF">
      <w:pPr>
        <w:pStyle w:val="tiptap-paragraph"/>
        <w:spacing w:before="0" w:beforeAutospacing="0" w:after="0" w:afterAutospacing="0" w:line="480" w:lineRule="auto"/>
        <w:ind w:firstLine="720"/>
      </w:pPr>
      <w:r w:rsidRPr="0059134C">
        <w:t>Central to achieving sustainable profitability is effective cost control. The resort must conduct a comprehensive analysis of its operating expenses to identify cost-saving opportunities without compromising service quality</w:t>
      </w:r>
      <w:r w:rsidR="00FD5717">
        <w:t xml:space="preserve"> (Pillay and Njenga, 2021</w:t>
      </w:r>
      <w:r w:rsidR="00F86D3D">
        <w:t>; Chen et al., 2018</w:t>
      </w:r>
      <w:r w:rsidR="00FD5717">
        <w:t>)</w:t>
      </w:r>
      <w:r w:rsidRPr="0059134C">
        <w:t>. This involves a meticulous review of all expenditure categories, such as labor, supplies, maintenance, and overhead. By optimizing operations and eliminating inefficiencies, the resort can enhance its financial health</w:t>
      </w:r>
      <w:r w:rsidR="00222CB2">
        <w:t xml:space="preserve"> (Elphick, 2023)</w:t>
      </w:r>
      <w:r w:rsidRPr="0059134C">
        <w:t>.</w:t>
      </w:r>
    </w:p>
    <w:p w14:paraId="5564EA7E" w14:textId="2F0986F2" w:rsidR="00E231FC" w:rsidRPr="0059134C" w:rsidRDefault="00000000" w:rsidP="00316DAF">
      <w:pPr>
        <w:pStyle w:val="tiptap-paragraph"/>
        <w:spacing w:before="0" w:beforeAutospacing="0" w:after="0" w:afterAutospacing="0" w:line="480" w:lineRule="auto"/>
        <w:ind w:firstLine="720"/>
      </w:pPr>
      <w:r w:rsidRPr="0059134C">
        <w:t xml:space="preserve">Additionally, the implementation of energy-efficient solutions is paramount. </w:t>
      </w:r>
      <w:r w:rsidR="00674981" w:rsidRPr="0059134C">
        <w:t>The resort's shift to sustainable energy sources, optimization of energy use, plus reduction of utility bills not only minimize its environmental impact but also improve its financial performance</w:t>
      </w:r>
      <w:r w:rsidR="00C13E11">
        <w:t xml:space="preserve"> (</w:t>
      </w:r>
      <w:proofErr w:type="spellStart"/>
      <w:r w:rsidR="00C13E11">
        <w:t>Kabeyi</w:t>
      </w:r>
      <w:proofErr w:type="spellEnd"/>
      <w:r w:rsidR="00C13E11">
        <w:t xml:space="preserve"> and Olanrewaju, 2022)</w:t>
      </w:r>
      <w:r w:rsidR="00674981" w:rsidRPr="0059134C">
        <w:t>.</w:t>
      </w:r>
      <w:r w:rsidRPr="0059134C">
        <w:t xml:space="preserve"> Energy-efficient practices align with the resort's eco-friendly initiatives and play a crucial role in minimizing operational expenses while improving profitability</w:t>
      </w:r>
      <w:r w:rsidR="00A7604A">
        <w:t xml:space="preserve"> (Lagun, 2023)</w:t>
      </w:r>
      <w:r w:rsidRPr="0059134C">
        <w:t>.</w:t>
      </w:r>
      <w:r w:rsidR="00A7604A">
        <w:t xml:space="preserve"> </w:t>
      </w:r>
    </w:p>
    <w:p w14:paraId="1B84CD93"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4. Debt Restructuring</w:t>
      </w:r>
    </w:p>
    <w:p w14:paraId="50CF4629" w14:textId="748E552F" w:rsidR="00E231FC"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Resolving the significant £500,000 long-term debt is essential to The Seaview Resort's financial turnaround. Restructuring debt is essential to reducing debt and improving overall financial well-being</w:t>
      </w:r>
      <w:r w:rsidR="00782782">
        <w:rPr>
          <w:rFonts w:ascii="Times New Roman" w:hAnsi="Times New Roman" w:cs="Times New Roman"/>
          <w:sz w:val="24"/>
          <w:szCs w:val="24"/>
        </w:rPr>
        <w:t xml:space="preserve"> </w:t>
      </w:r>
      <w:r w:rsidR="00782782" w:rsidRPr="00782782">
        <w:rPr>
          <w:rFonts w:ascii="Times New Roman" w:hAnsi="Times New Roman" w:cs="Times New Roman"/>
          <w:sz w:val="24"/>
          <w:szCs w:val="24"/>
        </w:rPr>
        <w:t>(</w:t>
      </w:r>
      <w:proofErr w:type="spellStart"/>
      <w:r w:rsidR="00782782" w:rsidRPr="00782782">
        <w:rPr>
          <w:rFonts w:ascii="Times New Roman" w:hAnsi="Times New Roman" w:cs="Times New Roman"/>
          <w:sz w:val="24"/>
          <w:szCs w:val="24"/>
        </w:rPr>
        <w:t>Mavlutova</w:t>
      </w:r>
      <w:proofErr w:type="spellEnd"/>
      <w:r w:rsidR="00782782" w:rsidRPr="00782782">
        <w:rPr>
          <w:rFonts w:ascii="Times New Roman" w:hAnsi="Times New Roman" w:cs="Times New Roman"/>
          <w:sz w:val="24"/>
          <w:szCs w:val="24"/>
        </w:rPr>
        <w:t xml:space="preserve"> et al., 2021)</w:t>
      </w:r>
      <w:r w:rsidRPr="0059134C">
        <w:rPr>
          <w:rFonts w:ascii="Times New Roman" w:hAnsi="Times New Roman" w:cs="Times New Roman"/>
          <w:sz w:val="24"/>
          <w:szCs w:val="24"/>
        </w:rPr>
        <w:t xml:space="preserve">. The resort needs to initiate aggressive discussions </w:t>
      </w:r>
      <w:r w:rsidRPr="0059134C">
        <w:rPr>
          <w:rFonts w:ascii="Times New Roman" w:hAnsi="Times New Roman" w:cs="Times New Roman"/>
          <w:sz w:val="24"/>
          <w:szCs w:val="24"/>
        </w:rPr>
        <w:lastRenderedPageBreak/>
        <w:t>with creditors in order to get more advantageous conditions. This might include looking at other debt-relief options, cutting interest rates, or lengthening repayment plans. Another option to consider is debt refinancing, which can lower interest costs and provide instant financial relief</w:t>
      </w:r>
      <w:r w:rsidR="00542929">
        <w:rPr>
          <w:rFonts w:ascii="Times New Roman" w:hAnsi="Times New Roman" w:cs="Times New Roman"/>
          <w:sz w:val="24"/>
          <w:szCs w:val="24"/>
        </w:rPr>
        <w:t xml:space="preserve"> </w:t>
      </w:r>
      <w:r w:rsidR="00542929" w:rsidRPr="00542929">
        <w:rPr>
          <w:rFonts w:ascii="Times New Roman" w:hAnsi="Times New Roman" w:cs="Times New Roman"/>
          <w:sz w:val="24"/>
          <w:szCs w:val="24"/>
        </w:rPr>
        <w:t>(Green, 2018)</w:t>
      </w:r>
      <w:r w:rsidRPr="0059134C">
        <w:rPr>
          <w:rFonts w:ascii="Times New Roman" w:hAnsi="Times New Roman" w:cs="Times New Roman"/>
          <w:sz w:val="24"/>
          <w:szCs w:val="24"/>
        </w:rPr>
        <w:t>. Restructuring debt can help the resort recover faster by releasing cash for strategic and operational upgrades, reducing financial strain, and freeing up essential resources.</w:t>
      </w:r>
    </w:p>
    <w:p w14:paraId="3AC370DB"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5. Marketing and Promotion</w:t>
      </w:r>
    </w:p>
    <w:p w14:paraId="76CD52DA" w14:textId="55ECA02C" w:rsidR="0060653E"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In a fiercely competitive market, a robust marketing and promotion strategy is indispensable for The Seaview Resort's resurgence. To broaden its reach and enhance visibility, the resort should leverage digital marketing channels and harness the power of social media</w:t>
      </w:r>
      <w:r w:rsidR="00CE0041">
        <w:rPr>
          <w:rFonts w:ascii="Times New Roman" w:hAnsi="Times New Roman" w:cs="Times New Roman"/>
          <w:sz w:val="24"/>
          <w:szCs w:val="24"/>
        </w:rPr>
        <w:t xml:space="preserve"> </w:t>
      </w:r>
      <w:r w:rsidR="00CE0041" w:rsidRPr="00CE0041">
        <w:rPr>
          <w:rFonts w:ascii="Times New Roman" w:hAnsi="Times New Roman" w:cs="Times New Roman"/>
          <w:sz w:val="24"/>
          <w:szCs w:val="24"/>
        </w:rPr>
        <w:t>(Chaffey and Ellis-Chadwick, 2019)</w:t>
      </w:r>
      <w:r w:rsidRPr="0059134C">
        <w:rPr>
          <w:rFonts w:ascii="Times New Roman" w:hAnsi="Times New Roman" w:cs="Times New Roman"/>
          <w:sz w:val="24"/>
          <w:szCs w:val="24"/>
        </w:rPr>
        <w:t>. These platforms offer a cost-effective means of engaging with a wider audience and conveying the resort's renewed offerings, emphasizing its modernization and commitment to guest satisfaction.</w:t>
      </w:r>
    </w:p>
    <w:p w14:paraId="3DF07878" w14:textId="1B82E68F" w:rsidR="00E231FC"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Additionally, strategic alliances with neighboring businesses and landmarks need to be looked at. By working together on joint marketing campaigns, the resort can attract guests searching for outstanding all-inclusive experiences</w:t>
      </w:r>
      <w:r w:rsidR="0020211B">
        <w:rPr>
          <w:rFonts w:ascii="Times New Roman" w:hAnsi="Times New Roman" w:cs="Times New Roman"/>
          <w:sz w:val="24"/>
          <w:szCs w:val="24"/>
        </w:rPr>
        <w:t xml:space="preserve"> </w:t>
      </w:r>
      <w:r w:rsidR="0020211B" w:rsidRPr="0020211B">
        <w:rPr>
          <w:rFonts w:ascii="Times New Roman" w:hAnsi="Times New Roman" w:cs="Times New Roman"/>
          <w:sz w:val="24"/>
          <w:szCs w:val="24"/>
        </w:rPr>
        <w:t>(</w:t>
      </w:r>
      <w:proofErr w:type="spellStart"/>
      <w:r w:rsidR="0020211B" w:rsidRPr="0020211B">
        <w:rPr>
          <w:rFonts w:ascii="Times New Roman" w:hAnsi="Times New Roman" w:cs="Times New Roman"/>
          <w:sz w:val="24"/>
          <w:szCs w:val="24"/>
        </w:rPr>
        <w:t>Yolal</w:t>
      </w:r>
      <w:proofErr w:type="spellEnd"/>
      <w:r w:rsidR="0020211B" w:rsidRPr="0020211B">
        <w:rPr>
          <w:rFonts w:ascii="Times New Roman" w:hAnsi="Times New Roman" w:cs="Times New Roman"/>
          <w:sz w:val="24"/>
          <w:szCs w:val="24"/>
        </w:rPr>
        <w:t xml:space="preserve">, Chi and </w:t>
      </w:r>
      <w:proofErr w:type="spellStart"/>
      <w:r w:rsidR="0020211B" w:rsidRPr="0020211B">
        <w:rPr>
          <w:rFonts w:ascii="Times New Roman" w:hAnsi="Times New Roman" w:cs="Times New Roman"/>
          <w:sz w:val="24"/>
          <w:szCs w:val="24"/>
        </w:rPr>
        <w:t>Pesämaa</w:t>
      </w:r>
      <w:proofErr w:type="spellEnd"/>
      <w:r w:rsidR="0020211B" w:rsidRPr="0020211B">
        <w:rPr>
          <w:rFonts w:ascii="Times New Roman" w:hAnsi="Times New Roman" w:cs="Times New Roman"/>
          <w:sz w:val="24"/>
          <w:szCs w:val="24"/>
        </w:rPr>
        <w:t>, 2017)</w:t>
      </w:r>
      <w:r w:rsidRPr="0059134C">
        <w:rPr>
          <w:rFonts w:ascii="Times New Roman" w:hAnsi="Times New Roman" w:cs="Times New Roman"/>
          <w:sz w:val="24"/>
          <w:szCs w:val="24"/>
        </w:rPr>
        <w:t>. These collaborations enhance the resort's appeal as a top vacation destination as well as provide an array of activities plus a sense of community participation</w:t>
      </w:r>
      <w:r w:rsidR="0060653E" w:rsidRPr="0059134C">
        <w:rPr>
          <w:rFonts w:ascii="Times New Roman" w:hAnsi="Times New Roman" w:cs="Times New Roman"/>
          <w:sz w:val="24"/>
          <w:szCs w:val="24"/>
        </w:rPr>
        <w:t>.</w:t>
      </w:r>
    </w:p>
    <w:p w14:paraId="4D4A766C"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6. Financial Monitoring</w:t>
      </w:r>
    </w:p>
    <w:p w14:paraId="3CADFD7A" w14:textId="2B74536D" w:rsidR="00083801"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The establishment of a robust financial reporting system is pivotal to The Seaview Resort's financial recovery. Regular financial monitoring provides a clear, data-driven view of performance, allowing for timely adjustments and informed decision-making</w:t>
      </w:r>
      <w:r w:rsidR="0092779E">
        <w:rPr>
          <w:rFonts w:ascii="Times New Roman" w:hAnsi="Times New Roman" w:cs="Times New Roman"/>
          <w:sz w:val="24"/>
          <w:szCs w:val="24"/>
        </w:rPr>
        <w:t xml:space="preserve"> </w:t>
      </w:r>
      <w:r w:rsidR="0092779E" w:rsidRPr="0092779E">
        <w:rPr>
          <w:rFonts w:ascii="Times New Roman" w:hAnsi="Times New Roman" w:cs="Times New Roman"/>
          <w:sz w:val="24"/>
          <w:szCs w:val="24"/>
        </w:rPr>
        <w:t>(Dukic, 2021)</w:t>
      </w:r>
      <w:r w:rsidRPr="0059134C">
        <w:rPr>
          <w:rFonts w:ascii="Times New Roman" w:hAnsi="Times New Roman" w:cs="Times New Roman"/>
          <w:sz w:val="24"/>
          <w:szCs w:val="24"/>
        </w:rPr>
        <w:t xml:space="preserve">. Through detailed financial reports, the resort can track revenue, expenses, and key performance </w:t>
      </w:r>
      <w:r w:rsidRPr="0059134C">
        <w:rPr>
          <w:rFonts w:ascii="Times New Roman" w:hAnsi="Times New Roman" w:cs="Times New Roman"/>
          <w:sz w:val="24"/>
          <w:szCs w:val="24"/>
        </w:rPr>
        <w:lastRenderedPageBreak/>
        <w:t>indicators, enabling management to identify areas that require attention and fine-tuning</w:t>
      </w:r>
      <w:r w:rsidR="000E0913" w:rsidRPr="000E0913">
        <w:t xml:space="preserve"> </w:t>
      </w:r>
      <w:r w:rsidR="000E0913" w:rsidRPr="000E0913">
        <w:rPr>
          <w:rFonts w:ascii="Times New Roman" w:hAnsi="Times New Roman" w:cs="Times New Roman"/>
          <w:sz w:val="24"/>
          <w:szCs w:val="24"/>
        </w:rPr>
        <w:t>(García Osma, Gomez-Conde and Lopez-</w:t>
      </w:r>
      <w:proofErr w:type="spellStart"/>
      <w:r w:rsidR="000E0913" w:rsidRPr="000E0913">
        <w:rPr>
          <w:rFonts w:ascii="Times New Roman" w:hAnsi="Times New Roman" w:cs="Times New Roman"/>
          <w:sz w:val="24"/>
          <w:szCs w:val="24"/>
        </w:rPr>
        <w:t>Valeiras</w:t>
      </w:r>
      <w:proofErr w:type="spellEnd"/>
      <w:r w:rsidR="000E0913" w:rsidRPr="000E0913">
        <w:rPr>
          <w:rFonts w:ascii="Times New Roman" w:hAnsi="Times New Roman" w:cs="Times New Roman"/>
          <w:sz w:val="24"/>
          <w:szCs w:val="24"/>
        </w:rPr>
        <w:t>, 2022)</w:t>
      </w:r>
      <w:r w:rsidRPr="0059134C">
        <w:rPr>
          <w:rFonts w:ascii="Times New Roman" w:hAnsi="Times New Roman" w:cs="Times New Roman"/>
          <w:sz w:val="24"/>
          <w:szCs w:val="24"/>
        </w:rPr>
        <w:t>.</w:t>
      </w:r>
    </w:p>
    <w:p w14:paraId="79E20EE7" w14:textId="77777777" w:rsidR="00083801"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Furthermore, careful cash flow management is of paramount importance. The resort must proactively manage its cash flows to avoid negative balances, ensuring ongoing liquidity and financial stability. By monitoring cash flows, the resort can anticipate potential shortfalls and take proactive measures to mitigate liquidity challenges, safeguarding its ability to meet financial obligations and sustain operations.</w:t>
      </w:r>
    </w:p>
    <w:p w14:paraId="7062AF19"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7. Community Involvement</w:t>
      </w:r>
    </w:p>
    <w:p w14:paraId="14E4439A" w14:textId="2C518B5D" w:rsidR="00FD314B" w:rsidRPr="0059134C" w:rsidRDefault="00000000" w:rsidP="00316DAF">
      <w:pPr>
        <w:pStyle w:val="tiptap-paragraph"/>
        <w:spacing w:before="0" w:beforeAutospacing="0" w:after="0" w:afterAutospacing="0" w:line="480" w:lineRule="auto"/>
        <w:ind w:firstLine="720"/>
      </w:pPr>
      <w:r w:rsidRPr="0059134C">
        <w:t>Engaging with the local community and actively participating in events and initiatives is a strategic move that can significantly benefit The Seaview Resort's image and guest appeal. Through actively cultivating close connections with the surrounding neighborhood, the resort could engender feelings of goodwill while also crafting a positive reputation, as seen by current locals and prospective visitors</w:t>
      </w:r>
      <w:r w:rsidR="003B3E8E">
        <w:t xml:space="preserve"> </w:t>
      </w:r>
      <w:r w:rsidR="00621EF7" w:rsidRPr="00621EF7">
        <w:t>(Fujita, Hamaguchi and Yoshihiro Kameyama, 2021)</w:t>
      </w:r>
      <w:r w:rsidRPr="0059134C">
        <w:t>.</w:t>
      </w:r>
    </w:p>
    <w:p w14:paraId="1402259E" w14:textId="2638D875" w:rsidR="00E231FC" w:rsidRPr="0059134C" w:rsidRDefault="00000000" w:rsidP="00316DAF">
      <w:pPr>
        <w:pStyle w:val="tiptap-paragraph"/>
        <w:spacing w:before="0" w:beforeAutospacing="0" w:after="0" w:afterAutospacing="0" w:line="480" w:lineRule="auto"/>
        <w:ind w:firstLine="720"/>
      </w:pPr>
      <w:r w:rsidRPr="0059134C">
        <w:t>This community involvement not only enhances the resort's reputation as a responsible and caring entity but also resonates with the changing preferences of modern travelers. Many contemporary tourists seek meaningful and authentic experiences, and they are more likely to choose accommodations that demonstrate a commitment to the local community</w:t>
      </w:r>
      <w:r w:rsidR="00621EF7">
        <w:t xml:space="preserve"> (Mody, Hanks and </w:t>
      </w:r>
      <w:proofErr w:type="spellStart"/>
      <w:r w:rsidR="00621EF7">
        <w:t>Dogru</w:t>
      </w:r>
      <w:proofErr w:type="spellEnd"/>
      <w:r w:rsidR="00621EF7">
        <w:t>, 2019)</w:t>
      </w:r>
      <w:r w:rsidRPr="0059134C">
        <w:t xml:space="preserve">. Through engaging with local happenings, championing benevolent initiatives, and cooperating with neighboring enterprises, the resort could cultivate visitors who appreciate community involvement, in this way fortifying its allure and establishing itself as a place that provides not only relaxation but also an association with the indigenous society and surroundings. This approach can lead to increased guest loyalty and positive word-of-mouth </w:t>
      </w:r>
      <w:r w:rsidRPr="0059134C">
        <w:lastRenderedPageBreak/>
        <w:t>recommendations, further contributing to the resort's revival</w:t>
      </w:r>
      <w:r w:rsidR="001266B5">
        <w:t xml:space="preserve"> (</w:t>
      </w:r>
      <w:proofErr w:type="spellStart"/>
      <w:r w:rsidR="001266B5">
        <w:t>Frichiliaasiku</w:t>
      </w:r>
      <w:proofErr w:type="spellEnd"/>
      <w:r w:rsidR="001266B5">
        <w:t xml:space="preserve"> and </w:t>
      </w:r>
      <w:proofErr w:type="spellStart"/>
      <w:r w:rsidR="001266B5">
        <w:t>Titisshintadewi</w:t>
      </w:r>
      <w:proofErr w:type="spellEnd"/>
      <w:r w:rsidR="001266B5">
        <w:t>, 2020)</w:t>
      </w:r>
      <w:r w:rsidRPr="0059134C">
        <w:t>.</w:t>
      </w:r>
      <w:r w:rsidR="001266B5" w:rsidRPr="001266B5">
        <w:t xml:space="preserve"> </w:t>
      </w:r>
    </w:p>
    <w:p w14:paraId="3169DA7E" w14:textId="77777777" w:rsidR="00E231FC" w:rsidRPr="0059134C" w:rsidRDefault="00000000" w:rsidP="0059134C">
      <w:pPr>
        <w:spacing w:after="0" w:line="480" w:lineRule="auto"/>
        <w:rPr>
          <w:rFonts w:ascii="Times New Roman" w:hAnsi="Times New Roman" w:cs="Times New Roman"/>
          <w:i/>
          <w:iCs/>
          <w:sz w:val="24"/>
          <w:szCs w:val="24"/>
        </w:rPr>
      </w:pPr>
      <w:r w:rsidRPr="0059134C">
        <w:rPr>
          <w:rFonts w:ascii="Times New Roman" w:hAnsi="Times New Roman" w:cs="Times New Roman"/>
          <w:b/>
          <w:bCs/>
          <w:i/>
          <w:iCs/>
          <w:sz w:val="24"/>
          <w:szCs w:val="24"/>
        </w:rPr>
        <w:t>8. Guest Feedback</w:t>
      </w:r>
    </w:p>
    <w:p w14:paraId="44EFE12D" w14:textId="669C8793" w:rsidR="00E231FC" w:rsidRPr="0059134C" w:rsidRDefault="00000000" w:rsidP="00316DAF">
      <w:pPr>
        <w:spacing w:after="0" w:line="480" w:lineRule="auto"/>
        <w:ind w:firstLine="720"/>
        <w:rPr>
          <w:rFonts w:ascii="Times New Roman" w:hAnsi="Times New Roman" w:cs="Times New Roman"/>
          <w:sz w:val="24"/>
          <w:szCs w:val="24"/>
        </w:rPr>
      </w:pPr>
      <w:r w:rsidRPr="0059134C">
        <w:rPr>
          <w:rFonts w:ascii="Times New Roman" w:hAnsi="Times New Roman" w:cs="Times New Roman"/>
          <w:sz w:val="24"/>
          <w:szCs w:val="24"/>
        </w:rPr>
        <w:t>The Seaview Resort's turnaround strategy relies on actively seeking and responding to guest feedback. This process ensures continuous improvement and enhances guest satisfaction. Feedback provides valuable insights into the resort's strengths and areas for improvement</w:t>
      </w:r>
      <w:r w:rsidR="00723CFD">
        <w:rPr>
          <w:rFonts w:ascii="Times New Roman" w:hAnsi="Times New Roman" w:cs="Times New Roman"/>
          <w:sz w:val="24"/>
          <w:szCs w:val="24"/>
        </w:rPr>
        <w:t xml:space="preserve"> </w:t>
      </w:r>
      <w:r w:rsidR="00723CFD" w:rsidRPr="00723CFD">
        <w:rPr>
          <w:rFonts w:ascii="Times New Roman" w:hAnsi="Times New Roman" w:cs="Times New Roman"/>
          <w:sz w:val="24"/>
          <w:szCs w:val="24"/>
        </w:rPr>
        <w:t>(</w:t>
      </w:r>
      <w:proofErr w:type="spellStart"/>
      <w:r w:rsidR="00723CFD" w:rsidRPr="00723CFD">
        <w:rPr>
          <w:rFonts w:ascii="Times New Roman" w:hAnsi="Times New Roman" w:cs="Times New Roman"/>
          <w:sz w:val="24"/>
          <w:szCs w:val="24"/>
        </w:rPr>
        <w:t>Thi</w:t>
      </w:r>
      <w:proofErr w:type="spellEnd"/>
      <w:r w:rsidR="00723CFD" w:rsidRPr="00723CFD">
        <w:rPr>
          <w:rFonts w:ascii="Times New Roman" w:hAnsi="Times New Roman" w:cs="Times New Roman"/>
          <w:sz w:val="24"/>
          <w:szCs w:val="24"/>
        </w:rPr>
        <w:t xml:space="preserve"> et al., 2021)</w:t>
      </w:r>
      <w:r w:rsidRPr="0059134C">
        <w:rPr>
          <w:rFonts w:ascii="Times New Roman" w:hAnsi="Times New Roman" w:cs="Times New Roman"/>
          <w:sz w:val="24"/>
          <w:szCs w:val="24"/>
        </w:rPr>
        <w:t>. The resort's commitment to guest satisfaction is demonstrated through surveys, reviews, and direct interactions</w:t>
      </w:r>
      <w:r w:rsidR="00D96A30" w:rsidRPr="00D96A30">
        <w:t xml:space="preserve"> </w:t>
      </w:r>
      <w:r w:rsidR="00D96A30" w:rsidRPr="00D96A30">
        <w:rPr>
          <w:rFonts w:ascii="Times New Roman" w:hAnsi="Times New Roman" w:cs="Times New Roman"/>
          <w:sz w:val="24"/>
          <w:szCs w:val="24"/>
        </w:rPr>
        <w:t>(Ji and Prentice, 2021)</w:t>
      </w:r>
      <w:r w:rsidRPr="0059134C">
        <w:rPr>
          <w:rFonts w:ascii="Times New Roman" w:hAnsi="Times New Roman" w:cs="Times New Roman"/>
          <w:sz w:val="24"/>
          <w:szCs w:val="24"/>
        </w:rPr>
        <w:t>. Prompt and thoughtful responses to guest concerns not only address immediate issues but also contribute to the resort's reputation. Satisfied guests are more likely to become repeat visitors and advocates, fostering a loyal customer base and strengthening its position as a premier vacation destination.</w:t>
      </w:r>
    </w:p>
    <w:p w14:paraId="419E472D" w14:textId="77777777" w:rsidR="00E231FC" w:rsidRPr="0059134C" w:rsidRDefault="00000000" w:rsidP="0059134C">
      <w:pPr>
        <w:spacing w:after="0" w:line="480" w:lineRule="auto"/>
        <w:jc w:val="center"/>
        <w:rPr>
          <w:rFonts w:ascii="Times New Roman" w:hAnsi="Times New Roman" w:cs="Times New Roman"/>
          <w:b/>
          <w:bCs/>
          <w:sz w:val="24"/>
          <w:szCs w:val="24"/>
        </w:rPr>
      </w:pPr>
      <w:r w:rsidRPr="0059134C">
        <w:rPr>
          <w:rFonts w:ascii="Times New Roman" w:hAnsi="Times New Roman" w:cs="Times New Roman"/>
          <w:b/>
          <w:bCs/>
          <w:sz w:val="24"/>
          <w:szCs w:val="24"/>
        </w:rPr>
        <w:t>Conclusion</w:t>
      </w:r>
    </w:p>
    <w:p w14:paraId="4CEEA0B4" w14:textId="55BF6D89" w:rsidR="004A23A9" w:rsidRDefault="00000000" w:rsidP="004A23A9">
      <w:pPr>
        <w:pStyle w:val="tiptap-paragraph"/>
        <w:spacing w:before="0" w:beforeAutospacing="0" w:after="0" w:afterAutospacing="0" w:line="480" w:lineRule="auto"/>
        <w:ind w:firstLine="720"/>
      </w:pPr>
      <w:r w:rsidRPr="0059134C">
        <w:t>The Seaview Resort stands at a critical juncture, facing financial challenges and changing market dynamics. The proposed comprehensive turnaround strategy aims to address these issues, restore profitability, and revitalize the resort's reputation as a premier vacation destination. Implementing these recommendations successfully will both guarantee The Seaview Resort's financial sustainability for the long run as well as cement its reputation as the getaway of choice for discriminating visitors. Through vigilant observation, the flexibility to change with the times, and an unyielding dedication to crafting an outstanding customer journey, those qualities alone will ensure its thriving future. By adhering to this strategy, The Seaview Resort can embark on a journey of renewal and prosperity.</w:t>
      </w:r>
    </w:p>
    <w:p w14:paraId="2BD9FB96" w14:textId="77777777" w:rsidR="004A23A9" w:rsidRDefault="004A23A9">
      <w:pPr>
        <w:rPr>
          <w:rFonts w:ascii="Times New Roman" w:eastAsia="Times New Roman" w:hAnsi="Times New Roman" w:cs="Times New Roman"/>
          <w:kern w:val="0"/>
          <w:sz w:val="24"/>
          <w:szCs w:val="24"/>
          <w14:ligatures w14:val="none"/>
        </w:rPr>
      </w:pPr>
      <w:r>
        <w:br w:type="page"/>
      </w:r>
    </w:p>
    <w:p w14:paraId="4C514731" w14:textId="5FEC3F0E" w:rsidR="004A23A9" w:rsidRPr="00D10F4A" w:rsidRDefault="004A23A9" w:rsidP="004A23A9">
      <w:pPr>
        <w:pStyle w:val="Heading1"/>
        <w:spacing w:before="0" w:beforeAutospacing="0" w:after="240" w:afterAutospacing="0" w:line="360" w:lineRule="auto"/>
        <w:rPr>
          <w:sz w:val="24"/>
          <w:szCs w:val="24"/>
        </w:rPr>
      </w:pPr>
      <w:r w:rsidRPr="00D10F4A">
        <w:rPr>
          <w:sz w:val="24"/>
          <w:szCs w:val="24"/>
        </w:rPr>
        <w:lastRenderedPageBreak/>
        <w:t xml:space="preserve">Reference </w:t>
      </w:r>
      <w:r w:rsidR="00D10F4A" w:rsidRPr="00D10F4A">
        <w:rPr>
          <w:sz w:val="24"/>
          <w:szCs w:val="24"/>
        </w:rPr>
        <w:t>List</w:t>
      </w:r>
    </w:p>
    <w:p w14:paraId="652511B1" w14:textId="77777777" w:rsidR="004A23A9" w:rsidRDefault="004A23A9" w:rsidP="004A23A9">
      <w:pPr>
        <w:pStyle w:val="NormalWeb"/>
        <w:spacing w:before="0" w:beforeAutospacing="0" w:after="240" w:afterAutospacing="0" w:line="360" w:lineRule="auto"/>
      </w:pPr>
      <w:r>
        <w:t xml:space="preserve">Chaffey, D. and Ellis-Chadwick, F. (2019). </w:t>
      </w:r>
      <w:r>
        <w:rPr>
          <w:i/>
          <w:iCs/>
        </w:rPr>
        <w:t>Digital Marketing</w:t>
      </w:r>
      <w:r>
        <w:t xml:space="preserve">. [online] </w:t>
      </w:r>
      <w:r>
        <w:rPr>
          <w:i/>
          <w:iCs/>
        </w:rPr>
        <w:t>Google Books</w:t>
      </w:r>
      <w:r>
        <w:t>. Pearson UK. Available at: https://books.google.com/books?hl=en&amp;lr=&amp;id=-1yGDwAAQBAJ&amp;oi=fnd&amp;pg=PT17&amp;dq=To+broaden+its+reach+and+enhance+visibility.</w:t>
      </w:r>
    </w:p>
    <w:p w14:paraId="5A24ACE8" w14:textId="5B493F75" w:rsidR="004A23A9" w:rsidRDefault="004A23A9" w:rsidP="004A23A9">
      <w:pPr>
        <w:pStyle w:val="NormalWeb"/>
        <w:spacing w:before="0" w:beforeAutospacing="0" w:after="240" w:afterAutospacing="0" w:line="360" w:lineRule="auto"/>
      </w:pPr>
      <w:r>
        <w:t xml:space="preserve">Chen, S., Chen, H.H., Zhang, K.Q. and Xu, X. (2018). A comprehensive theoretical framework for examining learning effects in green and conventionally managed hotels. </w:t>
      </w:r>
      <w:r>
        <w:rPr>
          <w:i/>
          <w:iCs/>
        </w:rPr>
        <w:t>Journal of Cleaner Production</w:t>
      </w:r>
      <w:r>
        <w:t xml:space="preserve">, 174, pp.1392–1399. </w:t>
      </w:r>
      <w:proofErr w:type="spellStart"/>
      <w:r>
        <w:t>doi</w:t>
      </w:r>
      <w:proofErr w:type="spellEnd"/>
      <w:r>
        <w:t>:</w:t>
      </w:r>
      <w:r w:rsidR="008B7D2B">
        <w:t xml:space="preserve"> </w:t>
      </w:r>
      <w:r>
        <w:t>https://doi.org/10.1016/j.jclepro.2017.10.321.</w:t>
      </w:r>
    </w:p>
    <w:p w14:paraId="4C0A38EA" w14:textId="367C5803" w:rsidR="004A23A9" w:rsidRDefault="004A23A9" w:rsidP="004A23A9">
      <w:pPr>
        <w:pStyle w:val="NormalWeb"/>
        <w:spacing w:before="0" w:beforeAutospacing="0" w:after="240" w:afterAutospacing="0" w:line="360" w:lineRule="auto"/>
      </w:pPr>
      <w:proofErr w:type="spellStart"/>
      <w:r>
        <w:t>Czinkota</w:t>
      </w:r>
      <w:proofErr w:type="spellEnd"/>
      <w:r>
        <w:t xml:space="preserve">, M.R., </w:t>
      </w:r>
      <w:proofErr w:type="spellStart"/>
      <w:r>
        <w:t>Kotabe</w:t>
      </w:r>
      <w:proofErr w:type="spellEnd"/>
      <w:r>
        <w:t xml:space="preserve">, M., </w:t>
      </w:r>
      <w:proofErr w:type="spellStart"/>
      <w:r>
        <w:t>Vrontis</w:t>
      </w:r>
      <w:proofErr w:type="spellEnd"/>
      <w:r>
        <w:t xml:space="preserve">, D. and Shams, S.M.R. (2021). Pricing Decisions. </w:t>
      </w:r>
      <w:r>
        <w:rPr>
          <w:i/>
          <w:iCs/>
        </w:rPr>
        <w:t>Springer Texts in Business and Economics</w:t>
      </w:r>
      <w:r>
        <w:t xml:space="preserve">, pp.451–497. </w:t>
      </w:r>
      <w:proofErr w:type="spellStart"/>
      <w:r>
        <w:t>doi</w:t>
      </w:r>
      <w:proofErr w:type="spellEnd"/>
      <w:r>
        <w:t>:</w:t>
      </w:r>
      <w:r w:rsidR="008B7D2B">
        <w:t xml:space="preserve"> </w:t>
      </w:r>
      <w:r>
        <w:t>https://doi.org/10.1007/978-3-030-66916-4_10.</w:t>
      </w:r>
    </w:p>
    <w:p w14:paraId="3F3653C8" w14:textId="77777777" w:rsidR="004A23A9" w:rsidRDefault="004A23A9" w:rsidP="004A23A9">
      <w:pPr>
        <w:pStyle w:val="NormalWeb"/>
        <w:spacing w:before="0" w:beforeAutospacing="0" w:after="240" w:afterAutospacing="0" w:line="360" w:lineRule="auto"/>
      </w:pPr>
      <w:r>
        <w:t xml:space="preserve">Dukic, J. (2021). Exploring the Impact of Performance-Based Funding Policy Reform: </w:t>
      </w:r>
      <w:proofErr w:type="gramStart"/>
      <w:r>
        <w:t>the</w:t>
      </w:r>
      <w:proofErr w:type="gramEnd"/>
      <w:r>
        <w:t xml:space="preserve"> Role of Institutional Research in Supporting Data-Driven Decision-Making. </w:t>
      </w:r>
      <w:r>
        <w:rPr>
          <w:i/>
          <w:iCs/>
        </w:rPr>
        <w:t>The Organizational Improvement Plan at Western University</w:t>
      </w:r>
      <w:r>
        <w:t>. [online] Available at: https://ir.lib.uwo.ca/oip/229/ [Accessed 11 Aug. 2023].</w:t>
      </w:r>
    </w:p>
    <w:p w14:paraId="2238F347" w14:textId="77777777" w:rsidR="004A23A9" w:rsidRDefault="004A23A9" w:rsidP="004A23A9">
      <w:pPr>
        <w:pStyle w:val="NormalWeb"/>
        <w:spacing w:before="0" w:beforeAutospacing="0" w:after="240" w:afterAutospacing="0" w:line="360" w:lineRule="auto"/>
      </w:pPr>
      <w:r>
        <w:t xml:space="preserve">Elphick, D. (2023). </w:t>
      </w:r>
      <w:r>
        <w:rPr>
          <w:i/>
          <w:iCs/>
        </w:rPr>
        <w:t>Hotel costs: How to reduce expense</w:t>
      </w:r>
      <w:r>
        <w:t>. [online] SiteMinder. Available at: https://www.siteminder.com/r/hotel-costs/ [Accessed 8 Nov. 2023].</w:t>
      </w:r>
    </w:p>
    <w:p w14:paraId="7DD9B98A" w14:textId="77777777" w:rsidR="004A23A9" w:rsidRDefault="004A23A9" w:rsidP="004A23A9">
      <w:pPr>
        <w:pStyle w:val="NormalWeb"/>
        <w:spacing w:before="0" w:beforeAutospacing="0" w:after="240" w:afterAutospacing="0" w:line="360" w:lineRule="auto"/>
      </w:pPr>
      <w:proofErr w:type="spellStart"/>
      <w:r>
        <w:t>Frichiliaasiku</w:t>
      </w:r>
      <w:proofErr w:type="spellEnd"/>
      <w:r>
        <w:t xml:space="preserve">, W. and </w:t>
      </w:r>
      <w:proofErr w:type="spellStart"/>
      <w:r>
        <w:t>Titisshintadewi</w:t>
      </w:r>
      <w:proofErr w:type="spellEnd"/>
      <w:r>
        <w:t xml:space="preserve">, A. (2020). The Influence of Image Destination on Revisit Intention and Word of Mouth Trough Tourist Satisfaction (Study on Tourism </w:t>
      </w:r>
      <w:proofErr w:type="spellStart"/>
      <w:r>
        <w:t>Pulo</w:t>
      </w:r>
      <w:proofErr w:type="spellEnd"/>
      <w:r>
        <w:t xml:space="preserve"> Love Eco Resort, </w:t>
      </w:r>
      <w:proofErr w:type="spellStart"/>
      <w:r>
        <w:t>Boalemo</w:t>
      </w:r>
      <w:proofErr w:type="spellEnd"/>
      <w:r>
        <w:t xml:space="preserve"> District). </w:t>
      </w:r>
      <w:r>
        <w:rPr>
          <w:i/>
          <w:iCs/>
        </w:rPr>
        <w:t>South East Asia Journal of Contemporary Business, Economics and Law</w:t>
      </w:r>
      <w:r>
        <w:t>, [online] 23, p.1. Available at: https://seajbel.com/wp-content/uploads/2020/12/SEAJBEL23-224.pdf.</w:t>
      </w:r>
    </w:p>
    <w:p w14:paraId="24AFDFAA" w14:textId="1C319DB8" w:rsidR="004A23A9" w:rsidRDefault="004A23A9" w:rsidP="004A23A9">
      <w:pPr>
        <w:pStyle w:val="NormalWeb"/>
        <w:spacing w:before="0" w:beforeAutospacing="0" w:after="240" w:afterAutospacing="0" w:line="360" w:lineRule="auto"/>
      </w:pPr>
      <w:r>
        <w:t xml:space="preserve">Fujita, M., Hamaguchi, N. and Yoshihiro Kameyama (2021). Local Community as a Device for Regional Innovation. </w:t>
      </w:r>
      <w:r>
        <w:rPr>
          <w:i/>
          <w:iCs/>
        </w:rPr>
        <w:t>Economics, law, and institutions in Asia Pacific</w:t>
      </w:r>
      <w:r>
        <w:t xml:space="preserve">, pp.189–233. </w:t>
      </w:r>
      <w:proofErr w:type="spellStart"/>
      <w:r>
        <w:t>doi</w:t>
      </w:r>
      <w:proofErr w:type="spellEnd"/>
      <w:r>
        <w:t>:</w:t>
      </w:r>
      <w:r w:rsidR="008B7D2B">
        <w:t xml:space="preserve"> </w:t>
      </w:r>
      <w:r>
        <w:t>https://doi.org/10.1007/978-981-16-4951-6_8.</w:t>
      </w:r>
    </w:p>
    <w:p w14:paraId="0A245268" w14:textId="0504976B" w:rsidR="004A23A9" w:rsidRDefault="004A23A9" w:rsidP="004A23A9">
      <w:pPr>
        <w:pStyle w:val="NormalWeb"/>
        <w:spacing w:before="0" w:beforeAutospacing="0" w:after="240" w:afterAutospacing="0" w:line="360" w:lineRule="auto"/>
      </w:pPr>
      <w:r>
        <w:t>García Osma, B., Gomez-Conde, J. and Lopez-</w:t>
      </w:r>
      <w:proofErr w:type="spellStart"/>
      <w:r>
        <w:t>Valeiras</w:t>
      </w:r>
      <w:proofErr w:type="spellEnd"/>
      <w:r>
        <w:t xml:space="preserve">, E. (2022). Management Control Systems and Real Earnings management: Effects on Firm Performance. </w:t>
      </w:r>
      <w:r>
        <w:rPr>
          <w:i/>
          <w:iCs/>
        </w:rPr>
        <w:t>Management Accounting Research</w:t>
      </w:r>
      <w:r>
        <w:t xml:space="preserve">, [online] p.100781. </w:t>
      </w:r>
      <w:proofErr w:type="spellStart"/>
      <w:r>
        <w:t>doi</w:t>
      </w:r>
      <w:proofErr w:type="spellEnd"/>
      <w:r>
        <w:t>:</w:t>
      </w:r>
      <w:r w:rsidR="008B7D2B">
        <w:t xml:space="preserve"> </w:t>
      </w:r>
      <w:r>
        <w:t>https://doi.org/10.1016/j.mar.2021.100781.</w:t>
      </w:r>
    </w:p>
    <w:p w14:paraId="2E7A047F" w14:textId="77777777" w:rsidR="004A23A9" w:rsidRDefault="004A23A9" w:rsidP="004A23A9">
      <w:pPr>
        <w:pStyle w:val="NormalWeb"/>
        <w:spacing w:before="0" w:beforeAutospacing="0" w:after="240" w:afterAutospacing="0" w:line="360" w:lineRule="auto"/>
      </w:pPr>
      <w:r>
        <w:lastRenderedPageBreak/>
        <w:t xml:space="preserve">Goodson, P. and Greenberg, H. (2021). </w:t>
      </w:r>
      <w:r>
        <w:rPr>
          <w:i/>
          <w:iCs/>
        </w:rPr>
        <w:t>Seaview Investors: Hotel Private Equity Firm Finds New Demand in COVID-19 Pandemic</w:t>
      </w:r>
      <w:r>
        <w:t xml:space="preserve">. [online] </w:t>
      </w:r>
      <w:r>
        <w:rPr>
          <w:i/>
          <w:iCs/>
        </w:rPr>
        <w:t>SAGE Knowledge</w:t>
      </w:r>
      <w:r>
        <w:t>. London. Available at: https://sk.sagepub.com/cases/seaview-investors-hotel-private-equity-firm-new-demand-covid-19.</w:t>
      </w:r>
    </w:p>
    <w:p w14:paraId="1A0B5621" w14:textId="35BBE9C9" w:rsidR="004A23A9" w:rsidRDefault="004A23A9" w:rsidP="004A23A9">
      <w:pPr>
        <w:pStyle w:val="NormalWeb"/>
        <w:spacing w:before="0" w:beforeAutospacing="0" w:after="240" w:afterAutospacing="0" w:line="360" w:lineRule="auto"/>
      </w:pPr>
      <w:r>
        <w:t xml:space="preserve">Green, D. (2018). Corporate Refinancing, Covenants, and the Agency Cost of Debt. </w:t>
      </w:r>
      <w:r>
        <w:rPr>
          <w:i/>
          <w:iCs/>
        </w:rPr>
        <w:t>SSRN Electronic Journal</w:t>
      </w:r>
      <w:r>
        <w:t xml:space="preserve">. </w:t>
      </w:r>
      <w:proofErr w:type="spellStart"/>
      <w:r>
        <w:t>doi</w:t>
      </w:r>
      <w:proofErr w:type="spellEnd"/>
      <w:r>
        <w:t>:</w:t>
      </w:r>
      <w:r w:rsidR="008B7D2B">
        <w:t xml:space="preserve"> </w:t>
      </w:r>
      <w:r>
        <w:t>https://doi.org/10.2139/ssrn.3424053.</w:t>
      </w:r>
    </w:p>
    <w:p w14:paraId="3FF3E93C" w14:textId="4CC4D212" w:rsidR="004A23A9" w:rsidRDefault="004A23A9" w:rsidP="004A23A9">
      <w:pPr>
        <w:pStyle w:val="NormalWeb"/>
        <w:spacing w:before="0" w:beforeAutospacing="0" w:after="240" w:afterAutospacing="0" w:line="360" w:lineRule="auto"/>
      </w:pPr>
      <w:r>
        <w:t xml:space="preserve">Ji, C. and Prentice, C. (2021). Linking transaction-specific Satisfaction and Customer Loyalty – the Case of Casino Resorts. </w:t>
      </w:r>
      <w:r>
        <w:rPr>
          <w:i/>
          <w:iCs/>
        </w:rPr>
        <w:t>Journal of Retailing and Consumer Services</w:t>
      </w:r>
      <w:r>
        <w:t xml:space="preserve">, 58, p.102319. </w:t>
      </w:r>
      <w:proofErr w:type="spellStart"/>
      <w:r>
        <w:t>doi</w:t>
      </w:r>
      <w:proofErr w:type="spellEnd"/>
      <w:r>
        <w:t>:</w:t>
      </w:r>
      <w:r w:rsidR="008B7D2B">
        <w:t xml:space="preserve"> </w:t>
      </w:r>
      <w:r>
        <w:t>https://doi.org/10.1016/j.jretconser.2020.102319.</w:t>
      </w:r>
    </w:p>
    <w:p w14:paraId="0B4773F3" w14:textId="3F80D6FF" w:rsidR="004A23A9" w:rsidRDefault="004A23A9" w:rsidP="004A23A9">
      <w:pPr>
        <w:pStyle w:val="NormalWeb"/>
        <w:spacing w:before="0" w:beforeAutospacing="0" w:after="240" w:afterAutospacing="0" w:line="360" w:lineRule="auto"/>
      </w:pPr>
      <w:proofErr w:type="spellStart"/>
      <w:r>
        <w:t>Kabeyi</w:t>
      </w:r>
      <w:proofErr w:type="spellEnd"/>
      <w:r>
        <w:t xml:space="preserve">, M.J.B. and Olanrewaju, O.A. (2022). Sustainable Energy Transition for Renewable and Low Carbon Grid Electricity Generation and Supply. </w:t>
      </w:r>
      <w:r>
        <w:rPr>
          <w:i/>
          <w:iCs/>
        </w:rPr>
        <w:t>Frontiers in Energy Research</w:t>
      </w:r>
      <w:r>
        <w:t xml:space="preserve">, 9(1). </w:t>
      </w:r>
      <w:proofErr w:type="spellStart"/>
      <w:r>
        <w:t>doi</w:t>
      </w:r>
      <w:proofErr w:type="spellEnd"/>
      <w:r>
        <w:t>:</w:t>
      </w:r>
      <w:r w:rsidR="008B7D2B">
        <w:t xml:space="preserve"> </w:t>
      </w:r>
      <w:r>
        <w:t>https://doi.org/10.3389/fenrg.2021.743114.</w:t>
      </w:r>
    </w:p>
    <w:p w14:paraId="4F37D9E3" w14:textId="77777777" w:rsidR="004A23A9" w:rsidRDefault="004A23A9" w:rsidP="004A23A9">
      <w:pPr>
        <w:pStyle w:val="NormalWeb"/>
        <w:spacing w:before="0" w:beforeAutospacing="0" w:after="240" w:afterAutospacing="0" w:line="360" w:lineRule="auto"/>
      </w:pPr>
      <w:r>
        <w:t xml:space="preserve">Lagun, K. (2023). </w:t>
      </w:r>
      <w:r>
        <w:rPr>
          <w:i/>
          <w:iCs/>
        </w:rPr>
        <w:t>The Role of Eco-Friendly Hotels Towards Sustainability-An Initiative from the Hospitality Sector</w:t>
      </w:r>
      <w:r>
        <w:t>. [online] Available at: https://ijeks.com/wp-content/uploads/2023/07/IJEKS25012.pdf.</w:t>
      </w:r>
    </w:p>
    <w:p w14:paraId="2CAEC48A" w14:textId="3DDAC969" w:rsidR="004A23A9" w:rsidRDefault="004A23A9" w:rsidP="004A23A9">
      <w:pPr>
        <w:pStyle w:val="NormalWeb"/>
        <w:spacing w:before="0" w:beforeAutospacing="0" w:after="240" w:afterAutospacing="0" w:line="360" w:lineRule="auto"/>
      </w:pPr>
      <w:proofErr w:type="spellStart"/>
      <w:r>
        <w:t>Mavlutova</w:t>
      </w:r>
      <w:proofErr w:type="spellEnd"/>
      <w:r>
        <w:t xml:space="preserve">, I., Fomins, A., </w:t>
      </w:r>
      <w:proofErr w:type="spellStart"/>
      <w:r>
        <w:t>Spilbergs</w:t>
      </w:r>
      <w:proofErr w:type="spellEnd"/>
      <w:r>
        <w:t xml:space="preserve">, A., </w:t>
      </w:r>
      <w:proofErr w:type="spellStart"/>
      <w:r>
        <w:t>Atstaja</w:t>
      </w:r>
      <w:proofErr w:type="spellEnd"/>
      <w:r>
        <w:t xml:space="preserve">, D. and </w:t>
      </w:r>
      <w:proofErr w:type="spellStart"/>
      <w:r>
        <w:t>Brizga</w:t>
      </w:r>
      <w:proofErr w:type="spellEnd"/>
      <w:r>
        <w:t xml:space="preserve">, J. (2021). Opportunities to Increase Financial Well-Being by Investing in Environmental, Social and Governance with Respect to Improving Financial Literacy under COVID-19: The Case of Latvia. </w:t>
      </w:r>
      <w:r>
        <w:rPr>
          <w:i/>
          <w:iCs/>
        </w:rPr>
        <w:t>Sustainability</w:t>
      </w:r>
      <w:r>
        <w:t xml:space="preserve">, 14(1), p.339. </w:t>
      </w:r>
      <w:proofErr w:type="spellStart"/>
      <w:r>
        <w:t>doi</w:t>
      </w:r>
      <w:proofErr w:type="spellEnd"/>
      <w:r>
        <w:t>:</w:t>
      </w:r>
      <w:r w:rsidR="008B7D2B">
        <w:t xml:space="preserve"> </w:t>
      </w:r>
      <w:r>
        <w:t>https://doi.org/10.3390/su14010339.</w:t>
      </w:r>
    </w:p>
    <w:p w14:paraId="47B6AB43" w14:textId="0D6D91D9" w:rsidR="004A23A9" w:rsidRDefault="004A23A9" w:rsidP="004A23A9">
      <w:pPr>
        <w:pStyle w:val="NormalWeb"/>
        <w:spacing w:before="0" w:beforeAutospacing="0" w:after="240" w:afterAutospacing="0" w:line="360" w:lineRule="auto"/>
      </w:pPr>
      <w:r>
        <w:t xml:space="preserve">Mody, M., Hanks, L. and </w:t>
      </w:r>
      <w:proofErr w:type="spellStart"/>
      <w:r>
        <w:t>Dogru</w:t>
      </w:r>
      <w:proofErr w:type="spellEnd"/>
      <w:r>
        <w:t xml:space="preserve">, T. (2019). Parallel Pathways to Brand loyalty: Mapping the Consequences of Authentic Consumption Experiences for Hotels and Airbnb. </w:t>
      </w:r>
      <w:r>
        <w:rPr>
          <w:i/>
          <w:iCs/>
        </w:rPr>
        <w:t>Tourism Management</w:t>
      </w:r>
      <w:r>
        <w:t xml:space="preserve">, 74, pp.65–80. </w:t>
      </w:r>
      <w:proofErr w:type="spellStart"/>
      <w:r>
        <w:t>doi</w:t>
      </w:r>
      <w:proofErr w:type="spellEnd"/>
      <w:r>
        <w:t>:</w:t>
      </w:r>
      <w:r w:rsidR="008B7D2B">
        <w:t xml:space="preserve"> </w:t>
      </w:r>
      <w:r>
        <w:t>https://doi.org/10.1016/j.tourman.2019.02.013.</w:t>
      </w:r>
    </w:p>
    <w:p w14:paraId="45D50DF8" w14:textId="77777777" w:rsidR="004A23A9" w:rsidRDefault="004A23A9" w:rsidP="004A23A9">
      <w:pPr>
        <w:pStyle w:val="NormalWeb"/>
        <w:spacing w:before="0" w:beforeAutospacing="0" w:after="240" w:afterAutospacing="0" w:line="360" w:lineRule="auto"/>
      </w:pPr>
      <w:r>
        <w:t xml:space="preserve">Pillay, C. and Njenga, J. (2021). Opportunities for Reducing Expenses through Digital Innovation: The Case of an Insurance Company. </w:t>
      </w:r>
      <w:r>
        <w:rPr>
          <w:i/>
          <w:iCs/>
        </w:rPr>
        <w:t>The African Journal of Information Systems</w:t>
      </w:r>
      <w:r>
        <w:t>, [online] 13(1). Available at: https://digitalcommons.kennesaw.edu/ajis/vol13/iss1/5/.</w:t>
      </w:r>
    </w:p>
    <w:p w14:paraId="1985BAC3" w14:textId="77777777" w:rsidR="004A23A9" w:rsidRDefault="004A23A9" w:rsidP="004A23A9">
      <w:pPr>
        <w:pStyle w:val="NormalWeb"/>
        <w:spacing w:before="0" w:beforeAutospacing="0" w:after="240" w:afterAutospacing="0" w:line="360" w:lineRule="auto"/>
      </w:pPr>
      <w:r>
        <w:t xml:space="preserve">Roberts, S.S. (2023). </w:t>
      </w:r>
      <w:r>
        <w:rPr>
          <w:i/>
          <w:iCs/>
        </w:rPr>
        <w:t>International Investments in Luxury Real Estate: an Evaluation of International Real Estate Investors and Developers Entering a Cross-Continental Market</w:t>
      </w:r>
      <w:r>
        <w:t>. [online] dspace.mit.edu. Available at: https://dspace.mit.edu/handle/1721.1/150279.</w:t>
      </w:r>
    </w:p>
    <w:p w14:paraId="3A5A923F" w14:textId="348024FF" w:rsidR="004A23A9" w:rsidRDefault="004A23A9" w:rsidP="004A23A9">
      <w:pPr>
        <w:pStyle w:val="NormalWeb"/>
        <w:spacing w:before="0" w:beforeAutospacing="0" w:after="240" w:afterAutospacing="0" w:line="360" w:lineRule="auto"/>
      </w:pPr>
      <w:proofErr w:type="spellStart"/>
      <w:r>
        <w:lastRenderedPageBreak/>
        <w:t>Thi</w:t>
      </w:r>
      <w:proofErr w:type="spellEnd"/>
      <w:r>
        <w:t xml:space="preserve">, N.V., Hung, V.V., </w:t>
      </w:r>
      <w:proofErr w:type="spellStart"/>
      <w:r>
        <w:t>Tuckova</w:t>
      </w:r>
      <w:proofErr w:type="spellEnd"/>
      <w:r>
        <w:t xml:space="preserve">, Z., Pham, N.T. and Nguyen, L.H.L. (2021). Guest Online Review: An Extraordinary Focus on Hotel Users’ Satisfaction, Engagement, and Loyalty. </w:t>
      </w:r>
      <w:r>
        <w:rPr>
          <w:i/>
          <w:iCs/>
        </w:rPr>
        <w:t>Journal of Quality Assurance in Hospitality &amp; Tourism</w:t>
      </w:r>
      <w:r>
        <w:t xml:space="preserve">, [online] pp.1–32. </w:t>
      </w:r>
      <w:proofErr w:type="spellStart"/>
      <w:r>
        <w:t>doi</w:t>
      </w:r>
      <w:proofErr w:type="spellEnd"/>
      <w:r>
        <w:t>:</w:t>
      </w:r>
      <w:r w:rsidR="008B7D2B">
        <w:t xml:space="preserve"> </w:t>
      </w:r>
      <w:r>
        <w:t>https://doi.org/10.1080/1528008x.2021.1920550.</w:t>
      </w:r>
    </w:p>
    <w:p w14:paraId="3D0E4739" w14:textId="33181498" w:rsidR="004A23A9" w:rsidRDefault="004A23A9" w:rsidP="004A23A9">
      <w:pPr>
        <w:pStyle w:val="NormalWeb"/>
        <w:spacing w:before="0" w:beforeAutospacing="0" w:after="240" w:afterAutospacing="0" w:line="360" w:lineRule="auto"/>
      </w:pPr>
      <w:proofErr w:type="spellStart"/>
      <w:r>
        <w:t>Yolal</w:t>
      </w:r>
      <w:proofErr w:type="spellEnd"/>
      <w:r>
        <w:t xml:space="preserve">, M., Chi, C.G.-Q. and </w:t>
      </w:r>
      <w:proofErr w:type="spellStart"/>
      <w:r>
        <w:t>Pesämaa</w:t>
      </w:r>
      <w:proofErr w:type="spellEnd"/>
      <w:r>
        <w:t xml:space="preserve">, O. (2017). Examine Destination Loyalty of first-time and Repeat Visitors at all-inclusive Resorts. </w:t>
      </w:r>
      <w:r>
        <w:rPr>
          <w:i/>
          <w:iCs/>
        </w:rPr>
        <w:t>International Journal of Contemporary Hospitality Management</w:t>
      </w:r>
      <w:r>
        <w:t xml:space="preserve">, 29(7), pp.1834–1853. </w:t>
      </w:r>
      <w:proofErr w:type="spellStart"/>
      <w:r>
        <w:t>doi</w:t>
      </w:r>
      <w:proofErr w:type="spellEnd"/>
      <w:r>
        <w:t>:</w:t>
      </w:r>
      <w:r w:rsidR="008B7D2B">
        <w:t xml:space="preserve"> </w:t>
      </w:r>
      <w:r>
        <w:t>https://doi.org/10.1108/ijchm-06-2015-0293.</w:t>
      </w:r>
    </w:p>
    <w:p w14:paraId="4111CCE0" w14:textId="6F1CC068" w:rsidR="00A30FAB" w:rsidRPr="00047DB8" w:rsidRDefault="00047DB8" w:rsidP="00047DB8">
      <w:pPr>
        <w:spacing w:after="240" w:line="360" w:lineRule="auto"/>
        <w:rPr>
          <w:rFonts w:ascii="Times New Roman" w:eastAsia="Times New Roman" w:hAnsi="Times New Roman" w:cs="Times New Roman"/>
          <w:kern w:val="0"/>
          <w:sz w:val="24"/>
          <w:szCs w:val="24"/>
          <w14:ligatures w14:val="none"/>
        </w:rPr>
      </w:pPr>
      <w:r w:rsidRPr="00047DB8">
        <w:rPr>
          <w:rFonts w:ascii="Times New Roman" w:eastAsia="Times New Roman" w:hAnsi="Times New Roman" w:cs="Times New Roman"/>
          <w:kern w:val="0"/>
          <w:sz w:val="24"/>
          <w:szCs w:val="24"/>
          <w14:ligatures w14:val="none"/>
        </w:rPr>
        <w:t xml:space="preserve">Cho, S., Rust, J., University, G. and Yu, M. (2018). </w:t>
      </w:r>
      <w:r w:rsidRPr="00047DB8">
        <w:rPr>
          <w:rFonts w:ascii="Times New Roman" w:eastAsia="Times New Roman" w:hAnsi="Times New Roman" w:cs="Times New Roman"/>
          <w:i/>
          <w:iCs/>
          <w:kern w:val="0"/>
          <w:sz w:val="24"/>
          <w:szCs w:val="24"/>
          <w14:ligatures w14:val="none"/>
        </w:rPr>
        <w:t>Optimal Dynamic Hotel Pricing *</w:t>
      </w:r>
      <w:r w:rsidRPr="00047DB8">
        <w:rPr>
          <w:rFonts w:ascii="Times New Roman" w:eastAsia="Times New Roman" w:hAnsi="Times New Roman" w:cs="Times New Roman"/>
          <w:kern w:val="0"/>
          <w:sz w:val="24"/>
          <w:szCs w:val="24"/>
          <w14:ligatures w14:val="none"/>
        </w:rPr>
        <w:t>. [online] Available at: https://economics.sas.upenn.edu/index.php/system/files/2018-04/hp_final_update.pdf.</w:t>
      </w:r>
    </w:p>
    <w:sectPr w:rsidR="00A30FAB" w:rsidRPr="00047DB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BF955" w14:textId="77777777" w:rsidR="00635EDF" w:rsidRDefault="00635EDF">
      <w:pPr>
        <w:spacing w:after="0" w:line="240" w:lineRule="auto"/>
      </w:pPr>
      <w:r>
        <w:separator/>
      </w:r>
    </w:p>
  </w:endnote>
  <w:endnote w:type="continuationSeparator" w:id="0">
    <w:p w14:paraId="1E76B55D" w14:textId="77777777" w:rsidR="00635EDF" w:rsidRDefault="00635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2B8F5" w14:textId="77777777" w:rsidR="00635EDF" w:rsidRDefault="00635EDF">
      <w:pPr>
        <w:spacing w:after="0" w:line="240" w:lineRule="auto"/>
      </w:pPr>
      <w:r>
        <w:separator/>
      </w:r>
    </w:p>
  </w:footnote>
  <w:footnote w:type="continuationSeparator" w:id="0">
    <w:p w14:paraId="1DBC8427" w14:textId="77777777" w:rsidR="00635EDF" w:rsidRDefault="00635E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182F0" w14:textId="610A5E60" w:rsidR="00925470" w:rsidRPr="00925470" w:rsidRDefault="00000000">
    <w:pPr>
      <w:pStyle w:val="Header"/>
      <w:jc w:val="right"/>
      <w:rPr>
        <w:rFonts w:ascii="Times New Roman" w:hAnsi="Times New Roman" w:cs="Times New Roman"/>
        <w:sz w:val="24"/>
        <w:szCs w:val="24"/>
      </w:rPr>
    </w:pPr>
    <w:sdt>
      <w:sdtPr>
        <w:rPr>
          <w:rFonts w:ascii="Times New Roman" w:hAnsi="Times New Roman" w:cs="Times New Roman"/>
          <w:sz w:val="24"/>
          <w:szCs w:val="24"/>
        </w:rPr>
        <w:id w:val="-400688390"/>
        <w:docPartObj>
          <w:docPartGallery w:val="Page Numbers (Top of Page)"/>
          <w:docPartUnique/>
        </w:docPartObj>
      </w:sdtPr>
      <w:sdtEndPr>
        <w:rPr>
          <w:noProof/>
        </w:rPr>
      </w:sdtEndPr>
      <w:sdtContent>
        <w:r w:rsidRPr="00925470">
          <w:rPr>
            <w:rFonts w:ascii="Times New Roman" w:hAnsi="Times New Roman" w:cs="Times New Roman"/>
            <w:sz w:val="24"/>
            <w:szCs w:val="24"/>
          </w:rPr>
          <w:fldChar w:fldCharType="begin"/>
        </w:r>
        <w:r w:rsidRPr="00925470">
          <w:rPr>
            <w:rFonts w:ascii="Times New Roman" w:hAnsi="Times New Roman" w:cs="Times New Roman"/>
            <w:sz w:val="24"/>
            <w:szCs w:val="24"/>
          </w:rPr>
          <w:instrText xml:space="preserve"> PAGE   \* MERGEFORMAT </w:instrText>
        </w:r>
        <w:r w:rsidRPr="00925470">
          <w:rPr>
            <w:rFonts w:ascii="Times New Roman" w:hAnsi="Times New Roman" w:cs="Times New Roman"/>
            <w:sz w:val="24"/>
            <w:szCs w:val="24"/>
          </w:rPr>
          <w:fldChar w:fldCharType="separate"/>
        </w:r>
        <w:r w:rsidRPr="00925470">
          <w:rPr>
            <w:rFonts w:ascii="Times New Roman" w:hAnsi="Times New Roman" w:cs="Times New Roman"/>
            <w:noProof/>
            <w:sz w:val="24"/>
            <w:szCs w:val="24"/>
          </w:rPr>
          <w:t>2</w:t>
        </w:r>
        <w:r w:rsidRPr="00925470">
          <w:rPr>
            <w:rFonts w:ascii="Times New Roman" w:hAnsi="Times New Roman" w:cs="Times New Roman"/>
            <w:noProof/>
            <w:sz w:val="24"/>
            <w:szCs w:val="24"/>
          </w:rPr>
          <w:fldChar w:fldCharType="end"/>
        </w:r>
      </w:sdtContent>
    </w:sdt>
  </w:p>
  <w:p w14:paraId="44292D1E" w14:textId="77777777" w:rsidR="00925470" w:rsidRDefault="009254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D28A0"/>
    <w:multiLevelType w:val="multilevel"/>
    <w:tmpl w:val="5BB6A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4816FD"/>
    <w:multiLevelType w:val="multilevel"/>
    <w:tmpl w:val="4F6A2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6909F5"/>
    <w:multiLevelType w:val="multilevel"/>
    <w:tmpl w:val="723839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7E7620"/>
    <w:multiLevelType w:val="multilevel"/>
    <w:tmpl w:val="EF203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BF7F76"/>
    <w:multiLevelType w:val="multilevel"/>
    <w:tmpl w:val="5B2AC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604142"/>
    <w:multiLevelType w:val="multilevel"/>
    <w:tmpl w:val="A8426D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663944"/>
    <w:multiLevelType w:val="multilevel"/>
    <w:tmpl w:val="594648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5658009">
    <w:abstractNumId w:val="3"/>
  </w:num>
  <w:num w:numId="2" w16cid:durableId="326134664">
    <w:abstractNumId w:val="2"/>
  </w:num>
  <w:num w:numId="3" w16cid:durableId="917713401">
    <w:abstractNumId w:val="0"/>
  </w:num>
  <w:num w:numId="4" w16cid:durableId="987128332">
    <w:abstractNumId w:val="5"/>
  </w:num>
  <w:num w:numId="5" w16cid:durableId="853299784">
    <w:abstractNumId w:val="1"/>
  </w:num>
  <w:num w:numId="6" w16cid:durableId="1382636662">
    <w:abstractNumId w:val="4"/>
  </w:num>
  <w:num w:numId="7" w16cid:durableId="10169991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FAB"/>
    <w:rsid w:val="00017AFA"/>
    <w:rsid w:val="00047DB8"/>
    <w:rsid w:val="00083801"/>
    <w:rsid w:val="00092A33"/>
    <w:rsid w:val="0009423C"/>
    <w:rsid w:val="000E0913"/>
    <w:rsid w:val="001266B5"/>
    <w:rsid w:val="00156F3A"/>
    <w:rsid w:val="00196CFF"/>
    <w:rsid w:val="0020211B"/>
    <w:rsid w:val="00222CB2"/>
    <w:rsid w:val="00253C37"/>
    <w:rsid w:val="00257F3A"/>
    <w:rsid w:val="00264F24"/>
    <w:rsid w:val="00267CE2"/>
    <w:rsid w:val="002B0EB2"/>
    <w:rsid w:val="002C77AF"/>
    <w:rsid w:val="00316DAF"/>
    <w:rsid w:val="00390345"/>
    <w:rsid w:val="003A18FA"/>
    <w:rsid w:val="003B3E8E"/>
    <w:rsid w:val="00446753"/>
    <w:rsid w:val="004A23A9"/>
    <w:rsid w:val="004F4C1F"/>
    <w:rsid w:val="00531BB8"/>
    <w:rsid w:val="00542929"/>
    <w:rsid w:val="0059134C"/>
    <w:rsid w:val="005B216B"/>
    <w:rsid w:val="005D360A"/>
    <w:rsid w:val="0060653E"/>
    <w:rsid w:val="00621EF7"/>
    <w:rsid w:val="00635EDF"/>
    <w:rsid w:val="00674981"/>
    <w:rsid w:val="00684AC8"/>
    <w:rsid w:val="00690F99"/>
    <w:rsid w:val="006969A9"/>
    <w:rsid w:val="006C0CAB"/>
    <w:rsid w:val="006C2ECE"/>
    <w:rsid w:val="006C7F63"/>
    <w:rsid w:val="006E0D45"/>
    <w:rsid w:val="00720B6F"/>
    <w:rsid w:val="00723CFD"/>
    <w:rsid w:val="00730E05"/>
    <w:rsid w:val="00782782"/>
    <w:rsid w:val="0078340F"/>
    <w:rsid w:val="00813D1E"/>
    <w:rsid w:val="008B7D2B"/>
    <w:rsid w:val="008E7DD5"/>
    <w:rsid w:val="00925470"/>
    <w:rsid w:val="0092779E"/>
    <w:rsid w:val="00953325"/>
    <w:rsid w:val="009C712C"/>
    <w:rsid w:val="00A2650D"/>
    <w:rsid w:val="00A30FAB"/>
    <w:rsid w:val="00A33F7E"/>
    <w:rsid w:val="00A373FD"/>
    <w:rsid w:val="00A7604A"/>
    <w:rsid w:val="00AA40C5"/>
    <w:rsid w:val="00AC02FD"/>
    <w:rsid w:val="00B07C15"/>
    <w:rsid w:val="00B77EAE"/>
    <w:rsid w:val="00BE5F9B"/>
    <w:rsid w:val="00C01112"/>
    <w:rsid w:val="00C13E11"/>
    <w:rsid w:val="00CC3DDE"/>
    <w:rsid w:val="00CE0041"/>
    <w:rsid w:val="00CE2EF0"/>
    <w:rsid w:val="00D02804"/>
    <w:rsid w:val="00D10E99"/>
    <w:rsid w:val="00D10F4A"/>
    <w:rsid w:val="00D96A30"/>
    <w:rsid w:val="00E00E4F"/>
    <w:rsid w:val="00E231FC"/>
    <w:rsid w:val="00E9219C"/>
    <w:rsid w:val="00EF1432"/>
    <w:rsid w:val="00F72837"/>
    <w:rsid w:val="00F86D3D"/>
    <w:rsid w:val="00FD314B"/>
    <w:rsid w:val="00FD57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349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7DB8"/>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4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470"/>
  </w:style>
  <w:style w:type="paragraph" w:styleId="Footer">
    <w:name w:val="footer"/>
    <w:basedOn w:val="Normal"/>
    <w:link w:val="FooterChar"/>
    <w:uiPriority w:val="99"/>
    <w:unhideWhenUsed/>
    <w:rsid w:val="009254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470"/>
  </w:style>
  <w:style w:type="paragraph" w:customStyle="1" w:styleId="tiptap-paragraph">
    <w:name w:val="tiptap-paragraph"/>
    <w:basedOn w:val="Normal"/>
    <w:rsid w:val="005B216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047DB8"/>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unhideWhenUsed/>
    <w:rsid w:val="00047DB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267CE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64949">
      <w:bodyDiv w:val="1"/>
      <w:marLeft w:val="0"/>
      <w:marRight w:val="0"/>
      <w:marTop w:val="0"/>
      <w:marBottom w:val="0"/>
      <w:divBdr>
        <w:top w:val="none" w:sz="0" w:space="0" w:color="auto"/>
        <w:left w:val="none" w:sz="0" w:space="0" w:color="auto"/>
        <w:bottom w:val="none" w:sz="0" w:space="0" w:color="auto"/>
        <w:right w:val="none" w:sz="0" w:space="0" w:color="auto"/>
      </w:divBdr>
      <w:divsChild>
        <w:div w:id="112015562">
          <w:marLeft w:val="0"/>
          <w:marRight w:val="0"/>
          <w:marTop w:val="0"/>
          <w:marBottom w:val="0"/>
          <w:divBdr>
            <w:top w:val="none" w:sz="0" w:space="0" w:color="auto"/>
            <w:left w:val="none" w:sz="0" w:space="0" w:color="auto"/>
            <w:bottom w:val="none" w:sz="0" w:space="0" w:color="auto"/>
            <w:right w:val="none" w:sz="0" w:space="0" w:color="auto"/>
          </w:divBdr>
        </w:div>
      </w:divsChild>
    </w:div>
    <w:div w:id="1392272316">
      <w:bodyDiv w:val="1"/>
      <w:marLeft w:val="0"/>
      <w:marRight w:val="0"/>
      <w:marTop w:val="0"/>
      <w:marBottom w:val="0"/>
      <w:divBdr>
        <w:top w:val="none" w:sz="0" w:space="0" w:color="auto"/>
        <w:left w:val="none" w:sz="0" w:space="0" w:color="auto"/>
        <w:bottom w:val="none" w:sz="0" w:space="0" w:color="auto"/>
        <w:right w:val="none" w:sz="0" w:space="0" w:color="auto"/>
      </w:divBdr>
      <w:divsChild>
        <w:div w:id="1973171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3035</Words>
  <Characters>17302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2023-11-08T23:34:00Z</dcterms:created>
  <dcterms:modified xsi:type="dcterms:W3CDTF">2023-11-08T23:34:00Z</dcterms:modified>
</cp:coreProperties>
</file>