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D42AD" w14:textId="554F459C" w:rsidR="00D436B1" w:rsidRPr="006E0A1A" w:rsidRDefault="00D436B1" w:rsidP="00D436B1">
      <w:pPr>
        <w:pStyle w:val="paragraph"/>
        <w:spacing w:before="0" w:beforeAutospacing="0" w:after="0" w:afterAutospacing="0"/>
        <w:textAlignment w:val="baseline"/>
      </w:pPr>
      <w:r w:rsidRPr="006E0A1A">
        <w:rPr>
          <w:rStyle w:val="normaltextrun"/>
        </w:rPr>
        <w:t>The purpose of this assignment is to examine case law over the years to determine when a will's validity may be contested. Firstly lets understand what a will is and the purpose of one. A will is a binding agreement that guarantees your property and assets pass to the people you want to profit from them and, equally important, that the people you don't want to gain from your estate are excluded. The actual procedure of making a will is simple and reasonably priced. In spite of this, more than half of UK citizens lack a will. Intestacy, the term for dying without making a will</w:t>
      </w:r>
      <w:r w:rsidRPr="006E0A1A">
        <w:rPr>
          <w:rStyle w:val="normaltextrun"/>
        </w:rPr>
        <w:t xml:space="preserve"> can</w:t>
      </w:r>
      <w:r w:rsidRPr="006E0A1A">
        <w:rPr>
          <w:rStyle w:val="normaltextrun"/>
        </w:rPr>
        <w:t xml:space="preserve"> be very expensive</w:t>
      </w:r>
      <w:r w:rsidRPr="006E0A1A">
        <w:rPr>
          <w:rStyle w:val="normaltextrun"/>
        </w:rPr>
        <w:t xml:space="preserve"> and a upsetting time for those left behind</w:t>
      </w:r>
      <w:r w:rsidRPr="006E0A1A">
        <w:rPr>
          <w:rStyle w:val="normaltextrun"/>
        </w:rPr>
        <w:t>. The regulations of intestacy may also prevent your estate from going to the people you intended, which could result in legal conflicts and lower the estate's worth (Merchant, 2022)</w:t>
      </w:r>
      <w:r w:rsidRPr="006E0A1A">
        <w:rPr>
          <w:rStyle w:val="normaltextrun"/>
        </w:rPr>
        <w:t xml:space="preserve">. </w:t>
      </w:r>
      <w:r w:rsidRPr="006E0A1A">
        <w:rPr>
          <w:rStyle w:val="normaltextrun"/>
        </w:rPr>
        <w:t xml:space="preserve">According to gov.uk </w:t>
      </w:r>
      <w:r w:rsidRPr="006E0A1A">
        <w:rPr>
          <w:rStyle w:val="normaltextrun"/>
        </w:rPr>
        <w:t>y</w:t>
      </w:r>
      <w:r w:rsidRPr="006E0A1A">
        <w:rPr>
          <w:rStyle w:val="normaltextrun"/>
        </w:rPr>
        <w:t xml:space="preserve">ou can specify how your assets, possessions, and money will be distributed after you pass away in your will. Making a will also </w:t>
      </w:r>
      <w:r w:rsidRPr="006E0A1A">
        <w:rPr>
          <w:rStyle w:val="normaltextrun"/>
        </w:rPr>
        <w:t>allow</w:t>
      </w:r>
      <w:r w:rsidRPr="006E0A1A">
        <w:rPr>
          <w:rStyle w:val="normaltextrun"/>
        </w:rPr>
        <w:t xml:space="preserve"> you to ensure that you do not pay more inheritance tax than necessary.</w:t>
      </w:r>
      <w:r w:rsidRPr="006E0A1A">
        <w:rPr>
          <w:rStyle w:val="normaltextrun"/>
        </w:rPr>
        <w:t xml:space="preserve"> G</w:t>
      </w:r>
      <w:r w:rsidRPr="006E0A1A">
        <w:rPr>
          <w:rStyle w:val="normaltextrun"/>
        </w:rPr>
        <w:t>ov.uk also states that you can write your own will, but if it's complicated you should seek legal counsel</w:t>
      </w:r>
      <w:r w:rsidRPr="006E0A1A">
        <w:rPr>
          <w:rStyle w:val="normaltextrun"/>
        </w:rPr>
        <w:t xml:space="preserve">, </w:t>
      </w:r>
      <w:r w:rsidRPr="006E0A1A">
        <w:rPr>
          <w:rStyle w:val="normaltextrun"/>
        </w:rPr>
        <w:t>to make your will enforceable you must have it duly witnessed and signed. You must either create a new will or make an official modification to your existing one (known as a "codicil").</w:t>
      </w:r>
      <w:r w:rsidRPr="006E0A1A">
        <w:rPr>
          <w:rStyle w:val="eop"/>
        </w:rPr>
        <w:t> </w:t>
      </w:r>
    </w:p>
    <w:p w14:paraId="04470DE9" w14:textId="77777777" w:rsidR="00D436B1" w:rsidRPr="006E0A1A" w:rsidRDefault="00D436B1" w:rsidP="00D436B1">
      <w:pPr>
        <w:pStyle w:val="paragraph"/>
        <w:spacing w:before="0" w:beforeAutospacing="0" w:after="0" w:afterAutospacing="0"/>
        <w:textAlignment w:val="baseline"/>
        <w:rPr>
          <w:rStyle w:val="normaltextrun"/>
        </w:rPr>
      </w:pPr>
    </w:p>
    <w:p w14:paraId="4A239142" w14:textId="68FDE889" w:rsidR="00D436B1" w:rsidRPr="006E0A1A" w:rsidRDefault="00D436B1" w:rsidP="00D436B1">
      <w:pPr>
        <w:pStyle w:val="paragraph"/>
        <w:spacing w:before="0" w:beforeAutospacing="0" w:after="0" w:afterAutospacing="0"/>
        <w:textAlignment w:val="baseline"/>
      </w:pPr>
      <w:r w:rsidRPr="006E0A1A">
        <w:rPr>
          <w:rStyle w:val="normaltextrun"/>
        </w:rPr>
        <w:t xml:space="preserve">How can a will be </w:t>
      </w:r>
      <w:r w:rsidR="00E43ED5" w:rsidRPr="006E0A1A">
        <w:rPr>
          <w:rStyle w:val="normaltextrun"/>
        </w:rPr>
        <w:t>challenged</w:t>
      </w:r>
      <w:r w:rsidR="00410EAD" w:rsidRPr="006E0A1A">
        <w:rPr>
          <w:rStyle w:val="normaltextrun"/>
        </w:rPr>
        <w:t xml:space="preserve">? </w:t>
      </w:r>
      <w:r w:rsidRPr="006E0A1A">
        <w:rPr>
          <w:rStyle w:val="normaltextrun"/>
        </w:rPr>
        <w:t>A</w:t>
      </w:r>
      <w:r w:rsidRPr="006E0A1A">
        <w:rPr>
          <w:rStyle w:val="normaltextrun"/>
        </w:rPr>
        <w:t xml:space="preserve"> person could seek to challenge a will if they think it is invalid or if they feel that they weren't given enough consideration in it. There are stringent deadlines for contesting a will, </w:t>
      </w:r>
      <w:r w:rsidRPr="006E0A1A">
        <w:rPr>
          <w:rStyle w:val="normaltextrun"/>
        </w:rPr>
        <w:t xml:space="preserve">and </w:t>
      </w:r>
      <w:r w:rsidRPr="006E0A1A">
        <w:rPr>
          <w:rStyle w:val="normaltextrun"/>
        </w:rPr>
        <w:t>so you should get legal counsel as soon as you can if you want to do so. The deadline to contest the will is six months after the grant of probate if you feel you haven't been appropriately taken care of. (www.citizensadvice.org.uk, n.d.)</w:t>
      </w:r>
      <w:r w:rsidRPr="006E0A1A">
        <w:rPr>
          <w:rStyle w:val="eop"/>
        </w:rPr>
        <w:t> </w:t>
      </w:r>
    </w:p>
    <w:p w14:paraId="51886379" w14:textId="73FAD84A" w:rsidR="00D436B1" w:rsidRPr="006E0A1A" w:rsidRDefault="00D436B1" w:rsidP="00D436B1">
      <w:pPr>
        <w:pStyle w:val="paragraph"/>
        <w:spacing w:before="0" w:beforeAutospacing="0" w:after="0" w:afterAutospacing="0"/>
        <w:textAlignment w:val="baseline"/>
      </w:pPr>
      <w:r w:rsidRPr="006E0A1A">
        <w:rPr>
          <w:rStyle w:val="normaltextrun"/>
        </w:rPr>
        <w:t>The</w:t>
      </w:r>
      <w:r w:rsidRPr="006E0A1A">
        <w:rPr>
          <w:rStyle w:val="normaltextrun"/>
        </w:rPr>
        <w:t xml:space="preserve"> wills </w:t>
      </w:r>
      <w:r w:rsidRPr="006E0A1A">
        <w:rPr>
          <w:rStyle w:val="normaltextrun"/>
        </w:rPr>
        <w:t>Act 1837</w:t>
      </w:r>
      <w:r w:rsidRPr="006E0A1A">
        <w:rPr>
          <w:rStyle w:val="normaltextrun"/>
        </w:rPr>
        <w:t xml:space="preserve"> came into force on </w:t>
      </w:r>
      <w:r w:rsidRPr="006E0A1A">
        <w:rPr>
          <w:rStyle w:val="normaltextrun"/>
        </w:rPr>
        <w:t>3</w:t>
      </w:r>
      <w:r w:rsidRPr="006E0A1A">
        <w:rPr>
          <w:rStyle w:val="normaltextrun"/>
          <w:vertAlign w:val="superscript"/>
        </w:rPr>
        <w:t>rd</w:t>
      </w:r>
      <w:r w:rsidRPr="006E0A1A">
        <w:rPr>
          <w:rStyle w:val="normaltextrun"/>
        </w:rPr>
        <w:t xml:space="preserve"> July 1837 and was put in place with many sections that would enable wills to be created lawfully. Under section 9 of the Act it states that no will is valid unless it is in writing ,presents of two witnesses, the testator intended on signing and that each witness either attests and signs the will or they acknowledge the signatures in the presence of the testator (Legislation.gov.uk, 2012). If both witnesses were present when the testator signed or acknowledged, decisions on the formalities of the execution of a will</w:t>
      </w:r>
      <w:r w:rsidRPr="006E0A1A">
        <w:rPr>
          <w:rStyle w:val="normaltextrun"/>
        </w:rPr>
        <w:t xml:space="preserve"> are</w:t>
      </w:r>
      <w:r w:rsidRPr="006E0A1A">
        <w:rPr>
          <w:rStyle w:val="normaltextrun"/>
        </w:rPr>
        <w:t xml:space="preserve"> typically based on that fact. The question at hand in the relatively unique case of Barrett v. Bem [2012]  was whether the testator actually signed the will , for the purposes of section 9 of the Wills Act 1837. The will in question was ruled void by the Court of Appeal on the grounds that it had not been signed at the testator's direction, overturning Mr. Justice Vos' ruling from the first instance. The will was contested by individuals who would inherit under intestacy, and Vos J initially declared it void. Martin had the necessary mental capacity, knew what was in the will, and had given his approval. He discovered that the signature, nevertheless, was obviously not Martin's. Although it is technically feasible for a beneficiary to witness a will under current law, since section 15 of the Wills Act 1837 only applies to beneficiaries who witness a will, it is obviously not </w:t>
      </w:r>
      <w:r w:rsidR="00410EAD" w:rsidRPr="006E0A1A">
        <w:rPr>
          <w:rStyle w:val="normaltextrun"/>
        </w:rPr>
        <w:t>a clever idea</w:t>
      </w:r>
      <w:r w:rsidRPr="006E0A1A">
        <w:rPr>
          <w:rStyle w:val="normaltextrun"/>
        </w:rPr>
        <w:t>. In order to prevent it from happening again, the Court of Appeal advised lawmakers to change the law (The law</w:t>
      </w:r>
      <w:r w:rsidR="00237194" w:rsidRPr="006E0A1A">
        <w:rPr>
          <w:rStyle w:val="normaltextrun"/>
        </w:rPr>
        <w:t xml:space="preserve"> s</w:t>
      </w:r>
      <w:r w:rsidRPr="006E0A1A">
        <w:rPr>
          <w:rStyle w:val="normaltextrun"/>
        </w:rPr>
        <w:t>ociety</w:t>
      </w:r>
      <w:r w:rsidR="00237194" w:rsidRPr="006E0A1A">
        <w:rPr>
          <w:rStyle w:val="normaltextrun"/>
        </w:rPr>
        <w:t xml:space="preserve"> g</w:t>
      </w:r>
      <w:r w:rsidRPr="006E0A1A">
        <w:rPr>
          <w:rStyle w:val="normaltextrun"/>
        </w:rPr>
        <w:t>azette and King, 2012).</w:t>
      </w:r>
      <w:r w:rsidRPr="006E0A1A">
        <w:rPr>
          <w:rStyle w:val="eop"/>
        </w:rPr>
        <w:t> </w:t>
      </w:r>
    </w:p>
    <w:p w14:paraId="785CF245" w14:textId="1EE946C1" w:rsidR="00D436B1" w:rsidRPr="006E0A1A" w:rsidRDefault="00D436B1" w:rsidP="00D436B1">
      <w:pPr>
        <w:pStyle w:val="paragraph"/>
        <w:spacing w:before="0" w:beforeAutospacing="0" w:after="0" w:afterAutospacing="0"/>
        <w:textAlignment w:val="baseline"/>
      </w:pPr>
      <w:r w:rsidRPr="006E0A1A">
        <w:rPr>
          <w:rStyle w:val="normaltextrun"/>
        </w:rPr>
        <w:t>In</w:t>
      </w:r>
      <w:r w:rsidR="00237194" w:rsidRPr="006E0A1A">
        <w:rPr>
          <w:rStyle w:val="normaltextrun"/>
        </w:rPr>
        <w:t xml:space="preserve"> the case law of </w:t>
      </w:r>
      <w:r w:rsidRPr="006E0A1A">
        <w:rPr>
          <w:rStyle w:val="normaltextrun"/>
        </w:rPr>
        <w:t xml:space="preserve"> White v. Jones [1994] ,</w:t>
      </w:r>
      <w:r w:rsidR="00237194" w:rsidRPr="006E0A1A">
        <w:rPr>
          <w:rStyle w:val="normaltextrun"/>
        </w:rPr>
        <w:t xml:space="preserve"> A</w:t>
      </w:r>
      <w:r w:rsidRPr="006E0A1A">
        <w:rPr>
          <w:rStyle w:val="normaltextrun"/>
        </w:rPr>
        <w:t xml:space="preserve"> lawyer took an unreasonable amount of time to create a will and the testator passed away before his intentions could be carried out, the lawyer was found to have breached his duty of care and was found negligent. On 17 February, the House of Lords ruled by a 3:2 majority that a barrister who negligently disregarded a client's request to write a new will was liable in damages to the intended beneficiaries. Even while the facts were simple, they raised some extremely challenging legal questions (Law Gazette, 1995). This therefore highlights the duty of care expected by</w:t>
      </w:r>
      <w:r w:rsidR="00237194" w:rsidRPr="006E0A1A">
        <w:rPr>
          <w:rStyle w:val="normaltextrun"/>
        </w:rPr>
        <w:t xml:space="preserve"> a</w:t>
      </w:r>
      <w:r w:rsidRPr="006E0A1A">
        <w:rPr>
          <w:rStyle w:val="normaltextrun"/>
        </w:rPr>
        <w:t xml:space="preserve"> professional to</w:t>
      </w:r>
      <w:r w:rsidR="00237194" w:rsidRPr="006E0A1A">
        <w:rPr>
          <w:rStyle w:val="normaltextrun"/>
        </w:rPr>
        <w:t xml:space="preserve"> a</w:t>
      </w:r>
      <w:r w:rsidRPr="006E0A1A">
        <w:rPr>
          <w:rStyle w:val="normaltextrun"/>
        </w:rPr>
        <w:t xml:space="preserve"> testator to ensure the will is adequately executed. This allows testators to be confident that legal professionals are ensuring their wills are executed in a way that will not see their wishes challenged. According to Nolan, (2019) Overall, in the context of economic </w:t>
      </w:r>
      <w:r w:rsidRPr="006E0A1A">
        <w:rPr>
          <w:rStyle w:val="normaltextrun"/>
        </w:rPr>
        <w:lastRenderedPageBreak/>
        <w:t>loss, it seems  that the case outcomes broadly support Lord Goff's assertion that assumption of responsibility typically determines whether a duty of care exists.</w:t>
      </w:r>
      <w:r w:rsidRPr="006E0A1A">
        <w:rPr>
          <w:rStyle w:val="eop"/>
        </w:rPr>
        <w:t> </w:t>
      </w:r>
    </w:p>
    <w:p w14:paraId="20C72EB0" w14:textId="6CAB9009" w:rsidR="00D436B1" w:rsidRPr="006E0A1A" w:rsidRDefault="00D436B1" w:rsidP="00D436B1">
      <w:pPr>
        <w:pStyle w:val="paragraph"/>
        <w:spacing w:before="0" w:beforeAutospacing="0" w:after="0" w:afterAutospacing="0"/>
        <w:textAlignment w:val="baseline"/>
      </w:pPr>
      <w:r w:rsidRPr="006E0A1A">
        <w:rPr>
          <w:rStyle w:val="normaltextrun"/>
        </w:rPr>
        <w:t>A question to ask now is does the duty of care apply when an instruction is followed promptly, a dr</w:t>
      </w:r>
      <w:r w:rsidRPr="006E0A1A">
        <w:rPr>
          <w:rStyle w:val="normaltextrun"/>
        </w:rPr>
        <w:t xml:space="preserve">aft </w:t>
      </w:r>
      <w:r w:rsidRPr="006E0A1A">
        <w:rPr>
          <w:rStyle w:val="normaltextrun"/>
        </w:rPr>
        <w:t>is provided to the client for review, but the</w:t>
      </w:r>
      <w:r w:rsidRPr="006E0A1A">
        <w:rPr>
          <w:rStyle w:val="normaltextrun"/>
        </w:rPr>
        <w:t xml:space="preserve"> client</w:t>
      </w:r>
      <w:r w:rsidRPr="006E0A1A">
        <w:rPr>
          <w:rStyle w:val="normaltextrun"/>
        </w:rPr>
        <w:t xml:space="preserve"> doesn't respond? Looking at the case of Akins v Dunn baker 2004 before beginning to create the engrossment, a dra</w:t>
      </w:r>
      <w:r w:rsidRPr="006E0A1A">
        <w:rPr>
          <w:rStyle w:val="normaltextrun"/>
        </w:rPr>
        <w:t>ft</w:t>
      </w:r>
      <w:r w:rsidRPr="006E0A1A">
        <w:rPr>
          <w:rStyle w:val="normaltextrun"/>
        </w:rPr>
        <w:t xml:space="preserve"> of the will was submitted to the client for his approval. The client didn't respond, and three years later, he passed away. The Court of Appeal ruled that "under the circumstances of this case," the solicitor was entitled to believe that the testator was responsible for returning the will. The Court of Appeal added that just because the solicitor did not send a reminder did not mean that his actions fell below the standard that can be expected of a competent solicitor and that he was not negligent. The court made no mention of the situations in which the solicitor would be required to send a reminder. It would have been wise for the solicitor to send at least one reminder, if not two an initial and a final (dls, 2022)</w:t>
      </w:r>
      <w:r w:rsidR="00237194" w:rsidRPr="006E0A1A">
        <w:rPr>
          <w:rStyle w:val="normaltextrun"/>
        </w:rPr>
        <w:t>.</w:t>
      </w:r>
      <w:r w:rsidRPr="006E0A1A">
        <w:rPr>
          <w:rStyle w:val="eop"/>
        </w:rPr>
        <w:t> </w:t>
      </w:r>
    </w:p>
    <w:p w14:paraId="646C7979" w14:textId="77777777" w:rsidR="00B32B57" w:rsidRPr="006E0A1A" w:rsidRDefault="00B32B57" w:rsidP="00D436B1">
      <w:pPr>
        <w:pStyle w:val="paragraph"/>
        <w:spacing w:before="0" w:beforeAutospacing="0" w:after="0" w:afterAutospacing="0"/>
        <w:textAlignment w:val="baseline"/>
        <w:rPr>
          <w:rStyle w:val="normaltextrun"/>
        </w:rPr>
      </w:pPr>
    </w:p>
    <w:p w14:paraId="296ECF39" w14:textId="706318C9" w:rsidR="00027305" w:rsidRPr="006E0A1A" w:rsidRDefault="00B32B57" w:rsidP="00D436B1">
      <w:pPr>
        <w:pStyle w:val="paragraph"/>
        <w:spacing w:before="0" w:beforeAutospacing="0" w:after="0" w:afterAutospacing="0"/>
        <w:textAlignment w:val="baseline"/>
        <w:rPr>
          <w:rStyle w:val="normaltextrun"/>
        </w:rPr>
      </w:pPr>
      <w:r w:rsidRPr="006E0A1A">
        <w:rPr>
          <w:rStyle w:val="normaltextrun"/>
        </w:rPr>
        <w:t xml:space="preserve">A </w:t>
      </w:r>
      <w:r w:rsidR="00D436B1" w:rsidRPr="006E0A1A">
        <w:rPr>
          <w:rStyle w:val="normaltextrun"/>
        </w:rPr>
        <w:t>will is invalid if the testator was incapable of making a valid testament at the time it was executed, this is referred to as testamentary capacity.</w:t>
      </w:r>
    </w:p>
    <w:p w14:paraId="1456E5E4" w14:textId="5DE0BC38" w:rsidR="00D436B1" w:rsidRPr="006E0A1A" w:rsidRDefault="00D436B1" w:rsidP="00D436B1">
      <w:pPr>
        <w:pStyle w:val="paragraph"/>
        <w:spacing w:before="0" w:beforeAutospacing="0" w:after="0" w:afterAutospacing="0"/>
        <w:textAlignment w:val="baseline"/>
        <w:rPr>
          <w:rStyle w:val="eop"/>
        </w:rPr>
      </w:pPr>
      <w:r w:rsidRPr="006E0A1A">
        <w:rPr>
          <w:rStyle w:val="normaltextrun"/>
        </w:rPr>
        <w:t>When the Mental Capacity Act 2005 went into effect on October 1, 2007, it was first introduced and there was some uncertainty as to whether the statutory test outlined in the 2005 Act superseded the common-law test outlined in Banks v. Goodfellow (</w:t>
      </w:r>
      <w:r w:rsidR="00402737" w:rsidRPr="006E0A1A">
        <w:rPr>
          <w:rStyle w:val="normaltextrun"/>
        </w:rPr>
        <w:t>Morgan Gould</w:t>
      </w:r>
      <w:r w:rsidRPr="006E0A1A">
        <w:rPr>
          <w:rStyle w:val="normaltextrun"/>
        </w:rPr>
        <w:t>, n.d.). The standard outlined in Banks v. Goodfellow was affirmed by Falk J. in the recent appeal case of Clitheroe v. Bond, finding that it has not been replaced by the Mental Capacity Act of 2005 when examining testamentary capability retroactively (MCA</w:t>
      </w:r>
      <w:r w:rsidR="004C5951" w:rsidRPr="006E0A1A">
        <w:rPr>
          <w:rStyle w:val="normaltextrun"/>
        </w:rPr>
        <w:t>)</w:t>
      </w:r>
      <w:r w:rsidRPr="006E0A1A">
        <w:rPr>
          <w:rStyle w:val="normaltextrun"/>
        </w:rPr>
        <w:t xml:space="preserve"> (Vos, 2021).</w:t>
      </w:r>
      <w:r w:rsidRPr="006E0A1A">
        <w:rPr>
          <w:rStyle w:val="eop"/>
        </w:rPr>
        <w:t> </w:t>
      </w:r>
    </w:p>
    <w:p w14:paraId="658193D1" w14:textId="2F43D5FA" w:rsidR="00027305" w:rsidRPr="006E0A1A" w:rsidRDefault="004B7301" w:rsidP="00D436B1">
      <w:pPr>
        <w:pStyle w:val="paragraph"/>
        <w:spacing w:before="0" w:beforeAutospacing="0" w:after="0" w:afterAutospacing="0"/>
        <w:textAlignment w:val="baseline"/>
        <w:rPr>
          <w:rStyle w:val="eop"/>
        </w:rPr>
      </w:pPr>
      <w:r w:rsidRPr="006E0A1A">
        <w:rPr>
          <w:rStyle w:val="eop"/>
        </w:rPr>
        <w:t>According to</w:t>
      </w:r>
      <w:r w:rsidRPr="006E0A1A">
        <w:t xml:space="preserve"> </w:t>
      </w:r>
      <w:r w:rsidR="00402737" w:rsidRPr="006E0A1A">
        <w:rPr>
          <w:rStyle w:val="eop"/>
        </w:rPr>
        <w:t>Halsbury’s</w:t>
      </w:r>
      <w:r w:rsidRPr="006E0A1A">
        <w:rPr>
          <w:rStyle w:val="eop"/>
        </w:rPr>
        <w:t xml:space="preserve"> Law of England</w:t>
      </w:r>
      <w:r w:rsidRPr="006E0A1A">
        <w:rPr>
          <w:rStyle w:val="eop"/>
        </w:rPr>
        <w:t xml:space="preserve"> (2021) </w:t>
      </w:r>
      <w:r w:rsidR="00027305" w:rsidRPr="006E0A1A">
        <w:rPr>
          <w:rStyle w:val="eop"/>
        </w:rPr>
        <w:t>It is crucial for a testator to comprehend the nature of the wills Act and its consequences, they need to be aware of the claims that should be honoured, and be aware of the size of the property that he is disposing of in order to form a legal will.</w:t>
      </w:r>
      <w:r w:rsidR="00027305" w:rsidRPr="006E0A1A">
        <w:t xml:space="preserve"> </w:t>
      </w:r>
      <w:r w:rsidR="00027305" w:rsidRPr="006E0A1A">
        <w:rPr>
          <w:rStyle w:val="eop"/>
        </w:rPr>
        <w:t xml:space="preserve">As a result, the intellectual understanding needed for testamentary capacity differs from the intellectual understanding needed for regular contracts in that it calls for, </w:t>
      </w:r>
      <w:r w:rsidR="00FB0E0E" w:rsidRPr="006E0A1A">
        <w:rPr>
          <w:rStyle w:val="eop"/>
        </w:rPr>
        <w:t>amongst</w:t>
      </w:r>
      <w:r w:rsidR="00027305" w:rsidRPr="006E0A1A">
        <w:rPr>
          <w:rStyle w:val="eop"/>
        </w:rPr>
        <w:t xml:space="preserve"> other things, an appreciation of potential beneficiaries' claims.</w:t>
      </w:r>
      <w:r w:rsidR="00027305" w:rsidRPr="006E0A1A">
        <w:t xml:space="preserve"> </w:t>
      </w:r>
      <w:r w:rsidR="00027305" w:rsidRPr="006E0A1A">
        <w:rPr>
          <w:rStyle w:val="eop"/>
        </w:rPr>
        <w:t>If a will was made while the testator was incapacitated, it is invalid and does not become valid after they are able to function again. The person who proposes the will is responsible for demonstrating testamentary capacity.</w:t>
      </w:r>
      <w:r w:rsidR="00027305" w:rsidRPr="006E0A1A">
        <w:t xml:space="preserve"> </w:t>
      </w:r>
      <w:r w:rsidR="00027305" w:rsidRPr="006E0A1A">
        <w:rPr>
          <w:rStyle w:val="eop"/>
        </w:rPr>
        <w:t>The Mental Capacity Act of 2005 provides that the Court of Protection may decide on a person's behalf when that individual lacks capacity to make decisions about his or her property and affairs</w:t>
      </w:r>
      <w:r w:rsidR="004C5951" w:rsidRPr="006E0A1A">
        <w:rPr>
          <w:rStyle w:val="eop"/>
        </w:rPr>
        <w:t>,</w:t>
      </w:r>
      <w:r w:rsidR="00027305" w:rsidRPr="006E0A1A">
        <w:t xml:space="preserve"> </w:t>
      </w:r>
      <w:r w:rsidR="00027305" w:rsidRPr="006E0A1A">
        <w:rPr>
          <w:rStyle w:val="eop"/>
        </w:rPr>
        <w:t>This authority includes carrying out a will.</w:t>
      </w:r>
      <w:r w:rsidR="00027305" w:rsidRPr="006E0A1A">
        <w:t xml:space="preserve"> </w:t>
      </w:r>
      <w:r w:rsidR="00027305" w:rsidRPr="006E0A1A">
        <w:rPr>
          <w:rStyle w:val="eop"/>
        </w:rPr>
        <w:t>The best interests of the person must be taken into consideration by the court while considering whether or not to execute a will.</w:t>
      </w:r>
      <w:r w:rsidR="00027305" w:rsidRPr="006E0A1A">
        <w:t xml:space="preserve"> </w:t>
      </w:r>
      <w:r w:rsidR="00027305" w:rsidRPr="006E0A1A">
        <w:rPr>
          <w:rStyle w:val="eop"/>
        </w:rPr>
        <w:t>The Act establishes a structured decision-making process that mandates the decision maker to follow a number of steps before coming to a decision, including inviting the vulnerable person to participate in the decision, taking into account the vulnerable person's beliefs and values, as well as his or her past and present wishes (which was always a significant factor to which the court had to pay close regard).</w:t>
      </w:r>
    </w:p>
    <w:p w14:paraId="3527412B" w14:textId="6AD67DD1" w:rsidR="001D26F7" w:rsidRPr="006E0A1A" w:rsidRDefault="001D26F7" w:rsidP="00D436B1">
      <w:pPr>
        <w:pStyle w:val="paragraph"/>
        <w:spacing w:before="0" w:beforeAutospacing="0" w:after="0" w:afterAutospacing="0"/>
        <w:textAlignment w:val="baseline"/>
        <w:rPr>
          <w:rStyle w:val="eop"/>
        </w:rPr>
      </w:pPr>
      <w:r w:rsidRPr="006E0A1A">
        <w:rPr>
          <w:rStyle w:val="eop"/>
        </w:rPr>
        <w:t xml:space="preserve">In the case of Hoff and others v Atherton the capacity was in question but was ruled in the favour of the testatrix .  </w:t>
      </w:r>
      <w:r w:rsidRPr="006E0A1A">
        <w:rPr>
          <w:rStyle w:val="eop"/>
        </w:rPr>
        <w:t>The testatrix made a will in June 1994 in which she revoked all previous testamentary dispositions, made gifts to the first claimant</w:t>
      </w:r>
      <w:r w:rsidRPr="006E0A1A">
        <w:rPr>
          <w:rStyle w:val="eop"/>
        </w:rPr>
        <w:t xml:space="preserve"> </w:t>
      </w:r>
      <w:r w:rsidRPr="006E0A1A">
        <w:rPr>
          <w:rStyle w:val="eop"/>
        </w:rPr>
        <w:t>her godson</w:t>
      </w:r>
      <w:r w:rsidR="004C5951" w:rsidRPr="006E0A1A">
        <w:rPr>
          <w:rStyle w:val="eop"/>
        </w:rPr>
        <w:t>,</w:t>
      </w:r>
      <w:r w:rsidRPr="006E0A1A">
        <w:rPr>
          <w:rStyle w:val="eop"/>
        </w:rPr>
        <w:t xml:space="preserve"> </w:t>
      </w:r>
      <w:r w:rsidRPr="006E0A1A">
        <w:rPr>
          <w:rStyle w:val="eop"/>
        </w:rPr>
        <w:t>his sister, the second claimant</w:t>
      </w:r>
      <w:r w:rsidRPr="006E0A1A">
        <w:rPr>
          <w:rStyle w:val="eop"/>
        </w:rPr>
        <w:t xml:space="preserve"> </w:t>
      </w:r>
      <w:r w:rsidRPr="006E0A1A">
        <w:rPr>
          <w:rStyle w:val="eop"/>
        </w:rPr>
        <w:t>her niece</w:t>
      </w:r>
      <w:r w:rsidRPr="006E0A1A">
        <w:rPr>
          <w:rStyle w:val="eop"/>
        </w:rPr>
        <w:t xml:space="preserve"> </w:t>
      </w:r>
      <w:r w:rsidRPr="006E0A1A">
        <w:rPr>
          <w:rStyle w:val="eop"/>
        </w:rPr>
        <w:t>and the third claimant</w:t>
      </w:r>
      <w:r w:rsidRPr="006E0A1A">
        <w:rPr>
          <w:rStyle w:val="eop"/>
        </w:rPr>
        <w:t xml:space="preserve"> </w:t>
      </w:r>
      <w:r w:rsidRPr="006E0A1A">
        <w:rPr>
          <w:rStyle w:val="eop"/>
        </w:rPr>
        <w:t>the daughter of an old friend</w:t>
      </w:r>
      <w:r w:rsidRPr="006E0A1A">
        <w:rPr>
          <w:rStyle w:val="eop"/>
        </w:rPr>
        <w:t xml:space="preserve"> and others</w:t>
      </w:r>
      <w:r w:rsidR="004C5951" w:rsidRPr="006E0A1A">
        <w:rPr>
          <w:rStyle w:val="eop"/>
        </w:rPr>
        <w:t>,</w:t>
      </w:r>
      <w:r w:rsidRPr="006E0A1A">
        <w:rPr>
          <w:rStyle w:val="eop"/>
        </w:rPr>
        <w:t xml:space="preserve"> </w:t>
      </w:r>
      <w:r w:rsidR="004C5951" w:rsidRPr="006E0A1A">
        <w:rPr>
          <w:rStyle w:val="eop"/>
        </w:rPr>
        <w:t>she</w:t>
      </w:r>
      <w:r w:rsidRPr="006E0A1A">
        <w:rPr>
          <w:rStyle w:val="eop"/>
        </w:rPr>
        <w:t xml:space="preserve"> then</w:t>
      </w:r>
      <w:r w:rsidRPr="006E0A1A">
        <w:rPr>
          <w:rStyle w:val="eop"/>
        </w:rPr>
        <w:t xml:space="preserve"> left the defendant the remainder of her </w:t>
      </w:r>
      <w:r w:rsidR="00E43ED5" w:rsidRPr="006E0A1A">
        <w:rPr>
          <w:rStyle w:val="eop"/>
        </w:rPr>
        <w:t>estate, which</w:t>
      </w:r>
      <w:r w:rsidRPr="006E0A1A">
        <w:rPr>
          <w:rStyle w:val="eop"/>
        </w:rPr>
        <w:t xml:space="preserve"> was probably worth a </w:t>
      </w:r>
      <w:r w:rsidRPr="006E0A1A">
        <w:rPr>
          <w:rStyle w:val="eop"/>
        </w:rPr>
        <w:t>sufficient</w:t>
      </w:r>
      <w:r w:rsidRPr="006E0A1A">
        <w:rPr>
          <w:rStyle w:val="eop"/>
        </w:rPr>
        <w:t xml:space="preserve"> amount. The defendant was the testatrix's neighbour, and after her husband's passing, the two had grown close. The three claimants were supposed to get a sizable portion of the testatrix's wealth under a previous will that was written in 1987. The testatrix was brought to the hospital in April 1995, undoubtedly suffering from severe dementia. In March 2001, she passed away.</w:t>
      </w:r>
      <w:r w:rsidRPr="006E0A1A">
        <w:t xml:space="preserve"> </w:t>
      </w:r>
      <w:r w:rsidRPr="006E0A1A">
        <w:rPr>
          <w:rStyle w:val="eop"/>
        </w:rPr>
        <w:t xml:space="preserve">The claimants filed a lawsuit against the defendant, asking for a declaration that the 1994 will was invalid because the testatrix lacked testamentary capacity at the time of </w:t>
      </w:r>
      <w:r w:rsidRPr="006E0A1A">
        <w:rPr>
          <w:rStyle w:val="eop"/>
        </w:rPr>
        <w:lastRenderedPageBreak/>
        <w:t>execution or because she was not aware of or in agreement with its contents. They requested orders declaring the 1987 will as the valid one and the 1994 will as invalid. By her counterclaim, the defendant requested instructions that would have the exact opposite result.</w:t>
      </w:r>
      <w:r w:rsidR="003D0D89" w:rsidRPr="006E0A1A">
        <w:t xml:space="preserve"> </w:t>
      </w:r>
      <w:r w:rsidR="003D0D89" w:rsidRPr="006E0A1A">
        <w:rPr>
          <w:rStyle w:val="eop"/>
        </w:rPr>
        <w:t xml:space="preserve">The judge then went through the testimony one by one and determined that there were incidents in June 1994 that were suggestive of mild to moderate dementia, raising serious concerns about the testatrix's testamentary capacity, placing the onus of proof on the defendant to prove that capacity. </w:t>
      </w:r>
      <w:r w:rsidR="00E43ED5" w:rsidRPr="006E0A1A">
        <w:rPr>
          <w:rStyle w:val="eop"/>
        </w:rPr>
        <w:t>But</w:t>
      </w:r>
      <w:r w:rsidR="003D0D89" w:rsidRPr="006E0A1A">
        <w:rPr>
          <w:rStyle w:val="eop"/>
        </w:rPr>
        <w:t xml:space="preserve"> the judge decided that the weight of the evidence was sufficient to eliminate his remaining concerns and convince him that the testatrix possessed testamentary competence.</w:t>
      </w:r>
      <w:r w:rsidR="003D0D89" w:rsidRPr="006E0A1A">
        <w:t xml:space="preserve"> </w:t>
      </w:r>
      <w:r w:rsidR="003D0D89" w:rsidRPr="006E0A1A">
        <w:rPr>
          <w:rStyle w:val="eop"/>
        </w:rPr>
        <w:t>After examining the evidence, the judge concluded that the testatrix knew about and had approved the provisions of the 1994 will. He therefore gave his blessing to the 1994 will's legality and force. The claimants appealed that judgement</w:t>
      </w:r>
      <w:r w:rsidR="00FD6615" w:rsidRPr="006E0A1A">
        <w:rPr>
          <w:rStyle w:val="eop"/>
        </w:rPr>
        <w:t xml:space="preserve"> and they</w:t>
      </w:r>
      <w:r w:rsidR="003D0D89" w:rsidRPr="006E0A1A">
        <w:rPr>
          <w:rStyle w:val="eop"/>
        </w:rPr>
        <w:t xml:space="preserve"> argued that the judge had erred in inferring capacity from the evidence before him and that proof of a testator's knowledge and approval of a will had to go beyond a simple understanding and required proof of actual knowledge in every case of doubtful capacity. They also challenged the judge's decisions on both capacity and knowledge and approval.</w:t>
      </w:r>
      <w:r w:rsidR="004C5951" w:rsidRPr="006E0A1A">
        <w:rPr>
          <w:rStyle w:val="eop"/>
        </w:rPr>
        <w:t xml:space="preserve"> Their</w:t>
      </w:r>
      <w:r w:rsidR="003D0D89" w:rsidRPr="006E0A1A">
        <w:rPr>
          <w:rStyle w:val="eop"/>
        </w:rPr>
        <w:t xml:space="preserve"> appeal was dismissed</w:t>
      </w:r>
      <w:r w:rsidR="001D334B" w:rsidRPr="006E0A1A">
        <w:rPr>
          <w:rStyle w:val="eop"/>
        </w:rPr>
        <w:t xml:space="preserve"> and the 1994 will was valid</w:t>
      </w:r>
      <w:r w:rsidR="003D0D89" w:rsidRPr="006E0A1A">
        <w:rPr>
          <w:rStyle w:val="eop"/>
        </w:rPr>
        <w:t xml:space="preserve"> (linsey, 2004)</w:t>
      </w:r>
      <w:r w:rsidR="003D0D89" w:rsidRPr="006E0A1A">
        <w:rPr>
          <w:rStyle w:val="eop"/>
        </w:rPr>
        <w:t>.</w:t>
      </w:r>
    </w:p>
    <w:p w14:paraId="5168CC49" w14:textId="3C71FFD6" w:rsidR="001D334B" w:rsidRPr="006E0A1A" w:rsidRDefault="001D334B" w:rsidP="00D436B1">
      <w:pPr>
        <w:pStyle w:val="paragraph"/>
        <w:spacing w:before="0" w:beforeAutospacing="0" w:after="0" w:afterAutospacing="0"/>
        <w:textAlignment w:val="baseline"/>
        <w:rPr>
          <w:rStyle w:val="eop"/>
        </w:rPr>
      </w:pPr>
    </w:p>
    <w:p w14:paraId="7C707D1F" w14:textId="12966377" w:rsidR="001D334B" w:rsidRPr="006E0A1A" w:rsidRDefault="001D334B" w:rsidP="00D436B1">
      <w:pPr>
        <w:pStyle w:val="paragraph"/>
        <w:spacing w:before="0" w:beforeAutospacing="0" w:after="0" w:afterAutospacing="0"/>
        <w:textAlignment w:val="baseline"/>
        <w:rPr>
          <w:rStyle w:val="eop"/>
        </w:rPr>
      </w:pPr>
      <w:r w:rsidRPr="006E0A1A">
        <w:rPr>
          <w:rStyle w:val="eop"/>
        </w:rPr>
        <w:t xml:space="preserve">In the case of Ball v </w:t>
      </w:r>
      <w:r w:rsidR="00E43ED5" w:rsidRPr="006E0A1A">
        <w:rPr>
          <w:rStyle w:val="eop"/>
        </w:rPr>
        <w:t>Ball,</w:t>
      </w:r>
      <w:r w:rsidRPr="006E0A1A">
        <w:rPr>
          <w:rStyle w:val="eop"/>
        </w:rPr>
        <w:t xml:space="preserve"> </w:t>
      </w:r>
      <w:r w:rsidR="00E43ED5" w:rsidRPr="006E0A1A">
        <w:rPr>
          <w:rStyle w:val="eop"/>
        </w:rPr>
        <w:t>the</w:t>
      </w:r>
      <w:r w:rsidRPr="006E0A1A">
        <w:rPr>
          <w:rStyle w:val="eop"/>
        </w:rPr>
        <w:t xml:space="preserve"> claimants contested the will's legality on the grounds of incapacity and undue influence. Inheritance (Provision for Family and Dependants Act of 1975) was another claim made by them.</w:t>
      </w:r>
      <w:r w:rsidRPr="006E0A1A">
        <w:t xml:space="preserve"> </w:t>
      </w:r>
      <w:r w:rsidRPr="006E0A1A">
        <w:rPr>
          <w:rStyle w:val="eop"/>
        </w:rPr>
        <w:t>It was acknowledged during the trial that Mrs. Ball was not experiencing a physical or mental condition severe enough to rob her of the ability to make a will. According to the argument for lack of capacity, Mrs. Ball's mental condition was compromised when she drafted her will since she believed her husband was innocent when he was actually guilty. She had a serious misconception that limited her ability.</w:t>
      </w:r>
      <w:r w:rsidRPr="006E0A1A">
        <w:t xml:space="preserve"> </w:t>
      </w:r>
      <w:r w:rsidRPr="006E0A1A">
        <w:rPr>
          <w:rStyle w:val="eop"/>
        </w:rPr>
        <w:t>The judgement does not go into detail regarding the arguments made regarding undue influence, but it appears that Mrs. Ball's decision, her lack of capacity based on the justifications provided above, and the fact that her will was created concurrently with her husband's will in the same manner and with the same solicitors were all used to support the claim that she must have been acting under undue influence.</w:t>
      </w:r>
      <w:r w:rsidRPr="006E0A1A">
        <w:t xml:space="preserve"> </w:t>
      </w:r>
      <w:r w:rsidRPr="006E0A1A">
        <w:rPr>
          <w:rStyle w:val="eop"/>
        </w:rPr>
        <w:t>The judge determined that there was no loss of capacity in this case and cited the Re Belliss decision from 1929, concluding that a mistake does not, by itself, render a will void. It can serve as evidence that the testator has an irrational delusion or does not have a good enough memory to make a will, but "a mere mistake, without more, is not enough," as the saying goes.</w:t>
      </w:r>
      <w:r w:rsidRPr="006E0A1A">
        <w:t xml:space="preserve"> </w:t>
      </w:r>
      <w:r w:rsidRPr="006E0A1A">
        <w:rPr>
          <w:rStyle w:val="eop"/>
        </w:rPr>
        <w:t>Although the judge acknowledged that not every parent would have acted in the same way and that she could be criticised for doing so, she was entitled to choose to disinherit her children in the given circumstances once it was determined that she had capacity, and her choice was not "irrational."</w:t>
      </w:r>
      <w:r w:rsidR="00BA3123" w:rsidRPr="006E0A1A">
        <w:t xml:space="preserve"> </w:t>
      </w:r>
      <w:r w:rsidR="00BA3123" w:rsidRPr="006E0A1A">
        <w:rPr>
          <w:rStyle w:val="eop"/>
        </w:rPr>
        <w:t>(Fudakowska, 2017)</w:t>
      </w:r>
      <w:r w:rsidR="00BA3123" w:rsidRPr="006E0A1A">
        <w:rPr>
          <w:rStyle w:val="eop"/>
        </w:rPr>
        <w:t>.</w:t>
      </w:r>
    </w:p>
    <w:p w14:paraId="25B7FFB8" w14:textId="3D37EA4E" w:rsidR="00EE5BBA" w:rsidRPr="006E0A1A" w:rsidRDefault="00BA3123" w:rsidP="00EE5BBA">
      <w:pPr>
        <w:pStyle w:val="paragraph"/>
        <w:spacing w:after="0"/>
        <w:textAlignment w:val="baseline"/>
        <w:rPr>
          <w:rStyle w:val="eop"/>
        </w:rPr>
      </w:pPr>
      <w:r w:rsidRPr="006E0A1A">
        <w:rPr>
          <w:rStyle w:val="eop"/>
        </w:rPr>
        <w:t>As we can see in the two cases above to prove capacity t</w:t>
      </w:r>
      <w:r w:rsidRPr="006E0A1A">
        <w:rPr>
          <w:rStyle w:val="eop"/>
        </w:rPr>
        <w:t>he legal word for a person's legal and mental competence to create or modify a valid will is testamentary capacity</w:t>
      </w:r>
      <w:r w:rsidRPr="006E0A1A">
        <w:rPr>
          <w:rStyle w:val="eop"/>
        </w:rPr>
        <w:t xml:space="preserve"> ,t</w:t>
      </w:r>
      <w:r w:rsidRPr="006E0A1A">
        <w:rPr>
          <w:rStyle w:val="eop"/>
        </w:rPr>
        <w:t>he will is invalid if the testator</w:t>
      </w:r>
      <w:r w:rsidRPr="006E0A1A">
        <w:rPr>
          <w:rStyle w:val="eop"/>
        </w:rPr>
        <w:t xml:space="preserve"> or testatrix</w:t>
      </w:r>
      <w:r w:rsidRPr="006E0A1A">
        <w:rPr>
          <w:rStyle w:val="eop"/>
        </w:rPr>
        <w:t xml:space="preserve"> was incapable of making a valid testament at the time it was executed</w:t>
      </w:r>
      <w:r w:rsidR="00EE5BBA" w:rsidRPr="006E0A1A">
        <w:rPr>
          <w:rStyle w:val="eop"/>
        </w:rPr>
        <w:t>.</w:t>
      </w:r>
      <w:r w:rsidR="00EE5BBA" w:rsidRPr="006E0A1A">
        <w:t xml:space="preserve"> </w:t>
      </w:r>
      <w:r w:rsidR="00EE5BBA" w:rsidRPr="006E0A1A">
        <w:rPr>
          <w:rStyle w:val="eop"/>
        </w:rPr>
        <w:t xml:space="preserve">Case law serves as the foundation for the evaluation of will-making capacity. </w:t>
      </w:r>
      <w:r w:rsidR="00EE5BBA" w:rsidRPr="006E0A1A">
        <w:rPr>
          <w:rStyle w:val="eop"/>
        </w:rPr>
        <w:t>The rules as it stands are t</w:t>
      </w:r>
      <w:r w:rsidR="00EE5BBA" w:rsidRPr="006E0A1A">
        <w:rPr>
          <w:rStyle w:val="eop"/>
        </w:rPr>
        <w:t>he testator/testatrix must:</w:t>
      </w:r>
    </w:p>
    <w:p w14:paraId="2CE0B209" w14:textId="77777777" w:rsidR="00EE5BBA" w:rsidRPr="006E0A1A" w:rsidRDefault="00EE5BBA" w:rsidP="00EE5BBA">
      <w:pPr>
        <w:pStyle w:val="paragraph"/>
        <w:spacing w:after="0"/>
        <w:textAlignment w:val="baseline"/>
        <w:rPr>
          <w:rStyle w:val="eop"/>
        </w:rPr>
      </w:pPr>
      <w:r w:rsidRPr="006E0A1A">
        <w:rPr>
          <w:rStyle w:val="eop"/>
        </w:rPr>
        <w:t>Know the basics of making a will and how it works.</w:t>
      </w:r>
    </w:p>
    <w:p w14:paraId="431AC701" w14:textId="77777777" w:rsidR="00EE5BBA" w:rsidRPr="006E0A1A" w:rsidRDefault="00EE5BBA" w:rsidP="00EE5BBA">
      <w:pPr>
        <w:pStyle w:val="paragraph"/>
        <w:spacing w:after="0"/>
        <w:textAlignment w:val="baseline"/>
        <w:rPr>
          <w:rStyle w:val="eop"/>
        </w:rPr>
      </w:pPr>
      <w:r w:rsidRPr="006E0A1A">
        <w:rPr>
          <w:rStyle w:val="eop"/>
        </w:rPr>
        <w:t>Recognize the scope of the assets they are disposing of.</w:t>
      </w:r>
    </w:p>
    <w:p w14:paraId="755152FE" w14:textId="77777777" w:rsidR="00EE5BBA" w:rsidRPr="006E0A1A" w:rsidRDefault="00EE5BBA" w:rsidP="00EE5BBA">
      <w:pPr>
        <w:pStyle w:val="paragraph"/>
        <w:spacing w:after="0"/>
        <w:textAlignment w:val="baseline"/>
        <w:rPr>
          <w:rStyle w:val="eop"/>
        </w:rPr>
      </w:pPr>
      <w:r w:rsidRPr="006E0A1A">
        <w:rPr>
          <w:rStyle w:val="eop"/>
        </w:rPr>
        <w:t>be able to comprehend and value the statements that they should support.</w:t>
      </w:r>
    </w:p>
    <w:p w14:paraId="1ACE95AA" w14:textId="25247E64" w:rsidR="00EE5BBA" w:rsidRPr="006E0A1A" w:rsidRDefault="00EE5BBA" w:rsidP="00EE5BBA">
      <w:pPr>
        <w:pStyle w:val="paragraph"/>
        <w:spacing w:after="0"/>
        <w:textAlignment w:val="baseline"/>
        <w:rPr>
          <w:rStyle w:val="eop"/>
        </w:rPr>
      </w:pPr>
      <w:r w:rsidRPr="006E0A1A">
        <w:rPr>
          <w:rStyle w:val="eop"/>
        </w:rPr>
        <w:lastRenderedPageBreak/>
        <w:t>Have no mental condition that distorts their sense of justice or stops them from using their natural abilities to dispose of their possessions in accordance with their wishes.</w:t>
      </w:r>
    </w:p>
    <w:p w14:paraId="041183D2" w14:textId="7066BC0E" w:rsidR="00EE5BBA" w:rsidRPr="006E0A1A" w:rsidRDefault="00EE5BBA" w:rsidP="00EE5BBA">
      <w:pPr>
        <w:pStyle w:val="paragraph"/>
        <w:spacing w:after="0"/>
        <w:textAlignment w:val="baseline"/>
        <w:rPr>
          <w:rStyle w:val="eop"/>
        </w:rPr>
      </w:pPr>
      <w:r w:rsidRPr="006E0A1A">
        <w:rPr>
          <w:rStyle w:val="eop"/>
        </w:rPr>
        <w:t>The intricacy of the will itself, the testator's assets, and the claims against the testator all affect the level of understanding required by the test</w:t>
      </w:r>
      <w:r w:rsidR="00F62186" w:rsidRPr="006E0A1A">
        <w:rPr>
          <w:rStyle w:val="eop"/>
        </w:rPr>
        <w:t>,</w:t>
      </w:r>
      <w:r w:rsidRPr="006E0A1A">
        <w:rPr>
          <w:rStyle w:val="eop"/>
        </w:rPr>
        <w:t>  the test is based on the case law of Banks v. Goodfellow (1870) LR 5 QB 549).</w:t>
      </w:r>
      <w:r w:rsidRPr="006E0A1A">
        <w:t xml:space="preserve"> </w:t>
      </w:r>
      <w:r w:rsidRPr="006E0A1A">
        <w:rPr>
          <w:rStyle w:val="eop"/>
        </w:rPr>
        <w:t>When the Mental Capacity Act 2005 (Gazette issue 57613), which went into effect on October 1, 2007, was first introduced, there was some uncertainty as to whether the statutory test outlined in the 2005 Act superseded the common-law test outlined in Banks v. Goodfellow.</w:t>
      </w:r>
      <w:r w:rsidR="00A97B42" w:rsidRPr="006E0A1A">
        <w:rPr>
          <w:rStyle w:val="eop"/>
        </w:rPr>
        <w:t xml:space="preserve"> </w:t>
      </w:r>
      <w:r w:rsidRPr="006E0A1A">
        <w:rPr>
          <w:rStyle w:val="eop"/>
        </w:rPr>
        <w:t>The code of practise that is annexed to the Mental Capacity Act is ambiguous on the subject</w:t>
      </w:r>
      <w:r w:rsidR="00D107C1" w:rsidRPr="006E0A1A">
        <w:rPr>
          <w:rStyle w:val="eop"/>
        </w:rPr>
        <w:t>,</w:t>
      </w:r>
      <w:r w:rsidRPr="006E0A1A">
        <w:rPr>
          <w:rStyle w:val="eop"/>
        </w:rPr>
        <w:t xml:space="preserve"> it states that its own definition of capacity is "in line with the existing common law tests and does not replace them," but permits judges in such cases to adopt the new definition "if they think it is appropriate."</w:t>
      </w:r>
      <w:r w:rsidRPr="006E0A1A">
        <w:t xml:space="preserve"> </w:t>
      </w:r>
      <w:r w:rsidRPr="006E0A1A">
        <w:rPr>
          <w:rStyle w:val="eop"/>
        </w:rPr>
        <w:t>(Gould, 2016)</w:t>
      </w:r>
      <w:r w:rsidRPr="006E0A1A">
        <w:rPr>
          <w:rStyle w:val="eop"/>
        </w:rPr>
        <w:t>.</w:t>
      </w:r>
    </w:p>
    <w:p w14:paraId="1FF2DF78" w14:textId="76E4C513" w:rsidR="00027305" w:rsidRPr="006E0A1A" w:rsidRDefault="00BD52DD" w:rsidP="00BD52DD">
      <w:pPr>
        <w:pStyle w:val="paragraph"/>
        <w:spacing w:after="0"/>
        <w:textAlignment w:val="baseline"/>
        <w:rPr>
          <w:rStyle w:val="eop"/>
        </w:rPr>
      </w:pPr>
      <w:r w:rsidRPr="006E0A1A">
        <w:rPr>
          <w:rStyle w:val="eop"/>
        </w:rPr>
        <w:t>The Wills Act of 1837 established the legal foundation for drafting a will, which, according to the law society, has remained essentially intact since then. The regulations are mostly based on previous case law.</w:t>
      </w:r>
      <w:r w:rsidRPr="006E0A1A">
        <w:t xml:space="preserve"> </w:t>
      </w:r>
      <w:r w:rsidRPr="006E0A1A">
        <w:rPr>
          <w:rStyle w:val="eop"/>
        </w:rPr>
        <w:t xml:space="preserve">The increase in contested wills shows that this area of law requires </w:t>
      </w:r>
      <w:r w:rsidR="00CA5C68" w:rsidRPr="006E0A1A">
        <w:rPr>
          <w:rStyle w:val="eop"/>
        </w:rPr>
        <w:t>revision. The</w:t>
      </w:r>
      <w:r w:rsidRPr="006E0A1A">
        <w:rPr>
          <w:rStyle w:val="eop"/>
        </w:rPr>
        <w:t xml:space="preserve"> Law Commission released its much anticipated consultation in 2017, asking for opinions to help develop recommendations for amending the Wills Act 1837.</w:t>
      </w:r>
      <w:r w:rsidRPr="006E0A1A">
        <w:t xml:space="preserve"> </w:t>
      </w:r>
      <w:r w:rsidRPr="006E0A1A">
        <w:rPr>
          <w:rStyle w:val="eop"/>
        </w:rPr>
        <w:t>The Law Commission has resumed work on the wills project after putting it on hold in 2021 with the intention of holding an additional consultation in September 2023.</w:t>
      </w:r>
      <w:r w:rsidRPr="006E0A1A">
        <w:rPr>
          <w:rStyle w:val="eop"/>
        </w:rPr>
        <w:t xml:space="preserve"> Things being considered are capacity , statutory wills ,</w:t>
      </w:r>
      <w:r w:rsidR="00CA5C68" w:rsidRPr="006E0A1A">
        <w:rPr>
          <w:rStyle w:val="eop"/>
        </w:rPr>
        <w:t>formalities</w:t>
      </w:r>
      <w:r w:rsidRPr="006E0A1A">
        <w:rPr>
          <w:rStyle w:val="eop"/>
        </w:rPr>
        <w:t xml:space="preserve"> and electronic wills</w:t>
      </w:r>
      <w:r w:rsidR="00CA5C68" w:rsidRPr="006E0A1A">
        <w:rPr>
          <w:rStyle w:val="eop"/>
        </w:rPr>
        <w:t xml:space="preserve"> </w:t>
      </w:r>
      <w:r w:rsidR="00CA5C68" w:rsidRPr="006E0A1A">
        <w:rPr>
          <w:rStyle w:val="eop"/>
        </w:rPr>
        <w:t>(The Law society, 2023)</w:t>
      </w:r>
      <w:r w:rsidR="00CA5C68" w:rsidRPr="006E0A1A">
        <w:rPr>
          <w:rStyle w:val="eop"/>
        </w:rPr>
        <w:t xml:space="preserve">. </w:t>
      </w:r>
      <w:r w:rsidR="001172B1" w:rsidRPr="006E0A1A">
        <w:rPr>
          <w:rStyle w:val="eop"/>
        </w:rPr>
        <w:t>The question that has to be asked in this situation is whether the methods by which a will's legitimacy can be contested using case law will change. Only time will tell if a will will be updated to reflect modern technologies.</w:t>
      </w:r>
    </w:p>
    <w:p w14:paraId="6947218D" w14:textId="65B11349" w:rsidR="00D436B1" w:rsidRPr="006E0A1A" w:rsidRDefault="00ED5BD3" w:rsidP="00D436B1">
      <w:pPr>
        <w:pStyle w:val="paragraph"/>
        <w:spacing w:before="0" w:beforeAutospacing="0" w:after="0" w:afterAutospacing="0"/>
        <w:textAlignment w:val="baseline"/>
        <w:rPr>
          <w:rStyle w:val="eop"/>
        </w:rPr>
      </w:pPr>
      <w:r w:rsidRPr="006E0A1A">
        <w:t xml:space="preserve">By Ceri-anne Johnson </w:t>
      </w:r>
      <w:r w:rsidR="00D436B1" w:rsidRPr="006E0A1A">
        <w:rPr>
          <w:rStyle w:val="eop"/>
        </w:rPr>
        <w:t> </w:t>
      </w:r>
    </w:p>
    <w:p w14:paraId="553DB973" w14:textId="3C005A21" w:rsidR="008259A9" w:rsidRPr="006E0A1A" w:rsidRDefault="008259A9" w:rsidP="00D436B1">
      <w:pPr>
        <w:pStyle w:val="paragraph"/>
        <w:spacing w:before="0" w:beforeAutospacing="0" w:after="0" w:afterAutospacing="0"/>
        <w:textAlignment w:val="baseline"/>
        <w:rPr>
          <w:rStyle w:val="eop"/>
        </w:rPr>
      </w:pPr>
    </w:p>
    <w:p w14:paraId="748E664C" w14:textId="15F7684C" w:rsidR="008259A9" w:rsidRPr="006E0A1A" w:rsidRDefault="008259A9" w:rsidP="00D436B1">
      <w:pPr>
        <w:pStyle w:val="paragraph"/>
        <w:spacing w:before="0" w:beforeAutospacing="0" w:after="0" w:afterAutospacing="0"/>
        <w:textAlignment w:val="baseline"/>
        <w:rPr>
          <w:rStyle w:val="eop"/>
        </w:rPr>
      </w:pPr>
    </w:p>
    <w:p w14:paraId="4F68FAA8" w14:textId="0964F113" w:rsidR="008259A9" w:rsidRPr="006E0A1A" w:rsidRDefault="008259A9" w:rsidP="00D436B1">
      <w:pPr>
        <w:pStyle w:val="paragraph"/>
        <w:spacing w:before="0" w:beforeAutospacing="0" w:after="0" w:afterAutospacing="0"/>
        <w:textAlignment w:val="baseline"/>
        <w:rPr>
          <w:rStyle w:val="eop"/>
        </w:rPr>
      </w:pPr>
    </w:p>
    <w:p w14:paraId="00812AEA" w14:textId="765811A5" w:rsidR="008259A9" w:rsidRPr="006E0A1A" w:rsidRDefault="008259A9" w:rsidP="00D436B1">
      <w:pPr>
        <w:pStyle w:val="paragraph"/>
        <w:spacing w:before="0" w:beforeAutospacing="0" w:after="0" w:afterAutospacing="0"/>
        <w:textAlignment w:val="baseline"/>
        <w:rPr>
          <w:rStyle w:val="eop"/>
        </w:rPr>
      </w:pPr>
    </w:p>
    <w:p w14:paraId="2BA9E174" w14:textId="77777777" w:rsidR="008259A9" w:rsidRPr="006E0A1A" w:rsidRDefault="008259A9" w:rsidP="00D436B1">
      <w:pPr>
        <w:pStyle w:val="paragraph"/>
        <w:spacing w:before="0" w:beforeAutospacing="0" w:after="0" w:afterAutospacing="0"/>
        <w:textAlignment w:val="baseline"/>
      </w:pPr>
    </w:p>
    <w:p w14:paraId="5144B1B1" w14:textId="768CF4F6" w:rsidR="00D436B1" w:rsidRPr="006E0A1A" w:rsidRDefault="00D436B1">
      <w:pPr>
        <w:rPr>
          <w:rFonts w:ascii="Times New Roman" w:hAnsi="Times New Roman" w:cs="Times New Roman"/>
          <w:sz w:val="24"/>
          <w:szCs w:val="24"/>
        </w:rPr>
      </w:pPr>
    </w:p>
    <w:p w14:paraId="4E6CFB3C" w14:textId="77777777" w:rsidR="008259A9" w:rsidRPr="006E0A1A" w:rsidRDefault="008259A9" w:rsidP="008259A9">
      <w:pPr>
        <w:pStyle w:val="NormalWeb"/>
        <w:spacing w:before="0" w:beforeAutospacing="0" w:after="240" w:afterAutospacing="0" w:line="360" w:lineRule="auto"/>
      </w:pPr>
      <w:proofErr w:type="spellStart"/>
      <w:r w:rsidRPr="006E0A1A">
        <w:t>Dls</w:t>
      </w:r>
      <w:proofErr w:type="spellEnd"/>
      <w:r w:rsidRPr="006E0A1A">
        <w:t xml:space="preserve"> (2022). </w:t>
      </w:r>
      <w:r w:rsidRPr="006E0A1A">
        <w:rPr>
          <w:i/>
          <w:iCs/>
        </w:rPr>
        <w:t>Atkins v Dunn and Baker (A Firm): CA 19 Feb 2004</w:t>
      </w:r>
      <w:r w:rsidRPr="006E0A1A">
        <w:t xml:space="preserve">. [online] swarb.co.uk. Available at: </w:t>
      </w:r>
      <w:hyperlink r:id="rId4" w:history="1">
        <w:r w:rsidRPr="006E0A1A">
          <w:rPr>
            <w:rStyle w:val="Hyperlink"/>
          </w:rPr>
          <w:t>https://swarb.co.uk/atkins-v-dunn-and-baker-a-firm-ca-19-feb-2004/</w:t>
        </w:r>
      </w:hyperlink>
      <w:r w:rsidRPr="006E0A1A">
        <w:t>.  [Accessed 14 Mar. 2023].</w:t>
      </w:r>
    </w:p>
    <w:p w14:paraId="45EEFC12" w14:textId="77777777" w:rsidR="008259A9" w:rsidRPr="006E0A1A" w:rsidRDefault="008259A9" w:rsidP="008259A9">
      <w:pPr>
        <w:pStyle w:val="NormalWeb"/>
        <w:spacing w:before="0" w:beforeAutospacing="0" w:after="240" w:afterAutospacing="0" w:line="360" w:lineRule="auto"/>
      </w:pPr>
      <w:proofErr w:type="spellStart"/>
      <w:r w:rsidRPr="006E0A1A">
        <w:t>Fudakowska</w:t>
      </w:r>
      <w:proofErr w:type="spellEnd"/>
      <w:r w:rsidRPr="006E0A1A">
        <w:t xml:space="preserve">, P. (2017). </w:t>
      </w:r>
      <w:r w:rsidRPr="006E0A1A">
        <w:rPr>
          <w:i/>
          <w:iCs/>
        </w:rPr>
        <w:t>Wills &amp; probate update</w:t>
      </w:r>
      <w:r w:rsidRPr="006E0A1A">
        <w:t xml:space="preserve">. [online] New Law Journal. Available at: </w:t>
      </w:r>
      <w:hyperlink r:id="rId5" w:history="1">
        <w:r w:rsidRPr="006E0A1A">
          <w:rPr>
            <w:rStyle w:val="Hyperlink"/>
          </w:rPr>
          <w:t>https://www.newlawjournal.co.uk/content/wills-and-probate-update-0</w:t>
        </w:r>
      </w:hyperlink>
      <w:r w:rsidRPr="006E0A1A">
        <w:t>.  [Accessed 20 Mar. 2023].</w:t>
      </w:r>
    </w:p>
    <w:p w14:paraId="7C491F1E" w14:textId="77777777" w:rsidR="008259A9" w:rsidRPr="006E0A1A" w:rsidRDefault="008259A9" w:rsidP="008259A9">
      <w:pPr>
        <w:pStyle w:val="NormalWeb"/>
        <w:spacing w:before="0" w:beforeAutospacing="0" w:after="240" w:afterAutospacing="0" w:line="360" w:lineRule="auto"/>
      </w:pPr>
      <w:r w:rsidRPr="006E0A1A">
        <w:t xml:space="preserve">Gould, K.M. (2016). </w:t>
      </w:r>
      <w:r w:rsidRPr="006E0A1A">
        <w:rPr>
          <w:i/>
          <w:iCs/>
        </w:rPr>
        <w:t>What is testamentary capacity? | The Gazette</w:t>
      </w:r>
      <w:r w:rsidRPr="006E0A1A">
        <w:t xml:space="preserve">. [online] www.thegazette.co.uk. Available at: </w:t>
      </w:r>
      <w:hyperlink r:id="rId6" w:history="1">
        <w:r w:rsidRPr="006E0A1A">
          <w:rPr>
            <w:rStyle w:val="Hyperlink"/>
          </w:rPr>
          <w:t>https://www.thegazette.co.uk/all-notices/content/100844</w:t>
        </w:r>
      </w:hyperlink>
      <w:r w:rsidRPr="006E0A1A">
        <w:t>.  [Accessed 20 Mar. 2023].</w:t>
      </w:r>
    </w:p>
    <w:p w14:paraId="1C3BC746" w14:textId="77777777" w:rsidR="008259A9" w:rsidRPr="006E0A1A" w:rsidRDefault="008259A9" w:rsidP="008259A9">
      <w:pPr>
        <w:pStyle w:val="NormalWeb"/>
        <w:spacing w:before="0" w:beforeAutospacing="0" w:after="240" w:afterAutospacing="0" w:line="360" w:lineRule="auto"/>
      </w:pPr>
      <w:r w:rsidRPr="006E0A1A">
        <w:lastRenderedPageBreak/>
        <w:t xml:space="preserve">GOV.UK. (n.d.). </w:t>
      </w:r>
      <w:r w:rsidRPr="006E0A1A">
        <w:rPr>
          <w:i/>
          <w:iCs/>
        </w:rPr>
        <w:t>Making a will</w:t>
      </w:r>
      <w:r w:rsidRPr="006E0A1A">
        <w:t xml:space="preserve">. [online] Available at: </w:t>
      </w:r>
      <w:hyperlink r:id="rId7" w:history="1">
        <w:r w:rsidRPr="006E0A1A">
          <w:rPr>
            <w:rStyle w:val="Hyperlink"/>
          </w:rPr>
          <w:t>https://www.gov.uk/make-will</w:t>
        </w:r>
      </w:hyperlink>
      <w:r w:rsidRPr="006E0A1A">
        <w:t>.  [Accessed 10 Mar. 2023].</w:t>
      </w:r>
    </w:p>
    <w:p w14:paraId="3C588832" w14:textId="77777777" w:rsidR="008259A9" w:rsidRPr="006E0A1A" w:rsidRDefault="008259A9" w:rsidP="008259A9">
      <w:pPr>
        <w:pStyle w:val="NormalWeb"/>
        <w:spacing w:before="0" w:beforeAutospacing="0" w:after="240" w:afterAutospacing="0" w:line="360" w:lineRule="auto"/>
      </w:pPr>
      <w:r w:rsidRPr="006E0A1A">
        <w:t xml:space="preserve">Halsbury's Law of England (2021). </w:t>
      </w:r>
      <w:r w:rsidRPr="006E0A1A">
        <w:rPr>
          <w:i/>
          <w:iCs/>
        </w:rPr>
        <w:t>Mental Health and Capacity | LexisNexis</w:t>
      </w:r>
      <w:r w:rsidRPr="006E0A1A">
        <w:t xml:space="preserve">. [online] www.lexisnexis.co.uk. Available at: </w:t>
      </w:r>
      <w:hyperlink r:id="rId8" w:history="1">
        <w:r w:rsidRPr="006E0A1A">
          <w:rPr>
            <w:rStyle w:val="Hyperlink"/>
          </w:rPr>
          <w:t>https://www.lexisnexis.co.uk/legal/commentary/halsburys-laws-of-england/mental-health-capacity</w:t>
        </w:r>
      </w:hyperlink>
      <w:r w:rsidRPr="006E0A1A">
        <w:t>.  [Accessed 20 Mar. 2023].</w:t>
      </w:r>
    </w:p>
    <w:p w14:paraId="2B6DAFBF" w14:textId="77777777" w:rsidR="008259A9" w:rsidRPr="006E0A1A" w:rsidRDefault="008259A9" w:rsidP="008259A9">
      <w:pPr>
        <w:pStyle w:val="NormalWeb"/>
        <w:spacing w:before="0" w:beforeAutospacing="0" w:after="240" w:afterAutospacing="0" w:line="360" w:lineRule="auto"/>
      </w:pPr>
      <w:r w:rsidRPr="006E0A1A">
        <w:t xml:space="preserve">Law Gazette. (1995). </w:t>
      </w:r>
      <w:r w:rsidRPr="006E0A1A">
        <w:rPr>
          <w:i/>
          <w:iCs/>
        </w:rPr>
        <w:t>Lack of good will -- the solicitor’s duty of care in will preparation appears to be extended by a recent case, White v Jones</w:t>
      </w:r>
      <w:r w:rsidRPr="006E0A1A">
        <w:t xml:space="preserve">. [online] Available at: </w:t>
      </w:r>
      <w:hyperlink r:id="rId9" w:history="1">
        <w:r w:rsidRPr="006E0A1A">
          <w:rPr>
            <w:rStyle w:val="Hyperlink"/>
          </w:rPr>
          <w:t>https://www.lawgazette.co.uk/news/lack-of-good-will-the-solicitors-duty-of-care-in-will-preparation-appears-to-be-extended-by-a-recent-case-white-v-jones-/19869.article</w:t>
        </w:r>
      </w:hyperlink>
      <w:r w:rsidRPr="006E0A1A">
        <w:t>.  [Accessed 14 Mar. 2023].</w:t>
      </w:r>
    </w:p>
    <w:p w14:paraId="29FBF41A" w14:textId="77777777" w:rsidR="008259A9" w:rsidRPr="006E0A1A" w:rsidRDefault="008259A9" w:rsidP="008259A9">
      <w:pPr>
        <w:pStyle w:val="NormalWeb"/>
        <w:spacing w:before="0" w:beforeAutospacing="0" w:after="240" w:afterAutospacing="0" w:line="360" w:lineRule="auto"/>
      </w:pPr>
      <w:r w:rsidRPr="006E0A1A">
        <w:t xml:space="preserve">Legislation.gov.uk. (2012). </w:t>
      </w:r>
      <w:r w:rsidRPr="006E0A1A">
        <w:rPr>
          <w:i/>
          <w:iCs/>
        </w:rPr>
        <w:t>Wills Act 1837</w:t>
      </w:r>
      <w:r w:rsidRPr="006E0A1A">
        <w:t xml:space="preserve">. [online] Available at: </w:t>
      </w:r>
      <w:hyperlink r:id="rId10" w:history="1">
        <w:r w:rsidRPr="006E0A1A">
          <w:rPr>
            <w:rStyle w:val="Hyperlink"/>
          </w:rPr>
          <w:t>https://www.legislation.gov.uk/ukpga/Will4and1Vict/7/26</w:t>
        </w:r>
      </w:hyperlink>
      <w:r w:rsidRPr="006E0A1A">
        <w:t>.  [Accessed 10 Mar. 2023].</w:t>
      </w:r>
    </w:p>
    <w:p w14:paraId="41D04863" w14:textId="77777777" w:rsidR="008259A9" w:rsidRPr="006E0A1A" w:rsidRDefault="008259A9" w:rsidP="008259A9">
      <w:pPr>
        <w:pStyle w:val="NormalWeb"/>
        <w:spacing w:before="0" w:beforeAutospacing="0" w:after="240" w:afterAutospacing="0" w:line="360" w:lineRule="auto"/>
      </w:pPr>
      <w:r w:rsidRPr="006E0A1A">
        <w:t xml:space="preserve">linsey, M. justice (2004). </w:t>
      </w:r>
      <w:bookmarkStart w:id="0" w:name="_Hlk130544939"/>
      <w:r w:rsidRPr="006E0A1A">
        <w:rPr>
          <w:i/>
          <w:iCs/>
        </w:rPr>
        <w:t>Hoff and others v Atherton 2004</w:t>
      </w:r>
      <w:bookmarkEnd w:id="0"/>
      <w:r w:rsidRPr="006E0A1A">
        <w:t xml:space="preserve">. [online] Uwtsd.ac.uk. Available at: </w:t>
      </w:r>
      <w:hyperlink r:id="rId11" w:history="1">
        <w:r w:rsidRPr="006E0A1A">
          <w:rPr>
            <w:rStyle w:val="Hyperlink"/>
          </w:rPr>
          <w:t>https://plus-lexis-com.ezproxy.uwtsd.ac.uk/uk/document/</w:t>
        </w:r>
      </w:hyperlink>
      <w:r w:rsidRPr="006E0A1A">
        <w:t>.  [Accessed 20 Mar. 2023].</w:t>
      </w:r>
    </w:p>
    <w:p w14:paraId="6E75C79E" w14:textId="77777777" w:rsidR="008259A9" w:rsidRPr="006E0A1A" w:rsidRDefault="008259A9" w:rsidP="008259A9">
      <w:pPr>
        <w:pStyle w:val="NormalWeb"/>
        <w:spacing w:before="0" w:beforeAutospacing="0" w:after="240" w:afterAutospacing="0" w:line="360" w:lineRule="auto"/>
      </w:pPr>
    </w:p>
    <w:p w14:paraId="3777E771" w14:textId="77777777" w:rsidR="008259A9" w:rsidRPr="006E0A1A" w:rsidRDefault="008259A9" w:rsidP="008259A9">
      <w:pPr>
        <w:pStyle w:val="NormalWeb"/>
        <w:spacing w:before="0" w:beforeAutospacing="0" w:after="240" w:afterAutospacing="0" w:line="360" w:lineRule="auto"/>
      </w:pPr>
      <w:r w:rsidRPr="006E0A1A">
        <w:t xml:space="preserve">Merchant, N. (2022). </w:t>
      </w:r>
      <w:r w:rsidRPr="006E0A1A">
        <w:rPr>
          <w:i/>
          <w:iCs/>
        </w:rPr>
        <w:t>What is the purpose of a Will?</w:t>
      </w:r>
      <w:r w:rsidRPr="006E0A1A">
        <w:t xml:space="preserve"> [online] www.kctrust.co.uk. Available at: </w:t>
      </w:r>
      <w:hyperlink r:id="rId12" w:history="1">
        <w:r w:rsidRPr="006E0A1A">
          <w:rPr>
            <w:rStyle w:val="Hyperlink"/>
          </w:rPr>
          <w:t>https://www.kctrust.co.uk/blog/what-is-the-purpose-of-a-will</w:t>
        </w:r>
      </w:hyperlink>
      <w:r w:rsidRPr="006E0A1A">
        <w:t>.  [Accessed 10 Mar. 2023].</w:t>
      </w:r>
    </w:p>
    <w:p w14:paraId="0DF6BB63" w14:textId="77777777" w:rsidR="008259A9" w:rsidRPr="006E0A1A" w:rsidRDefault="008259A9" w:rsidP="008259A9">
      <w:pPr>
        <w:pStyle w:val="NormalWeb"/>
        <w:spacing w:before="0" w:beforeAutospacing="0" w:after="240" w:afterAutospacing="0" w:line="360" w:lineRule="auto"/>
      </w:pPr>
      <w:proofErr w:type="spellStart"/>
      <w:r w:rsidRPr="006E0A1A">
        <w:t>morgan-gould</w:t>
      </w:r>
      <w:proofErr w:type="spellEnd"/>
      <w:r w:rsidRPr="006E0A1A">
        <w:t xml:space="preserve">, K. (n.d.). </w:t>
      </w:r>
      <w:r w:rsidRPr="006E0A1A">
        <w:rPr>
          <w:i/>
          <w:iCs/>
        </w:rPr>
        <w:t>What is testamentary capacity? | The Gazette</w:t>
      </w:r>
      <w:r w:rsidRPr="006E0A1A">
        <w:t xml:space="preserve">. [online] www.thegazette.co.uk. Available at: </w:t>
      </w:r>
      <w:hyperlink r:id="rId13" w:history="1">
        <w:r w:rsidRPr="006E0A1A">
          <w:rPr>
            <w:rStyle w:val="Hyperlink"/>
          </w:rPr>
          <w:t>https://www.thegazette.co.uk/all-notices/content/100844#:~:text=The%20Mental%20Capacity%20Act%20asserts</w:t>
        </w:r>
      </w:hyperlink>
      <w:r w:rsidRPr="006E0A1A">
        <w:t>.  [Accessed 14 Mar. 2023].</w:t>
      </w:r>
    </w:p>
    <w:p w14:paraId="4D7F7691" w14:textId="77777777" w:rsidR="008259A9" w:rsidRPr="006E0A1A" w:rsidRDefault="008259A9" w:rsidP="008259A9">
      <w:pPr>
        <w:pStyle w:val="NormalWeb"/>
        <w:spacing w:before="0" w:beforeAutospacing="0" w:after="240" w:afterAutospacing="0" w:line="360" w:lineRule="auto"/>
      </w:pPr>
      <w:r w:rsidRPr="006E0A1A">
        <w:t xml:space="preserve">The law society gazette and King, L. (2012). </w:t>
      </w:r>
      <w:r w:rsidRPr="006E0A1A">
        <w:rPr>
          <w:i/>
          <w:iCs/>
        </w:rPr>
        <w:t>Signing a will and section 9 of the Wills Act 1837</w:t>
      </w:r>
      <w:r w:rsidRPr="006E0A1A">
        <w:t xml:space="preserve">. [online] Law Gazette. Available at: </w:t>
      </w:r>
      <w:hyperlink r:id="rId14" w:history="1">
        <w:r w:rsidRPr="006E0A1A">
          <w:rPr>
            <w:rStyle w:val="Hyperlink"/>
          </w:rPr>
          <w:t>https://www.lawgazette.co.uk/law/signing-a-will-and-section-9-of-the-wills-act-1837-/65323.article</w:t>
        </w:r>
      </w:hyperlink>
      <w:r w:rsidRPr="006E0A1A">
        <w:t>.  [Accessed 10 Mar. 2023].</w:t>
      </w:r>
    </w:p>
    <w:p w14:paraId="2DF47BF5" w14:textId="77777777" w:rsidR="008259A9" w:rsidRPr="006E0A1A" w:rsidRDefault="008259A9" w:rsidP="008259A9">
      <w:pPr>
        <w:pStyle w:val="NormalWeb"/>
        <w:spacing w:before="0" w:beforeAutospacing="0" w:after="240" w:afterAutospacing="0" w:line="360" w:lineRule="auto"/>
      </w:pPr>
      <w:r w:rsidRPr="006E0A1A">
        <w:t xml:space="preserve">The Law society (2023). </w:t>
      </w:r>
      <w:r w:rsidRPr="006E0A1A">
        <w:rPr>
          <w:i/>
          <w:iCs/>
        </w:rPr>
        <w:t>Reform of the law on making a will</w:t>
      </w:r>
      <w:r w:rsidRPr="006E0A1A">
        <w:t xml:space="preserve">. [online] www.lawsociety.org.uk. Available at: </w:t>
      </w:r>
      <w:hyperlink r:id="rId15" w:history="1">
        <w:r w:rsidRPr="006E0A1A">
          <w:rPr>
            <w:rStyle w:val="Hyperlink"/>
          </w:rPr>
          <w:t>https://www.lawsociety.org.uk/topics/private-client/reform-of-the-law-on-making-a-will</w:t>
        </w:r>
      </w:hyperlink>
      <w:r w:rsidRPr="006E0A1A">
        <w:t>.  [Accessed 24 Mar. 2023].</w:t>
      </w:r>
    </w:p>
    <w:p w14:paraId="17443355" w14:textId="77777777" w:rsidR="008259A9" w:rsidRPr="006E0A1A" w:rsidRDefault="008259A9" w:rsidP="008259A9">
      <w:pPr>
        <w:pStyle w:val="NormalWeb"/>
        <w:spacing w:before="0" w:beforeAutospacing="0" w:after="240" w:afterAutospacing="0" w:line="360" w:lineRule="auto"/>
      </w:pPr>
      <w:r w:rsidRPr="006E0A1A">
        <w:lastRenderedPageBreak/>
        <w:t xml:space="preserve">www.citizensadvice.org.uk. (n.d.). </w:t>
      </w:r>
      <w:r w:rsidRPr="006E0A1A">
        <w:rPr>
          <w:i/>
          <w:iCs/>
        </w:rPr>
        <w:t>Wills</w:t>
      </w:r>
      <w:r w:rsidRPr="006E0A1A">
        <w:t xml:space="preserve">. [online] Available at: </w:t>
      </w:r>
      <w:hyperlink r:id="rId16" w:history="1">
        <w:r w:rsidRPr="006E0A1A">
          <w:rPr>
            <w:rStyle w:val="Hyperlink"/>
          </w:rPr>
          <w:t>https://www.citizensadvice.org.uk/family/death-and-wills/wills/</w:t>
        </w:r>
      </w:hyperlink>
      <w:r w:rsidRPr="006E0A1A">
        <w:t>.  [Accessed 10 Mar. 2023].</w:t>
      </w:r>
    </w:p>
    <w:p w14:paraId="2E7208BD" w14:textId="77777777" w:rsidR="008259A9" w:rsidRPr="006E0A1A" w:rsidRDefault="008259A9" w:rsidP="008259A9">
      <w:pPr>
        <w:pStyle w:val="NormalWeb"/>
        <w:spacing w:before="0" w:beforeAutospacing="0" w:after="240" w:afterAutospacing="0" w:line="360" w:lineRule="auto"/>
      </w:pPr>
      <w:r w:rsidRPr="006E0A1A">
        <w:t xml:space="preserve">Vos, R. (2021). </w:t>
      </w:r>
      <w:r w:rsidRPr="006E0A1A">
        <w:rPr>
          <w:i/>
          <w:iCs/>
        </w:rPr>
        <w:t>Banks v Goodfellow stands the test of time</w:t>
      </w:r>
      <w:r w:rsidRPr="006E0A1A">
        <w:t xml:space="preserve">. [online] </w:t>
      </w:r>
      <w:proofErr w:type="spellStart"/>
      <w:r w:rsidRPr="006E0A1A">
        <w:t>Passle</w:t>
      </w:r>
      <w:proofErr w:type="spellEnd"/>
      <w:r w:rsidRPr="006E0A1A">
        <w:t>. Available at: https://blog.macfarlanes.com/post/102gxhc/banks-v-goodfellow-stands-the-test-of-time [Accessed 11 Mar. 2023].</w:t>
      </w:r>
    </w:p>
    <w:p w14:paraId="67C611BA" w14:textId="77777777" w:rsidR="008259A9" w:rsidRPr="006E0A1A" w:rsidRDefault="008259A9" w:rsidP="008259A9">
      <w:pPr>
        <w:pStyle w:val="NormalWeb"/>
        <w:spacing w:before="0" w:beforeAutospacing="0" w:after="240" w:afterAutospacing="0" w:line="360" w:lineRule="auto"/>
      </w:pPr>
    </w:p>
    <w:p w14:paraId="34A2E8F5" w14:textId="77777777" w:rsidR="008259A9" w:rsidRPr="006E0A1A" w:rsidRDefault="008259A9" w:rsidP="008259A9">
      <w:pPr>
        <w:pStyle w:val="NormalWeb"/>
        <w:spacing w:before="0" w:beforeAutospacing="0" w:after="240" w:afterAutospacing="0" w:line="360" w:lineRule="auto"/>
        <w:rPr>
          <w:u w:val="single"/>
        </w:rPr>
      </w:pPr>
      <w:r w:rsidRPr="006E0A1A">
        <w:rPr>
          <w:u w:val="single"/>
        </w:rPr>
        <w:t xml:space="preserve">Case Law </w:t>
      </w:r>
    </w:p>
    <w:p w14:paraId="68CFD76B" w14:textId="77777777" w:rsidR="008259A9" w:rsidRPr="006E0A1A" w:rsidRDefault="008259A9" w:rsidP="008259A9">
      <w:pPr>
        <w:pStyle w:val="NormalWeb"/>
        <w:spacing w:before="0" w:beforeAutospacing="0" w:after="240" w:afterAutospacing="0" w:line="360" w:lineRule="auto"/>
      </w:pPr>
      <w:r w:rsidRPr="006E0A1A">
        <w:t xml:space="preserve">Atkins v Dunn Baker 2004  EWCA </w:t>
      </w:r>
      <w:proofErr w:type="spellStart"/>
      <w:r w:rsidRPr="006E0A1A">
        <w:t>Civ</w:t>
      </w:r>
      <w:proofErr w:type="spellEnd"/>
      <w:r w:rsidRPr="006E0A1A">
        <w:t xml:space="preserve"> 263</w:t>
      </w:r>
    </w:p>
    <w:p w14:paraId="08880A9A" w14:textId="77777777" w:rsidR="008259A9" w:rsidRPr="006E0A1A" w:rsidRDefault="008259A9" w:rsidP="008259A9">
      <w:pPr>
        <w:pStyle w:val="NormalWeb"/>
        <w:spacing w:before="0" w:beforeAutospacing="0" w:after="240" w:afterAutospacing="0" w:line="360" w:lineRule="auto"/>
        <w:rPr>
          <w:lang w:val="de-DE"/>
        </w:rPr>
      </w:pPr>
      <w:r w:rsidRPr="006E0A1A">
        <w:rPr>
          <w:lang w:val="de-DE"/>
        </w:rPr>
        <w:t xml:space="preserve">Ball v Ball </w:t>
      </w:r>
      <w:r w:rsidRPr="006E0A1A">
        <w:rPr>
          <w:rFonts w:eastAsiaTheme="minorHAnsi"/>
          <w:shd w:val="clear" w:color="auto" w:fill="FFFFFF"/>
          <w:lang w:val="de-DE" w:eastAsia="en-US"/>
        </w:rPr>
        <w:t> </w:t>
      </w:r>
      <w:hyperlink r:id="rId17" w:tooltip="High Court (England &amp; Wales)" w:history="1">
        <w:r w:rsidRPr="006E0A1A">
          <w:rPr>
            <w:rFonts w:eastAsiaTheme="minorHAnsi"/>
            <w:bdr w:val="none" w:sz="0" w:space="0" w:color="auto" w:frame="1"/>
            <w:shd w:val="clear" w:color="auto" w:fill="FFFFFF"/>
            <w:lang w:val="de-DE" w:eastAsia="en-US"/>
          </w:rPr>
          <w:t>[2017] EWHC 1750 (</w:t>
        </w:r>
        <w:proofErr w:type="spellStart"/>
        <w:r w:rsidRPr="006E0A1A">
          <w:rPr>
            <w:rFonts w:eastAsiaTheme="minorHAnsi"/>
            <w:bdr w:val="none" w:sz="0" w:space="0" w:color="auto" w:frame="1"/>
            <w:shd w:val="clear" w:color="auto" w:fill="FFFFFF"/>
            <w:lang w:val="de-DE" w:eastAsia="en-US"/>
          </w:rPr>
          <w:t>Ch</w:t>
        </w:r>
        <w:proofErr w:type="spellEnd"/>
        <w:r w:rsidRPr="006E0A1A">
          <w:rPr>
            <w:rFonts w:eastAsiaTheme="minorHAnsi"/>
            <w:bdr w:val="none" w:sz="0" w:space="0" w:color="auto" w:frame="1"/>
            <w:shd w:val="clear" w:color="auto" w:fill="FFFFFF"/>
            <w:lang w:val="de-DE" w:eastAsia="en-US"/>
          </w:rPr>
          <w:t>)</w:t>
        </w:r>
      </w:hyperlink>
      <w:r w:rsidRPr="006E0A1A">
        <w:rPr>
          <w:rFonts w:eastAsiaTheme="minorHAnsi"/>
          <w:shd w:val="clear" w:color="auto" w:fill="FFFFFF"/>
          <w:lang w:val="de-DE" w:eastAsia="en-US"/>
        </w:rPr>
        <w:t>, </w:t>
      </w:r>
      <w:hyperlink r:id="rId18" w:tooltip="General Case Digest" w:history="1">
        <w:r w:rsidRPr="006E0A1A">
          <w:rPr>
            <w:rFonts w:eastAsiaTheme="minorHAnsi"/>
            <w:bdr w:val="none" w:sz="0" w:space="0" w:color="auto" w:frame="1"/>
            <w:shd w:val="clear" w:color="auto" w:fill="FFFFFF"/>
            <w:lang w:val="de-DE" w:eastAsia="en-US"/>
          </w:rPr>
          <w:t>[2017] All ER (D) 31 (Aug)</w:t>
        </w:r>
      </w:hyperlink>
    </w:p>
    <w:p w14:paraId="660B6A8B" w14:textId="77777777" w:rsidR="008259A9" w:rsidRPr="006E0A1A" w:rsidRDefault="008259A9" w:rsidP="008259A9">
      <w:pPr>
        <w:pStyle w:val="NormalWeb"/>
        <w:spacing w:before="0" w:beforeAutospacing="0" w:after="240" w:afterAutospacing="0" w:line="360" w:lineRule="auto"/>
      </w:pPr>
      <w:r w:rsidRPr="006E0A1A">
        <w:t>Banks v Goodfellow (1870)  LR 5 QB 549</w:t>
      </w:r>
    </w:p>
    <w:p w14:paraId="5F0343F7" w14:textId="77777777" w:rsidR="008259A9" w:rsidRPr="006E0A1A" w:rsidRDefault="008259A9" w:rsidP="008259A9">
      <w:pPr>
        <w:pStyle w:val="NormalWeb"/>
        <w:spacing w:before="0" w:beforeAutospacing="0" w:after="240" w:afterAutospacing="0" w:line="360" w:lineRule="auto"/>
        <w:rPr>
          <w:lang w:val="de-DE"/>
        </w:rPr>
      </w:pPr>
      <w:r w:rsidRPr="006E0A1A">
        <w:rPr>
          <w:lang w:val="de-DE"/>
        </w:rPr>
        <w:t xml:space="preserve">Barrett v. Bem [2012] EWCA </w:t>
      </w:r>
      <w:proofErr w:type="spellStart"/>
      <w:r w:rsidRPr="006E0A1A">
        <w:rPr>
          <w:lang w:val="de-DE"/>
        </w:rPr>
        <w:t>Civ</w:t>
      </w:r>
      <w:proofErr w:type="spellEnd"/>
      <w:r w:rsidRPr="006E0A1A">
        <w:rPr>
          <w:lang w:val="de-DE"/>
        </w:rPr>
        <w:t xml:space="preserve"> 52</w:t>
      </w:r>
    </w:p>
    <w:p w14:paraId="1B534309" w14:textId="77777777" w:rsidR="008259A9" w:rsidRPr="006E0A1A" w:rsidRDefault="008259A9" w:rsidP="008259A9">
      <w:pPr>
        <w:pStyle w:val="NormalWeb"/>
        <w:spacing w:before="0" w:beforeAutospacing="0" w:after="240" w:afterAutospacing="0" w:line="360" w:lineRule="auto"/>
      </w:pPr>
      <w:r w:rsidRPr="006E0A1A">
        <w:t>Clitheroe v. Bond (2021)  EWHC 1102 (CH)</w:t>
      </w:r>
    </w:p>
    <w:p w14:paraId="643F5DC0" w14:textId="77777777" w:rsidR="008259A9" w:rsidRPr="006E0A1A" w:rsidRDefault="008259A9" w:rsidP="008259A9">
      <w:pPr>
        <w:pStyle w:val="NormalWeb"/>
        <w:spacing w:before="0" w:beforeAutospacing="0" w:after="240" w:afterAutospacing="0" w:line="360" w:lineRule="auto"/>
        <w:rPr>
          <w:color w:val="212121"/>
          <w:shd w:val="clear" w:color="auto" w:fill="FFFFFF"/>
        </w:rPr>
      </w:pPr>
      <w:r w:rsidRPr="006E0A1A">
        <w:t xml:space="preserve">Hoff and others v Atherton 2004 </w:t>
      </w:r>
      <w:r w:rsidRPr="006E0A1A">
        <w:rPr>
          <w:color w:val="212121"/>
          <w:shd w:val="clear" w:color="auto" w:fill="FFFFFF"/>
        </w:rPr>
        <w:t xml:space="preserve">[2004] EWCA </w:t>
      </w:r>
      <w:proofErr w:type="spellStart"/>
      <w:r w:rsidRPr="006E0A1A">
        <w:rPr>
          <w:color w:val="212121"/>
          <w:shd w:val="clear" w:color="auto" w:fill="FFFFFF"/>
        </w:rPr>
        <w:t>Civ</w:t>
      </w:r>
      <w:proofErr w:type="spellEnd"/>
      <w:r w:rsidRPr="006E0A1A">
        <w:rPr>
          <w:color w:val="212121"/>
          <w:shd w:val="clear" w:color="auto" w:fill="FFFFFF"/>
        </w:rPr>
        <w:t xml:space="preserve"> 1554</w:t>
      </w:r>
    </w:p>
    <w:p w14:paraId="6DFC7267" w14:textId="77777777" w:rsidR="008259A9" w:rsidRPr="006E0A1A" w:rsidRDefault="008259A9" w:rsidP="008259A9">
      <w:pPr>
        <w:pStyle w:val="NormalWeb"/>
        <w:spacing w:before="0" w:beforeAutospacing="0" w:after="240" w:afterAutospacing="0" w:line="360" w:lineRule="auto"/>
        <w:rPr>
          <w:color w:val="212121"/>
          <w:shd w:val="clear" w:color="auto" w:fill="FFFFFF"/>
        </w:rPr>
      </w:pPr>
      <w:r w:rsidRPr="006E0A1A">
        <w:rPr>
          <w:color w:val="212121"/>
          <w:shd w:val="clear" w:color="auto" w:fill="FFFFFF"/>
        </w:rPr>
        <w:t xml:space="preserve">Re </w:t>
      </w:r>
      <w:proofErr w:type="spellStart"/>
      <w:r w:rsidRPr="006E0A1A">
        <w:rPr>
          <w:color w:val="212121"/>
          <w:shd w:val="clear" w:color="auto" w:fill="FFFFFF"/>
        </w:rPr>
        <w:t>Belliss</w:t>
      </w:r>
      <w:proofErr w:type="spellEnd"/>
      <w:r w:rsidRPr="006E0A1A">
        <w:rPr>
          <w:color w:val="212121"/>
          <w:shd w:val="clear" w:color="auto" w:fill="FFFFFF"/>
        </w:rPr>
        <w:t xml:space="preserve"> (Polson v Parrott) [1929] TLR 452</w:t>
      </w:r>
    </w:p>
    <w:p w14:paraId="08BDC997" w14:textId="77777777" w:rsidR="008259A9" w:rsidRPr="006E0A1A" w:rsidRDefault="008259A9" w:rsidP="008259A9">
      <w:pPr>
        <w:pStyle w:val="NormalWeb"/>
        <w:spacing w:before="0" w:beforeAutospacing="0" w:after="240" w:afterAutospacing="0" w:line="360" w:lineRule="auto"/>
      </w:pPr>
      <w:r w:rsidRPr="006E0A1A">
        <w:t>White v Jones (1995) 2 AC 207</w:t>
      </w:r>
    </w:p>
    <w:p w14:paraId="189E864B" w14:textId="77777777" w:rsidR="008259A9" w:rsidRDefault="008259A9"/>
    <w:sectPr w:rsidR="008259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6B1"/>
    <w:rsid w:val="00027305"/>
    <w:rsid w:val="001172B1"/>
    <w:rsid w:val="001D26F7"/>
    <w:rsid w:val="001D334B"/>
    <w:rsid w:val="00237194"/>
    <w:rsid w:val="002549BB"/>
    <w:rsid w:val="0028421E"/>
    <w:rsid w:val="00364357"/>
    <w:rsid w:val="003D0D89"/>
    <w:rsid w:val="00402737"/>
    <w:rsid w:val="00410EAD"/>
    <w:rsid w:val="004B7301"/>
    <w:rsid w:val="004C5951"/>
    <w:rsid w:val="006E0A1A"/>
    <w:rsid w:val="008259A9"/>
    <w:rsid w:val="00865904"/>
    <w:rsid w:val="009C1803"/>
    <w:rsid w:val="00A97B42"/>
    <w:rsid w:val="00B32B57"/>
    <w:rsid w:val="00BA3123"/>
    <w:rsid w:val="00BD52DD"/>
    <w:rsid w:val="00CA5C68"/>
    <w:rsid w:val="00D107C1"/>
    <w:rsid w:val="00D436B1"/>
    <w:rsid w:val="00E43ED5"/>
    <w:rsid w:val="00ED5BD3"/>
    <w:rsid w:val="00EE5BBA"/>
    <w:rsid w:val="00F62186"/>
    <w:rsid w:val="00FB0E0E"/>
    <w:rsid w:val="00FD6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34F07"/>
  <w15:chartTrackingRefBased/>
  <w15:docId w15:val="{8280390C-C062-4751-A3CC-453D1570A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436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436B1"/>
  </w:style>
  <w:style w:type="character" w:customStyle="1" w:styleId="eop">
    <w:name w:val="eop"/>
    <w:basedOn w:val="DefaultParagraphFont"/>
    <w:rsid w:val="00D436B1"/>
  </w:style>
  <w:style w:type="paragraph" w:styleId="NormalWeb">
    <w:name w:val="Normal (Web)"/>
    <w:basedOn w:val="Normal"/>
    <w:uiPriority w:val="99"/>
    <w:semiHidden/>
    <w:unhideWhenUsed/>
    <w:rsid w:val="008259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259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411163">
      <w:bodyDiv w:val="1"/>
      <w:marLeft w:val="0"/>
      <w:marRight w:val="0"/>
      <w:marTop w:val="0"/>
      <w:marBottom w:val="0"/>
      <w:divBdr>
        <w:top w:val="none" w:sz="0" w:space="0" w:color="auto"/>
        <w:left w:val="none" w:sz="0" w:space="0" w:color="auto"/>
        <w:bottom w:val="none" w:sz="0" w:space="0" w:color="auto"/>
        <w:right w:val="none" w:sz="0" w:space="0" w:color="auto"/>
      </w:divBdr>
      <w:divsChild>
        <w:div w:id="1776362341">
          <w:marLeft w:val="0"/>
          <w:marRight w:val="0"/>
          <w:marTop w:val="0"/>
          <w:marBottom w:val="0"/>
          <w:divBdr>
            <w:top w:val="none" w:sz="0" w:space="0" w:color="auto"/>
            <w:left w:val="none" w:sz="0" w:space="0" w:color="auto"/>
            <w:bottom w:val="none" w:sz="0" w:space="0" w:color="auto"/>
            <w:right w:val="none" w:sz="0" w:space="0" w:color="auto"/>
          </w:divBdr>
        </w:div>
        <w:div w:id="2087728877">
          <w:marLeft w:val="0"/>
          <w:marRight w:val="0"/>
          <w:marTop w:val="0"/>
          <w:marBottom w:val="0"/>
          <w:divBdr>
            <w:top w:val="none" w:sz="0" w:space="0" w:color="auto"/>
            <w:left w:val="none" w:sz="0" w:space="0" w:color="auto"/>
            <w:bottom w:val="none" w:sz="0" w:space="0" w:color="auto"/>
            <w:right w:val="none" w:sz="0" w:space="0" w:color="auto"/>
          </w:divBdr>
        </w:div>
        <w:div w:id="1154107507">
          <w:marLeft w:val="0"/>
          <w:marRight w:val="0"/>
          <w:marTop w:val="0"/>
          <w:marBottom w:val="0"/>
          <w:divBdr>
            <w:top w:val="none" w:sz="0" w:space="0" w:color="auto"/>
            <w:left w:val="none" w:sz="0" w:space="0" w:color="auto"/>
            <w:bottom w:val="none" w:sz="0" w:space="0" w:color="auto"/>
            <w:right w:val="none" w:sz="0" w:space="0" w:color="auto"/>
          </w:divBdr>
        </w:div>
        <w:div w:id="1951282853">
          <w:marLeft w:val="0"/>
          <w:marRight w:val="0"/>
          <w:marTop w:val="0"/>
          <w:marBottom w:val="0"/>
          <w:divBdr>
            <w:top w:val="none" w:sz="0" w:space="0" w:color="auto"/>
            <w:left w:val="none" w:sz="0" w:space="0" w:color="auto"/>
            <w:bottom w:val="none" w:sz="0" w:space="0" w:color="auto"/>
            <w:right w:val="none" w:sz="0" w:space="0" w:color="auto"/>
          </w:divBdr>
        </w:div>
        <w:div w:id="1599941417">
          <w:marLeft w:val="0"/>
          <w:marRight w:val="0"/>
          <w:marTop w:val="0"/>
          <w:marBottom w:val="0"/>
          <w:divBdr>
            <w:top w:val="none" w:sz="0" w:space="0" w:color="auto"/>
            <w:left w:val="none" w:sz="0" w:space="0" w:color="auto"/>
            <w:bottom w:val="none" w:sz="0" w:space="0" w:color="auto"/>
            <w:right w:val="none" w:sz="0" w:space="0" w:color="auto"/>
          </w:divBdr>
        </w:div>
        <w:div w:id="1219632497">
          <w:marLeft w:val="0"/>
          <w:marRight w:val="0"/>
          <w:marTop w:val="0"/>
          <w:marBottom w:val="0"/>
          <w:divBdr>
            <w:top w:val="none" w:sz="0" w:space="0" w:color="auto"/>
            <w:left w:val="none" w:sz="0" w:space="0" w:color="auto"/>
            <w:bottom w:val="none" w:sz="0" w:space="0" w:color="auto"/>
            <w:right w:val="none" w:sz="0" w:space="0" w:color="auto"/>
          </w:divBdr>
        </w:div>
        <w:div w:id="46952348">
          <w:marLeft w:val="0"/>
          <w:marRight w:val="0"/>
          <w:marTop w:val="0"/>
          <w:marBottom w:val="0"/>
          <w:divBdr>
            <w:top w:val="none" w:sz="0" w:space="0" w:color="auto"/>
            <w:left w:val="none" w:sz="0" w:space="0" w:color="auto"/>
            <w:bottom w:val="none" w:sz="0" w:space="0" w:color="auto"/>
            <w:right w:val="none" w:sz="0" w:space="0" w:color="auto"/>
          </w:divBdr>
        </w:div>
        <w:div w:id="1344629279">
          <w:marLeft w:val="0"/>
          <w:marRight w:val="0"/>
          <w:marTop w:val="0"/>
          <w:marBottom w:val="0"/>
          <w:divBdr>
            <w:top w:val="none" w:sz="0" w:space="0" w:color="auto"/>
            <w:left w:val="none" w:sz="0" w:space="0" w:color="auto"/>
            <w:bottom w:val="none" w:sz="0" w:space="0" w:color="auto"/>
            <w:right w:val="none" w:sz="0" w:space="0" w:color="auto"/>
          </w:divBdr>
        </w:div>
        <w:div w:id="1349062015">
          <w:marLeft w:val="0"/>
          <w:marRight w:val="0"/>
          <w:marTop w:val="0"/>
          <w:marBottom w:val="0"/>
          <w:divBdr>
            <w:top w:val="none" w:sz="0" w:space="0" w:color="auto"/>
            <w:left w:val="none" w:sz="0" w:space="0" w:color="auto"/>
            <w:bottom w:val="none" w:sz="0" w:space="0" w:color="auto"/>
            <w:right w:val="none" w:sz="0" w:space="0" w:color="auto"/>
          </w:divBdr>
        </w:div>
        <w:div w:id="14806589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xisnexis.co.uk/legal/commentary/halsburys-laws-of-england/mental-health-capacity" TargetMode="External"/><Relationship Id="rId13" Type="http://schemas.openxmlformats.org/officeDocument/2006/relationships/hyperlink" Target="https://www.thegazette.co.uk/all-notices/content/100844#:~:text=The%20Mental%20Capacity%20Act%20asserts" TargetMode="External"/><Relationship Id="rId18" Type="http://schemas.openxmlformats.org/officeDocument/2006/relationships/hyperlink" Target="https://plus-lexis-com.ezproxy.uwtsd.ac.uk/uk/document/documentlink/?pdmfid=1001073&amp;crid=7fda5f3e-5f18-41b5-b877-ee7727d4f3b0&amp;pddocfullpath=%2Fshared%2Fdocument%2Fcases-uk%2Furn%3AcontentItem%3A5P6H-8D01-DYBP-N321-00000-00&amp;pdcontentcomponentid=184140&amp;pdproductcontenttypeid=urn%3Apct%3A246&amp;pdiskwicview=false&amp;pdpinpoint=&amp;prid=32ffaaff-53bf-46bd-a7db-82e13981cbca&amp;ecomp=kg4k" TargetMode="External"/><Relationship Id="rId3" Type="http://schemas.openxmlformats.org/officeDocument/2006/relationships/webSettings" Target="webSettings.xml"/><Relationship Id="rId7" Type="http://schemas.openxmlformats.org/officeDocument/2006/relationships/hyperlink" Target="https://www.gov.uk/make-will" TargetMode="External"/><Relationship Id="rId12" Type="http://schemas.openxmlformats.org/officeDocument/2006/relationships/hyperlink" Target="https://www.kctrust.co.uk/blog/what-is-the-purpose-of-a-will" TargetMode="External"/><Relationship Id="rId17" Type="http://schemas.openxmlformats.org/officeDocument/2006/relationships/hyperlink" Target="https://plus-lexis-com.ezproxy.uwtsd.ac.uk/uk/document/?pdmfid=1001073&amp;crid=32ffaaff-53bf-46bd-a7db-82e13981cbca&amp;pddocfullpath=%2Fshared%2Fdocument%2Fanalytical-materials-uk%2Furn%3AcontentItem%3A5PYT-3CX1-DYJD-X3KS-00000-00&amp;pdcontentcomponentid=280276&amp;pdteaserkey=&amp;pdislpamode=false&amp;pddocumentnumber=5&amp;ecomp=tt5k&amp;earg=sr4&amp;prid=67ca488a-e595-47fc-ba40-6bbfc25a24e6" TargetMode="External"/><Relationship Id="rId2" Type="http://schemas.openxmlformats.org/officeDocument/2006/relationships/settings" Target="settings.xml"/><Relationship Id="rId16" Type="http://schemas.openxmlformats.org/officeDocument/2006/relationships/hyperlink" Target="https://www.citizensadvice.org.uk/family/death-and-wills/will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hegazette.co.uk/all-notices/content/100844" TargetMode="External"/><Relationship Id="rId11" Type="http://schemas.openxmlformats.org/officeDocument/2006/relationships/hyperlink" Target="https://plus-lexis-com.ezproxy.uwtsd.ac.uk/uk/document/" TargetMode="External"/><Relationship Id="rId5" Type="http://schemas.openxmlformats.org/officeDocument/2006/relationships/hyperlink" Target="https://www.newlawjournal.co.uk/content/wills-and-probate-update-0" TargetMode="External"/><Relationship Id="rId15" Type="http://schemas.openxmlformats.org/officeDocument/2006/relationships/hyperlink" Target="https://www.lawsociety.org.uk/topics/private-client/reform-of-the-law-on-making-a-will" TargetMode="External"/><Relationship Id="rId10" Type="http://schemas.openxmlformats.org/officeDocument/2006/relationships/hyperlink" Target="https://www.legislation.gov.uk/ukpga/Will4and1Vict/7/26" TargetMode="External"/><Relationship Id="rId19" Type="http://schemas.openxmlformats.org/officeDocument/2006/relationships/fontTable" Target="fontTable.xml"/><Relationship Id="rId4" Type="http://schemas.openxmlformats.org/officeDocument/2006/relationships/hyperlink" Target="https://swarb.co.uk/atkins-v-dunn-and-baker-a-firm-ca-19-feb-2004/" TargetMode="External"/><Relationship Id="rId9" Type="http://schemas.openxmlformats.org/officeDocument/2006/relationships/hyperlink" Target="https://www.lawgazette.co.uk/news/lack-of-good-will-the-solicitors-duty-of-care-in-will-preparation-appears-to-be-extended-by-a-recent-case-white-v-jones-/19869.article" TargetMode="External"/><Relationship Id="rId14" Type="http://schemas.openxmlformats.org/officeDocument/2006/relationships/hyperlink" Target="https://www.lawgazette.co.uk/law/signing-a-will-and-section-9-of-the-wills-act-1837-/65323.arti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2952</Words>
  <Characters>16830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ceri-anne johnson</dc:creator>
  <cp:keywords/>
  <dc:description/>
  <cp:lastModifiedBy>ceri-anne johnson</cp:lastModifiedBy>
  <cp:revision>19</cp:revision>
  <dcterms:created xsi:type="dcterms:W3CDTF">2023-03-24T08:56:00Z</dcterms:created>
  <dcterms:modified xsi:type="dcterms:W3CDTF">2023-03-24T15:47:00Z</dcterms:modified>
</cp:coreProperties>
</file>