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5DFD" w:rsidRDefault="004E5DFD" w:rsidP="004E5DFD">
      <w:pPr>
        <w:rPr>
          <w:rFonts w:ascii="Cambria" w:hAnsi="Cambria" w:hint="eastAsia"/>
          <w:b/>
        </w:rPr>
      </w:pPr>
      <w:r w:rsidRPr="003365DD">
        <w:rPr>
          <w:rFonts w:ascii="Cambria" w:hAnsi="Cambria" w:hint="eastAsia"/>
          <w:b/>
        </w:rPr>
        <w:t xml:space="preserve">Part B. </w:t>
      </w:r>
    </w:p>
    <w:p w:rsidR="004E5DFD" w:rsidRDefault="004E5DFD" w:rsidP="004E5DFD">
      <w:pPr>
        <w:rPr>
          <w:rFonts w:ascii="Cambria" w:hAnsi="Cambria"/>
          <w:b/>
        </w:rPr>
      </w:pPr>
      <w:r w:rsidRPr="009204FE">
        <w:rPr>
          <w:rFonts w:ascii="Cambria" w:hAnsi="Cambria" w:hint="eastAsia"/>
          <w:b/>
        </w:rPr>
        <w:t>Calculate and briefly evaluate the corporation's liquidity for the past five years</w:t>
      </w:r>
      <w:r>
        <w:rPr>
          <w:rFonts w:ascii="Cambria" w:hAnsi="Cambria" w:hint="eastAsia"/>
          <w:b/>
        </w:rPr>
        <w:t xml:space="preserve"> </w:t>
      </w:r>
    </w:p>
    <w:p w:rsidR="004E5DFD" w:rsidRPr="004E5DFD" w:rsidRDefault="004E5DFD" w:rsidP="004E5DFD">
      <w:pPr>
        <w:rPr>
          <w:rFonts w:ascii="Cambria" w:hAnsi="Cambria"/>
          <w:b/>
        </w:rPr>
      </w:pPr>
    </w:p>
    <w:p w:rsidR="004E5DFD" w:rsidRDefault="004E5DFD" w:rsidP="004E5DFD">
      <w:r>
        <w:t>Liquidity refers to the cash available to meet debt obligations in the near future, taking into account current financial commitments. Near-term sources of cash include bank deposits, cash released from stock sales and cash collected from customers.</w:t>
      </w:r>
    </w:p>
    <w:p w:rsidR="004E5DFD" w:rsidRDefault="004E5DFD" w:rsidP="004E5DFD">
      <w:r>
        <w:t>(</w:t>
      </w:r>
      <w:proofErr w:type="spellStart"/>
      <w:r>
        <w:t>Weetman</w:t>
      </w:r>
      <w:proofErr w:type="spellEnd"/>
      <w:r>
        <w:t>, 2013, p.351)</w:t>
      </w:r>
    </w:p>
    <w:p w:rsidR="006B6FB8" w:rsidRDefault="006B6FB8" w:rsidP="004E5DFD">
      <w:pPr>
        <w:rPr>
          <w:rFonts w:hint="eastAsia"/>
        </w:rPr>
      </w:pPr>
    </w:p>
    <w:p w:rsidR="004E5DFD" w:rsidRDefault="004E5DFD" w:rsidP="004E5DFD">
      <w:pPr>
        <w:rPr>
          <w:rFonts w:ascii="Cambria" w:hAnsi="Cambria"/>
        </w:rPr>
      </w:pPr>
      <w:r>
        <w:t>Liquidity is very important for a company to be able to operate normally. Some important indicators used to measure liquidity include: current ratio, quick ratio, cash ratio,</w:t>
      </w:r>
      <w:r w:rsidRPr="004E5DFD">
        <w:rPr>
          <w:rFonts w:ascii="Cambria" w:hAnsi="Cambria" w:hint="eastAsia"/>
        </w:rPr>
        <w:t xml:space="preserve"> </w:t>
      </w:r>
      <w:r w:rsidRPr="00F2725F">
        <w:rPr>
          <w:rFonts w:ascii="Cambria" w:hAnsi="Cambria" w:hint="eastAsia"/>
        </w:rPr>
        <w:t>cash flow ratio</w:t>
      </w:r>
      <w:r>
        <w:rPr>
          <w:rFonts w:ascii="Cambria" w:hAnsi="Cambria" w:hint="eastAsia"/>
        </w:rPr>
        <w:t>.</w:t>
      </w:r>
    </w:p>
    <w:p w:rsidR="004E5DFD" w:rsidRDefault="004E5DFD" w:rsidP="004E5DFD">
      <w:pPr>
        <w:rPr>
          <w:rFonts w:hint="eastAsia"/>
        </w:rPr>
      </w:pPr>
      <w:r>
        <w:t>The current ratio compares a company's "current" assets (that is, cash and assets about to be turned into cash) to its current liabilities. Some people seem to believe that there is an "ideal" current ratio for all businesses (usually 2x or 2:1). However, this is not the case. Different types of businesses require different current ratios. For example, a manufacturing company typically has a relatively high current ratio because it holds inventories of finished goods, raw materials, and work-in-progress. It will also sell goods on credit, thereby creating trade receivables. A supermarket chain, on the other hand, has a relatively lower ratio because it only holds fast-moving inventories of finished goods and its sales will be made in cash rather than on credit. The higher the current ratio, the higher the liquidity of the business. Since liquidity is critical to the survival of a business, a higher current ratio is generally better than a lower one. However, if the ratio is very high, it may indicate that too much money is tied up in cash or other liquid assets that are not being used efficiently. (</w:t>
      </w:r>
      <w:proofErr w:type="spellStart"/>
      <w:r>
        <w:t>Atrill</w:t>
      </w:r>
      <w:proofErr w:type="spellEnd"/>
      <w:r>
        <w:t xml:space="preserve"> and </w:t>
      </w:r>
      <w:proofErr w:type="spellStart"/>
      <w:r>
        <w:t>Mclaney</w:t>
      </w:r>
      <w:proofErr w:type="spellEnd"/>
      <w:r>
        <w:t>, 2018, pp.216–217)</w:t>
      </w:r>
    </w:p>
    <w:p w:rsidR="006B6FB8" w:rsidRDefault="006B6FB8" w:rsidP="004E5DFD"/>
    <w:p w:rsidR="004E5DFD" w:rsidRDefault="006B6FB8" w:rsidP="004E5DFD">
      <w:r>
        <w:t>Quick</w:t>
      </w:r>
      <w:r w:rsidR="004E5DFD">
        <w:t xml:space="preserve"> ration (acid test ratio) </w:t>
      </w:r>
      <w:proofErr w:type="gramStart"/>
      <w:r w:rsidR="004E5DFD">
        <w:t>The</w:t>
      </w:r>
      <w:proofErr w:type="gramEnd"/>
      <w:r w:rsidR="004E5DFD">
        <w:t xml:space="preserve"> acid test ratio is very similar to the current ratio, but it represents a more stringent test of liquidity. For many businesses, inventory cannot be quickly converted into cash. (Note that in the case of Alexis plc, the inventory turnover period over the two years is approximately 57 days (see page 209)). For a business like Alex plc, it's often best to exclude this particular asset from liquidity measures. For businesses that turn over inventory very quickly (such as supermarkets), it may make sense to include inventory in the calculation.</w:t>
      </w:r>
    </w:p>
    <w:p w:rsidR="004E5DFD" w:rsidRDefault="004E5DFD" w:rsidP="004E5DFD">
      <w:r>
        <w:t>The lowest level of this ratio is usually expressed as 1.0 times (or 1:1; i.e., current assets (excluding inventory) equal current liabilities). However, many highly successful businesses have acid test ratios below 1.0x without experiencing liquidity problems. (</w:t>
      </w:r>
      <w:proofErr w:type="spellStart"/>
      <w:r>
        <w:t>Atrill</w:t>
      </w:r>
      <w:proofErr w:type="spellEnd"/>
      <w:r>
        <w:t xml:space="preserve"> and </w:t>
      </w:r>
      <w:proofErr w:type="spellStart"/>
      <w:r>
        <w:t>Mclaney</w:t>
      </w:r>
      <w:proofErr w:type="spellEnd"/>
      <w:r>
        <w:t>, 2018, pp.217–218)</w:t>
      </w:r>
    </w:p>
    <w:p w:rsidR="006B6FB8" w:rsidRDefault="006B6FB8" w:rsidP="004E5DFD">
      <w:pPr>
        <w:rPr>
          <w:rFonts w:hint="eastAsia"/>
        </w:rPr>
      </w:pPr>
    </w:p>
    <w:p w:rsidR="004E5DFD" w:rsidRDefault="004E5DFD" w:rsidP="004E5DFD">
      <w:pPr>
        <w:rPr>
          <w:rFonts w:hint="eastAsia"/>
        </w:rPr>
      </w:pPr>
      <w:r>
        <w:t>The cash ratio, sometimes called the cash-to-asset ratio, is a liquidity measure that indicates a company's ability to pay short-term debt with its cash and cash equivalents. The cash ratio is a stricter and more conservative measure than other liquidity ratios such as the current ratio and quick ratio because only cash and cash equivalents are used in the calculation. (Team, 2020)</w:t>
      </w:r>
    </w:p>
    <w:p w:rsidR="006B6FB8" w:rsidRDefault="006B6FB8" w:rsidP="004E5DFD"/>
    <w:p w:rsidR="004E5DFD" w:rsidRPr="00445EBF" w:rsidRDefault="004E5DFD" w:rsidP="004E5DFD">
      <w:pPr>
        <w:jc w:val="left"/>
        <w:rPr>
          <w:rFonts w:ascii="Times New Roman" w:hAnsi="Times New Roman" w:cs="Times New Roman"/>
        </w:rPr>
      </w:pPr>
      <w:proofErr w:type="gramStart"/>
      <w:r w:rsidRPr="00445EBF">
        <w:rPr>
          <w:rFonts w:ascii="Times New Roman" w:hAnsi="Times New Roman" w:cs="Times New Roman" w:hint="eastAsia"/>
        </w:rPr>
        <w:t>Table</w:t>
      </w:r>
      <w:r w:rsidR="006B6FB8">
        <w:rPr>
          <w:rFonts w:ascii="Times New Roman" w:hAnsi="Times New Roman" w:cs="Times New Roman" w:hint="eastAsia"/>
        </w:rPr>
        <w:t>1</w:t>
      </w:r>
      <w:r w:rsidRPr="00445EBF">
        <w:rPr>
          <w:rFonts w:ascii="Times New Roman" w:hAnsi="Times New Roman" w:cs="Times New Roman" w:hint="eastAsia"/>
        </w:rPr>
        <w:t xml:space="preserve"> </w:t>
      </w:r>
      <w:r>
        <w:rPr>
          <w:rFonts w:ascii="Times New Roman" w:hAnsi="Times New Roman" w:cs="Times New Roman" w:hint="eastAsia"/>
        </w:rPr>
        <w:t>.</w:t>
      </w:r>
      <w:proofErr w:type="gramEnd"/>
      <w:r>
        <w:rPr>
          <w:rFonts w:ascii="Times New Roman" w:hAnsi="Times New Roman" w:cs="Times New Roman" w:hint="eastAsia"/>
        </w:rPr>
        <w:t xml:space="preserve"> The liquidity ratios of Tesla in last five years</w:t>
      </w:r>
    </w:p>
    <w:tbl>
      <w:tblPr>
        <w:tblW w:w="7655" w:type="dxa"/>
        <w:tblInd w:w="250" w:type="dxa"/>
        <w:tblLook w:val="04A0"/>
      </w:tblPr>
      <w:tblGrid>
        <w:gridCol w:w="2022"/>
        <w:gridCol w:w="1097"/>
        <w:gridCol w:w="1134"/>
        <w:gridCol w:w="1134"/>
        <w:gridCol w:w="1134"/>
        <w:gridCol w:w="1134"/>
      </w:tblGrid>
      <w:tr w:rsidR="004E5DFD" w:rsidRPr="007C067F" w:rsidTr="005610A1">
        <w:trPr>
          <w:trHeight w:val="290"/>
        </w:trPr>
        <w:tc>
          <w:tcPr>
            <w:tcW w:w="20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E5DFD" w:rsidRPr="007C067F" w:rsidRDefault="004E5DFD" w:rsidP="005610A1">
            <w:pPr>
              <w:jc w:val="center"/>
              <w:rPr>
                <w:rFonts w:ascii="Times New Roman" w:hAnsi="Times New Roman" w:cs="Times New Roman"/>
                <w:szCs w:val="21"/>
              </w:rPr>
            </w:pPr>
            <w:r w:rsidRPr="007C067F">
              <w:rPr>
                <w:rFonts w:ascii="Times New Roman" w:hAnsi="Times New Roman" w:cs="Times New Roman"/>
                <w:szCs w:val="21"/>
              </w:rPr>
              <w:t>Ratios</w:t>
            </w:r>
          </w:p>
        </w:tc>
        <w:tc>
          <w:tcPr>
            <w:tcW w:w="1097" w:type="dxa"/>
            <w:tcBorders>
              <w:top w:val="single" w:sz="4" w:space="0" w:color="auto"/>
              <w:left w:val="nil"/>
              <w:bottom w:val="single" w:sz="4" w:space="0" w:color="auto"/>
              <w:right w:val="single" w:sz="4" w:space="0" w:color="auto"/>
            </w:tcBorders>
            <w:shd w:val="clear" w:color="auto" w:fill="auto"/>
            <w:noWrap/>
            <w:vAlign w:val="center"/>
            <w:hideMark/>
          </w:tcPr>
          <w:p w:rsidR="004E5DFD" w:rsidRPr="007C067F" w:rsidRDefault="004E5DFD" w:rsidP="005610A1">
            <w:pPr>
              <w:jc w:val="center"/>
              <w:rPr>
                <w:rFonts w:ascii="Times New Roman" w:hAnsi="Times New Roman" w:cs="Times New Roman"/>
                <w:szCs w:val="21"/>
              </w:rPr>
            </w:pPr>
            <w:r w:rsidRPr="007C067F">
              <w:rPr>
                <w:rFonts w:ascii="Times New Roman" w:hAnsi="Times New Roman" w:cs="Times New Roman" w:hint="eastAsia"/>
                <w:szCs w:val="21"/>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7C067F" w:rsidRDefault="004E5DFD" w:rsidP="005610A1">
            <w:pPr>
              <w:jc w:val="center"/>
              <w:rPr>
                <w:rFonts w:ascii="Times New Roman" w:hAnsi="Times New Roman" w:cs="Times New Roman"/>
                <w:szCs w:val="21"/>
              </w:rPr>
            </w:pPr>
            <w:r w:rsidRPr="007C067F">
              <w:rPr>
                <w:rFonts w:ascii="Times New Roman" w:hAnsi="Times New Roman" w:cs="Times New Roman" w:hint="eastAsia"/>
                <w:szCs w:val="21"/>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7C067F" w:rsidRDefault="004E5DFD" w:rsidP="005610A1">
            <w:pPr>
              <w:jc w:val="center"/>
              <w:rPr>
                <w:rFonts w:ascii="Times New Roman" w:hAnsi="Times New Roman" w:cs="Times New Roman"/>
                <w:szCs w:val="21"/>
              </w:rPr>
            </w:pPr>
            <w:r w:rsidRPr="007C067F">
              <w:rPr>
                <w:rFonts w:ascii="Times New Roman" w:hAnsi="Times New Roman" w:cs="Times New Roman" w:hint="eastAsia"/>
                <w:szCs w:val="21"/>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7C067F" w:rsidRDefault="004E5DFD" w:rsidP="005610A1">
            <w:pPr>
              <w:jc w:val="center"/>
              <w:rPr>
                <w:rFonts w:ascii="Times New Roman" w:hAnsi="Times New Roman" w:cs="Times New Roman"/>
                <w:szCs w:val="21"/>
              </w:rPr>
            </w:pPr>
            <w:r w:rsidRPr="007C067F">
              <w:rPr>
                <w:rFonts w:ascii="Times New Roman" w:hAnsi="Times New Roman" w:cs="Times New Roman" w:hint="eastAsia"/>
                <w:szCs w:val="21"/>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7C067F" w:rsidRDefault="004E5DFD" w:rsidP="005610A1">
            <w:pPr>
              <w:jc w:val="center"/>
              <w:rPr>
                <w:rFonts w:ascii="Times New Roman" w:hAnsi="Times New Roman" w:cs="Times New Roman"/>
                <w:szCs w:val="21"/>
              </w:rPr>
            </w:pPr>
            <w:r w:rsidRPr="007C067F">
              <w:rPr>
                <w:rFonts w:ascii="Times New Roman" w:hAnsi="Times New Roman" w:cs="Times New Roman" w:hint="eastAsia"/>
                <w:szCs w:val="21"/>
              </w:rPr>
              <w:t>2019</w:t>
            </w:r>
          </w:p>
        </w:tc>
      </w:tr>
      <w:tr w:rsidR="004E5DFD" w:rsidRPr="00BA59C6" w:rsidTr="005610A1">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r w:rsidRPr="00BA59C6">
              <w:rPr>
                <w:rFonts w:ascii="Times New Roman" w:hAnsi="Times New Roman" w:cs="Times New Roman"/>
                <w:sz w:val="18"/>
                <w:szCs w:val="18"/>
              </w:rPr>
              <w:t>Quick Ration</w:t>
            </w:r>
          </w:p>
        </w:tc>
        <w:tc>
          <w:tcPr>
            <w:tcW w:w="1097"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r>
      <w:tr w:rsidR="004E5DFD" w:rsidRPr="00BA59C6" w:rsidTr="005610A1">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r w:rsidRPr="00BA59C6">
              <w:rPr>
                <w:rFonts w:ascii="Times New Roman" w:hAnsi="Times New Roman" w:cs="Times New Roman"/>
                <w:sz w:val="18"/>
                <w:szCs w:val="18"/>
              </w:rPr>
              <w:t>Cash Ration</w:t>
            </w:r>
          </w:p>
        </w:tc>
        <w:tc>
          <w:tcPr>
            <w:tcW w:w="1097"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r>
      <w:tr w:rsidR="004E5DFD" w:rsidRPr="00BA59C6" w:rsidTr="005610A1">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r w:rsidRPr="00BA59C6">
              <w:rPr>
                <w:rFonts w:ascii="Times New Roman" w:hAnsi="Times New Roman" w:cs="Times New Roman"/>
                <w:sz w:val="18"/>
                <w:szCs w:val="18"/>
              </w:rPr>
              <w:t>Current Ration</w:t>
            </w:r>
          </w:p>
        </w:tc>
        <w:tc>
          <w:tcPr>
            <w:tcW w:w="1097"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BA59C6" w:rsidRDefault="004E5DFD" w:rsidP="005610A1">
            <w:pPr>
              <w:jc w:val="center"/>
              <w:rPr>
                <w:rFonts w:ascii="Times New Roman" w:hAnsi="Times New Roman" w:cs="Times New Roman"/>
                <w:sz w:val="18"/>
                <w:szCs w:val="18"/>
              </w:rPr>
            </w:pPr>
          </w:p>
        </w:tc>
      </w:tr>
    </w:tbl>
    <w:p w:rsidR="004E5DFD" w:rsidRPr="00FE7EE7" w:rsidRDefault="004E5DFD" w:rsidP="004E5DFD">
      <w:pPr>
        <w:jc w:val="left"/>
        <w:rPr>
          <w:rFonts w:ascii="Times New Roman" w:hAnsi="Times New Roman" w:cs="Times New Roman"/>
          <w:sz w:val="18"/>
          <w:szCs w:val="18"/>
        </w:rPr>
      </w:pPr>
    </w:p>
    <w:p w:rsidR="004E5DFD" w:rsidRDefault="004E5DFD" w:rsidP="004E5DFD">
      <w:pPr>
        <w:rPr>
          <w:rFonts w:ascii="Cambria" w:hAnsi="Cambria"/>
          <w:b/>
        </w:rPr>
      </w:pPr>
      <w:r w:rsidRPr="009204FE">
        <w:rPr>
          <w:rFonts w:ascii="Cambria" w:hAnsi="Cambria" w:hint="eastAsia"/>
          <w:b/>
        </w:rPr>
        <w:t xml:space="preserve">Calculate and briefly evaluate the corporation's </w:t>
      </w:r>
      <w:proofErr w:type="gramStart"/>
      <w:r w:rsidRPr="009204FE">
        <w:rPr>
          <w:rFonts w:ascii="Cambria" w:hAnsi="Cambria" w:hint="eastAsia"/>
          <w:b/>
        </w:rPr>
        <w:t>leverage</w:t>
      </w:r>
      <w:r>
        <w:rPr>
          <w:rFonts w:ascii="Cambria" w:hAnsi="Cambria" w:hint="eastAsia"/>
          <w:b/>
        </w:rPr>
        <w:t>(</w:t>
      </w:r>
      <w:proofErr w:type="gramEnd"/>
      <w:r>
        <w:rPr>
          <w:rFonts w:ascii="Cambria" w:hAnsi="Cambria" w:hint="eastAsia"/>
          <w:b/>
        </w:rPr>
        <w:t>gearing)</w:t>
      </w:r>
      <w:r w:rsidRPr="009204FE">
        <w:rPr>
          <w:rFonts w:ascii="Cambria" w:hAnsi="Cambria" w:hint="eastAsia"/>
          <w:b/>
        </w:rPr>
        <w:t xml:space="preserve"> ratios for the past five years</w:t>
      </w:r>
      <w:r>
        <w:rPr>
          <w:rFonts w:ascii="Cambria" w:hAnsi="Cambria" w:hint="eastAsia"/>
          <w:b/>
        </w:rPr>
        <w:t xml:space="preserve"> </w:t>
      </w:r>
    </w:p>
    <w:p w:rsidR="004E5DFD" w:rsidRDefault="004E5DFD" w:rsidP="004E5DFD">
      <w:pPr>
        <w:rPr>
          <w:rFonts w:ascii="Cambria" w:hAnsi="Cambria"/>
          <w:b/>
        </w:rPr>
      </w:pPr>
    </w:p>
    <w:p w:rsidR="004E5DFD" w:rsidRDefault="006B6FB8" w:rsidP="004E5DFD">
      <w:pPr>
        <w:rPr>
          <w:rFonts w:hint="eastAsia"/>
        </w:rPr>
      </w:pPr>
      <w:proofErr w:type="gramStart"/>
      <w:r w:rsidRPr="004E5DFD">
        <w:t>Financial</w:t>
      </w:r>
      <w:r w:rsidR="004E5DFD" w:rsidRPr="004E5DFD">
        <w:t xml:space="preserve"> leverage.</w:t>
      </w:r>
      <w:proofErr w:type="gramEnd"/>
      <w:r w:rsidR="004E5DFD" w:rsidRPr="004E5DFD">
        <w:t xml:space="preserve"> This is the relationship between the owner's contribution to the financing of the business and the contribution of others in the form of loans. This relationship is important because debt levels have an important impact on the level of risk associated with a firm. The debt-to-asset ratio helps reveal the extent to which loan financing is utilized and the impact on the level of risk taken by the business. (</w:t>
      </w:r>
      <w:proofErr w:type="spellStart"/>
      <w:r w:rsidR="004E5DFD" w:rsidRPr="004E5DFD">
        <w:t>Atrill</w:t>
      </w:r>
      <w:proofErr w:type="spellEnd"/>
      <w:r w:rsidR="004E5DFD" w:rsidRPr="004E5DFD">
        <w:t xml:space="preserve"> and </w:t>
      </w:r>
      <w:proofErr w:type="spellStart"/>
      <w:r w:rsidR="004E5DFD" w:rsidRPr="004E5DFD">
        <w:t>Mclaney</w:t>
      </w:r>
      <w:proofErr w:type="spellEnd"/>
      <w:r w:rsidR="004E5DFD" w:rsidRPr="004E5DFD">
        <w:t>, 2016, p.264)</w:t>
      </w:r>
    </w:p>
    <w:p w:rsidR="006B6FB8" w:rsidRDefault="006B6FB8" w:rsidP="004E5DFD">
      <w:pPr>
        <w:rPr>
          <w:rFonts w:hint="eastAsia"/>
        </w:rPr>
      </w:pPr>
    </w:p>
    <w:p w:rsidR="004E5DFD" w:rsidRDefault="004E5DFD" w:rsidP="004E5DFD">
      <w:pPr>
        <w:rPr>
          <w:rFonts w:hint="eastAsia"/>
        </w:rPr>
      </w:pPr>
      <w:r>
        <w:t xml:space="preserve">The debt/equity ratio measures risk from the perspective of both the company and its existing and potential lenders. The main risk for a company is the payment of principal and interest obligations which are fixed costs. </w:t>
      </w:r>
      <w:proofErr w:type="gramStart"/>
      <w:r>
        <w:t>Even if the company's business and its cash flow decline.</w:t>
      </w:r>
      <w:proofErr w:type="gramEnd"/>
      <w:r>
        <w:t xml:space="preserve"> Another risk the company faces is that if its ratios decline, it could default on its loan agreements. This could trigger higher interest rates, or worse, the bank demanding immediate repayment of the loan. (Fields, 2016, p.136)</w:t>
      </w:r>
    </w:p>
    <w:p w:rsidR="006B6FB8" w:rsidRDefault="006B6FB8" w:rsidP="004E5DFD"/>
    <w:p w:rsidR="004E5DFD" w:rsidRDefault="004E5DFD" w:rsidP="004E5DFD">
      <w:pPr>
        <w:rPr>
          <w:rFonts w:hint="eastAsia"/>
        </w:rPr>
      </w:pPr>
      <w:r>
        <w:t>The debt-to-capital ratio (D/C ratio) measures a company's financial leverage by comparing its total liabilities to its total capital. In other words, the debt-to-capital ratio formula measures the ratio of debt to capital used by a business to fund its ongoing operations. Essentially, the debt-to-capital ratio is a measure of risk. Financing a business's day-to-day operations with debt is inherently risky because the principal (plus interest) must be repaid to the lender. Therefore, companies with higher debt-to-capital ratios are inherently riskier companies, as a decline in sales could lead to potential solvency issues. That being said, a higher debt-to-capital ratio isn't always a negative. If the loan is used in the right way, it could result in substantial returns for shareholders. (</w:t>
      </w:r>
      <w:proofErr w:type="spellStart"/>
      <w:r>
        <w:t>GoCardless</w:t>
      </w:r>
      <w:proofErr w:type="spellEnd"/>
      <w:r>
        <w:t>, 2020)</w:t>
      </w:r>
    </w:p>
    <w:p w:rsidR="006B6FB8" w:rsidRDefault="006B6FB8" w:rsidP="004E5DFD"/>
    <w:p w:rsidR="004E5DFD" w:rsidRPr="00445EBF" w:rsidRDefault="004E5DFD" w:rsidP="004E5DFD">
      <w:pPr>
        <w:jc w:val="left"/>
        <w:rPr>
          <w:rFonts w:ascii="Times New Roman" w:hAnsi="Times New Roman" w:cs="Times New Roman"/>
        </w:rPr>
      </w:pPr>
      <w:proofErr w:type="gramStart"/>
      <w:r w:rsidRPr="00445EBF">
        <w:rPr>
          <w:rFonts w:ascii="Times New Roman" w:hAnsi="Times New Roman" w:cs="Times New Roman" w:hint="eastAsia"/>
        </w:rPr>
        <w:t>Table</w:t>
      </w:r>
      <w:r w:rsidR="006B6FB8">
        <w:rPr>
          <w:rFonts w:ascii="Times New Roman" w:hAnsi="Times New Roman" w:cs="Times New Roman" w:hint="eastAsia"/>
        </w:rPr>
        <w:t>2</w:t>
      </w:r>
      <w:r w:rsidRPr="00445EBF">
        <w:rPr>
          <w:rFonts w:ascii="Times New Roman" w:hAnsi="Times New Roman" w:cs="Times New Roman" w:hint="eastAsia"/>
        </w:rPr>
        <w:t xml:space="preserve"> </w:t>
      </w:r>
      <w:r>
        <w:rPr>
          <w:rFonts w:ascii="Times New Roman" w:hAnsi="Times New Roman" w:cs="Times New Roman" w:hint="eastAsia"/>
        </w:rPr>
        <w:t>.</w:t>
      </w:r>
      <w:proofErr w:type="gramEnd"/>
      <w:r>
        <w:rPr>
          <w:rFonts w:ascii="Times New Roman" w:hAnsi="Times New Roman" w:cs="Times New Roman" w:hint="eastAsia"/>
        </w:rPr>
        <w:t xml:space="preserve"> The leverage ratios of Tesla in last five years</w:t>
      </w:r>
    </w:p>
    <w:tbl>
      <w:tblPr>
        <w:tblW w:w="8364" w:type="dxa"/>
        <w:tblInd w:w="108" w:type="dxa"/>
        <w:tblLook w:val="04A0"/>
      </w:tblPr>
      <w:tblGrid>
        <w:gridCol w:w="2694"/>
        <w:gridCol w:w="1134"/>
        <w:gridCol w:w="1134"/>
        <w:gridCol w:w="1134"/>
        <w:gridCol w:w="1134"/>
        <w:gridCol w:w="1134"/>
      </w:tblGrid>
      <w:tr w:rsidR="004E5DFD" w:rsidRPr="007C067F" w:rsidTr="005610A1">
        <w:trPr>
          <w:trHeight w:val="290"/>
        </w:trPr>
        <w:tc>
          <w:tcPr>
            <w:tcW w:w="2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sz w:val="18"/>
                <w:szCs w:val="18"/>
              </w:rPr>
              <w:t>Ratios</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2019</w:t>
            </w:r>
          </w:p>
        </w:tc>
      </w:tr>
      <w:tr w:rsidR="004E5DFD" w:rsidRPr="007C067F" w:rsidTr="005610A1">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Debt-Equity Ratio</w:t>
            </w: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r>
      <w:tr w:rsidR="004E5DFD" w:rsidRPr="007C067F" w:rsidTr="005610A1">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Debt-to-Capital Ratio</w:t>
            </w: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r>
      <w:tr w:rsidR="004E5DFD" w:rsidRPr="007C067F" w:rsidTr="005610A1">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Total Debt to Total Assets</w:t>
            </w: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4E5DFD" w:rsidRPr="00172482" w:rsidRDefault="004E5DFD" w:rsidP="005610A1">
            <w:pPr>
              <w:jc w:val="center"/>
              <w:rPr>
                <w:rFonts w:ascii="Times New Roman" w:hAnsi="Times New Roman" w:cs="Times New Roman"/>
                <w:sz w:val="18"/>
                <w:szCs w:val="18"/>
              </w:rPr>
            </w:pPr>
          </w:p>
        </w:tc>
      </w:tr>
    </w:tbl>
    <w:p w:rsidR="004E5DFD" w:rsidRDefault="004E5DFD" w:rsidP="004E5DFD">
      <w:pPr>
        <w:pStyle w:val="a3"/>
        <w:spacing w:before="0" w:beforeAutospacing="0" w:after="240" w:afterAutospacing="0" w:line="360" w:lineRule="auto"/>
        <w:rPr>
          <w:rFonts w:ascii="Times New Roman" w:hAnsi="Times New Roman" w:cs="Times New Roman"/>
        </w:rPr>
      </w:pPr>
    </w:p>
    <w:p w:rsidR="004E5DFD" w:rsidRPr="00F47889" w:rsidRDefault="004E5DFD" w:rsidP="004E5DFD">
      <w:pPr>
        <w:rPr>
          <w:rFonts w:ascii="Cambria" w:hAnsi="Cambria"/>
          <w:b/>
        </w:rPr>
      </w:pPr>
      <w:r w:rsidRPr="00F47889">
        <w:rPr>
          <w:rFonts w:ascii="Cambria" w:hAnsi="Cambria" w:hint="eastAsia"/>
          <w:b/>
        </w:rPr>
        <w:t>A critical analysis of the corporation's financial performance</w:t>
      </w:r>
    </w:p>
    <w:p w:rsidR="004E5DFD" w:rsidRDefault="004E5DFD" w:rsidP="004E5DFD">
      <w:r>
        <w:t>Financial performance is a subjective measure of how well a company leverages the assets of its primary business model and generates revenue. The term is also used as a general measure of a company's overall financial health during a specific period. (Kenton, 2023)</w:t>
      </w:r>
    </w:p>
    <w:p w:rsidR="004E5DFD" w:rsidRDefault="004E5DFD" w:rsidP="004E5DFD"/>
    <w:p w:rsidR="004E5DFD" w:rsidRDefault="004E5DFD" w:rsidP="004E5DFD">
      <w:r>
        <w:t>To measure a company's financial status, Form 10-K is an important reference indicator, namely the balance sheet, income statement and cash flow statement. Form 10-K allows you to calculate and analyze specific financial ratios to gain insight into a company's financial position and performance.</w:t>
      </w:r>
    </w:p>
    <w:p w:rsidR="004E5DFD" w:rsidRDefault="004E5DFD" w:rsidP="004E5DFD">
      <w:pPr>
        <w:rPr>
          <w:rFonts w:hint="eastAsia"/>
        </w:rPr>
      </w:pPr>
      <w:r>
        <w:t xml:space="preserve">2023 is Tesla’s best year yet. Tesla's revenue didn't take a huge leap forward in the fourth quarter </w:t>
      </w:r>
      <w:r>
        <w:lastRenderedPageBreak/>
        <w:t>of 2023 compared to the same period last year. In fact, Tesla's automotive revenue rose just 1% in Q4 2023 compared to Q4 2022. As Musk explained during the earnings call, the company is making good progress on its energy storage front. . Generation and storage revenue increased 10% in the fourth quarter compared to last year Tesla's revenue from services and other locations increased a staggering 27% in the fourth quarter of 2022 compared to the fourth quarter of 2023. However, Tesla's operating profit margin in the fourth quarter of 2023 dropped significantly compared with the same period last year. It fell to 8.2% from 16.0% Tesla's vehicle production increased by 13% in the fourth quarter of 2023 compared to the fourth quarter of 2022. Likewise, the company's vehicle deliveries increased 20% year over year in the fourth quarter.</w:t>
      </w:r>
    </w:p>
    <w:p w:rsidR="004E5DFD" w:rsidRDefault="004E5DFD" w:rsidP="004E5DFD">
      <w:r>
        <w:t>Tesla (TSLA) shared an interesting data sheet in its 2023 shareholder profile. The table shows Tesla's exponential growth in revenue, operating margin, and profit from 2019 to 2023.</w:t>
      </w:r>
    </w:p>
    <w:p w:rsidR="004E5DFD" w:rsidRDefault="004E5DFD" w:rsidP="004E5DFD">
      <w:r>
        <w:t>Although Tesla launched the Tesla Model Y crossover SUV in 2019, the automaker's total vehicle revenue was just $20.821 billion. In 2023, Tesla Motors' total revenue will be US$82.419 billion. This growth rate has been approximately 400% over the past 5 years.</w:t>
      </w:r>
    </w:p>
    <w:p w:rsidR="004E5DFD" w:rsidRDefault="004E5DFD" w:rsidP="004E5DFD">
      <w:pPr>
        <w:rPr>
          <w:rFonts w:hint="eastAsia"/>
        </w:rPr>
      </w:pPr>
      <w:r>
        <w:t>Tesla's operating margin also grew from -0.3% (-0.3%) in 2019 to 9.2% in 2023. 2022 has been the best year for Tesla, with the company generating operating margins of around 17%.</w:t>
      </w:r>
    </w:p>
    <w:p w:rsidR="006B6FB8" w:rsidRDefault="006B6FB8" w:rsidP="006B6FB8">
      <w:r>
        <w:t xml:space="preserve">Tesla has experienced impressive operational growth over the past five years. Since 2019, the automaker has operated 3 </w:t>
      </w:r>
      <w:proofErr w:type="spellStart"/>
      <w:r>
        <w:t>Gigafactory</w:t>
      </w:r>
      <w:proofErr w:type="spellEnd"/>
      <w:r>
        <w:t xml:space="preserve"> - </w:t>
      </w:r>
      <w:proofErr w:type="spellStart"/>
      <w:r>
        <w:t>Gigafactory</w:t>
      </w:r>
      <w:proofErr w:type="spellEnd"/>
      <w:r>
        <w:t xml:space="preserve"> Shanghai, </w:t>
      </w:r>
      <w:proofErr w:type="spellStart"/>
      <w:r>
        <w:t>Gigafactory</w:t>
      </w:r>
      <w:proofErr w:type="spellEnd"/>
      <w:r>
        <w:t xml:space="preserve"> Berlin and </w:t>
      </w:r>
      <w:proofErr w:type="spellStart"/>
      <w:r>
        <w:t>Gigafactory</w:t>
      </w:r>
      <w:proofErr w:type="spellEnd"/>
      <w:r>
        <w:t xml:space="preserve"> Texas. Tesla's production and deliveries have grown by more than 500% over the past five years. The automaker produced just 365,232 vehicles in 2019 and 1,845,985 in 2023. Tesla (TSLA) delivered 367,656 vehicles in all of 2019, compared with 1,808,581 vehicles in 2023. Five years ago, Tesla's annual vehicle production was less than a quarter of what it is now. Tesla has mastered the art of scaling up vehicle production in the shortest possible time.</w:t>
      </w:r>
    </w:p>
    <w:p w:rsidR="006B6FB8" w:rsidRDefault="006B6FB8" w:rsidP="006B6FB8">
      <w:pPr>
        <w:rPr>
          <w:rFonts w:hint="eastAsia"/>
        </w:rPr>
      </w:pPr>
      <w:r>
        <w:t xml:space="preserve">In the past five years, Tesla's energy storage deployment business has achieved approximately 900% growth. Tesla delivered 1.65 </w:t>
      </w:r>
      <w:proofErr w:type="spellStart"/>
      <w:r>
        <w:t>GWh</w:t>
      </w:r>
      <w:proofErr w:type="spellEnd"/>
      <w:r>
        <w:t xml:space="preserve"> of battery storage in 2019, dwarfed by the 14.7 </w:t>
      </w:r>
      <w:proofErr w:type="spellStart"/>
      <w:r>
        <w:t>GWh</w:t>
      </w:r>
      <w:proofErr w:type="spellEnd"/>
      <w:r>
        <w:t xml:space="preserve"> BESS it will deploy in 2023.</w:t>
      </w:r>
    </w:p>
    <w:p w:rsidR="006B6FB8" w:rsidRDefault="006B6FB8" w:rsidP="006B6FB8">
      <w:pPr>
        <w:rPr>
          <w:rFonts w:hint="eastAsia"/>
        </w:rPr>
      </w:pPr>
    </w:p>
    <w:p w:rsidR="006B6FB8" w:rsidRDefault="006B6FB8" w:rsidP="006B6FB8">
      <w:pPr>
        <w:rPr>
          <w:rFonts w:ascii="Cambria" w:hAnsi="Cambria" w:hint="eastAsia"/>
          <w:b/>
        </w:rPr>
      </w:pPr>
      <w:r>
        <w:rPr>
          <w:rFonts w:ascii="Cambria" w:hAnsi="Cambria" w:hint="eastAsia"/>
          <w:b/>
        </w:rPr>
        <w:t>C</w:t>
      </w:r>
      <w:r w:rsidRPr="00A46E97">
        <w:rPr>
          <w:rFonts w:ascii="Cambria" w:hAnsi="Cambria" w:hint="eastAsia"/>
          <w:b/>
        </w:rPr>
        <w:t xml:space="preserve">ompare the financial ratios calculated above to the ratios of major competitor, </w:t>
      </w:r>
      <w:r w:rsidRPr="00A46E97">
        <w:rPr>
          <w:rFonts w:ascii="Cambria" w:hAnsi="Cambria"/>
          <w:b/>
        </w:rPr>
        <w:t>commenting</w:t>
      </w:r>
      <w:r w:rsidRPr="00A46E97">
        <w:rPr>
          <w:rFonts w:ascii="Cambria" w:hAnsi="Cambria" w:hint="eastAsia"/>
          <w:b/>
        </w:rPr>
        <w:t xml:space="preserve"> on similarities or differences</w:t>
      </w:r>
      <w:r>
        <w:rPr>
          <w:rFonts w:ascii="Cambria" w:hAnsi="Cambria" w:hint="eastAsia"/>
          <w:b/>
        </w:rPr>
        <w:t xml:space="preserve"> </w:t>
      </w:r>
    </w:p>
    <w:p w:rsidR="006B6FB8" w:rsidRDefault="006B6FB8" w:rsidP="006B6FB8">
      <w:pPr>
        <w:rPr>
          <w:rFonts w:ascii="Cambria" w:hAnsi="Cambria" w:hint="eastAsia"/>
          <w:b/>
        </w:rPr>
      </w:pPr>
    </w:p>
    <w:p w:rsidR="006B6FB8" w:rsidRPr="00445EBF" w:rsidRDefault="006B6FB8" w:rsidP="006B6FB8">
      <w:pPr>
        <w:jc w:val="left"/>
        <w:rPr>
          <w:rFonts w:ascii="Times New Roman" w:hAnsi="Times New Roman" w:cs="Times New Roman"/>
        </w:rPr>
      </w:pPr>
      <w:proofErr w:type="gramStart"/>
      <w:r w:rsidRPr="00445EBF">
        <w:rPr>
          <w:rFonts w:ascii="Times New Roman" w:hAnsi="Times New Roman" w:cs="Times New Roman" w:hint="eastAsia"/>
        </w:rPr>
        <w:t>Table</w:t>
      </w:r>
      <w:r>
        <w:rPr>
          <w:rFonts w:ascii="Times New Roman" w:hAnsi="Times New Roman" w:cs="Times New Roman" w:hint="eastAsia"/>
        </w:rPr>
        <w:t>3</w:t>
      </w:r>
      <w:r w:rsidRPr="00445EBF">
        <w:rPr>
          <w:rFonts w:ascii="Times New Roman" w:hAnsi="Times New Roman" w:cs="Times New Roman" w:hint="eastAsia"/>
        </w:rPr>
        <w:t xml:space="preserve"> </w:t>
      </w:r>
      <w:r>
        <w:rPr>
          <w:rFonts w:ascii="Times New Roman" w:hAnsi="Times New Roman" w:cs="Times New Roman" w:hint="eastAsia"/>
        </w:rPr>
        <w:t>.</w:t>
      </w:r>
      <w:proofErr w:type="gramEnd"/>
      <w:r>
        <w:rPr>
          <w:rFonts w:ascii="Times New Roman" w:hAnsi="Times New Roman" w:cs="Times New Roman" w:hint="eastAsia"/>
        </w:rPr>
        <w:t xml:space="preserve"> The liquidity ratios of BYD in last five years</w:t>
      </w:r>
    </w:p>
    <w:tbl>
      <w:tblPr>
        <w:tblW w:w="7655" w:type="dxa"/>
        <w:tblInd w:w="250" w:type="dxa"/>
        <w:tblLook w:val="04A0"/>
      </w:tblPr>
      <w:tblGrid>
        <w:gridCol w:w="2022"/>
        <w:gridCol w:w="1097"/>
        <w:gridCol w:w="1134"/>
        <w:gridCol w:w="1134"/>
        <w:gridCol w:w="1134"/>
        <w:gridCol w:w="1134"/>
      </w:tblGrid>
      <w:tr w:rsidR="006B6FB8" w:rsidRPr="007C067F" w:rsidTr="005610A1">
        <w:trPr>
          <w:trHeight w:val="290"/>
        </w:trPr>
        <w:tc>
          <w:tcPr>
            <w:tcW w:w="20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B6FB8" w:rsidRPr="007C067F" w:rsidRDefault="006B6FB8" w:rsidP="005610A1">
            <w:pPr>
              <w:jc w:val="center"/>
              <w:rPr>
                <w:rFonts w:ascii="Times New Roman" w:hAnsi="Times New Roman" w:cs="Times New Roman"/>
                <w:szCs w:val="21"/>
              </w:rPr>
            </w:pPr>
            <w:r w:rsidRPr="007C067F">
              <w:rPr>
                <w:rFonts w:ascii="Times New Roman" w:hAnsi="Times New Roman" w:cs="Times New Roman"/>
                <w:szCs w:val="21"/>
              </w:rPr>
              <w:t>Ratios</w:t>
            </w:r>
          </w:p>
        </w:tc>
        <w:tc>
          <w:tcPr>
            <w:tcW w:w="1097" w:type="dxa"/>
            <w:tcBorders>
              <w:top w:val="single" w:sz="4" w:space="0" w:color="auto"/>
              <w:left w:val="nil"/>
              <w:bottom w:val="single" w:sz="4" w:space="0" w:color="auto"/>
              <w:right w:val="single" w:sz="4" w:space="0" w:color="auto"/>
            </w:tcBorders>
            <w:shd w:val="clear" w:color="auto" w:fill="auto"/>
            <w:noWrap/>
            <w:vAlign w:val="center"/>
            <w:hideMark/>
          </w:tcPr>
          <w:p w:rsidR="006B6FB8" w:rsidRPr="007C067F" w:rsidRDefault="006B6FB8" w:rsidP="005610A1">
            <w:pPr>
              <w:jc w:val="center"/>
              <w:rPr>
                <w:rFonts w:ascii="Times New Roman" w:hAnsi="Times New Roman" w:cs="Times New Roman"/>
                <w:szCs w:val="21"/>
              </w:rPr>
            </w:pPr>
            <w:r w:rsidRPr="007C067F">
              <w:rPr>
                <w:rFonts w:ascii="Times New Roman" w:hAnsi="Times New Roman" w:cs="Times New Roman" w:hint="eastAsia"/>
                <w:szCs w:val="21"/>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7C067F" w:rsidRDefault="006B6FB8" w:rsidP="005610A1">
            <w:pPr>
              <w:jc w:val="center"/>
              <w:rPr>
                <w:rFonts w:ascii="Times New Roman" w:hAnsi="Times New Roman" w:cs="Times New Roman"/>
                <w:szCs w:val="21"/>
              </w:rPr>
            </w:pPr>
            <w:r w:rsidRPr="007C067F">
              <w:rPr>
                <w:rFonts w:ascii="Times New Roman" w:hAnsi="Times New Roman" w:cs="Times New Roman" w:hint="eastAsia"/>
                <w:szCs w:val="21"/>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7C067F" w:rsidRDefault="006B6FB8" w:rsidP="005610A1">
            <w:pPr>
              <w:jc w:val="center"/>
              <w:rPr>
                <w:rFonts w:ascii="Times New Roman" w:hAnsi="Times New Roman" w:cs="Times New Roman"/>
                <w:szCs w:val="21"/>
              </w:rPr>
            </w:pPr>
            <w:r w:rsidRPr="007C067F">
              <w:rPr>
                <w:rFonts w:ascii="Times New Roman" w:hAnsi="Times New Roman" w:cs="Times New Roman" w:hint="eastAsia"/>
                <w:szCs w:val="21"/>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7C067F" w:rsidRDefault="006B6FB8" w:rsidP="005610A1">
            <w:pPr>
              <w:jc w:val="center"/>
              <w:rPr>
                <w:rFonts w:ascii="Times New Roman" w:hAnsi="Times New Roman" w:cs="Times New Roman"/>
                <w:szCs w:val="21"/>
              </w:rPr>
            </w:pPr>
            <w:r w:rsidRPr="007C067F">
              <w:rPr>
                <w:rFonts w:ascii="Times New Roman" w:hAnsi="Times New Roman" w:cs="Times New Roman" w:hint="eastAsia"/>
                <w:szCs w:val="21"/>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7C067F" w:rsidRDefault="006B6FB8" w:rsidP="005610A1">
            <w:pPr>
              <w:jc w:val="center"/>
              <w:rPr>
                <w:rFonts w:ascii="Times New Roman" w:hAnsi="Times New Roman" w:cs="Times New Roman"/>
                <w:szCs w:val="21"/>
              </w:rPr>
            </w:pPr>
            <w:r w:rsidRPr="007C067F">
              <w:rPr>
                <w:rFonts w:ascii="Times New Roman" w:hAnsi="Times New Roman" w:cs="Times New Roman" w:hint="eastAsia"/>
                <w:szCs w:val="21"/>
              </w:rPr>
              <w:t>2019</w:t>
            </w:r>
          </w:p>
        </w:tc>
      </w:tr>
      <w:tr w:rsidR="006B6FB8" w:rsidRPr="00BA59C6" w:rsidTr="005610A1">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sidRPr="00BA59C6">
              <w:rPr>
                <w:rFonts w:ascii="Times New Roman" w:hAnsi="Times New Roman" w:cs="Times New Roman"/>
                <w:sz w:val="18"/>
                <w:szCs w:val="18"/>
              </w:rPr>
              <w:t>Quick Ration</w:t>
            </w:r>
          </w:p>
        </w:tc>
        <w:tc>
          <w:tcPr>
            <w:tcW w:w="1097"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0.4</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0.4</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0.6</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0.7</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0.7</w:t>
            </w:r>
          </w:p>
        </w:tc>
      </w:tr>
      <w:tr w:rsidR="006B6FB8" w:rsidRPr="00BA59C6" w:rsidTr="005610A1">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sidRPr="00BA59C6">
              <w:rPr>
                <w:rFonts w:ascii="Times New Roman" w:hAnsi="Times New Roman" w:cs="Times New Roman"/>
                <w:sz w:val="18"/>
                <w:szCs w:val="18"/>
              </w:rPr>
              <w:t>Cash Ration</w:t>
            </w:r>
          </w:p>
        </w:tc>
        <w:tc>
          <w:tcPr>
            <w:tcW w:w="1097"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p>
        </w:tc>
      </w:tr>
      <w:tr w:rsidR="006B6FB8" w:rsidRPr="00BA59C6" w:rsidTr="005610A1">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sidRPr="00BA59C6">
              <w:rPr>
                <w:rFonts w:ascii="Times New Roman" w:hAnsi="Times New Roman" w:cs="Times New Roman"/>
                <w:sz w:val="18"/>
                <w:szCs w:val="18"/>
              </w:rPr>
              <w:t>Current Ration</w:t>
            </w:r>
          </w:p>
        </w:tc>
        <w:tc>
          <w:tcPr>
            <w:tcW w:w="1097"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0.7</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0.7</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1.0</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1.0</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BA59C6" w:rsidRDefault="006B6FB8" w:rsidP="005610A1">
            <w:pPr>
              <w:jc w:val="center"/>
              <w:rPr>
                <w:rFonts w:ascii="Times New Roman" w:hAnsi="Times New Roman" w:cs="Times New Roman"/>
                <w:sz w:val="18"/>
                <w:szCs w:val="18"/>
              </w:rPr>
            </w:pPr>
            <w:r>
              <w:rPr>
                <w:rFonts w:ascii="Times New Roman" w:hAnsi="Times New Roman" w:cs="Times New Roman" w:hint="eastAsia"/>
                <w:sz w:val="18"/>
                <w:szCs w:val="18"/>
              </w:rPr>
              <w:t>1.0</w:t>
            </w:r>
          </w:p>
        </w:tc>
      </w:tr>
    </w:tbl>
    <w:p w:rsidR="006B6FB8" w:rsidRPr="00FE7EE7" w:rsidRDefault="006B6FB8" w:rsidP="006B6FB8">
      <w:pPr>
        <w:jc w:val="left"/>
        <w:rPr>
          <w:rFonts w:ascii="Times New Roman" w:hAnsi="Times New Roman" w:cs="Times New Roman"/>
          <w:sz w:val="18"/>
          <w:szCs w:val="18"/>
        </w:rPr>
      </w:pPr>
    </w:p>
    <w:p w:rsidR="006B6FB8" w:rsidRPr="00445EBF" w:rsidRDefault="006B6FB8" w:rsidP="006B6FB8">
      <w:pPr>
        <w:jc w:val="left"/>
        <w:rPr>
          <w:rFonts w:ascii="Times New Roman" w:hAnsi="Times New Roman" w:cs="Times New Roman"/>
        </w:rPr>
      </w:pPr>
      <w:proofErr w:type="gramStart"/>
      <w:r w:rsidRPr="00445EBF">
        <w:rPr>
          <w:rFonts w:ascii="Times New Roman" w:hAnsi="Times New Roman" w:cs="Times New Roman" w:hint="eastAsia"/>
        </w:rPr>
        <w:t>Table</w:t>
      </w:r>
      <w:r>
        <w:rPr>
          <w:rFonts w:ascii="Times New Roman" w:hAnsi="Times New Roman" w:cs="Times New Roman" w:hint="eastAsia"/>
        </w:rPr>
        <w:t>4</w:t>
      </w:r>
      <w:r w:rsidRPr="00445EBF">
        <w:rPr>
          <w:rFonts w:ascii="Times New Roman" w:hAnsi="Times New Roman" w:cs="Times New Roman" w:hint="eastAsia"/>
        </w:rPr>
        <w:t xml:space="preserve"> </w:t>
      </w:r>
      <w:r>
        <w:rPr>
          <w:rFonts w:ascii="Times New Roman" w:hAnsi="Times New Roman" w:cs="Times New Roman" w:hint="eastAsia"/>
        </w:rPr>
        <w:t>.</w:t>
      </w:r>
      <w:proofErr w:type="gramEnd"/>
      <w:r>
        <w:rPr>
          <w:rFonts w:ascii="Times New Roman" w:hAnsi="Times New Roman" w:cs="Times New Roman" w:hint="eastAsia"/>
        </w:rPr>
        <w:t xml:space="preserve"> The leverage ratios of BYD in last five years</w:t>
      </w:r>
    </w:p>
    <w:tbl>
      <w:tblPr>
        <w:tblW w:w="8364" w:type="dxa"/>
        <w:tblInd w:w="108" w:type="dxa"/>
        <w:tblLook w:val="04A0"/>
      </w:tblPr>
      <w:tblGrid>
        <w:gridCol w:w="2694"/>
        <w:gridCol w:w="1134"/>
        <w:gridCol w:w="1134"/>
        <w:gridCol w:w="1134"/>
        <w:gridCol w:w="1134"/>
        <w:gridCol w:w="1134"/>
      </w:tblGrid>
      <w:tr w:rsidR="006B6FB8" w:rsidRPr="007C067F" w:rsidTr="005610A1">
        <w:trPr>
          <w:trHeight w:val="290"/>
        </w:trPr>
        <w:tc>
          <w:tcPr>
            <w:tcW w:w="2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sz w:val="18"/>
                <w:szCs w:val="18"/>
              </w:rPr>
              <w:t>Ratios</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2019</w:t>
            </w:r>
          </w:p>
        </w:tc>
      </w:tr>
      <w:tr w:rsidR="006B6FB8" w:rsidRPr="007C067F" w:rsidTr="005610A1">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Debt-Equity Ratio</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r>
      <w:tr w:rsidR="006B6FB8" w:rsidRPr="007C067F" w:rsidTr="005610A1">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Debt-to-Capital Ratio</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r>
      <w:tr w:rsidR="006B6FB8" w:rsidRPr="007C067F" w:rsidTr="005610A1">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r w:rsidRPr="00172482">
              <w:rPr>
                <w:rFonts w:ascii="Times New Roman" w:hAnsi="Times New Roman" w:cs="Times New Roman" w:hint="eastAsia"/>
                <w:sz w:val="18"/>
                <w:szCs w:val="18"/>
              </w:rPr>
              <w:t>Total Debt to Total Assets</w:t>
            </w: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c>
          <w:tcPr>
            <w:tcW w:w="1134" w:type="dxa"/>
            <w:tcBorders>
              <w:top w:val="nil"/>
              <w:left w:val="nil"/>
              <w:bottom w:val="single" w:sz="4" w:space="0" w:color="auto"/>
              <w:right w:val="single" w:sz="4" w:space="0" w:color="auto"/>
            </w:tcBorders>
            <w:shd w:val="clear" w:color="auto" w:fill="auto"/>
            <w:noWrap/>
            <w:vAlign w:val="center"/>
            <w:hideMark/>
          </w:tcPr>
          <w:p w:rsidR="006B6FB8" w:rsidRPr="00172482" w:rsidRDefault="006B6FB8" w:rsidP="005610A1">
            <w:pPr>
              <w:jc w:val="center"/>
              <w:rPr>
                <w:rFonts w:ascii="Times New Roman" w:hAnsi="Times New Roman" w:cs="Times New Roman"/>
                <w:sz w:val="18"/>
                <w:szCs w:val="18"/>
              </w:rPr>
            </w:pPr>
          </w:p>
        </w:tc>
      </w:tr>
    </w:tbl>
    <w:p w:rsidR="006B6FB8" w:rsidRDefault="006B6FB8" w:rsidP="006B6FB8">
      <w:pPr>
        <w:rPr>
          <w:rFonts w:ascii="Cambria" w:hAnsi="Cambria" w:hint="eastAsia"/>
          <w:b/>
        </w:rPr>
      </w:pPr>
    </w:p>
    <w:p w:rsidR="006B6FB8" w:rsidRDefault="006B6FB8" w:rsidP="006B6FB8">
      <w:pPr>
        <w:rPr>
          <w:rFonts w:ascii="Cambria" w:hAnsi="Cambria" w:hint="eastAsia"/>
          <w:b/>
        </w:rPr>
      </w:pPr>
      <w:r>
        <w:rPr>
          <w:rFonts w:ascii="Cambria" w:hAnsi="Cambria" w:hint="eastAsia"/>
          <w:b/>
        </w:rPr>
        <w:t>B</w:t>
      </w:r>
      <w:r w:rsidRPr="00A46E97">
        <w:rPr>
          <w:rFonts w:ascii="Cambria" w:hAnsi="Cambria" w:hint="eastAsia"/>
          <w:b/>
        </w:rPr>
        <w:t>riefly review a capital structure theory of your choice, drawing on published research</w:t>
      </w:r>
      <w:r>
        <w:rPr>
          <w:rFonts w:ascii="Cambria" w:hAnsi="Cambria" w:hint="eastAsia"/>
          <w:b/>
        </w:rPr>
        <w:t xml:space="preserve"> </w:t>
      </w:r>
    </w:p>
    <w:p w:rsidR="006B6FB8" w:rsidRDefault="006B6FB8" w:rsidP="006B6FB8">
      <w:pPr>
        <w:rPr>
          <w:rFonts w:hint="eastAsia"/>
        </w:rPr>
      </w:pPr>
      <w:r w:rsidRPr="006B6FB8">
        <w:lastRenderedPageBreak/>
        <w:t>Capital structure theory is an important theory in the field of financial management. It mainly studies how companies choose the best capital structure to maximize shareholder wealth. Capital structure refers to the manner and proportion of debt and equity used by a company to finance and support its operating activities. Some important capital structure theories include static financial theory and dynamic financial theory.</w:t>
      </w:r>
    </w:p>
    <w:p w:rsidR="006B6FB8" w:rsidRDefault="006B6FB8" w:rsidP="006B6FB8">
      <w:pPr>
        <w:rPr>
          <w:rFonts w:hint="eastAsia"/>
        </w:rPr>
      </w:pPr>
      <w:r w:rsidRPr="006B6FB8">
        <w:t>Static financial theory mainly involves the relationship between company value and capital structure. One of the most famous static financial theories is the Modigliani-Miller theorem, which states that under certain conditions, capital structure has no impact on a company's value. The Modigliani-Miller theorem was originally proposed in a no-tax environment. Under this assumption, the value of the company is not affected by the capital structure and remains the same whether the company uses debt financing or equity financing. This theory assumes that capital markets are ideal and investors can buy and sell securities at any time without any costs or restrictions. This means that firms have access to debt and equity capital at the same cost, and investors all have the same information, they take all available information into account in their investment decisions, and they pursue the goal of maximizing their wealth. Because the Modigliani-Miller theorem holds that the value of a company is not affected by the capital structure, because investors can adjust the capital structure through their own portfolio to achieve the ideal structure.</w:t>
      </w:r>
    </w:p>
    <w:p w:rsidR="006B6FB8" w:rsidRDefault="006B6FB8" w:rsidP="006B6FB8">
      <w:pPr>
        <w:rPr>
          <w:rFonts w:hint="eastAsia"/>
        </w:rPr>
      </w:pPr>
      <w:r w:rsidRPr="006B6FB8">
        <w:t>Static finance theory focuses on how a company chooses its capital structure to maximize shareholder wealth at a specific point in time. Static financial theory is different from the Modigliani-Miller theorem in that it focuses more on the impact of capital structure in actual situations. Static finance theory holds that a company's choice of capital structure depends on the costs of different sources of financing. Typically, the cost of debt financing includes interest payments, while the cost of equity financing is the shareholder's required rate of return. The theory takes into account the impact of taxes on capital structure choices. Since interest expense is generally deductible from pre-tax income, the tax benefits of debt financing may affect a company's capital structure. At the same time, companies need to consider their future financial flexibility. Some companies may prefer less debt financing to reduce financial risk and increase flexibility. A company's profitability and risk-taking capacity also influence its choice of capital structure. Typically, companies with strong profitability and low risk have greater access to debt financing. Unlike the Modigliani-Miller theorem, the static finance theory holds that a company's capital structure choice may be affected by market information asymmetry and that a company may use its capital structure as a means of conveying information to investors.</w:t>
      </w:r>
    </w:p>
    <w:p w:rsidR="006B6FB8" w:rsidRDefault="006B6FB8" w:rsidP="006B6FB8">
      <w:pPr>
        <w:rPr>
          <w:rFonts w:ascii="Cambria" w:hAnsi="Cambria" w:hint="eastAsia"/>
          <w:b/>
        </w:rPr>
      </w:pPr>
      <w:r>
        <w:rPr>
          <w:rFonts w:ascii="Cambria" w:hAnsi="Cambria"/>
          <w:b/>
        </w:rPr>
        <w:t>Comment</w:t>
      </w:r>
      <w:r w:rsidRPr="00A46E97">
        <w:rPr>
          <w:rFonts w:ascii="Cambria" w:hAnsi="Cambria" w:hint="eastAsia"/>
          <w:b/>
        </w:rPr>
        <w:t xml:space="preserve"> on your selected company with </w:t>
      </w:r>
      <w:r w:rsidRPr="00A46E97">
        <w:rPr>
          <w:rFonts w:ascii="Cambria" w:hAnsi="Cambria"/>
          <w:b/>
        </w:rPr>
        <w:t>respect</w:t>
      </w:r>
      <w:r w:rsidRPr="00A46E97">
        <w:rPr>
          <w:rFonts w:ascii="Cambria" w:hAnsi="Cambria" w:hint="eastAsia"/>
          <w:b/>
        </w:rPr>
        <w:t xml:space="preserve"> to your selected capital structure theory</w:t>
      </w:r>
      <w:r>
        <w:rPr>
          <w:rFonts w:ascii="Cambria" w:hAnsi="Cambria" w:hint="eastAsia"/>
          <w:b/>
        </w:rPr>
        <w:t xml:space="preserve"> </w:t>
      </w:r>
    </w:p>
    <w:p w:rsidR="006B6FB8" w:rsidRDefault="006B6FB8" w:rsidP="006B6FB8">
      <w:pPr>
        <w:rPr>
          <w:rFonts w:hint="eastAsia"/>
        </w:rPr>
      </w:pPr>
      <w:r w:rsidRPr="006B6FB8">
        <w:t>Dynamic financial theory emphasizes that the choice of a company's capital structure should take into account the impact of future development and growth. Therefore, for a company like Tesla, we can evaluate its capital structure choice from the following aspects. First, as a high-tech, high-growth</w:t>
      </w:r>
      <w:r>
        <w:rPr>
          <w:rFonts w:hint="eastAsia"/>
        </w:rPr>
        <w:t xml:space="preserve"> </w:t>
      </w:r>
      <w:proofErr w:type="gramStart"/>
      <w:r w:rsidRPr="006B6FB8">
        <w:t>company</w:t>
      </w:r>
      <w:proofErr w:type="gramEnd"/>
      <w:r w:rsidRPr="006B6FB8">
        <w:t xml:space="preserve">, Tesla's future growth prospects may require substantial capital expenditures to support product research and development, construction of production facilities, and expansion into new markets. Therefore, in terms of capital structure selection, Tesla may prefer to use equity financing to ensure that the company has sufficient financial flexibility to support future growth plans. Secondly, Tesla has suffered losses for a long time in the past and has faced financial crises many times. Facing increasingly fierce competition in the electric vehicle </w:t>
      </w:r>
      <w:r w:rsidRPr="006B6FB8">
        <w:lastRenderedPageBreak/>
        <w:t>industry, Tesla should fully consider financing costs and reduce financial risks.</w:t>
      </w:r>
    </w:p>
    <w:p w:rsidR="006B6FB8" w:rsidRDefault="006B6FB8" w:rsidP="006B6FB8">
      <w:pPr>
        <w:rPr>
          <w:rFonts w:hint="eastAsia"/>
        </w:rPr>
      </w:pPr>
      <w:r w:rsidRPr="006B6FB8">
        <w:t>If based on static financial theory, we can evaluate Tesla's capital structure choices by considering the company's costs, tax implications, financial flexibility and other factors. First of all, considering costs, Tesla has often suffered losses in the past few years, and debt financing may increase its financial burden. As a high-growth company, Tesla's future profitability is relatively unstable, which may make debt financing more expensive. Second, since Tesla has frequently been in the red over the past few years and has been fraught with uncertainty as it expands, debt financing may not take full advantage of tax benefits. In addition, the U.S. government’s subsidy and tax incentives for the electric vehicle industry are also changing, which may affect Tesla’s debt financing strategy. Third, Tesla, as a high-tech company, may need to maintain high financial flexibility to respond to rapidly changing market and technological environments. Therefore, the company may be more inclined to reduce financial risks and maintain flexibility. However, this choice may also be affected by factors such as market conditions, government policies, and the company's own financial condition.</w:t>
      </w:r>
    </w:p>
    <w:p w:rsidR="006B6FB8" w:rsidRDefault="006B6FB8" w:rsidP="006B6FB8">
      <w:pPr>
        <w:rPr>
          <w:rFonts w:hint="eastAsia"/>
        </w:rPr>
      </w:pPr>
    </w:p>
    <w:p w:rsidR="006B6FB8" w:rsidRDefault="006B6FB8" w:rsidP="006B6FB8">
      <w:pPr>
        <w:rPr>
          <w:rFonts w:ascii="Cambria" w:hAnsi="Cambria" w:hint="eastAsia"/>
          <w:b/>
        </w:rPr>
      </w:pPr>
      <w:r>
        <w:rPr>
          <w:rFonts w:ascii="Cambria" w:hAnsi="Cambria" w:hint="eastAsia"/>
          <w:b/>
        </w:rPr>
        <w:t>A</w:t>
      </w:r>
      <w:r w:rsidRPr="00A46E97">
        <w:rPr>
          <w:rFonts w:ascii="Cambria" w:hAnsi="Cambria" w:hint="eastAsia"/>
          <w:b/>
        </w:rPr>
        <w:t xml:space="preserve">verage annual share returns for the past five </w:t>
      </w:r>
      <w:r>
        <w:rPr>
          <w:rFonts w:ascii="Cambria" w:hAnsi="Cambria" w:hint="eastAsia"/>
          <w:b/>
        </w:rPr>
        <w:t>years</w:t>
      </w:r>
    </w:p>
    <w:p w:rsidR="006B6FB8" w:rsidRDefault="006B6FB8" w:rsidP="006B6FB8">
      <w:pPr>
        <w:rPr>
          <w:rFonts w:ascii="Cambria" w:hAnsi="Cambria" w:hint="eastAsia"/>
          <w:b/>
        </w:rPr>
      </w:pPr>
    </w:p>
    <w:p w:rsidR="006B6FB8" w:rsidRPr="006B6FB8" w:rsidRDefault="006B6FB8" w:rsidP="006B6FB8">
      <w:pPr>
        <w:rPr>
          <w:rFonts w:ascii="Cambria" w:hAnsi="Cambria"/>
        </w:rPr>
      </w:pPr>
      <w:r w:rsidRPr="006B6FB8">
        <w:rPr>
          <w:rFonts w:ascii="Cambria" w:hAnsi="Cambria" w:hint="eastAsia"/>
        </w:rPr>
        <w:t>Table 5</w:t>
      </w:r>
    </w:p>
    <w:tbl>
      <w:tblPr>
        <w:tblStyle w:val="a4"/>
        <w:tblW w:w="0" w:type="auto"/>
        <w:tblLook w:val="04A0"/>
      </w:tblPr>
      <w:tblGrid>
        <w:gridCol w:w="1384"/>
        <w:gridCol w:w="1559"/>
        <w:gridCol w:w="2779"/>
        <w:gridCol w:w="2324"/>
      </w:tblGrid>
      <w:tr w:rsidR="006B6FB8" w:rsidTr="005610A1">
        <w:tc>
          <w:tcPr>
            <w:tcW w:w="1384" w:type="dxa"/>
          </w:tcPr>
          <w:p w:rsidR="006B6FB8" w:rsidRDefault="006B6FB8" w:rsidP="005610A1">
            <w:pPr>
              <w:rPr>
                <w:rFonts w:ascii="Cambria" w:hAnsi="Cambria"/>
              </w:rPr>
            </w:pPr>
            <w:r>
              <w:rPr>
                <w:rFonts w:ascii="Cambria" w:hAnsi="Cambria" w:hint="eastAsia"/>
              </w:rPr>
              <w:t>Date</w:t>
            </w:r>
          </w:p>
        </w:tc>
        <w:tc>
          <w:tcPr>
            <w:tcW w:w="1559" w:type="dxa"/>
          </w:tcPr>
          <w:p w:rsidR="006B6FB8" w:rsidRDefault="006B6FB8" w:rsidP="005610A1">
            <w:pPr>
              <w:rPr>
                <w:rFonts w:ascii="Cambria" w:hAnsi="Cambria"/>
              </w:rPr>
            </w:pPr>
            <w:r>
              <w:rPr>
                <w:rFonts w:ascii="Cambria" w:hAnsi="Cambria" w:hint="eastAsia"/>
              </w:rPr>
              <w:t>Close</w:t>
            </w:r>
          </w:p>
        </w:tc>
        <w:tc>
          <w:tcPr>
            <w:tcW w:w="2779" w:type="dxa"/>
          </w:tcPr>
          <w:p w:rsidR="006B6FB8" w:rsidRDefault="006B6FB8" w:rsidP="005610A1">
            <w:pPr>
              <w:jc w:val="left"/>
              <w:rPr>
                <w:rFonts w:ascii="Cambria" w:hAnsi="Cambria"/>
              </w:rPr>
            </w:pPr>
            <w:r>
              <w:rPr>
                <w:rFonts w:ascii="Cambria" w:hAnsi="Cambria" w:hint="eastAsia"/>
              </w:rPr>
              <w:t>Yearly average(Average of 12 months)</w:t>
            </w:r>
          </w:p>
        </w:tc>
        <w:tc>
          <w:tcPr>
            <w:tcW w:w="2324" w:type="dxa"/>
          </w:tcPr>
          <w:p w:rsidR="006B6FB8" w:rsidRDefault="006B6FB8" w:rsidP="005610A1">
            <w:pPr>
              <w:jc w:val="left"/>
              <w:rPr>
                <w:rFonts w:ascii="Cambria" w:hAnsi="Cambria"/>
              </w:rPr>
            </w:pPr>
            <w:r>
              <w:rPr>
                <w:rFonts w:ascii="Cambria" w:hAnsi="Cambria" w:hint="eastAsia"/>
              </w:rPr>
              <w:t>Percentage of return</w:t>
            </w:r>
          </w:p>
        </w:tc>
      </w:tr>
      <w:tr w:rsidR="006B6FB8" w:rsidTr="005610A1">
        <w:tc>
          <w:tcPr>
            <w:tcW w:w="1384" w:type="dxa"/>
            <w:vAlign w:val="center"/>
          </w:tcPr>
          <w:p w:rsidR="006B6FB8" w:rsidRPr="00FF1369" w:rsidRDefault="006B6FB8" w:rsidP="005610A1">
            <w:pPr>
              <w:rPr>
                <w:rFonts w:ascii="Cambria" w:hAnsi="Cambria"/>
              </w:rPr>
            </w:pPr>
            <w:r w:rsidRPr="00FF1369">
              <w:rPr>
                <w:rFonts w:ascii="Cambria" w:hAnsi="Cambria" w:hint="eastAsia"/>
              </w:rPr>
              <w:t>2024/3/1</w:t>
            </w:r>
          </w:p>
        </w:tc>
        <w:tc>
          <w:tcPr>
            <w:tcW w:w="1559" w:type="dxa"/>
            <w:vAlign w:val="center"/>
          </w:tcPr>
          <w:p w:rsidR="006B6FB8" w:rsidRPr="00FF1369" w:rsidRDefault="006B6FB8" w:rsidP="005610A1">
            <w:pPr>
              <w:jc w:val="right"/>
              <w:rPr>
                <w:rFonts w:ascii="Cambria" w:hAnsi="Cambria"/>
              </w:rPr>
            </w:pPr>
            <w:r w:rsidRPr="00FF1369">
              <w:rPr>
                <w:rFonts w:ascii="Cambria" w:hAnsi="Cambria" w:hint="eastAsia"/>
              </w:rPr>
              <w:t>179.83</w:t>
            </w:r>
          </w:p>
        </w:tc>
        <w:tc>
          <w:tcPr>
            <w:tcW w:w="2779" w:type="dxa"/>
          </w:tcPr>
          <w:p w:rsidR="006B6FB8" w:rsidRDefault="006B6FB8" w:rsidP="005610A1">
            <w:pPr>
              <w:jc w:val="right"/>
              <w:rPr>
                <w:rFonts w:ascii="Cambria" w:hAnsi="Cambria"/>
              </w:rPr>
            </w:pPr>
            <w:r>
              <w:rPr>
                <w:rFonts w:ascii="Cambria" w:hAnsi="Cambria" w:hint="eastAsia"/>
              </w:rPr>
              <w:t>222.01</w:t>
            </w:r>
          </w:p>
        </w:tc>
        <w:tc>
          <w:tcPr>
            <w:tcW w:w="2324" w:type="dxa"/>
          </w:tcPr>
          <w:p w:rsidR="006B6FB8" w:rsidRDefault="006B6FB8" w:rsidP="005610A1">
            <w:pPr>
              <w:jc w:val="right"/>
              <w:rPr>
                <w:rFonts w:ascii="Cambria" w:hAnsi="Cambria"/>
              </w:rPr>
            </w:pPr>
            <w:r>
              <w:rPr>
                <w:rFonts w:ascii="Cambria" w:hAnsi="Cambria" w:hint="eastAsia"/>
              </w:rPr>
              <w:t>-2.67%</w:t>
            </w:r>
          </w:p>
        </w:tc>
      </w:tr>
      <w:tr w:rsidR="006B6FB8" w:rsidTr="005610A1">
        <w:tc>
          <w:tcPr>
            <w:tcW w:w="1384" w:type="dxa"/>
            <w:vAlign w:val="center"/>
          </w:tcPr>
          <w:p w:rsidR="006B6FB8" w:rsidRPr="00FF1369" w:rsidRDefault="006B6FB8" w:rsidP="005610A1">
            <w:pPr>
              <w:rPr>
                <w:rFonts w:ascii="Cambria" w:hAnsi="Cambria"/>
              </w:rPr>
            </w:pPr>
            <w:r w:rsidRPr="00FF1369">
              <w:rPr>
                <w:rFonts w:ascii="Cambria" w:hAnsi="Cambria" w:hint="eastAsia"/>
              </w:rPr>
              <w:t>2023/3/1</w:t>
            </w:r>
          </w:p>
        </w:tc>
        <w:tc>
          <w:tcPr>
            <w:tcW w:w="1559" w:type="dxa"/>
            <w:vAlign w:val="center"/>
          </w:tcPr>
          <w:p w:rsidR="006B6FB8" w:rsidRPr="00FF1369" w:rsidRDefault="006B6FB8" w:rsidP="005610A1">
            <w:pPr>
              <w:jc w:val="right"/>
              <w:rPr>
                <w:rFonts w:ascii="Cambria" w:hAnsi="Cambria"/>
              </w:rPr>
            </w:pPr>
            <w:r w:rsidRPr="00FF1369">
              <w:rPr>
                <w:rFonts w:ascii="Cambria" w:hAnsi="Cambria" w:hint="eastAsia"/>
              </w:rPr>
              <w:t>207.46</w:t>
            </w:r>
          </w:p>
        </w:tc>
        <w:tc>
          <w:tcPr>
            <w:tcW w:w="2779" w:type="dxa"/>
          </w:tcPr>
          <w:p w:rsidR="006B6FB8" w:rsidRDefault="006B6FB8" w:rsidP="005610A1">
            <w:pPr>
              <w:jc w:val="right"/>
              <w:rPr>
                <w:rFonts w:ascii="Cambria" w:hAnsi="Cambria"/>
              </w:rPr>
            </w:pPr>
            <w:r>
              <w:rPr>
                <w:rFonts w:ascii="Cambria" w:hAnsi="Cambria" w:hint="eastAsia"/>
              </w:rPr>
              <w:t>228.11</w:t>
            </w:r>
          </w:p>
        </w:tc>
        <w:tc>
          <w:tcPr>
            <w:tcW w:w="2324" w:type="dxa"/>
          </w:tcPr>
          <w:p w:rsidR="006B6FB8" w:rsidRDefault="006B6FB8" w:rsidP="005610A1">
            <w:pPr>
              <w:jc w:val="right"/>
              <w:rPr>
                <w:rFonts w:ascii="Cambria" w:hAnsi="Cambria"/>
              </w:rPr>
            </w:pPr>
            <w:r>
              <w:rPr>
                <w:rFonts w:ascii="Cambria" w:hAnsi="Cambria" w:hint="eastAsia"/>
              </w:rPr>
              <w:t>-21.14%</w:t>
            </w:r>
          </w:p>
        </w:tc>
      </w:tr>
      <w:tr w:rsidR="006B6FB8" w:rsidTr="005610A1">
        <w:tc>
          <w:tcPr>
            <w:tcW w:w="1384" w:type="dxa"/>
            <w:vAlign w:val="center"/>
          </w:tcPr>
          <w:p w:rsidR="006B6FB8" w:rsidRPr="00FF1369" w:rsidRDefault="006B6FB8" w:rsidP="005610A1">
            <w:pPr>
              <w:rPr>
                <w:rFonts w:ascii="Cambria" w:hAnsi="Cambria"/>
              </w:rPr>
            </w:pPr>
            <w:r w:rsidRPr="00FF1369">
              <w:rPr>
                <w:rFonts w:ascii="Cambria" w:hAnsi="Cambria" w:hint="eastAsia"/>
              </w:rPr>
              <w:t>2022/3/1</w:t>
            </w:r>
          </w:p>
        </w:tc>
        <w:tc>
          <w:tcPr>
            <w:tcW w:w="1559" w:type="dxa"/>
            <w:vAlign w:val="center"/>
          </w:tcPr>
          <w:p w:rsidR="006B6FB8" w:rsidRPr="00FF1369" w:rsidRDefault="006B6FB8" w:rsidP="005610A1">
            <w:pPr>
              <w:jc w:val="right"/>
              <w:rPr>
                <w:rFonts w:ascii="Cambria" w:hAnsi="Cambria"/>
              </w:rPr>
            </w:pPr>
            <w:r w:rsidRPr="00FF1369">
              <w:rPr>
                <w:rFonts w:ascii="Cambria" w:hAnsi="Cambria" w:hint="eastAsia"/>
              </w:rPr>
              <w:t>359.2</w:t>
            </w:r>
            <w:r>
              <w:rPr>
                <w:rFonts w:ascii="Cambria" w:hAnsi="Cambria" w:hint="eastAsia"/>
              </w:rPr>
              <w:t>0</w:t>
            </w:r>
          </w:p>
        </w:tc>
        <w:tc>
          <w:tcPr>
            <w:tcW w:w="2779" w:type="dxa"/>
          </w:tcPr>
          <w:p w:rsidR="006B6FB8" w:rsidRDefault="006B6FB8" w:rsidP="005610A1">
            <w:pPr>
              <w:jc w:val="right"/>
              <w:rPr>
                <w:rFonts w:ascii="Cambria" w:hAnsi="Cambria"/>
              </w:rPr>
            </w:pPr>
            <w:r>
              <w:rPr>
                <w:rFonts w:ascii="Cambria" w:hAnsi="Cambria" w:hint="eastAsia"/>
              </w:rPr>
              <w:t>289.25</w:t>
            </w:r>
          </w:p>
        </w:tc>
        <w:tc>
          <w:tcPr>
            <w:tcW w:w="2324" w:type="dxa"/>
          </w:tcPr>
          <w:p w:rsidR="006B6FB8" w:rsidRDefault="006B6FB8" w:rsidP="005610A1">
            <w:pPr>
              <w:jc w:val="right"/>
              <w:rPr>
                <w:rFonts w:ascii="Cambria" w:hAnsi="Cambria"/>
              </w:rPr>
            </w:pPr>
            <w:r>
              <w:rPr>
                <w:rFonts w:ascii="Cambria" w:hAnsi="Cambria" w:hint="eastAsia"/>
              </w:rPr>
              <w:t>87.58%</w:t>
            </w:r>
          </w:p>
        </w:tc>
      </w:tr>
      <w:tr w:rsidR="006B6FB8" w:rsidTr="005610A1">
        <w:tc>
          <w:tcPr>
            <w:tcW w:w="1384" w:type="dxa"/>
            <w:vAlign w:val="center"/>
          </w:tcPr>
          <w:p w:rsidR="006B6FB8" w:rsidRPr="00FF1369" w:rsidRDefault="006B6FB8" w:rsidP="005610A1">
            <w:pPr>
              <w:rPr>
                <w:rFonts w:ascii="Cambria" w:hAnsi="Cambria"/>
              </w:rPr>
            </w:pPr>
            <w:r w:rsidRPr="00FF1369">
              <w:rPr>
                <w:rFonts w:ascii="Cambria" w:hAnsi="Cambria" w:hint="eastAsia"/>
              </w:rPr>
              <w:t>2021/3/1</w:t>
            </w:r>
          </w:p>
        </w:tc>
        <w:tc>
          <w:tcPr>
            <w:tcW w:w="1559" w:type="dxa"/>
            <w:vAlign w:val="center"/>
          </w:tcPr>
          <w:p w:rsidR="006B6FB8" w:rsidRPr="00FF1369" w:rsidRDefault="006B6FB8" w:rsidP="005610A1">
            <w:pPr>
              <w:jc w:val="right"/>
              <w:rPr>
                <w:rFonts w:ascii="Cambria" w:hAnsi="Cambria"/>
              </w:rPr>
            </w:pPr>
            <w:r w:rsidRPr="00FF1369">
              <w:rPr>
                <w:rFonts w:ascii="Cambria" w:hAnsi="Cambria" w:hint="eastAsia"/>
              </w:rPr>
              <w:t>222.6433</w:t>
            </w:r>
          </w:p>
        </w:tc>
        <w:tc>
          <w:tcPr>
            <w:tcW w:w="2779" w:type="dxa"/>
          </w:tcPr>
          <w:p w:rsidR="006B6FB8" w:rsidRDefault="006B6FB8" w:rsidP="005610A1">
            <w:pPr>
              <w:jc w:val="right"/>
              <w:rPr>
                <w:rFonts w:ascii="Cambria" w:hAnsi="Cambria"/>
              </w:rPr>
            </w:pPr>
            <w:r>
              <w:rPr>
                <w:rFonts w:ascii="Cambria" w:hAnsi="Cambria" w:hint="eastAsia"/>
              </w:rPr>
              <w:t>154.20</w:t>
            </w:r>
          </w:p>
        </w:tc>
        <w:tc>
          <w:tcPr>
            <w:tcW w:w="2324" w:type="dxa"/>
          </w:tcPr>
          <w:p w:rsidR="006B6FB8" w:rsidRDefault="006B6FB8" w:rsidP="005610A1">
            <w:pPr>
              <w:jc w:val="right"/>
              <w:rPr>
                <w:rFonts w:ascii="Cambria" w:hAnsi="Cambria"/>
              </w:rPr>
            </w:pPr>
            <w:r>
              <w:rPr>
                <w:rFonts w:ascii="Cambria" w:hAnsi="Cambria" w:hint="eastAsia"/>
              </w:rPr>
              <w:t>551.46%</w:t>
            </w:r>
          </w:p>
        </w:tc>
      </w:tr>
      <w:tr w:rsidR="006B6FB8" w:rsidTr="005610A1">
        <w:tc>
          <w:tcPr>
            <w:tcW w:w="1384" w:type="dxa"/>
            <w:vAlign w:val="center"/>
          </w:tcPr>
          <w:p w:rsidR="006B6FB8" w:rsidRPr="00FF1369" w:rsidRDefault="006B6FB8" w:rsidP="005610A1">
            <w:pPr>
              <w:rPr>
                <w:rFonts w:ascii="Cambria" w:hAnsi="Cambria"/>
              </w:rPr>
            </w:pPr>
            <w:r w:rsidRPr="00FF1369">
              <w:rPr>
                <w:rFonts w:ascii="Cambria" w:hAnsi="Cambria" w:hint="eastAsia"/>
              </w:rPr>
              <w:t>2020/3/1</w:t>
            </w:r>
          </w:p>
        </w:tc>
        <w:tc>
          <w:tcPr>
            <w:tcW w:w="1559" w:type="dxa"/>
            <w:vAlign w:val="center"/>
          </w:tcPr>
          <w:p w:rsidR="006B6FB8" w:rsidRPr="00FF1369" w:rsidRDefault="006B6FB8" w:rsidP="005610A1">
            <w:pPr>
              <w:jc w:val="right"/>
              <w:rPr>
                <w:rFonts w:ascii="Cambria" w:hAnsi="Cambria"/>
              </w:rPr>
            </w:pPr>
            <w:r w:rsidRPr="00FF1369">
              <w:rPr>
                <w:rFonts w:ascii="Cambria" w:hAnsi="Cambria" w:hint="eastAsia"/>
              </w:rPr>
              <w:t>34.93333</w:t>
            </w:r>
          </w:p>
        </w:tc>
        <w:tc>
          <w:tcPr>
            <w:tcW w:w="2779" w:type="dxa"/>
          </w:tcPr>
          <w:p w:rsidR="006B6FB8" w:rsidRDefault="006B6FB8" w:rsidP="005610A1">
            <w:pPr>
              <w:jc w:val="right"/>
              <w:rPr>
                <w:rFonts w:ascii="Cambria" w:hAnsi="Cambria"/>
              </w:rPr>
            </w:pPr>
            <w:r>
              <w:rPr>
                <w:rFonts w:ascii="Cambria" w:hAnsi="Cambria" w:hint="eastAsia"/>
              </w:rPr>
              <w:t>23.67</w:t>
            </w:r>
          </w:p>
        </w:tc>
        <w:tc>
          <w:tcPr>
            <w:tcW w:w="2324" w:type="dxa"/>
          </w:tcPr>
          <w:p w:rsidR="006B6FB8" w:rsidRDefault="006B6FB8" w:rsidP="005610A1">
            <w:pPr>
              <w:jc w:val="right"/>
              <w:rPr>
                <w:rFonts w:ascii="Cambria" w:hAnsi="Cambria"/>
              </w:rPr>
            </w:pPr>
            <w:r>
              <w:rPr>
                <w:rFonts w:ascii="Cambria" w:hAnsi="Cambria" w:hint="eastAsia"/>
              </w:rPr>
              <w:t>14.73%</w:t>
            </w:r>
          </w:p>
        </w:tc>
      </w:tr>
    </w:tbl>
    <w:p w:rsidR="006B6FB8" w:rsidRPr="00FF1369" w:rsidRDefault="006B6FB8" w:rsidP="006B6FB8">
      <w:pPr>
        <w:rPr>
          <w:rFonts w:ascii="Cambria" w:hAnsi="Cambria"/>
        </w:rPr>
      </w:pPr>
      <w:r>
        <w:rPr>
          <w:rFonts w:ascii="Cambria" w:hAnsi="Cambria" w:hint="eastAsia"/>
        </w:rPr>
        <w:t xml:space="preserve">Source: (Yahoo Finance, </w:t>
      </w:r>
      <w:proofErr w:type="spellStart"/>
      <w:r>
        <w:rPr>
          <w:rFonts w:ascii="Cambria" w:hAnsi="Cambria" w:hint="eastAsia"/>
        </w:rPr>
        <w:t>n.d</w:t>
      </w:r>
      <w:proofErr w:type="spellEnd"/>
      <w:r>
        <w:rPr>
          <w:rFonts w:ascii="Cambria" w:hAnsi="Cambria" w:hint="eastAsia"/>
        </w:rPr>
        <w:t>.)</w:t>
      </w:r>
    </w:p>
    <w:p w:rsidR="006B6FB8" w:rsidRDefault="006B6FB8" w:rsidP="006B6FB8">
      <w:pPr>
        <w:rPr>
          <w:rFonts w:hint="eastAsia"/>
        </w:rPr>
      </w:pPr>
    </w:p>
    <w:p w:rsidR="006B6FB8" w:rsidRPr="006B6FB8" w:rsidRDefault="006B6FB8" w:rsidP="006B6FB8">
      <w:pPr>
        <w:rPr>
          <w:rFonts w:hint="eastAsia"/>
          <w:b/>
        </w:rPr>
      </w:pPr>
      <w:r w:rsidRPr="006B6FB8">
        <w:rPr>
          <w:rFonts w:hint="eastAsia"/>
          <w:b/>
        </w:rPr>
        <w:t>Reference</w:t>
      </w:r>
    </w:p>
    <w:p w:rsidR="006B6FB8" w:rsidRDefault="006B6FB8" w:rsidP="006B6FB8">
      <w:proofErr w:type="spellStart"/>
      <w:r>
        <w:t>Weetman</w:t>
      </w:r>
      <w:proofErr w:type="spellEnd"/>
      <w:r>
        <w:t xml:space="preserve">, P. (2013). Financial and management </w:t>
      </w:r>
      <w:proofErr w:type="gramStart"/>
      <w:r>
        <w:t>accounting :</w:t>
      </w:r>
      <w:proofErr w:type="gramEnd"/>
      <w:r>
        <w:t xml:space="preserve"> an introduction. 6th ed. </w:t>
      </w:r>
      <w:proofErr w:type="spellStart"/>
      <w:r>
        <w:t>Erscheinungsort</w:t>
      </w:r>
      <w:proofErr w:type="spellEnd"/>
      <w:r>
        <w:t xml:space="preserve"> </w:t>
      </w:r>
      <w:proofErr w:type="spellStart"/>
      <w:r>
        <w:t>Nicht</w:t>
      </w:r>
      <w:proofErr w:type="spellEnd"/>
      <w:r>
        <w:t xml:space="preserve"> </w:t>
      </w:r>
      <w:proofErr w:type="spellStart"/>
      <w:r>
        <w:t>Ermittelbar</w:t>
      </w:r>
      <w:proofErr w:type="spellEnd"/>
      <w:r>
        <w:t xml:space="preserve">: </w:t>
      </w:r>
      <w:proofErr w:type="spellStart"/>
      <w:r>
        <w:t>Verlag</w:t>
      </w:r>
      <w:proofErr w:type="spellEnd"/>
      <w:r>
        <w:t xml:space="preserve"> </w:t>
      </w:r>
      <w:proofErr w:type="spellStart"/>
      <w:r>
        <w:t>Nicht</w:t>
      </w:r>
      <w:proofErr w:type="spellEnd"/>
      <w:r>
        <w:t xml:space="preserve"> </w:t>
      </w:r>
      <w:proofErr w:type="spellStart"/>
      <w:r>
        <w:t>Ermittelbar</w:t>
      </w:r>
      <w:proofErr w:type="spellEnd"/>
      <w:r>
        <w:t>, p.351.</w:t>
      </w:r>
    </w:p>
    <w:p w:rsidR="006B6FB8" w:rsidRDefault="006B6FB8" w:rsidP="006B6FB8">
      <w:pPr>
        <w:rPr>
          <w:rFonts w:hint="eastAsia"/>
        </w:rPr>
      </w:pPr>
      <w:proofErr w:type="spellStart"/>
      <w:proofErr w:type="gramStart"/>
      <w:r>
        <w:t>Atrill</w:t>
      </w:r>
      <w:proofErr w:type="spellEnd"/>
      <w:r>
        <w:t xml:space="preserve">, P. and </w:t>
      </w:r>
      <w:proofErr w:type="spellStart"/>
      <w:r>
        <w:t>Mclaney</w:t>
      </w:r>
      <w:proofErr w:type="spellEnd"/>
      <w:r>
        <w:t>, E. (2018).</w:t>
      </w:r>
      <w:proofErr w:type="gramEnd"/>
      <w:r>
        <w:t xml:space="preserve"> Accounting and Finance for Non-Specialists. 11th ed. Harlow: Pearson, pp.216–217.</w:t>
      </w:r>
    </w:p>
    <w:p w:rsidR="006B6FB8" w:rsidRDefault="006B6FB8" w:rsidP="006B6FB8">
      <w:pPr>
        <w:rPr>
          <w:rFonts w:hint="eastAsia"/>
        </w:rPr>
      </w:pPr>
      <w:proofErr w:type="spellStart"/>
      <w:r>
        <w:t>Atrill</w:t>
      </w:r>
      <w:proofErr w:type="spellEnd"/>
      <w:r>
        <w:t xml:space="preserve">, P. and </w:t>
      </w:r>
      <w:proofErr w:type="spellStart"/>
      <w:r>
        <w:t>Mclaney</w:t>
      </w:r>
      <w:proofErr w:type="spellEnd"/>
      <w:r>
        <w:t>, E. (2018). Accounting and Finance for Non-Specialists. 11th ed. Harlow: Pearson, pp.217–218.</w:t>
      </w:r>
    </w:p>
    <w:p w:rsidR="006B6FB8" w:rsidRDefault="006B6FB8" w:rsidP="006B6FB8">
      <w:pPr>
        <w:rPr>
          <w:rFonts w:hint="eastAsia"/>
        </w:rPr>
      </w:pPr>
      <w:proofErr w:type="gramStart"/>
      <w:r>
        <w:t>Team, C. (2020).</w:t>
      </w:r>
      <w:proofErr w:type="gramEnd"/>
      <w:r>
        <w:t xml:space="preserve"> </w:t>
      </w:r>
      <w:proofErr w:type="gramStart"/>
      <w:r>
        <w:t>Cash Ratio.</w:t>
      </w:r>
      <w:proofErr w:type="gramEnd"/>
      <w:r>
        <w:t xml:space="preserve"> [</w:t>
      </w:r>
      <w:proofErr w:type="gramStart"/>
      <w:r>
        <w:t>online</w:t>
      </w:r>
      <w:proofErr w:type="gramEnd"/>
      <w:r>
        <w:t xml:space="preserve">] </w:t>
      </w:r>
      <w:proofErr w:type="gramStart"/>
      <w:r>
        <w:t>Corporate Finance Institute.</w:t>
      </w:r>
      <w:proofErr w:type="gramEnd"/>
      <w:r>
        <w:t xml:space="preserve"> Available at: https://corporatefinanceinstitute.com/resources/accounting/cash-ratio-formula/ [Accessed 28 Mar. 2024].</w:t>
      </w:r>
    </w:p>
    <w:p w:rsidR="006B6FB8" w:rsidRPr="006B6FB8" w:rsidRDefault="006B6FB8" w:rsidP="006B6FB8">
      <w:proofErr w:type="spellStart"/>
      <w:proofErr w:type="gramStart"/>
      <w:r w:rsidRPr="006B6FB8">
        <w:t>Atrill</w:t>
      </w:r>
      <w:proofErr w:type="spellEnd"/>
      <w:r w:rsidRPr="006B6FB8">
        <w:t xml:space="preserve">, P. and </w:t>
      </w:r>
      <w:proofErr w:type="spellStart"/>
      <w:r w:rsidRPr="006B6FB8">
        <w:t>Mclaney</w:t>
      </w:r>
      <w:proofErr w:type="spellEnd"/>
      <w:r w:rsidRPr="006B6FB8">
        <w:t>, E. (2016).</w:t>
      </w:r>
      <w:proofErr w:type="gramEnd"/>
      <w:r w:rsidRPr="006B6FB8">
        <w:t xml:space="preserve"> </w:t>
      </w:r>
      <w:proofErr w:type="gramStart"/>
      <w:r w:rsidRPr="006B6FB8">
        <w:t>Financial accounting for decision makers.</w:t>
      </w:r>
      <w:proofErr w:type="gramEnd"/>
      <w:r w:rsidRPr="006B6FB8">
        <w:t xml:space="preserve"> Harlow: Pearson Education Limited, p.264.</w:t>
      </w:r>
    </w:p>
    <w:p w:rsidR="006B6FB8" w:rsidRDefault="006B6FB8" w:rsidP="006B6FB8">
      <w:pPr>
        <w:rPr>
          <w:rFonts w:hint="eastAsia"/>
        </w:rPr>
      </w:pPr>
      <w:proofErr w:type="gramStart"/>
      <w:r>
        <w:t>Team, C. (2020).</w:t>
      </w:r>
      <w:proofErr w:type="gramEnd"/>
      <w:r>
        <w:t xml:space="preserve"> </w:t>
      </w:r>
      <w:proofErr w:type="gramStart"/>
      <w:r>
        <w:t>Cash Ratio.</w:t>
      </w:r>
      <w:proofErr w:type="gramEnd"/>
      <w:r>
        <w:t xml:space="preserve"> [</w:t>
      </w:r>
      <w:proofErr w:type="gramStart"/>
      <w:r>
        <w:t>online</w:t>
      </w:r>
      <w:proofErr w:type="gramEnd"/>
      <w:r>
        <w:t xml:space="preserve">] </w:t>
      </w:r>
      <w:proofErr w:type="gramStart"/>
      <w:r>
        <w:t>Corporate Finance Institute.</w:t>
      </w:r>
      <w:proofErr w:type="gramEnd"/>
      <w:r>
        <w:t xml:space="preserve"> Available at: https://corporatefinanceinstitute.com/resources/accounting/cash-ratio-formula/ [Accessed 28 Mar. 2024].</w:t>
      </w:r>
    </w:p>
    <w:p w:rsidR="006B6FB8" w:rsidRPr="006B6FB8" w:rsidRDefault="006B6FB8" w:rsidP="006B6FB8">
      <w:r>
        <w:t xml:space="preserve">Fields, E. (2016). </w:t>
      </w:r>
      <w:proofErr w:type="gramStart"/>
      <w:r>
        <w:t>The Essentials of Finance and Accounting for Nonfinancial Managers.</w:t>
      </w:r>
      <w:proofErr w:type="gramEnd"/>
      <w:r>
        <w:t xml:space="preserve"> 3rd </w:t>
      </w:r>
      <w:proofErr w:type="gramStart"/>
      <w:r>
        <w:t>ed</w:t>
      </w:r>
      <w:proofErr w:type="gramEnd"/>
      <w:r>
        <w:t>. New York: American Management Association, p.136.</w:t>
      </w:r>
    </w:p>
    <w:sectPr w:rsidR="006B6FB8" w:rsidRPr="006B6FB8" w:rsidSect="00587600">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4E5DFD"/>
    <w:rsid w:val="00027FA4"/>
    <w:rsid w:val="001D4766"/>
    <w:rsid w:val="00254FCD"/>
    <w:rsid w:val="004E5DFD"/>
    <w:rsid w:val="00570AA7"/>
    <w:rsid w:val="00587600"/>
    <w:rsid w:val="006B6FB8"/>
    <w:rsid w:val="00941800"/>
    <w:rsid w:val="00B34D1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E5DFD"/>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4E5DFD"/>
    <w:pPr>
      <w:widowControl/>
      <w:spacing w:before="100" w:beforeAutospacing="1" w:after="100" w:afterAutospacing="1"/>
      <w:jc w:val="left"/>
    </w:pPr>
    <w:rPr>
      <w:rFonts w:ascii="宋体" w:eastAsia="宋体" w:hAnsi="宋体" w:cs="宋体"/>
      <w:kern w:val="0"/>
      <w:sz w:val="24"/>
      <w:szCs w:val="24"/>
    </w:rPr>
  </w:style>
  <w:style w:type="table" w:styleId="a4">
    <w:name w:val="Table Grid"/>
    <w:basedOn w:val="a1"/>
    <w:uiPriority w:val="59"/>
    <w:rsid w:val="006B6FB8"/>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2300</Words>
  <Characters>13113</Characters>
  <Application>Microsoft Office Word</Application>
  <DocSecurity>0</DocSecurity>
  <Lines>109</Lines>
  <Paragraphs>30</Paragraphs>
  <ScaleCrop>false</ScaleCrop>
  <Company/>
  <LinksUpToDate>false</LinksUpToDate>
  <CharactersWithSpaces>15383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Jie L</dc:creator>
  <cp:lastModifiedBy>Jie L</cp:lastModifiedBy>
  <cp:revision>1</cp:revision>
  <dcterms:created xsi:type="dcterms:W3CDTF">2024-03-28T17:19:00Z</dcterms:created>
  <dcterms:modified xsi:type="dcterms:W3CDTF">2024-03-28T17:38:00Z</dcterms:modified>
</cp:coreProperties>
</file>