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B9228E" w:rsidRPr="00B9228E" w:rsidRDefault="00B9228E" w:rsidP="00B9228E">
      <w:pPr>
        <w:rPr>
          <w:color w:val="AEAAAA" w:themeColor="background2" w:themeShade="BF"/>
          <w:sz w:val="18"/>
          <w:szCs w:val="18"/>
        </w:rPr>
      </w:pPr>
      <w:r>
        <w:rPr>
          <w:color w:val="AEAAAA" w:themeColor="background2" w:themeShade="BF"/>
          <w:sz w:val="18"/>
          <w:szCs w:val="18"/>
        </w:rPr>
        <w:t>Hoffman 1501219</w:t>
      </w:r>
    </w:p>
    <w:p w:rsidR="00F844AC" w:rsidRDefault="00ED2A71" w:rsidP="00ED2A71">
      <w:pPr>
        <w:jc w:val="center"/>
        <w:rPr>
          <w:u w:val="single"/>
        </w:rPr>
      </w:pPr>
      <w:r>
        <w:rPr>
          <w:u w:val="single"/>
        </w:rPr>
        <w:t>How significant were the effects of the black death on medieval religion and cu</w:t>
      </w:r>
      <w:r w:rsidR="00B9228E">
        <w:rPr>
          <w:u w:val="single"/>
        </w:rPr>
        <w:t>l</w:t>
      </w:r>
      <w:r>
        <w:rPr>
          <w:u w:val="single"/>
        </w:rPr>
        <w:t>ture?</w:t>
      </w:r>
    </w:p>
    <w:p w:rsidR="00E518DD" w:rsidRDefault="00E518DD" w:rsidP="008E192E">
      <w:pPr>
        <w:spacing w:line="480" w:lineRule="auto"/>
        <w:jc w:val="both"/>
      </w:pPr>
    </w:p>
    <w:p w:rsidR="002200A4" w:rsidRDefault="00641651" w:rsidP="00A52C41">
      <w:pPr>
        <w:spacing w:line="480" w:lineRule="auto"/>
        <w:jc w:val="both"/>
      </w:pPr>
      <w:r>
        <w:t xml:space="preserve">From the mid-fourteenth </w:t>
      </w:r>
      <w:r w:rsidR="001C568D">
        <w:t>century,</w:t>
      </w:r>
      <w:r w:rsidR="00883560">
        <w:t xml:space="preserve"> a series of catastrophic plagues swept Christendom</w:t>
      </w:r>
      <w:r>
        <w:rPr>
          <w:rStyle w:val="FootnoteReference"/>
        </w:rPr>
        <w:footnoteReference w:id="1"/>
      </w:r>
      <w:r w:rsidR="00883560">
        <w:t xml:space="preserve">. Although estimates vary it has been suggested that </w:t>
      </w:r>
      <w:r>
        <w:t xml:space="preserve">the lives </w:t>
      </w:r>
      <w:r w:rsidR="00883560">
        <w:t xml:space="preserve">up to two thirds of </w:t>
      </w:r>
      <w:r>
        <w:t>E</w:t>
      </w:r>
      <w:r w:rsidR="00883560">
        <w:t>urope</w:t>
      </w:r>
      <w:r>
        <w:t>’</w:t>
      </w:r>
      <w:r w:rsidR="00883560">
        <w:t>s population</w:t>
      </w:r>
      <w:r>
        <w:t xml:space="preserve"> were taken in the pestilence.</w:t>
      </w:r>
      <w:r w:rsidR="00FA0DDF">
        <w:t xml:space="preserve"> To make matters exponentially worse, the fact that the </w:t>
      </w:r>
      <w:r w:rsidR="001C568D">
        <w:t>wave of</w:t>
      </w:r>
      <w:r w:rsidR="00FA0DDF">
        <w:t xml:space="preserve"> plagues </w:t>
      </w:r>
      <w:r w:rsidR="001C568D">
        <w:t>continued over</w:t>
      </w:r>
      <w:r w:rsidR="00FA0DDF">
        <w:t xml:space="preserve"> a period of half a century prevented both the population and the culture from facilitating a swift recovery</w:t>
      </w:r>
      <w:r w:rsidR="00FA0DDF">
        <w:rPr>
          <w:rStyle w:val="FootnoteReference"/>
        </w:rPr>
        <w:footnoteReference w:id="2"/>
      </w:r>
      <w:r w:rsidR="00FA0DDF">
        <w:t>.</w:t>
      </w:r>
      <w:r>
        <w:t xml:space="preserve">There is no doubt that a catastrophe </w:t>
      </w:r>
      <w:r w:rsidR="007B7B21">
        <w:t>on such a scale would have had an impact on many facets of medieval culture. In fact, almost a century after the first wave of plague, the founding documents of King’s College, Cambridge, refer to the necessity of restoration in a society still weakened by the ravages of the Black Death</w:t>
      </w:r>
      <w:r w:rsidR="007B7B21">
        <w:rPr>
          <w:rStyle w:val="FootnoteReference"/>
        </w:rPr>
        <w:footnoteReference w:id="3"/>
      </w:r>
      <w:r w:rsidR="007B7B21">
        <w:t xml:space="preserve">.  </w:t>
      </w:r>
      <w:r w:rsidR="00FA0DDF">
        <w:t>T</w:t>
      </w:r>
      <w:r w:rsidR="007B7B21">
        <w:t>he mortality was so great that</w:t>
      </w:r>
      <w:r w:rsidR="00FA0DDF">
        <w:t>,</w:t>
      </w:r>
      <w:r w:rsidR="007B7B21">
        <w:t xml:space="preserve"> eventually</w:t>
      </w:r>
      <w:r w:rsidR="00FA0DDF">
        <w:t>, as a direct result of the Black Death,</w:t>
      </w:r>
      <w:r w:rsidR="007B7B21">
        <w:t xml:space="preserve"> plague victims were </w:t>
      </w:r>
      <w:r w:rsidR="00FA0DDF">
        <w:t>granted a remission of sins</w:t>
      </w:r>
      <w:r w:rsidR="00FA0DDF">
        <w:rPr>
          <w:rStyle w:val="FootnoteReference"/>
        </w:rPr>
        <w:footnoteReference w:id="4"/>
      </w:r>
      <w:r w:rsidR="00FA0DDF">
        <w:t xml:space="preserve">. This action is demonstrative of the doctrinal concessions that the Roman church was forced to make in the face of such a </w:t>
      </w:r>
      <w:r w:rsidR="001C568D">
        <w:t>catastrophe</w:t>
      </w:r>
      <w:r w:rsidR="00FA0DDF">
        <w:t xml:space="preserve">. This essay will explore the impact that the Black Death had on </w:t>
      </w:r>
      <w:r w:rsidR="001C568D">
        <w:t>the theology, church and social structures of the later medieval period, with a specific focus on the concepts and practices surrounding death, dying and the afterlife.</w:t>
      </w:r>
    </w:p>
    <w:p w:rsidR="00E518DD" w:rsidRDefault="00E518DD" w:rsidP="008E192E">
      <w:pPr>
        <w:spacing w:line="480" w:lineRule="auto"/>
        <w:jc w:val="both"/>
        <w:rPr>
          <w:b/>
        </w:rPr>
      </w:pPr>
    </w:p>
    <w:p w:rsidR="001C568D" w:rsidRDefault="001C568D" w:rsidP="001C568D">
      <w:pPr>
        <w:spacing w:line="480" w:lineRule="auto"/>
        <w:jc w:val="both"/>
      </w:pPr>
      <w:r>
        <w:t xml:space="preserve">Before delving deeper into the diversity of attitudes towards the Black Death and </w:t>
      </w:r>
      <w:r w:rsidR="00163324">
        <w:t>its</w:t>
      </w:r>
      <w:r>
        <w:t xml:space="preserve"> effects, it is necessary for greater clarity to begin by defining what is meant by the key terms of the essay and, additionally, by laying down a few caveats regarding the academic discourse on the subject. For the purposes of this essay the phrase </w:t>
      </w:r>
      <w:r w:rsidR="00163324">
        <w:t>‘</w:t>
      </w:r>
      <w:r>
        <w:t>Black Death</w:t>
      </w:r>
      <w:r w:rsidR="00163324">
        <w:t>’</w:t>
      </w:r>
      <w:r>
        <w:t xml:space="preserve"> will refer to the period of pestilence from the mid</w:t>
      </w:r>
      <w:r w:rsidR="00163324">
        <w:t>-</w:t>
      </w:r>
      <w:r w:rsidR="00163324">
        <w:lastRenderedPageBreak/>
        <w:t>fourteenth</w:t>
      </w:r>
      <w:r>
        <w:t xml:space="preserve"> century to the early </w:t>
      </w:r>
      <w:r w:rsidR="00163324">
        <w:t>fifteenth</w:t>
      </w:r>
      <w:r>
        <w:t xml:space="preserve"> century</w:t>
      </w:r>
      <w:r>
        <w:rPr>
          <w:rStyle w:val="FootnoteReference"/>
        </w:rPr>
        <w:footnoteReference w:id="5"/>
      </w:r>
      <w:r>
        <w:t>, if it is required to be more specific</w:t>
      </w:r>
      <w:r w:rsidR="00163324">
        <w:t>,</w:t>
      </w:r>
      <w:r>
        <w:t xml:space="preserve"> the outbreak will be referred to by year. Further</w:t>
      </w:r>
      <w:r w:rsidR="00163324">
        <w:t xml:space="preserve"> unless otherwise specified, ‘the church’ will refer to the institution of the church of Rome, any other sects will be described as ‘eastern’, ‘protestant’ and ‘reforming’, for example.</w:t>
      </w:r>
    </w:p>
    <w:p w:rsidR="001C568D" w:rsidRDefault="001C568D" w:rsidP="008E192E">
      <w:pPr>
        <w:spacing w:line="480" w:lineRule="auto"/>
        <w:jc w:val="both"/>
      </w:pPr>
    </w:p>
    <w:p w:rsidR="00DE77E2" w:rsidRDefault="00E518DD" w:rsidP="00E518DD">
      <w:pPr>
        <w:spacing w:line="480" w:lineRule="auto"/>
        <w:jc w:val="both"/>
      </w:pPr>
      <w:r>
        <w:t xml:space="preserve">Prevailing academic discourse in the twentieth century, </w:t>
      </w:r>
      <w:r w:rsidR="00163324">
        <w:t>led</w:t>
      </w:r>
      <w:r>
        <w:t xml:space="preserve"> by the likes of medieval economists Eileen Power and Michael Postan, suggested that the plague had only a minor impact in the changes of the fourteenth and fifteenth </w:t>
      </w:r>
      <w:r w:rsidR="000A1BB1">
        <w:t>centuries</w:t>
      </w:r>
      <w:r w:rsidR="00163324">
        <w:rPr>
          <w:rStyle w:val="FootnoteReference"/>
        </w:rPr>
        <w:footnoteReference w:id="6"/>
      </w:r>
      <w:r>
        <w:t>. They cited manorial records that did not ostensibly demonstrate the cataclysmic decline that previous interpretations of the black death had suggested</w:t>
      </w:r>
      <w:r w:rsidR="00163324">
        <w:rPr>
          <w:rStyle w:val="FootnoteReference"/>
        </w:rPr>
        <w:footnoteReference w:id="7"/>
      </w:r>
      <w:r w:rsidR="000A1BB1">
        <w:t>. While the questioning accepted attitudes is indubitably crucial to the dissemination of quality research it could be contested that</w:t>
      </w:r>
      <w:r w:rsidR="00DE77E2">
        <w:t>,</w:t>
      </w:r>
      <w:r w:rsidR="000A1BB1">
        <w:t xml:space="preserve"> while the records might point towards a diminished view of the catastrophe of plague, </w:t>
      </w:r>
      <w:r w:rsidR="00DE77E2">
        <w:t>the voices of the period that lament the disastrous nature of the Black Death are equally significant sources. This essay, consequently, will draw chiefly from the written accounts and aesthetic culture of the period to explore the aftermath of the pestilence.</w:t>
      </w:r>
    </w:p>
    <w:p w:rsidR="009D5259" w:rsidRDefault="009D5259" w:rsidP="00E518DD">
      <w:pPr>
        <w:spacing w:line="480" w:lineRule="auto"/>
        <w:jc w:val="both"/>
      </w:pPr>
    </w:p>
    <w:p w:rsidR="00E518DD" w:rsidRDefault="00884048" w:rsidP="00E518DD">
      <w:pPr>
        <w:spacing w:line="480" w:lineRule="auto"/>
        <w:jc w:val="both"/>
      </w:pPr>
      <w:r>
        <w:t>Some scholars have criticised</w:t>
      </w:r>
      <w:r w:rsidR="00E518DD">
        <w:t xml:space="preserve"> the notion of a ‘simple linear progression from medieval to modern’</w:t>
      </w:r>
      <w:r>
        <w:rPr>
          <w:rStyle w:val="FootnoteReference"/>
        </w:rPr>
        <w:footnoteReference w:id="8"/>
      </w:r>
      <w:r w:rsidR="00E518DD">
        <w:t xml:space="preserve"> and suggests that customs of death and burial in the medieval period should be considered as evidences of a complex society instead</w:t>
      </w:r>
      <w:r>
        <w:rPr>
          <w:rStyle w:val="FootnoteReference"/>
        </w:rPr>
        <w:footnoteReference w:id="9"/>
      </w:r>
      <w:r w:rsidR="00E518DD">
        <w:t xml:space="preserve">. It is important to be mindful of this concept when questions of </w:t>
      </w:r>
      <w:r>
        <w:t>‘cause</w:t>
      </w:r>
      <w:r w:rsidR="00E518DD">
        <w:t xml:space="preserve">’ ‘change’ and ‘aftermath’ are being formed. </w:t>
      </w:r>
      <w:r w:rsidR="007B353E">
        <w:t xml:space="preserve"> </w:t>
      </w:r>
      <w:r w:rsidR="00E518DD">
        <w:t xml:space="preserve">This essay will endeavour to consider the </w:t>
      </w:r>
      <w:r>
        <w:t>subtleties</w:t>
      </w:r>
      <w:r w:rsidR="00E518DD">
        <w:t xml:space="preserve"> of the dialogue of the period in the conclusions that are drawn</w:t>
      </w:r>
      <w:r>
        <w:t>.</w:t>
      </w:r>
    </w:p>
    <w:p w:rsidR="007F2A0A" w:rsidRDefault="007F2A0A" w:rsidP="00176729">
      <w:pPr>
        <w:spacing w:line="480" w:lineRule="auto"/>
        <w:jc w:val="both"/>
      </w:pPr>
    </w:p>
    <w:p w:rsidR="00176729" w:rsidRDefault="00BB1A39" w:rsidP="00176729">
      <w:pPr>
        <w:spacing w:line="480" w:lineRule="auto"/>
        <w:jc w:val="both"/>
      </w:pPr>
      <w:r>
        <w:t>It is not unreasonable to suggest that</w:t>
      </w:r>
      <w:r w:rsidR="00176729">
        <w:t xml:space="preserve"> death toll of the plague lead to an increased concern regarding the mechanics of the afterlife and theology grew to reflect this. The theology of purgatory, which had been growing in popularity for some time</w:t>
      </w:r>
      <w:r w:rsidR="00176729">
        <w:rPr>
          <w:rStyle w:val="FootnoteReference"/>
        </w:rPr>
        <w:footnoteReference w:id="10"/>
      </w:r>
      <w:r w:rsidR="00176729">
        <w:t>,</w:t>
      </w:r>
      <w:r>
        <w:t xml:space="preserve"> </w:t>
      </w:r>
      <w:r w:rsidR="00265510">
        <w:t>necessitated</w:t>
      </w:r>
      <w:r>
        <w:t xml:space="preserve"> frequent intercession for the living on the behalf of the dead in order that their time of purgation might be </w:t>
      </w:r>
      <w:r w:rsidR="00265510">
        <w:t>lessened</w:t>
      </w:r>
      <w:r>
        <w:t xml:space="preserve">. </w:t>
      </w:r>
      <w:r w:rsidR="00265510">
        <w:t>O</w:t>
      </w:r>
      <w:r>
        <w:t xml:space="preserve">ne </w:t>
      </w:r>
      <w:r w:rsidR="00265510">
        <w:t>critical consequence of this</w:t>
      </w:r>
      <w:r>
        <w:t xml:space="preserve"> was the growth in the number of chantries and the associated increase in prayers</w:t>
      </w:r>
      <w:r w:rsidR="00265510">
        <w:rPr>
          <w:rStyle w:val="FootnoteReference"/>
        </w:rPr>
        <w:footnoteReference w:id="11"/>
      </w:r>
      <w:r w:rsidR="00265510">
        <w:t>. Therefore,</w:t>
      </w:r>
      <w:r w:rsidR="00D16045">
        <w:t xml:space="preserve"> </w:t>
      </w:r>
      <w:r w:rsidR="00265510">
        <w:t>t</w:t>
      </w:r>
      <w:r w:rsidR="00176729">
        <w:t>he doctrines of good deeds in life ‘offsetting’</w:t>
      </w:r>
      <w:r w:rsidR="00265510">
        <w:t xml:space="preserve"> divine</w:t>
      </w:r>
      <w:r w:rsidR="00176729">
        <w:t xml:space="preserve"> retribution in the afterlife would have been hugely upset by the frequent premature and sudden deaths that the plague caused. Consequently, reliance on post funerary practices for the deceased grew in necessity.  This served to strengthen the spiritual and physical function of the church.</w:t>
      </w:r>
      <w:r w:rsidR="00E03F61">
        <w:t xml:space="preserve"> </w:t>
      </w:r>
    </w:p>
    <w:p w:rsidR="00265510" w:rsidRDefault="00265510" w:rsidP="00176729">
      <w:pPr>
        <w:spacing w:line="480" w:lineRule="auto"/>
        <w:jc w:val="both"/>
      </w:pPr>
    </w:p>
    <w:p w:rsidR="00E03F61" w:rsidRDefault="00265510" w:rsidP="00176729">
      <w:pPr>
        <w:spacing w:line="480" w:lineRule="auto"/>
        <w:jc w:val="both"/>
      </w:pPr>
      <w:r>
        <w:t xml:space="preserve">It was not merely the </w:t>
      </w:r>
      <w:r w:rsidR="00E03F61">
        <w:t xml:space="preserve">religious that influenced the rise in chantries. It has been suggested that </w:t>
      </w:r>
      <w:r w:rsidR="00AA3BCC">
        <w:t xml:space="preserve">due to the declining population </w:t>
      </w:r>
      <w:r w:rsidR="00E03F61">
        <w:t xml:space="preserve">‘money was </w:t>
      </w:r>
      <w:r w:rsidR="00AA3BCC">
        <w:t>concentrated</w:t>
      </w:r>
      <w:r w:rsidR="00E03F61">
        <w:t xml:space="preserve"> in fewer hands, through inheritance and other means. Much of this increased spending power seems to have been devoted to various forms of late medieval piety, </w:t>
      </w:r>
      <w:proofErr w:type="gramStart"/>
      <w:r w:rsidR="00E03F61">
        <w:t>in particular the</w:t>
      </w:r>
      <w:proofErr w:type="gramEnd"/>
      <w:r w:rsidR="00E03F61">
        <w:t xml:space="preserve"> endowment of chantries throughout England</w:t>
      </w:r>
      <w:r w:rsidR="00AA3BCC">
        <w:rPr>
          <w:rStyle w:val="FootnoteReference"/>
        </w:rPr>
        <w:footnoteReference w:id="12"/>
      </w:r>
      <w:r w:rsidR="00E03F61">
        <w:t>’</w:t>
      </w:r>
      <w:r w:rsidR="00AA3BCC">
        <w:t>. That the surplus of money was spent on institutions that offered no physical or monetary benefit is a testament to the level of devotion in the populace during and after the Black Death. Further, it is evidence of a genuine belief in the Christian afterlife a</w:t>
      </w:r>
      <w:r w:rsidR="00380658">
        <w:t xml:space="preserve">s being more than a communal formality </w:t>
      </w:r>
      <w:r w:rsidR="00AA3BCC">
        <w:t xml:space="preserve">and </w:t>
      </w:r>
      <w:r w:rsidR="00380658">
        <w:t xml:space="preserve">of the </w:t>
      </w:r>
      <w:r w:rsidR="00AA3BCC">
        <w:t xml:space="preserve">societal need for prayers for the souls of loved ones who may have been </w:t>
      </w:r>
      <w:r w:rsidR="00380658">
        <w:t xml:space="preserve">taken before they could participate in the formalities of </w:t>
      </w:r>
      <w:r w:rsidR="00380658" w:rsidRPr="00380658">
        <w:rPr>
          <w:i/>
        </w:rPr>
        <w:t xml:space="preserve">Ars </w:t>
      </w:r>
      <w:proofErr w:type="spellStart"/>
      <w:r w:rsidR="00380658" w:rsidRPr="00380658">
        <w:rPr>
          <w:i/>
        </w:rPr>
        <w:t>Moriendi</w:t>
      </w:r>
      <w:proofErr w:type="spellEnd"/>
      <w:r w:rsidR="00380658">
        <w:rPr>
          <w:i/>
        </w:rPr>
        <w:t xml:space="preserve"> </w:t>
      </w:r>
      <w:proofErr w:type="gramStart"/>
      <w:r w:rsidR="00380658">
        <w:t>in order to</w:t>
      </w:r>
      <w:proofErr w:type="gramEnd"/>
      <w:r w:rsidR="00380658">
        <w:t xml:space="preserve"> prepare for a good death</w:t>
      </w:r>
      <w:r w:rsidR="00380658">
        <w:rPr>
          <w:rStyle w:val="FootnoteReference"/>
        </w:rPr>
        <w:footnoteReference w:id="13"/>
      </w:r>
      <w:r w:rsidR="00380658">
        <w:t>.</w:t>
      </w:r>
      <w:r w:rsidR="00380658" w:rsidRPr="00380658">
        <w:t xml:space="preserve"> </w:t>
      </w:r>
      <w:r w:rsidR="00380658">
        <w:t xml:space="preserve">The eminence of chantries during the period is significant because </w:t>
      </w:r>
      <w:r w:rsidR="009D5259">
        <w:t>it</w:t>
      </w:r>
      <w:r w:rsidR="00380658">
        <w:t xml:space="preserve"> was indicative of an increased relationship between the living and </w:t>
      </w:r>
      <w:r w:rsidR="00380658">
        <w:lastRenderedPageBreak/>
        <w:t xml:space="preserve">the dead. This concept manifested itself in much of the art and literature of the period and with be further explored later in the </w:t>
      </w:r>
      <w:r w:rsidR="009D5259">
        <w:t>essay</w:t>
      </w:r>
      <w:r w:rsidR="00380658">
        <w:t>.</w:t>
      </w:r>
    </w:p>
    <w:p w:rsidR="001A79EA" w:rsidRDefault="00E03F61" w:rsidP="001A79EA">
      <w:pPr>
        <w:spacing w:line="480" w:lineRule="auto"/>
        <w:jc w:val="both"/>
      </w:pPr>
      <w:r>
        <w:t xml:space="preserve">Despite the declining population, there are some indications that the church may have, ostensibly, been strengthened </w:t>
      </w:r>
      <w:proofErr w:type="gramStart"/>
      <w:r>
        <w:t>as a result of</w:t>
      </w:r>
      <w:proofErr w:type="gramEnd"/>
      <w:r>
        <w:t xml:space="preserve"> the plague. </w:t>
      </w:r>
      <w:r w:rsidR="009D5259">
        <w:t>As previously mentioned, a</w:t>
      </w:r>
      <w:r>
        <w:t>n increase</w:t>
      </w:r>
      <w:r w:rsidR="00380658">
        <w:t>d</w:t>
      </w:r>
      <w:r>
        <w:t xml:space="preserve"> piety </w:t>
      </w:r>
      <w:r w:rsidR="009D5259">
        <w:t>because of</w:t>
      </w:r>
      <w:r w:rsidR="00380658">
        <w:t xml:space="preserve"> concern for the dead </w:t>
      </w:r>
      <w:r w:rsidR="009D5259">
        <w:t>lead to a rise in the building and usage of chantries in order that obits might be endowed for the dead. Chantries provided jobs, and many of those jobs went to priests with university backgrounds</w:t>
      </w:r>
      <w:r w:rsidR="009D5259">
        <w:rPr>
          <w:rStyle w:val="FootnoteReference"/>
        </w:rPr>
        <w:footnoteReference w:id="14"/>
      </w:r>
      <w:r w:rsidR="00E75E44">
        <w:t>. W</w:t>
      </w:r>
      <w:r w:rsidR="001A79EA">
        <w:t xml:space="preserve">hile records show population may have decreased </w:t>
      </w:r>
      <w:r w:rsidR="00E75E44">
        <w:t>dramatically</w:t>
      </w:r>
      <w:r w:rsidR="001A79EA">
        <w:t xml:space="preserve"> in the fourteenth century</w:t>
      </w:r>
      <w:r w:rsidR="00E75E44">
        <w:t>,</w:t>
      </w:r>
      <w:r w:rsidR="001A79EA">
        <w:t xml:space="preserve"> the academic community, if anything</w:t>
      </w:r>
      <w:r w:rsidR="00E75E44">
        <w:t>,</w:t>
      </w:r>
      <w:r w:rsidR="001A79EA">
        <w:t xml:space="preserve"> grew</w:t>
      </w:r>
      <w:r w:rsidR="00E75E44">
        <w:rPr>
          <w:rStyle w:val="FootnoteReference"/>
        </w:rPr>
        <w:footnoteReference w:id="15"/>
      </w:r>
      <w:r w:rsidR="001A79EA">
        <w:t xml:space="preserve">. Admission records from </w:t>
      </w:r>
      <w:r w:rsidR="00E75E44">
        <w:t>Oxford</w:t>
      </w:r>
      <w:r w:rsidR="00E75E44">
        <w:rPr>
          <w:rStyle w:val="FootnoteReference"/>
        </w:rPr>
        <w:footnoteReference w:id="16"/>
      </w:r>
      <w:r w:rsidR="001A79EA">
        <w:t xml:space="preserve"> demonstrate healthy intakes during plague years</w:t>
      </w:r>
      <w:r w:rsidR="00E75E44">
        <w:t xml:space="preserve">. It is likely that this was due to the huge numbers of clergy that were dying </w:t>
      </w:r>
      <w:proofErr w:type="gramStart"/>
      <w:r w:rsidR="00E75E44">
        <w:t>as a result of</w:t>
      </w:r>
      <w:proofErr w:type="gramEnd"/>
      <w:r w:rsidR="00E75E44">
        <w:t xml:space="preserve"> the communal nature of their duties and therefore the demand for clergy was higher than it had been in previous years.</w:t>
      </w:r>
    </w:p>
    <w:p w:rsidR="00E75E44" w:rsidRDefault="00E75E44" w:rsidP="001A79EA">
      <w:pPr>
        <w:spacing w:line="480" w:lineRule="auto"/>
        <w:jc w:val="both"/>
      </w:pPr>
    </w:p>
    <w:p w:rsidR="00176729" w:rsidRDefault="00E75E44" w:rsidP="00AE5E70">
      <w:pPr>
        <w:spacing w:line="480" w:lineRule="auto"/>
        <w:jc w:val="both"/>
      </w:pPr>
      <w:proofErr w:type="gramStart"/>
      <w:r>
        <w:t>It would appear that a</w:t>
      </w:r>
      <w:proofErr w:type="gramEnd"/>
      <w:r>
        <w:t xml:space="preserve"> rise in enrolment at theological </w:t>
      </w:r>
      <w:r w:rsidR="003E69D1">
        <w:t>institutions</w:t>
      </w:r>
      <w:r>
        <w:t xml:space="preserve"> would be a good thing there are indications that there were certainly downsides to the influx in </w:t>
      </w:r>
      <w:r w:rsidR="003E69D1">
        <w:t>enrolment</w:t>
      </w:r>
      <w:r>
        <w:t>. While the rituals and practices (especially those reserved for the departed) were strengthened under the</w:t>
      </w:r>
      <w:r w:rsidR="00266169">
        <w:t xml:space="preserve"> culture of</w:t>
      </w:r>
      <w:r>
        <w:t xml:space="preserve"> increased pie</w:t>
      </w:r>
      <w:r w:rsidR="00266169">
        <w:t xml:space="preserve">ty, it is possible that the </w:t>
      </w:r>
      <w:r w:rsidR="002E53E6">
        <w:t>calibre</w:t>
      </w:r>
      <w:r w:rsidR="001A79EA">
        <w:t xml:space="preserve"> of personality and scholarship in terms of the clergy </w:t>
      </w:r>
      <w:proofErr w:type="gramStart"/>
      <w:r w:rsidR="001A79EA">
        <w:t>fell</w:t>
      </w:r>
      <w:proofErr w:type="gramEnd"/>
      <w:r w:rsidR="001A79EA">
        <w:t xml:space="preserve"> due to the need to replace so many dead</w:t>
      </w:r>
      <w:r w:rsidR="00266169">
        <w:t>.</w:t>
      </w:r>
      <w:r w:rsidR="001A79EA">
        <w:t xml:space="preserve"> </w:t>
      </w:r>
      <w:r w:rsidR="00266169">
        <w:t>The fact that m</w:t>
      </w:r>
      <w:r w:rsidR="001A79EA">
        <w:t>any parishes were not under the care of clergy ordained to perform last rites amongst other services</w:t>
      </w:r>
      <w:r w:rsidR="00266169">
        <w:rPr>
          <w:rStyle w:val="FootnoteReference"/>
        </w:rPr>
        <w:footnoteReference w:id="17"/>
      </w:r>
      <w:r w:rsidR="001A79EA">
        <w:t xml:space="preserve"> </w:t>
      </w:r>
      <w:r w:rsidR="00266169">
        <w:t xml:space="preserve">is indicative that the instruction of educational institutions may have been altered during and after the Black Death. Another example of the changes that were taking place in the universities is the apparent shift in focus from the theological to the administrative. </w:t>
      </w:r>
      <w:r w:rsidR="002E53E6">
        <w:t xml:space="preserve"> Increased </w:t>
      </w:r>
      <w:r w:rsidR="003E69D1">
        <w:t>enrolments</w:t>
      </w:r>
      <w:r w:rsidR="002E53E6">
        <w:t xml:space="preserve"> in </w:t>
      </w:r>
      <w:r w:rsidR="00340B3A">
        <w:t>civil law in tandem with declining interest in canon law during the Black Death</w:t>
      </w:r>
      <w:r w:rsidR="00340B3A">
        <w:rPr>
          <w:rStyle w:val="FootnoteReference"/>
        </w:rPr>
        <w:footnoteReference w:id="18"/>
      </w:r>
      <w:r w:rsidR="00340B3A">
        <w:t xml:space="preserve"> are indicative of a shift in values in the culture. This is further evidenced in </w:t>
      </w:r>
      <w:r w:rsidR="00340B3A">
        <w:lastRenderedPageBreak/>
        <w:t>the increased prominence of students from aristocratic backgrounds</w:t>
      </w:r>
      <w:r w:rsidR="00340B3A">
        <w:rPr>
          <w:rStyle w:val="FootnoteReference"/>
        </w:rPr>
        <w:footnoteReference w:id="19"/>
      </w:r>
      <w:r w:rsidR="00340B3A">
        <w:t>,</w:t>
      </w:r>
      <w:r w:rsidR="00340B3A" w:rsidRPr="00340B3A">
        <w:t xml:space="preserve"> </w:t>
      </w:r>
      <w:r w:rsidR="00340B3A">
        <w:t>the moving away from complex metalinguistics to practical theology</w:t>
      </w:r>
      <w:r w:rsidR="00340B3A">
        <w:rPr>
          <w:rStyle w:val="FootnoteReference"/>
        </w:rPr>
        <w:footnoteReference w:id="20"/>
      </w:r>
      <w:r w:rsidR="00340B3A">
        <w:t>, and, finally, by a gradual shift from the scholar bishop to the aristocratic bishop</w:t>
      </w:r>
      <w:r w:rsidR="00340B3A">
        <w:rPr>
          <w:rStyle w:val="FootnoteReference"/>
        </w:rPr>
        <w:footnoteReference w:id="21"/>
      </w:r>
      <w:r w:rsidR="00340B3A">
        <w:t>.</w:t>
      </w:r>
      <w:r w:rsidR="003E69D1">
        <w:t xml:space="preserve"> This rise in legalism and decline in abstract thought</w:t>
      </w:r>
      <w:r w:rsidR="003E69D1">
        <w:rPr>
          <w:rStyle w:val="FootnoteReference"/>
        </w:rPr>
        <w:footnoteReference w:id="22"/>
      </w:r>
      <w:r w:rsidR="00266169">
        <w:t>perhaps gave rise to a greater importance of the ritual functions of the church as opposed to theological sincerity and integrity and</w:t>
      </w:r>
      <w:r w:rsidR="003E69D1">
        <w:t xml:space="preserve"> it is perhaps</w:t>
      </w:r>
      <w:r w:rsidR="00266169">
        <w:t xml:space="preserve"> this </w:t>
      </w:r>
      <w:r w:rsidR="003E69D1">
        <w:t xml:space="preserve">that </w:t>
      </w:r>
      <w:r w:rsidR="00266169">
        <w:t xml:space="preserve">is reflected in the </w:t>
      </w:r>
      <w:r w:rsidR="003E69D1">
        <w:t xml:space="preserve">altered </w:t>
      </w:r>
      <w:r w:rsidR="00266169">
        <w:t>funerary practises, chantr</w:t>
      </w:r>
      <w:r w:rsidR="003E69D1">
        <w:t>ies, aristocratic</w:t>
      </w:r>
      <w:r w:rsidR="00266169">
        <w:t xml:space="preserve"> clergy and opulent aesthetics</w:t>
      </w:r>
      <w:r w:rsidR="003E69D1">
        <w:t xml:space="preserve"> of the later medieval period.</w:t>
      </w:r>
    </w:p>
    <w:p w:rsidR="003E69D1" w:rsidRDefault="003E69D1" w:rsidP="00AE5E70">
      <w:pPr>
        <w:spacing w:line="480" w:lineRule="auto"/>
        <w:jc w:val="both"/>
      </w:pPr>
    </w:p>
    <w:p w:rsidR="004521D5" w:rsidRDefault="003E69D1" w:rsidP="00A52C41">
      <w:pPr>
        <w:spacing w:line="480" w:lineRule="auto"/>
        <w:jc w:val="both"/>
      </w:pPr>
      <w:r>
        <w:t xml:space="preserve">The church and all its practices (including and </w:t>
      </w:r>
      <w:r w:rsidR="00F047C7">
        <w:t>especially</w:t>
      </w:r>
      <w:r>
        <w:t xml:space="preserve"> those pertaining to death, dying and the afterlife) did, during and after the Black Death, come under strong criticisms. </w:t>
      </w:r>
      <w:r w:rsidR="001A79EA">
        <w:t>Th</w:t>
      </w:r>
      <w:r>
        <w:t>ese may have been initiated</w:t>
      </w:r>
      <w:r w:rsidR="001A79EA">
        <w:t xml:space="preserve"> </w:t>
      </w:r>
      <w:r>
        <w:t>in the</w:t>
      </w:r>
      <w:r w:rsidR="001A79EA">
        <w:t xml:space="preserve"> the realisation that </w:t>
      </w:r>
      <w:r w:rsidR="00A52C41">
        <w:t>God was indiscriminate over who died</w:t>
      </w:r>
      <w:r>
        <w:t xml:space="preserve"> as a result of the pestilence, for in the word of one commentator </w:t>
      </w:r>
      <w:r w:rsidR="00A52C41">
        <w:t>‘God’s wrath was just as hot against church as against people</w:t>
      </w:r>
      <w:r>
        <w:rPr>
          <w:rStyle w:val="FootnoteReference"/>
        </w:rPr>
        <w:footnoteReference w:id="23"/>
      </w:r>
      <w:r w:rsidR="00A52C41">
        <w:t>’ The human</w:t>
      </w:r>
      <w:r>
        <w:t xml:space="preserve"> and </w:t>
      </w:r>
      <w:r w:rsidR="00A52C41">
        <w:t xml:space="preserve">mortal vulnerability of the clergy had been irrevocably </w:t>
      </w:r>
      <w:r>
        <w:t xml:space="preserve">and </w:t>
      </w:r>
      <w:r w:rsidR="007F2A0A">
        <w:t>contemptibly</w:t>
      </w:r>
      <w:r>
        <w:t xml:space="preserve"> </w:t>
      </w:r>
      <w:r w:rsidR="00A52C41">
        <w:t>exposed</w:t>
      </w:r>
      <w:r>
        <w:rPr>
          <w:rStyle w:val="FootnoteReference"/>
        </w:rPr>
        <w:footnoteReference w:id="24"/>
      </w:r>
      <w:r>
        <w:t>, and with little doubt in the medieval mind the that the Black Death was a punishment from God</w:t>
      </w:r>
      <w:r>
        <w:rPr>
          <w:rStyle w:val="FootnoteReference"/>
        </w:rPr>
        <w:footnoteReference w:id="25"/>
      </w:r>
      <w:r w:rsidR="004521D5">
        <w:t xml:space="preserve"> </w:t>
      </w:r>
      <w:r w:rsidR="001A79EA">
        <w:t>this would surely have resulted in an altered perception of god and the church</w:t>
      </w:r>
      <w:r w:rsidR="004521D5">
        <w:t xml:space="preserve">. With the church finally in a position where is could be justly scrutinized the Black Death can certainly be considered as a catalyst for the reforming </w:t>
      </w:r>
      <w:r w:rsidR="007F2A0A">
        <w:t>movement</w:t>
      </w:r>
      <w:r w:rsidR="004521D5">
        <w:t xml:space="preserve">. The </w:t>
      </w:r>
      <w:r w:rsidR="00A52C41">
        <w:t xml:space="preserve">reformation </w:t>
      </w:r>
      <w:r w:rsidR="007F2A0A">
        <w:t>criticisms</w:t>
      </w:r>
      <w:r w:rsidR="00A52C41">
        <w:t xml:space="preserve"> that the devotion in the Roman church was founded on </w:t>
      </w:r>
      <w:r w:rsidR="007F2A0A">
        <w:t>ineffectual</w:t>
      </w:r>
      <w:r w:rsidR="00A52C41">
        <w:t xml:space="preserve"> supplications to god </w:t>
      </w:r>
      <w:proofErr w:type="gramStart"/>
      <w:r w:rsidR="00A52C41">
        <w:t>in order to</w:t>
      </w:r>
      <w:proofErr w:type="gramEnd"/>
      <w:r w:rsidR="00A52C41">
        <w:t xml:space="preserve"> avoid (or more likely </w:t>
      </w:r>
      <w:r w:rsidR="007F2A0A">
        <w:t>lessen</w:t>
      </w:r>
      <w:r w:rsidR="00A52C41">
        <w:t>) the horrors of purgatory</w:t>
      </w:r>
      <w:r w:rsidR="00266169">
        <w:rPr>
          <w:rStyle w:val="FootnoteReference"/>
        </w:rPr>
        <w:footnoteReference w:id="26"/>
      </w:r>
      <w:r w:rsidR="004521D5">
        <w:t xml:space="preserve"> would have stemmed directly from deluge of chantries and weak clergy in the wake of the Black Death.</w:t>
      </w:r>
      <w:r w:rsidR="00A52C41">
        <w:t xml:space="preserve"> The </w:t>
      </w:r>
      <w:r w:rsidR="007F2A0A">
        <w:t>reformers</w:t>
      </w:r>
      <w:r w:rsidR="00A52C41">
        <w:t xml:space="preserve">, in their emphasis on scriptural accuracy, rejected the theology of </w:t>
      </w:r>
      <w:r w:rsidR="00A52C41">
        <w:lastRenderedPageBreak/>
        <w:t xml:space="preserve">purgatory as superstitious fearmongering </w:t>
      </w:r>
      <w:proofErr w:type="gramStart"/>
      <w:r w:rsidR="00A52C41">
        <w:t>in order to</w:t>
      </w:r>
      <w:proofErr w:type="gramEnd"/>
      <w:r w:rsidR="00A52C41">
        <w:t xml:space="preserve"> keep the papal coffers full </w:t>
      </w:r>
      <w:r w:rsidR="00266169">
        <w:rPr>
          <w:rStyle w:val="FootnoteReference"/>
        </w:rPr>
        <w:footnoteReference w:id="27"/>
      </w:r>
      <w:r w:rsidR="00A52C41">
        <w:t>, utilised the existing divide of body and soul to develop a culture that rejected the vulgarities of this life and looked forward, in joy, to the next.</w:t>
      </w:r>
    </w:p>
    <w:p w:rsidR="007F2A0A" w:rsidRDefault="007F2A0A" w:rsidP="009718A3">
      <w:pPr>
        <w:spacing w:line="480" w:lineRule="auto"/>
        <w:jc w:val="both"/>
      </w:pPr>
    </w:p>
    <w:p w:rsidR="009718A3" w:rsidRDefault="004521D5" w:rsidP="009718A3">
      <w:pPr>
        <w:spacing w:line="480" w:lineRule="auto"/>
        <w:jc w:val="both"/>
      </w:pPr>
      <w:r>
        <w:t xml:space="preserve">As previously explored, </w:t>
      </w:r>
      <w:r w:rsidR="00A52C41">
        <w:t>the introduction of private chantries reduced the autonomy of the bishoprics and elevated the status of the aristocracy</w:t>
      </w:r>
      <w:r>
        <w:rPr>
          <w:rStyle w:val="FootnoteReference"/>
        </w:rPr>
        <w:footnoteReference w:id="28"/>
      </w:r>
      <w:r>
        <w:t xml:space="preserve">, </w:t>
      </w:r>
      <w:r w:rsidR="00A52C41">
        <w:t>this is reflected in the heraldic imagery that permeates the burials and chapel of the early</w:t>
      </w:r>
      <w:r>
        <w:t xml:space="preserve"> fifteenth century,</w:t>
      </w:r>
      <w:r w:rsidR="00A52C41">
        <w:t xml:space="preserve"> </w:t>
      </w:r>
      <w:r w:rsidR="009718A3">
        <w:t>this</w:t>
      </w:r>
      <w:r w:rsidR="00A52C41">
        <w:t xml:space="preserve"> can be seen in the rich use of roses that adorn almost every surface of Kings College Chapel.</w:t>
      </w:r>
      <w:r>
        <w:t xml:space="preserve"> As a result</w:t>
      </w:r>
      <w:r w:rsidR="007F2A0A">
        <w:t>,</w:t>
      </w:r>
      <w:r>
        <w:t xml:space="preserve"> burial practices can increasingly </w:t>
      </w:r>
      <w:proofErr w:type="gramStart"/>
      <w:r>
        <w:t>seen</w:t>
      </w:r>
      <w:proofErr w:type="gramEnd"/>
      <w:r>
        <w:t xml:space="preserve"> as</w:t>
      </w:r>
      <w:r w:rsidR="007F2A0A">
        <w:t>,</w:t>
      </w:r>
      <w:r>
        <w:t xml:space="preserve"> not only religious</w:t>
      </w:r>
      <w:r w:rsidR="007F2A0A">
        <w:t>,</w:t>
      </w:r>
      <w:r>
        <w:t xml:space="preserve"> but political too</w:t>
      </w:r>
      <w:r w:rsidR="009718A3">
        <w:t xml:space="preserve">. With that said, the prevailing imagery of post plague burial was of that associated with the ideals of the popular </w:t>
      </w:r>
      <w:r w:rsidR="009718A3">
        <w:rPr>
          <w:i/>
        </w:rPr>
        <w:t xml:space="preserve">memento </w:t>
      </w:r>
      <w:proofErr w:type="spellStart"/>
      <w:r w:rsidR="009718A3">
        <w:rPr>
          <w:i/>
        </w:rPr>
        <w:t>mori</w:t>
      </w:r>
      <w:proofErr w:type="spellEnd"/>
      <w:r w:rsidR="009718A3">
        <w:rPr>
          <w:i/>
        </w:rPr>
        <w:t xml:space="preserve"> </w:t>
      </w:r>
      <w:r w:rsidR="009718A3">
        <w:t>motif.</w:t>
      </w:r>
      <w:r w:rsidR="00C63508">
        <w:t xml:space="preserve"> ‘The plague of the fourteenth and fifteenth centuries emphasised the inevitability of death and the frailty of human flesh</w:t>
      </w:r>
      <w:r w:rsidR="00C63508">
        <w:rPr>
          <w:rStyle w:val="FootnoteReference"/>
        </w:rPr>
        <w:footnoteReference w:id="29"/>
      </w:r>
      <w:r w:rsidR="00C63508">
        <w:t>’ writes one commentator, and has been suggested that while the ascetic tradition had always ‘dwelt on dust and worms</w:t>
      </w:r>
      <w:r w:rsidR="00C63508">
        <w:rPr>
          <w:rStyle w:val="FootnoteReference"/>
        </w:rPr>
        <w:footnoteReference w:id="30"/>
      </w:r>
      <w:r w:rsidR="00C63508">
        <w:t>’, it was only after the Black Death that grotesque decomposition of bodies became a strong theme. One of the most obvious examples of such imagery came in the form of cadaver tombs</w:t>
      </w:r>
      <w:r w:rsidR="005E184D">
        <w:t xml:space="preserve"> which, although they cannot be directly attributed to the Black Death (due to their predating the Black Death by at least seventy years</w:t>
      </w:r>
      <w:r w:rsidR="005E184D">
        <w:rPr>
          <w:rStyle w:val="FootnoteReference"/>
        </w:rPr>
        <w:footnoteReference w:id="31"/>
      </w:r>
      <w:r w:rsidR="005E184D">
        <w:t xml:space="preserve"> and the fact that they were only popular in niche locations</w:t>
      </w:r>
      <w:r w:rsidR="005E184D">
        <w:rPr>
          <w:rStyle w:val="FootnoteReference"/>
        </w:rPr>
        <w:footnoteReference w:id="32"/>
      </w:r>
      <w:r w:rsidR="009718A3">
        <w:t xml:space="preserve">, the profusion of death orientated art only grew and there can be little doubt that the black death was a catalyst and source </w:t>
      </w:r>
      <w:r w:rsidR="005E184D">
        <w:t>o</w:t>
      </w:r>
      <w:r w:rsidR="009718A3">
        <w:t xml:space="preserve">f inspiration for the continued usage of this </w:t>
      </w:r>
      <w:r w:rsidR="005E184D">
        <w:t xml:space="preserve">kind of mortality reminding </w:t>
      </w:r>
      <w:r w:rsidR="009718A3">
        <w:t>imager</w:t>
      </w:r>
      <w:r w:rsidR="00C63508">
        <w:t>y</w:t>
      </w:r>
      <w:r w:rsidR="005E184D">
        <w:t>.</w:t>
      </w:r>
    </w:p>
    <w:p w:rsidR="007F2A0A" w:rsidRDefault="007F2A0A" w:rsidP="00A52C41">
      <w:pPr>
        <w:spacing w:line="480" w:lineRule="auto"/>
        <w:jc w:val="both"/>
      </w:pPr>
    </w:p>
    <w:p w:rsidR="00B30DC0" w:rsidRDefault="007F2A0A" w:rsidP="00B85900">
      <w:pPr>
        <w:spacing w:line="480" w:lineRule="auto"/>
        <w:jc w:val="both"/>
      </w:pPr>
      <w:r>
        <w:lastRenderedPageBreak/>
        <w:t>Due to the high mortality rates</w:t>
      </w:r>
      <w:r w:rsidR="00B85900">
        <w:t xml:space="preserve"> in the nobility</w:t>
      </w:r>
      <w:r>
        <w:t xml:space="preserve"> during the Black Death</w:t>
      </w:r>
      <w:r w:rsidR="00B85900">
        <w:rPr>
          <w:rStyle w:val="FootnoteReference"/>
        </w:rPr>
        <w:footnoteReference w:id="33"/>
      </w:r>
      <w:r>
        <w:t xml:space="preserve">, the land became plentiful and the labour scarce, this put the lower classes in a position of great power in that they were </w:t>
      </w:r>
      <w:proofErr w:type="gramStart"/>
      <w:r>
        <w:t>in a position to</w:t>
      </w:r>
      <w:proofErr w:type="gramEnd"/>
      <w:r>
        <w:t xml:space="preserve"> move or negotiate if they were n</w:t>
      </w:r>
      <w:r w:rsidR="00F047C7">
        <w:t>o</w:t>
      </w:r>
      <w:r>
        <w:t xml:space="preserve">t being paid </w:t>
      </w:r>
      <w:r w:rsidR="00F047C7">
        <w:t>enough</w:t>
      </w:r>
      <w:r w:rsidR="00B85900">
        <w:rPr>
          <w:rStyle w:val="FootnoteReference"/>
        </w:rPr>
        <w:footnoteReference w:id="34"/>
      </w:r>
      <w:r>
        <w:t>.</w:t>
      </w:r>
      <w:r w:rsidR="007E472D">
        <w:t xml:space="preserve"> It is evident that the labour force was on the move in the governments efforts to arrest further deviation</w:t>
      </w:r>
      <w:r w:rsidR="007E472D">
        <w:rPr>
          <w:rStyle w:val="FootnoteReference"/>
        </w:rPr>
        <w:footnoteReference w:id="35"/>
      </w:r>
      <w:r w:rsidR="00B85900">
        <w:t>. G</w:t>
      </w:r>
      <w:r>
        <w:t xml:space="preserve">overnment </w:t>
      </w:r>
      <w:r w:rsidR="00F047C7">
        <w:t>legislation</w:t>
      </w:r>
      <w:r w:rsidR="00B85900">
        <w:t xml:space="preserve"> was employed</w:t>
      </w:r>
      <w:r>
        <w:t xml:space="preserve"> designed to </w:t>
      </w:r>
      <w:r w:rsidR="00F047C7">
        <w:t>lessen</w:t>
      </w:r>
      <w:r>
        <w:t xml:space="preserve"> the impact of</w:t>
      </w:r>
      <w:r w:rsidR="00F047C7">
        <w:t xml:space="preserve"> economic</w:t>
      </w:r>
      <w:r>
        <w:t xml:space="preserve"> inflation by </w:t>
      </w:r>
      <w:r w:rsidR="00F047C7">
        <w:t>restricting</w:t>
      </w:r>
      <w:r>
        <w:t xml:space="preserve"> the movement of employees and charitable </w:t>
      </w:r>
      <w:r w:rsidR="00F047C7">
        <w:t>giving</w:t>
      </w:r>
      <w:r>
        <w:t xml:space="preserve"> to the </w:t>
      </w:r>
      <w:r w:rsidR="00B85900">
        <w:t>workforce</w:t>
      </w:r>
      <w:r w:rsidR="00B85900">
        <w:rPr>
          <w:rStyle w:val="FootnoteReference"/>
        </w:rPr>
        <w:footnoteReference w:id="36"/>
      </w:r>
      <w:r>
        <w:t>. Th</w:t>
      </w:r>
      <w:r w:rsidR="00B85900">
        <w:t>is</w:t>
      </w:r>
      <w:r>
        <w:t xml:space="preserve"> </w:t>
      </w:r>
      <w:r w:rsidR="00F047C7">
        <w:t>ordinance</w:t>
      </w:r>
      <w:r>
        <w:t xml:space="preserve"> of labourers was not </w:t>
      </w:r>
      <w:r w:rsidR="00F047C7">
        <w:t>necessarily</w:t>
      </w:r>
      <w:r>
        <w:t xml:space="preserve"> </w:t>
      </w:r>
      <w:r w:rsidR="00F047C7">
        <w:t>merely</w:t>
      </w:r>
      <w:r>
        <w:t xml:space="preserve"> to protect the interests of the aristocracy. Smaller land owners were also protected by these measures. While the restrictions were the definition of uncharitable the move is notable as it was an intentional attempt to maintain a stable economy despite the turbulent times.</w:t>
      </w:r>
      <w:r w:rsidR="00B85900">
        <w:t xml:space="preserve"> While</w:t>
      </w:r>
      <w:r w:rsidR="0058243B">
        <w:t xml:space="preserve"> perhaps the measures were somewhat helpful</w:t>
      </w:r>
      <w:r w:rsidR="00B85900">
        <w:t xml:space="preserve"> the economy did recover relatively well </w:t>
      </w:r>
      <w:r w:rsidR="0058243B">
        <w:t xml:space="preserve">the discontent and resentment sown among the middle class may have </w:t>
      </w:r>
      <w:r w:rsidR="00B30DC0">
        <w:t xml:space="preserve">left a fertile ground for the </w:t>
      </w:r>
      <w:r w:rsidR="00F047C7">
        <w:t>peasant’s</w:t>
      </w:r>
      <w:r w:rsidR="00B30DC0">
        <w:t xml:space="preserve"> revolt of 1381</w:t>
      </w:r>
      <w:r w:rsidR="0058243B">
        <w:t>.</w:t>
      </w:r>
      <w:r w:rsidR="00B30DC0">
        <w:t xml:space="preserve"> </w:t>
      </w:r>
    </w:p>
    <w:p w:rsidR="00F047C7" w:rsidRDefault="00F047C7" w:rsidP="0058243B">
      <w:pPr>
        <w:spacing w:line="480" w:lineRule="auto"/>
        <w:jc w:val="both"/>
      </w:pPr>
    </w:p>
    <w:p w:rsidR="0058243B" w:rsidRDefault="007E472D" w:rsidP="0058243B">
      <w:pPr>
        <w:spacing w:line="480" w:lineRule="auto"/>
        <w:jc w:val="both"/>
      </w:pPr>
      <w:r>
        <w:t>While e</w:t>
      </w:r>
      <w:r w:rsidR="00B30DC0">
        <w:t>conomic downturn and famine</w:t>
      </w:r>
      <w:r w:rsidR="0058243B">
        <w:rPr>
          <w:rStyle w:val="FootnoteReference"/>
        </w:rPr>
        <w:footnoteReference w:id="37"/>
      </w:r>
      <w:r w:rsidR="00B30DC0">
        <w:t xml:space="preserve"> </w:t>
      </w:r>
      <w:r w:rsidR="0058243B">
        <w:t>would have set many of the changes in to motion well in advance of the Black Death, a</w:t>
      </w:r>
      <w:r w:rsidR="0058243B">
        <w:t xml:space="preserve"> process of great socioeconomic change can</w:t>
      </w:r>
      <w:r w:rsidR="0058243B">
        <w:t xml:space="preserve"> still</w:t>
      </w:r>
      <w:r w:rsidR="0058243B">
        <w:t xml:space="preserve"> be clearly observed in the </w:t>
      </w:r>
      <w:r w:rsidR="0058243B">
        <w:t>fourteenth</w:t>
      </w:r>
      <w:r w:rsidR="0058243B">
        <w:t xml:space="preserve"> and </w:t>
      </w:r>
      <w:r w:rsidR="0058243B">
        <w:t>fifteenth</w:t>
      </w:r>
      <w:r w:rsidR="0058243B">
        <w:t xml:space="preserve"> centuries, this changed was evidently compounded and accelerated by the Black Death. </w:t>
      </w:r>
      <w:r w:rsidR="0058243B">
        <w:t>I</w:t>
      </w:r>
      <w:r w:rsidR="0058243B">
        <w:t xml:space="preserve">t has been suggested that the church grew concerned (perhaps rightly) that, due to the profusion of new ideas and values, it might lose </w:t>
      </w:r>
      <w:r w:rsidR="00F047C7">
        <w:t>its</w:t>
      </w:r>
      <w:r w:rsidR="0058243B">
        <w:t xml:space="preserve"> ideological monopoly on the minds of the populace</w:t>
      </w:r>
      <w:r w:rsidR="0058243B">
        <w:rPr>
          <w:rStyle w:val="FootnoteReference"/>
        </w:rPr>
        <w:footnoteReference w:id="38"/>
      </w:r>
      <w:r w:rsidR="0058243B">
        <w:t xml:space="preserve">. The </w:t>
      </w:r>
      <w:r w:rsidR="0058243B">
        <w:t>argument</w:t>
      </w:r>
      <w:r w:rsidR="0058243B">
        <w:t xml:space="preserve"> suggest</w:t>
      </w:r>
      <w:r w:rsidR="0058243B">
        <w:t>s the</w:t>
      </w:r>
      <w:r w:rsidR="0058243B">
        <w:t xml:space="preserve"> church consequently sought to subdue the people by promoting and supportin</w:t>
      </w:r>
      <w:r w:rsidR="0058243B">
        <w:t>g</w:t>
      </w:r>
      <w:r w:rsidR="0058243B">
        <w:t xml:space="preserve"> a ‘Cult of Death’ thereby using fear to manipulate the devout into </w:t>
      </w:r>
      <w:r w:rsidR="0058243B">
        <w:lastRenderedPageBreak/>
        <w:t>submission</w:t>
      </w:r>
      <w:r w:rsidR="0058243B">
        <w:rPr>
          <w:rStyle w:val="FootnoteReference"/>
        </w:rPr>
        <w:footnoteReference w:id="39"/>
      </w:r>
      <w:r w:rsidR="0058243B">
        <w:t xml:space="preserve">. </w:t>
      </w:r>
      <w:r w:rsidR="0058243B">
        <w:t>While some have labelled this theory as cynical</w:t>
      </w:r>
      <w:r w:rsidR="0058243B">
        <w:rPr>
          <w:rStyle w:val="FootnoteReference"/>
        </w:rPr>
        <w:footnoteReference w:id="40"/>
      </w:r>
      <w:r w:rsidR="0058243B">
        <w:t xml:space="preserve">, there is some merit to it, </w:t>
      </w:r>
      <w:r w:rsidR="00F047C7">
        <w:t>particularly</w:t>
      </w:r>
      <w:r w:rsidR="0058243B">
        <w:t xml:space="preserve"> when one considers the culture of cynicism that the downturn in quality clergy (as previously discussed) had bought about</w:t>
      </w:r>
      <w:r w:rsidR="0058243B">
        <w:t xml:space="preserve"> and can perhaps be proposed as another catalyst in the reforming </w:t>
      </w:r>
      <w:r w:rsidR="00F047C7">
        <w:t>movement</w:t>
      </w:r>
      <w:r w:rsidR="0058243B">
        <w:t>.</w:t>
      </w:r>
    </w:p>
    <w:p w:rsidR="00963085" w:rsidRDefault="0058243B" w:rsidP="000826CD">
      <w:pPr>
        <w:spacing w:line="480" w:lineRule="auto"/>
        <w:jc w:val="both"/>
      </w:pPr>
      <w:r>
        <w:t>T</w:t>
      </w:r>
      <w:r w:rsidR="009C762E">
        <w:t xml:space="preserve">here is a </w:t>
      </w:r>
      <w:r w:rsidR="00F047C7">
        <w:t>long-held</w:t>
      </w:r>
      <w:r w:rsidR="009C762E">
        <w:t xml:space="preserve"> belief that the plague was the catalyst for the urbanisation</w:t>
      </w:r>
      <w:r w:rsidR="00C25C1B">
        <w:t>,</w:t>
      </w:r>
      <w:r w:rsidR="009C762E">
        <w:t xml:space="preserve"> however</w:t>
      </w:r>
      <w:r w:rsidR="00C25C1B">
        <w:t>,</w:t>
      </w:r>
      <w:r w:rsidR="009C762E">
        <w:t xml:space="preserve"> villages were already losing population well in advance of the Black Death</w:t>
      </w:r>
      <w:r>
        <w:rPr>
          <w:rStyle w:val="FootnoteReference"/>
        </w:rPr>
        <w:footnoteReference w:id="41"/>
      </w:r>
      <w:r w:rsidR="009C762E">
        <w:t xml:space="preserve">. </w:t>
      </w:r>
      <w:r w:rsidR="00C25C1B">
        <w:t>Yet, as with many cultural movements in the fourteenth and fifteenth centuries</w:t>
      </w:r>
      <w:r w:rsidR="009C762E">
        <w:t>, it is not unreasonable to propose that the plague may have compounded this growing trend.</w:t>
      </w:r>
      <w:r w:rsidR="00C25C1B">
        <w:t xml:space="preserve"> What is evident is that this urbanisation may have equally been a catalyst of changes in </w:t>
      </w:r>
      <w:r w:rsidR="009C762E">
        <w:t>funerary practices</w:t>
      </w:r>
      <w:r w:rsidR="00C25C1B">
        <w:t>, as one commentator states</w:t>
      </w:r>
      <w:r w:rsidR="009C762E">
        <w:t xml:space="preserve"> ‘the joint processes of migrations in to town and plague </w:t>
      </w:r>
      <w:r w:rsidR="000826CD">
        <w:t>led to a separating of people from their ancestral graveyards, a subsequent dislocation and isolation</w:t>
      </w:r>
      <w:r>
        <w:rPr>
          <w:rStyle w:val="FootnoteReference"/>
        </w:rPr>
        <w:footnoteReference w:id="42"/>
      </w:r>
      <w:r w:rsidR="000826CD">
        <w:t>’</w:t>
      </w:r>
      <w:r w:rsidR="00C25C1B">
        <w:t xml:space="preserve">. </w:t>
      </w:r>
      <w:r w:rsidR="000826CD">
        <w:t xml:space="preserve"> </w:t>
      </w:r>
      <w:proofErr w:type="gramStart"/>
      <w:r w:rsidR="00C25C1B">
        <w:t xml:space="preserve">It is clear that </w:t>
      </w:r>
      <w:r w:rsidR="00C25C1B">
        <w:t>one</w:t>
      </w:r>
      <w:proofErr w:type="gramEnd"/>
      <w:r w:rsidR="00C25C1B">
        <w:t xml:space="preserve"> impact</w:t>
      </w:r>
      <w:r w:rsidR="00C25C1B">
        <w:t xml:space="preserve"> of</w:t>
      </w:r>
      <w:r w:rsidR="00C25C1B">
        <w:t xml:space="preserve"> the Black Death was extreme social dislocation</w:t>
      </w:r>
      <w:r w:rsidR="00C25C1B">
        <w:t xml:space="preserve">, </w:t>
      </w:r>
      <w:r w:rsidR="00C25C1B">
        <w:t>communal events of death and burial were now changed ‘the normal social and religious systems connected with the death-bed and burial simply collapsed’</w:t>
      </w:r>
      <w:r w:rsidR="00C25C1B">
        <w:rPr>
          <w:rStyle w:val="FootnoteReference"/>
        </w:rPr>
        <w:footnoteReference w:id="43"/>
      </w:r>
      <w:r w:rsidR="00C25C1B">
        <w:t>. Consequently, in an urban setting</w:t>
      </w:r>
      <w:r w:rsidR="00C25C1B">
        <w:t xml:space="preserve"> </w:t>
      </w:r>
      <w:r w:rsidR="000826CD">
        <w:t xml:space="preserve">Graves were increasingly ornate and often depicted as houses, perhaps as a compensation for the physical displacement that much of the populace may have experienced. Prayer bequests in wills in cities and </w:t>
      </w:r>
      <w:r w:rsidR="00F047C7">
        <w:t>villages</w:t>
      </w:r>
      <w:r w:rsidR="000826CD">
        <w:t xml:space="preserve"> of the </w:t>
      </w:r>
      <w:r w:rsidR="00C25C1B">
        <w:t>fourteenth</w:t>
      </w:r>
      <w:r w:rsidR="000826CD">
        <w:t xml:space="preserve"> and </w:t>
      </w:r>
      <w:r w:rsidR="00C25C1B">
        <w:t>fifteenth</w:t>
      </w:r>
      <w:r w:rsidR="000826CD">
        <w:t xml:space="preserve"> centuries have been observed to have a differing attitude towards the soul with cities exhibiting far greater </w:t>
      </w:r>
      <w:r w:rsidR="00F047C7">
        <w:t>individualistic</w:t>
      </w:r>
      <w:r w:rsidR="000826CD">
        <w:t xml:space="preserve"> traits that </w:t>
      </w:r>
      <w:r w:rsidR="00F047C7">
        <w:t>villages</w:t>
      </w:r>
      <w:r w:rsidR="00C25C1B">
        <w:t xml:space="preserve"> with the idea </w:t>
      </w:r>
      <w:proofErr w:type="gramStart"/>
      <w:r w:rsidR="00C25C1B">
        <w:t>of</w:t>
      </w:r>
      <w:r w:rsidR="000826CD">
        <w:t xml:space="preserve"> </w:t>
      </w:r>
      <w:r w:rsidR="00C25C1B">
        <w:t xml:space="preserve"> the</w:t>
      </w:r>
      <w:proofErr w:type="gramEnd"/>
      <w:r w:rsidR="00C25C1B">
        <w:t xml:space="preserve"> individual being a far more prevalent </w:t>
      </w:r>
      <w:r w:rsidR="000826CD">
        <w:t>concept in urban settings</w:t>
      </w:r>
      <w:r w:rsidR="00C25C1B">
        <w:rPr>
          <w:rStyle w:val="FootnoteReference"/>
        </w:rPr>
        <w:footnoteReference w:id="44"/>
      </w:r>
      <w:r w:rsidR="000826CD">
        <w:t>.</w:t>
      </w:r>
    </w:p>
    <w:p w:rsidR="007326CE" w:rsidRDefault="00256802" w:rsidP="000826CD">
      <w:pPr>
        <w:spacing w:line="480" w:lineRule="auto"/>
        <w:jc w:val="both"/>
      </w:pPr>
      <w:r>
        <w:t xml:space="preserve"> </w:t>
      </w:r>
      <w:r w:rsidR="007D1BBF">
        <w:t xml:space="preserve"> </w:t>
      </w:r>
      <w:r w:rsidR="00F21938">
        <w:t xml:space="preserve"> </w:t>
      </w:r>
      <w:r w:rsidR="00CE2C56">
        <w:t xml:space="preserve"> </w:t>
      </w:r>
    </w:p>
    <w:p w:rsidR="007326CE" w:rsidRDefault="00F047C7" w:rsidP="007326CE">
      <w:pPr>
        <w:spacing w:line="480" w:lineRule="auto"/>
        <w:jc w:val="both"/>
      </w:pPr>
      <w:r>
        <w:t xml:space="preserve">In conclusion, it has been </w:t>
      </w:r>
      <w:r w:rsidR="007326CE">
        <w:t>claim</w:t>
      </w:r>
      <w:r>
        <w:t>ed that</w:t>
      </w:r>
      <w:r w:rsidR="007326CE">
        <w:t xml:space="preserve"> ‘the Black Death did not initiate any major social or economic </w:t>
      </w:r>
      <w:proofErr w:type="gramStart"/>
      <w:r w:rsidR="007326CE">
        <w:t>trend</w:t>
      </w:r>
      <w:proofErr w:type="gramEnd"/>
      <w:r w:rsidR="007326CE">
        <w:t xml:space="preserve"> but it accelerated and modified – sometimes drastically – those which already existed.</w:t>
      </w:r>
      <w:r>
        <w:rPr>
          <w:rStyle w:val="FootnoteReference"/>
        </w:rPr>
        <w:footnoteReference w:id="45"/>
      </w:r>
      <w:r w:rsidR="007326CE">
        <w:t xml:space="preserve">’ While </w:t>
      </w:r>
      <w:r w:rsidR="007326CE">
        <w:lastRenderedPageBreak/>
        <w:t xml:space="preserve">there is some merit to </w:t>
      </w:r>
      <w:r>
        <w:t>this</w:t>
      </w:r>
      <w:r w:rsidR="007326CE">
        <w:t xml:space="preserve"> interpretation</w:t>
      </w:r>
      <w:r>
        <w:t>,</w:t>
      </w:r>
      <w:r w:rsidR="007326CE">
        <w:t xml:space="preserve"> it is somewhat sweeping. It could be suggested that the economic social, cultural, religious, and aesthetic movements of the period are not easily disentangled from each other and therefore that change is better measured across the culture not merely in terms of economy.</w:t>
      </w:r>
      <w:r>
        <w:t xml:space="preserve"> </w:t>
      </w:r>
      <w:r>
        <w:t xml:space="preserve">While the economic </w:t>
      </w:r>
      <w:r>
        <w:t>devastation</w:t>
      </w:r>
      <w:r>
        <w:t xml:space="preserve"> caused by the black death recovered with considerable pace the effects of the plagues on the imagination and values of the population were potentially </w:t>
      </w:r>
      <w:r>
        <w:t>long lasting</w:t>
      </w:r>
      <w:r>
        <w:rPr>
          <w:rStyle w:val="FootnoteReference"/>
        </w:rPr>
        <w:footnoteReference w:id="46"/>
      </w:r>
      <w:r>
        <w:t>.</w:t>
      </w:r>
    </w:p>
    <w:p w:rsidR="00D16045" w:rsidRDefault="00D16045" w:rsidP="00D16045">
      <w:pPr>
        <w:spacing w:line="480" w:lineRule="auto"/>
        <w:jc w:val="both"/>
      </w:pPr>
    </w:p>
    <w:p w:rsidR="007326CE" w:rsidRDefault="007326CE" w:rsidP="00E518DD">
      <w:pPr>
        <w:spacing w:line="480" w:lineRule="auto"/>
        <w:jc w:val="both"/>
      </w:pPr>
    </w:p>
    <w:p w:rsidR="006D127E" w:rsidRPr="00D636C7" w:rsidRDefault="006D127E" w:rsidP="00B103F5">
      <w:pPr>
        <w:spacing w:line="480" w:lineRule="auto"/>
        <w:jc w:val="both"/>
        <w:rPr>
          <w:b/>
        </w:rPr>
      </w:pPr>
    </w:p>
    <w:p w:rsidR="00811652" w:rsidRDefault="00811652" w:rsidP="00B103F5">
      <w:pPr>
        <w:spacing w:line="480" w:lineRule="auto"/>
        <w:jc w:val="both"/>
      </w:pPr>
    </w:p>
    <w:p w:rsidR="00B9228E" w:rsidRPr="00AE5E70" w:rsidRDefault="009C3C01" w:rsidP="00AE5E70">
      <w:pPr>
        <w:spacing w:line="480" w:lineRule="auto"/>
        <w:jc w:val="both"/>
      </w:pPr>
      <w:r>
        <w:rPr>
          <w:u w:val="single"/>
        </w:rPr>
        <w:t xml:space="preserve"> </w:t>
      </w:r>
    </w:p>
    <w:p w:rsidR="00B64709" w:rsidRDefault="00B64709" w:rsidP="00B9228E">
      <w:pPr>
        <w:rPr>
          <w:u w:val="single"/>
        </w:rPr>
      </w:pPr>
    </w:p>
    <w:p w:rsidR="00B64709" w:rsidRDefault="00B64709" w:rsidP="00B9228E">
      <w:pPr>
        <w:rPr>
          <w:u w:val="single"/>
        </w:rPr>
      </w:pPr>
    </w:p>
    <w:p w:rsidR="00B64709" w:rsidRDefault="00B64709" w:rsidP="00B9228E">
      <w:pPr>
        <w:rPr>
          <w:u w:val="single"/>
        </w:rPr>
      </w:pPr>
    </w:p>
    <w:p w:rsidR="00B64709" w:rsidRDefault="00B64709" w:rsidP="00B9228E">
      <w:pPr>
        <w:rPr>
          <w:u w:val="single"/>
        </w:rPr>
      </w:pPr>
    </w:p>
    <w:p w:rsidR="00B64709" w:rsidRDefault="00B64709"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356F31" w:rsidRDefault="00356F31" w:rsidP="00B9228E">
      <w:pPr>
        <w:rPr>
          <w:u w:val="single"/>
        </w:rPr>
      </w:pPr>
    </w:p>
    <w:p w:rsidR="00B9228E" w:rsidRDefault="00B9228E" w:rsidP="00B9228E">
      <w:pPr>
        <w:rPr>
          <w:u w:val="single"/>
        </w:rPr>
      </w:pPr>
      <w:bookmarkStart w:id="0" w:name="_GoBack"/>
      <w:bookmarkEnd w:id="0"/>
      <w:r>
        <w:rPr>
          <w:u w:val="single"/>
        </w:rPr>
        <w:lastRenderedPageBreak/>
        <w:t>Bibliography</w:t>
      </w:r>
    </w:p>
    <w:p w:rsidR="007E5513" w:rsidRPr="00BF6B41" w:rsidRDefault="007E5513" w:rsidP="00B9228E">
      <w:pPr>
        <w:jc w:val="both"/>
        <w:rPr>
          <w:iCs/>
          <w:sz w:val="18"/>
          <w:szCs w:val="18"/>
        </w:rPr>
      </w:pPr>
      <w:r>
        <w:rPr>
          <w:iCs/>
          <w:sz w:val="18"/>
          <w:szCs w:val="18"/>
        </w:rPr>
        <w:t>Cohn, S. ‘</w:t>
      </w:r>
      <w:r w:rsidRPr="00B03B3C">
        <w:rPr>
          <w:iCs/>
          <w:sz w:val="18"/>
          <w:szCs w:val="18"/>
        </w:rPr>
        <w:t>The Black Death: End of a Paradigm</w:t>
      </w:r>
      <w:r w:rsidR="00BF6B41">
        <w:rPr>
          <w:iCs/>
          <w:sz w:val="18"/>
          <w:szCs w:val="18"/>
        </w:rPr>
        <w:t xml:space="preserve">’, </w:t>
      </w:r>
      <w:r w:rsidR="00BF6B41">
        <w:rPr>
          <w:i/>
          <w:iCs/>
          <w:sz w:val="18"/>
          <w:szCs w:val="18"/>
        </w:rPr>
        <w:t xml:space="preserve">The American Historical Review, </w:t>
      </w:r>
      <w:r w:rsidR="00BF6B41" w:rsidRPr="00B03B3C">
        <w:rPr>
          <w:iCs/>
          <w:sz w:val="18"/>
          <w:szCs w:val="18"/>
        </w:rPr>
        <w:t>Vol. 107, No. 3 (June 2002), pp. 703-738</w:t>
      </w:r>
    </w:p>
    <w:p w:rsidR="007E5513" w:rsidRDefault="007E5513" w:rsidP="00B9228E">
      <w:pPr>
        <w:jc w:val="both"/>
        <w:rPr>
          <w:iCs/>
          <w:sz w:val="18"/>
          <w:szCs w:val="18"/>
        </w:rPr>
      </w:pPr>
      <w:bookmarkStart w:id="1" w:name="_Hlk505376869"/>
      <w:r>
        <w:rPr>
          <w:iCs/>
          <w:sz w:val="18"/>
          <w:szCs w:val="18"/>
        </w:rPr>
        <w:t xml:space="preserve">Courtenay, W. ‘The Effect of the Black Death on English Higher Education’, </w:t>
      </w:r>
      <w:r>
        <w:rPr>
          <w:i/>
          <w:iCs/>
          <w:sz w:val="18"/>
          <w:szCs w:val="18"/>
        </w:rPr>
        <w:t xml:space="preserve">Speculum, </w:t>
      </w:r>
      <w:r>
        <w:rPr>
          <w:iCs/>
          <w:sz w:val="18"/>
          <w:szCs w:val="18"/>
        </w:rPr>
        <w:t>Vol. 55, No. 4 (1980), pp</w:t>
      </w:r>
      <w:bookmarkEnd w:id="1"/>
      <w:r>
        <w:rPr>
          <w:iCs/>
          <w:sz w:val="18"/>
          <w:szCs w:val="18"/>
        </w:rPr>
        <w:t>. 696-714</w:t>
      </w:r>
    </w:p>
    <w:p w:rsidR="006E197E" w:rsidRPr="006E197E" w:rsidRDefault="006E197E" w:rsidP="00B9228E">
      <w:pPr>
        <w:jc w:val="both"/>
        <w:rPr>
          <w:iCs/>
          <w:sz w:val="18"/>
          <w:szCs w:val="18"/>
        </w:rPr>
      </w:pPr>
      <w:bookmarkStart w:id="2" w:name="_Hlk505376983"/>
      <w:r>
        <w:rPr>
          <w:iCs/>
          <w:sz w:val="18"/>
          <w:szCs w:val="18"/>
        </w:rPr>
        <w:t xml:space="preserve">Cressy, D. </w:t>
      </w:r>
      <w:r>
        <w:rPr>
          <w:i/>
          <w:iCs/>
          <w:sz w:val="18"/>
          <w:szCs w:val="18"/>
        </w:rPr>
        <w:t xml:space="preserve">Birth, Marriage and Death: Ritual, Religion and the Life-Cycle in Tudor and Stuart England </w:t>
      </w:r>
      <w:r>
        <w:rPr>
          <w:iCs/>
          <w:sz w:val="18"/>
          <w:szCs w:val="18"/>
        </w:rPr>
        <w:t>(Oxford: Oxford University Press 1997)</w:t>
      </w:r>
    </w:p>
    <w:p w:rsidR="00B9228E" w:rsidRDefault="00B9228E" w:rsidP="00B9228E">
      <w:pPr>
        <w:jc w:val="both"/>
        <w:rPr>
          <w:iCs/>
          <w:sz w:val="18"/>
          <w:szCs w:val="18"/>
        </w:rPr>
      </w:pPr>
      <w:bookmarkStart w:id="3" w:name="_Hlk505377090"/>
      <w:bookmarkEnd w:id="2"/>
      <w:proofErr w:type="spellStart"/>
      <w:r>
        <w:rPr>
          <w:iCs/>
          <w:sz w:val="18"/>
          <w:szCs w:val="18"/>
        </w:rPr>
        <w:t>Daniell</w:t>
      </w:r>
      <w:proofErr w:type="spellEnd"/>
      <w:r>
        <w:rPr>
          <w:iCs/>
          <w:sz w:val="18"/>
          <w:szCs w:val="18"/>
        </w:rPr>
        <w:t xml:space="preserve">, C. </w:t>
      </w:r>
      <w:r>
        <w:rPr>
          <w:i/>
          <w:iCs/>
          <w:sz w:val="18"/>
          <w:szCs w:val="18"/>
        </w:rPr>
        <w:t xml:space="preserve">Death and Burial in Medieval England 1066 -1550 </w:t>
      </w:r>
      <w:r>
        <w:rPr>
          <w:iCs/>
          <w:sz w:val="18"/>
          <w:szCs w:val="18"/>
        </w:rPr>
        <w:t xml:space="preserve">(London: </w:t>
      </w:r>
      <w:proofErr w:type="spellStart"/>
      <w:r>
        <w:rPr>
          <w:iCs/>
          <w:sz w:val="18"/>
          <w:szCs w:val="18"/>
        </w:rPr>
        <w:t>Routeledge</w:t>
      </w:r>
      <w:proofErr w:type="spellEnd"/>
      <w:r>
        <w:rPr>
          <w:iCs/>
          <w:sz w:val="18"/>
          <w:szCs w:val="18"/>
        </w:rPr>
        <w:t>, 1997)</w:t>
      </w:r>
      <w:bookmarkEnd w:id="3"/>
    </w:p>
    <w:p w:rsidR="00F047C7" w:rsidRPr="00F047C7" w:rsidRDefault="00F047C7" w:rsidP="00B9228E">
      <w:pPr>
        <w:jc w:val="both"/>
        <w:rPr>
          <w:iCs/>
          <w:sz w:val="18"/>
          <w:szCs w:val="18"/>
        </w:rPr>
      </w:pPr>
      <w:r>
        <w:rPr>
          <w:iCs/>
          <w:sz w:val="18"/>
          <w:szCs w:val="18"/>
        </w:rPr>
        <w:t xml:space="preserve">Hatcher, J. ‘England in the Aftermath of the Black Death’, </w:t>
      </w:r>
      <w:r>
        <w:rPr>
          <w:i/>
          <w:iCs/>
          <w:sz w:val="18"/>
          <w:szCs w:val="18"/>
        </w:rPr>
        <w:t>Past &amp; Present,</w:t>
      </w:r>
      <w:r>
        <w:rPr>
          <w:iCs/>
          <w:sz w:val="18"/>
          <w:szCs w:val="18"/>
        </w:rPr>
        <w:t xml:space="preserve"> No. 144 (1994), pp 3-35</w:t>
      </w:r>
    </w:p>
    <w:p w:rsidR="00611221" w:rsidRDefault="00AA669A" w:rsidP="00B9228E">
      <w:pPr>
        <w:jc w:val="both"/>
        <w:rPr>
          <w:iCs/>
          <w:sz w:val="18"/>
          <w:szCs w:val="18"/>
        </w:rPr>
      </w:pPr>
      <w:r>
        <w:rPr>
          <w:iCs/>
          <w:sz w:val="18"/>
          <w:szCs w:val="18"/>
        </w:rPr>
        <w:t xml:space="preserve">Keen, M. </w:t>
      </w:r>
      <w:r>
        <w:rPr>
          <w:i/>
          <w:iCs/>
          <w:sz w:val="18"/>
          <w:szCs w:val="18"/>
        </w:rPr>
        <w:t xml:space="preserve">English Society in the Later Middle Ages 1348 – 1500 </w:t>
      </w:r>
      <w:r>
        <w:rPr>
          <w:iCs/>
          <w:sz w:val="18"/>
          <w:szCs w:val="18"/>
        </w:rPr>
        <w:t>(London: Penguin Books, 1990)</w:t>
      </w:r>
    </w:p>
    <w:p w:rsidR="00350216" w:rsidRDefault="00350216" w:rsidP="00B9228E">
      <w:pPr>
        <w:jc w:val="both"/>
        <w:rPr>
          <w:iCs/>
          <w:sz w:val="18"/>
          <w:szCs w:val="18"/>
        </w:rPr>
      </w:pPr>
      <w:r w:rsidRPr="00350216">
        <w:rPr>
          <w:iCs/>
          <w:sz w:val="18"/>
          <w:szCs w:val="18"/>
        </w:rPr>
        <w:t>Lerner, R. ‘The Black Death and Western European Eschatological Mentalities’,</w:t>
      </w:r>
      <w:r>
        <w:rPr>
          <w:iCs/>
          <w:sz w:val="18"/>
          <w:szCs w:val="18"/>
        </w:rPr>
        <w:t xml:space="preserve"> </w:t>
      </w:r>
      <w:r w:rsidRPr="00350216">
        <w:rPr>
          <w:i/>
          <w:iCs/>
          <w:sz w:val="18"/>
          <w:szCs w:val="18"/>
        </w:rPr>
        <w:t>The American Historical Review</w:t>
      </w:r>
      <w:r w:rsidRPr="00350216">
        <w:rPr>
          <w:iCs/>
          <w:sz w:val="18"/>
          <w:szCs w:val="18"/>
        </w:rPr>
        <w:t>, Vol. 86, No. 3 (1981), pp. 533-552</w:t>
      </w:r>
    </w:p>
    <w:p w:rsidR="006002E0" w:rsidRPr="006002E0" w:rsidRDefault="006002E0" w:rsidP="00B9228E">
      <w:pPr>
        <w:jc w:val="both"/>
        <w:rPr>
          <w:iCs/>
          <w:sz w:val="18"/>
          <w:szCs w:val="18"/>
        </w:rPr>
      </w:pPr>
      <w:proofErr w:type="spellStart"/>
      <w:r>
        <w:rPr>
          <w:iCs/>
          <w:sz w:val="18"/>
          <w:szCs w:val="18"/>
        </w:rPr>
        <w:t>Menache</w:t>
      </w:r>
      <w:proofErr w:type="spellEnd"/>
      <w:r>
        <w:rPr>
          <w:iCs/>
          <w:sz w:val="18"/>
          <w:szCs w:val="18"/>
        </w:rPr>
        <w:t xml:space="preserve">, S. </w:t>
      </w:r>
      <w:r>
        <w:rPr>
          <w:i/>
          <w:iCs/>
          <w:sz w:val="18"/>
          <w:szCs w:val="18"/>
        </w:rPr>
        <w:t xml:space="preserve">Vox Dei, Communication in the Middle Ages </w:t>
      </w:r>
      <w:r>
        <w:rPr>
          <w:iCs/>
          <w:sz w:val="18"/>
          <w:szCs w:val="18"/>
        </w:rPr>
        <w:t>(Oxford: Oxford University Press, 1990)</w:t>
      </w:r>
    </w:p>
    <w:p w:rsidR="002B4F97" w:rsidRDefault="001612A4" w:rsidP="001612A4">
      <w:pPr>
        <w:spacing w:line="276" w:lineRule="auto"/>
        <w:jc w:val="both"/>
        <w:rPr>
          <w:sz w:val="18"/>
          <w:szCs w:val="18"/>
        </w:rPr>
      </w:pPr>
      <w:bookmarkStart w:id="4" w:name="_Hlk498726224"/>
      <w:proofErr w:type="spellStart"/>
      <w:r>
        <w:rPr>
          <w:sz w:val="18"/>
          <w:szCs w:val="18"/>
        </w:rPr>
        <w:t>Oosterwijk</w:t>
      </w:r>
      <w:proofErr w:type="spellEnd"/>
      <w:r>
        <w:rPr>
          <w:sz w:val="18"/>
          <w:szCs w:val="18"/>
        </w:rPr>
        <w:t xml:space="preserve">, S. ‘Food for Worms - Food for Thought: The appearance and interpretation of the ‘verminous’ cadaver in Britain and Europe’, </w:t>
      </w:r>
      <w:r>
        <w:rPr>
          <w:i/>
          <w:sz w:val="18"/>
          <w:szCs w:val="18"/>
        </w:rPr>
        <w:t xml:space="preserve">Church Monuments, </w:t>
      </w:r>
      <w:r>
        <w:rPr>
          <w:sz w:val="18"/>
          <w:szCs w:val="18"/>
        </w:rPr>
        <w:t>XX (2005),</w:t>
      </w:r>
      <w:r w:rsidR="00350216">
        <w:rPr>
          <w:sz w:val="18"/>
          <w:szCs w:val="18"/>
        </w:rPr>
        <w:t xml:space="preserve"> pp.</w:t>
      </w:r>
      <w:r>
        <w:rPr>
          <w:sz w:val="18"/>
          <w:szCs w:val="18"/>
        </w:rPr>
        <w:t xml:space="preserve"> </w:t>
      </w:r>
      <w:bookmarkEnd w:id="4"/>
      <w:r>
        <w:rPr>
          <w:sz w:val="18"/>
          <w:szCs w:val="18"/>
        </w:rPr>
        <w:t>40 – 80</w:t>
      </w:r>
    </w:p>
    <w:p w:rsidR="007E5513" w:rsidRPr="007E5513" w:rsidRDefault="007E5513" w:rsidP="001612A4">
      <w:pPr>
        <w:spacing w:line="276" w:lineRule="auto"/>
        <w:jc w:val="both"/>
        <w:rPr>
          <w:sz w:val="18"/>
          <w:szCs w:val="18"/>
        </w:rPr>
      </w:pPr>
      <w:r>
        <w:rPr>
          <w:sz w:val="18"/>
          <w:szCs w:val="18"/>
        </w:rPr>
        <w:t xml:space="preserve">Robbins, H. ‘A Comparison of the Effects of the Black Death on the Economic Organisation of France and England’, </w:t>
      </w:r>
      <w:r>
        <w:rPr>
          <w:i/>
          <w:sz w:val="18"/>
          <w:szCs w:val="18"/>
        </w:rPr>
        <w:t xml:space="preserve">Journal of Political Economy, </w:t>
      </w:r>
      <w:r>
        <w:rPr>
          <w:sz w:val="18"/>
          <w:szCs w:val="18"/>
        </w:rPr>
        <w:t>Vol. 63, No.4, (1928), pp. 447-479</w:t>
      </w:r>
    </w:p>
    <w:p w:rsidR="00B9228E" w:rsidRDefault="00B9228E" w:rsidP="00B9228E">
      <w:pPr>
        <w:jc w:val="both"/>
        <w:rPr>
          <w:iCs/>
          <w:sz w:val="18"/>
          <w:szCs w:val="18"/>
        </w:rPr>
      </w:pPr>
      <w:r>
        <w:rPr>
          <w:iCs/>
          <w:sz w:val="18"/>
          <w:szCs w:val="18"/>
        </w:rPr>
        <w:t xml:space="preserve">Southern, R.W. </w:t>
      </w:r>
      <w:r>
        <w:rPr>
          <w:i/>
          <w:iCs/>
          <w:sz w:val="18"/>
          <w:szCs w:val="18"/>
        </w:rPr>
        <w:t xml:space="preserve">Western Society and the Church in the Middle Ages </w:t>
      </w:r>
      <w:r>
        <w:rPr>
          <w:iCs/>
          <w:sz w:val="18"/>
          <w:szCs w:val="18"/>
        </w:rPr>
        <w:t>(London: Penguin Books, 1988)</w:t>
      </w:r>
    </w:p>
    <w:p w:rsidR="006E197E" w:rsidRDefault="006E197E" w:rsidP="00B9228E">
      <w:pPr>
        <w:jc w:val="both"/>
        <w:rPr>
          <w:iCs/>
          <w:sz w:val="18"/>
          <w:szCs w:val="18"/>
        </w:rPr>
      </w:pPr>
      <w:r>
        <w:rPr>
          <w:iCs/>
          <w:sz w:val="18"/>
          <w:szCs w:val="18"/>
        </w:rPr>
        <w:t xml:space="preserve">Zeigler, P. </w:t>
      </w:r>
      <w:r>
        <w:rPr>
          <w:i/>
          <w:iCs/>
          <w:sz w:val="18"/>
          <w:szCs w:val="18"/>
        </w:rPr>
        <w:t xml:space="preserve">The Black Death </w:t>
      </w:r>
      <w:r>
        <w:rPr>
          <w:iCs/>
          <w:sz w:val="18"/>
          <w:szCs w:val="18"/>
        </w:rPr>
        <w:t>(London: Collins, 1969)</w:t>
      </w:r>
      <w:r w:rsidR="00252CE6">
        <w:rPr>
          <w:iCs/>
          <w:sz w:val="18"/>
          <w:szCs w:val="18"/>
        </w:rPr>
        <w:t xml:space="preserve"> </w:t>
      </w:r>
    </w:p>
    <w:p w:rsidR="00AE5E70" w:rsidRDefault="00FB523D" w:rsidP="00B9228E">
      <w:pPr>
        <w:jc w:val="both"/>
        <w:rPr>
          <w:iCs/>
          <w:sz w:val="18"/>
          <w:szCs w:val="18"/>
        </w:rPr>
      </w:pPr>
      <w:r w:rsidRPr="00FB523D">
        <w:rPr>
          <w:iCs/>
          <w:sz w:val="18"/>
          <w:szCs w:val="18"/>
        </w:rPr>
        <w:t>White, A</w:t>
      </w:r>
      <w:r>
        <w:rPr>
          <w:iCs/>
          <w:sz w:val="18"/>
          <w:szCs w:val="18"/>
        </w:rPr>
        <w:t>.</w:t>
      </w:r>
      <w:r w:rsidRPr="00FB523D">
        <w:rPr>
          <w:iCs/>
          <w:sz w:val="18"/>
          <w:szCs w:val="18"/>
        </w:rPr>
        <w:t xml:space="preserve"> B</w:t>
      </w:r>
      <w:r>
        <w:rPr>
          <w:iCs/>
          <w:sz w:val="18"/>
          <w:szCs w:val="18"/>
        </w:rPr>
        <w:t>.</w:t>
      </w:r>
      <w:r w:rsidRPr="00FB523D">
        <w:rPr>
          <w:iCs/>
          <w:sz w:val="18"/>
          <w:szCs w:val="18"/>
        </w:rPr>
        <w:t xml:space="preserve"> and Wallace</w:t>
      </w:r>
      <w:r>
        <w:rPr>
          <w:iCs/>
          <w:sz w:val="18"/>
          <w:szCs w:val="18"/>
        </w:rPr>
        <w:t>,</w:t>
      </w:r>
      <w:r w:rsidRPr="00FB523D">
        <w:rPr>
          <w:iCs/>
          <w:sz w:val="18"/>
          <w:szCs w:val="18"/>
        </w:rPr>
        <w:t xml:space="preserve"> N</w:t>
      </w:r>
      <w:r>
        <w:rPr>
          <w:iCs/>
          <w:sz w:val="18"/>
          <w:szCs w:val="18"/>
        </w:rPr>
        <w:t>.</w:t>
      </w:r>
      <w:r w:rsidRPr="00FB523D">
        <w:rPr>
          <w:iCs/>
          <w:sz w:val="18"/>
          <w:szCs w:val="18"/>
        </w:rPr>
        <w:t>, eds</w:t>
      </w:r>
      <w:r w:rsidRPr="00FB523D">
        <w:rPr>
          <w:i/>
          <w:iCs/>
          <w:sz w:val="18"/>
          <w:szCs w:val="18"/>
        </w:rPr>
        <w:t>.</w:t>
      </w:r>
      <w:r>
        <w:rPr>
          <w:i/>
          <w:iCs/>
          <w:sz w:val="18"/>
          <w:szCs w:val="18"/>
        </w:rPr>
        <w:t xml:space="preserve"> </w:t>
      </w:r>
      <w:r>
        <w:rPr>
          <w:iCs/>
          <w:sz w:val="18"/>
          <w:szCs w:val="18"/>
        </w:rPr>
        <w:t>‘Ordinance of Labourers 1349’,</w:t>
      </w:r>
      <w:r w:rsidRPr="00FB523D">
        <w:rPr>
          <w:i/>
          <w:iCs/>
          <w:sz w:val="18"/>
          <w:szCs w:val="18"/>
        </w:rPr>
        <w:t xml:space="preserve"> Source Problems in English History</w:t>
      </w:r>
      <w:r w:rsidRPr="00FB523D">
        <w:rPr>
          <w:iCs/>
          <w:sz w:val="18"/>
          <w:szCs w:val="18"/>
        </w:rPr>
        <w:t>.</w:t>
      </w:r>
      <w:r w:rsidR="00350216">
        <w:rPr>
          <w:iCs/>
          <w:sz w:val="18"/>
          <w:szCs w:val="18"/>
        </w:rPr>
        <w:t xml:space="preserve"> </w:t>
      </w:r>
      <w:proofErr w:type="gramStart"/>
      <w:r>
        <w:rPr>
          <w:iCs/>
          <w:sz w:val="18"/>
          <w:szCs w:val="18"/>
        </w:rPr>
        <w:t>(</w:t>
      </w:r>
      <w:r w:rsidRPr="00FB523D">
        <w:rPr>
          <w:iCs/>
          <w:sz w:val="18"/>
          <w:szCs w:val="18"/>
        </w:rPr>
        <w:t xml:space="preserve"> New</w:t>
      </w:r>
      <w:proofErr w:type="gramEnd"/>
      <w:r w:rsidRPr="00FB523D">
        <w:rPr>
          <w:iCs/>
          <w:sz w:val="18"/>
          <w:szCs w:val="18"/>
        </w:rPr>
        <w:t xml:space="preserve"> York: Harper and Brothers Publishers, 1915</w:t>
      </w:r>
      <w:r>
        <w:rPr>
          <w:iCs/>
          <w:sz w:val="18"/>
          <w:szCs w:val="18"/>
        </w:rPr>
        <w:t>)</w:t>
      </w:r>
    </w:p>
    <w:p w:rsidR="004F384A" w:rsidRDefault="004F384A" w:rsidP="00B9228E">
      <w:pPr>
        <w:jc w:val="both"/>
        <w:rPr>
          <w:iCs/>
          <w:sz w:val="18"/>
          <w:szCs w:val="18"/>
        </w:rPr>
      </w:pPr>
    </w:p>
    <w:p w:rsidR="00B9228E" w:rsidRPr="00B9228E" w:rsidRDefault="007C6F4E" w:rsidP="00B9228E">
      <w:pPr>
        <w:rPr>
          <w:sz w:val="20"/>
          <w:szCs w:val="20"/>
        </w:rPr>
      </w:pPr>
      <w:r>
        <w:rPr>
          <w:sz w:val="20"/>
          <w:szCs w:val="20"/>
        </w:rPr>
        <w:t xml:space="preserve"> </w:t>
      </w:r>
      <w:r w:rsidR="0083219F">
        <w:rPr>
          <w:sz w:val="20"/>
          <w:szCs w:val="20"/>
        </w:rPr>
        <w:t xml:space="preserve"> </w:t>
      </w:r>
    </w:p>
    <w:sectPr w:rsidR="00B9228E" w:rsidRPr="00B9228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E1F56" w:rsidRDefault="006E1F56" w:rsidP="00641651">
      <w:pPr>
        <w:spacing w:after="0" w:line="240" w:lineRule="auto"/>
      </w:pPr>
      <w:r>
        <w:separator/>
      </w:r>
    </w:p>
  </w:endnote>
  <w:endnote w:type="continuationSeparator" w:id="0">
    <w:p w:rsidR="006E1F56" w:rsidRDefault="006E1F56" w:rsidP="006416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E1F56" w:rsidRDefault="006E1F56" w:rsidP="00641651">
      <w:pPr>
        <w:spacing w:after="0" w:line="240" w:lineRule="auto"/>
      </w:pPr>
      <w:r>
        <w:separator/>
      </w:r>
    </w:p>
  </w:footnote>
  <w:footnote w:type="continuationSeparator" w:id="0">
    <w:p w:rsidR="006E1F56" w:rsidRDefault="006E1F56" w:rsidP="00641651">
      <w:pPr>
        <w:spacing w:after="0" w:line="240" w:lineRule="auto"/>
      </w:pPr>
      <w:r>
        <w:continuationSeparator/>
      </w:r>
    </w:p>
  </w:footnote>
  <w:footnote w:id="1">
    <w:p w:rsidR="007E472D" w:rsidRPr="00B64709" w:rsidRDefault="007E472D" w:rsidP="00B64709">
      <w:pPr>
        <w:pStyle w:val="FootnoteText"/>
        <w:rPr>
          <w:rFonts w:cstheme="minorHAnsi"/>
          <w:sz w:val="16"/>
          <w:szCs w:val="16"/>
        </w:rPr>
      </w:pPr>
      <w:r w:rsidRPr="00F047C7">
        <w:rPr>
          <w:rStyle w:val="FootnoteReference"/>
          <w:sz w:val="16"/>
          <w:szCs w:val="16"/>
        </w:rPr>
        <w:footnoteRef/>
      </w:r>
      <w:r w:rsidRPr="00F047C7">
        <w:rPr>
          <w:sz w:val="16"/>
          <w:szCs w:val="16"/>
        </w:rPr>
        <w:t xml:space="preserve"> The pestilence w</w:t>
      </w:r>
      <w:r w:rsidRPr="00B64709">
        <w:rPr>
          <w:rFonts w:cstheme="minorHAnsi"/>
          <w:sz w:val="16"/>
          <w:szCs w:val="16"/>
        </w:rPr>
        <w:t xml:space="preserve">as widespread throughout many parts of the </w:t>
      </w:r>
      <w:proofErr w:type="gramStart"/>
      <w:r w:rsidRPr="00B64709">
        <w:rPr>
          <w:rFonts w:cstheme="minorHAnsi"/>
          <w:sz w:val="16"/>
          <w:szCs w:val="16"/>
        </w:rPr>
        <w:t>world</w:t>
      </w:r>
      <w:proofErr w:type="gramEnd"/>
      <w:r w:rsidRPr="00B64709">
        <w:rPr>
          <w:rFonts w:cstheme="minorHAnsi"/>
          <w:sz w:val="16"/>
          <w:szCs w:val="16"/>
        </w:rPr>
        <w:t xml:space="preserve"> but this essay will be focusing on the effects of plague chiefly within the western Christian world.</w:t>
      </w:r>
    </w:p>
  </w:footnote>
  <w:footnote w:id="2">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1997)</w:t>
      </w:r>
      <w:r w:rsidR="00B64709">
        <w:rPr>
          <w:rFonts w:cstheme="minorHAnsi"/>
          <w:iCs/>
          <w:sz w:val="16"/>
          <w:szCs w:val="16"/>
        </w:rPr>
        <w:t xml:space="preserve"> pp.</w:t>
      </w:r>
      <w:r w:rsidRPr="00B64709">
        <w:rPr>
          <w:rFonts w:cstheme="minorHAnsi"/>
          <w:sz w:val="16"/>
          <w:szCs w:val="16"/>
        </w:rPr>
        <w:t>193</w:t>
      </w:r>
    </w:p>
  </w:footnote>
  <w:footnote w:id="3">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iCs/>
          <w:sz w:val="16"/>
          <w:szCs w:val="16"/>
        </w:rPr>
        <w:t>pp.</w:t>
      </w:r>
      <w:r w:rsidRPr="00B64709">
        <w:rPr>
          <w:rFonts w:cstheme="minorHAnsi"/>
          <w:sz w:val="16"/>
          <w:szCs w:val="16"/>
        </w:rPr>
        <w:t xml:space="preserve"> 255</w:t>
      </w:r>
    </w:p>
  </w:footnote>
  <w:footnote w:id="4">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sz w:val="16"/>
          <w:szCs w:val="16"/>
        </w:rPr>
        <w:t xml:space="preserve">Robbins, H. ‘A Comparison of the Effects of the Black Death on the Economic Organisation of France and England’, </w:t>
      </w:r>
      <w:r w:rsidR="00B64709" w:rsidRPr="00B64709">
        <w:rPr>
          <w:rFonts w:cstheme="minorHAnsi"/>
          <w:i/>
          <w:sz w:val="16"/>
          <w:szCs w:val="16"/>
        </w:rPr>
        <w:t xml:space="preserve">Journal of Political Economy, </w:t>
      </w:r>
      <w:r w:rsidR="00B64709" w:rsidRPr="00B64709">
        <w:rPr>
          <w:rFonts w:cstheme="minorHAnsi"/>
          <w:sz w:val="16"/>
          <w:szCs w:val="16"/>
        </w:rPr>
        <w:t xml:space="preserve">Vol. 63, No.4, (1928), pp. </w:t>
      </w:r>
      <w:r w:rsidRPr="00B64709">
        <w:rPr>
          <w:rFonts w:cstheme="minorHAnsi"/>
          <w:sz w:val="16"/>
          <w:szCs w:val="16"/>
        </w:rPr>
        <w:t>449</w:t>
      </w:r>
    </w:p>
  </w:footnote>
  <w:footnote w:id="5">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iCs/>
          <w:sz w:val="16"/>
          <w:szCs w:val="16"/>
        </w:rPr>
        <w:t>pp.</w:t>
      </w:r>
      <w:r w:rsidRPr="00B64709">
        <w:rPr>
          <w:rFonts w:cstheme="minorHAnsi"/>
          <w:sz w:val="16"/>
          <w:szCs w:val="16"/>
        </w:rPr>
        <w:t xml:space="preserve"> 234</w:t>
      </w:r>
    </w:p>
  </w:footnote>
  <w:footnote w:id="6">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Hatcher, J. ‘England in the Aftermath of the Black Death’, </w:t>
      </w:r>
      <w:r w:rsidR="00BF6B41" w:rsidRPr="00B64709">
        <w:rPr>
          <w:rFonts w:cstheme="minorHAnsi"/>
          <w:i/>
          <w:iCs/>
          <w:sz w:val="16"/>
          <w:szCs w:val="16"/>
        </w:rPr>
        <w:t>Past &amp; Present,</w:t>
      </w:r>
      <w:r w:rsidR="00BF6B41" w:rsidRPr="00B64709">
        <w:rPr>
          <w:rFonts w:cstheme="minorHAnsi"/>
          <w:iCs/>
          <w:sz w:val="16"/>
          <w:szCs w:val="16"/>
        </w:rPr>
        <w:t xml:space="preserve"> No. 144 (1994), pp </w:t>
      </w:r>
      <w:r w:rsidRPr="00B64709">
        <w:rPr>
          <w:rFonts w:cstheme="minorHAnsi"/>
          <w:sz w:val="16"/>
          <w:szCs w:val="16"/>
        </w:rPr>
        <w:t xml:space="preserve">‘England in the aftermath of the </w:t>
      </w:r>
      <w:proofErr w:type="spellStart"/>
      <w:r w:rsidRPr="00B64709">
        <w:rPr>
          <w:rFonts w:cstheme="minorHAnsi"/>
          <w:sz w:val="16"/>
          <w:szCs w:val="16"/>
        </w:rPr>
        <w:t>blsck</w:t>
      </w:r>
      <w:proofErr w:type="spellEnd"/>
      <w:r w:rsidRPr="00B64709">
        <w:rPr>
          <w:rFonts w:cstheme="minorHAnsi"/>
          <w:sz w:val="16"/>
          <w:szCs w:val="16"/>
        </w:rPr>
        <w:t xml:space="preserve"> death’ </w:t>
      </w:r>
      <w:r w:rsidR="00B64709">
        <w:rPr>
          <w:rFonts w:cstheme="minorHAnsi"/>
          <w:sz w:val="16"/>
          <w:szCs w:val="16"/>
        </w:rPr>
        <w:t>p</w:t>
      </w:r>
      <w:r w:rsidRPr="00B64709">
        <w:rPr>
          <w:rFonts w:cstheme="minorHAnsi"/>
          <w:sz w:val="16"/>
          <w:szCs w:val="16"/>
        </w:rPr>
        <w:t>p12</w:t>
      </w:r>
    </w:p>
  </w:footnote>
  <w:footnote w:id="7">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Hatcher, J. ‘England in the Aftermath of the Black Death’, </w:t>
      </w:r>
      <w:r w:rsidR="00BF6B41" w:rsidRPr="00B64709">
        <w:rPr>
          <w:rFonts w:cstheme="minorHAnsi"/>
          <w:i/>
          <w:iCs/>
          <w:sz w:val="16"/>
          <w:szCs w:val="16"/>
        </w:rPr>
        <w:t>Past &amp; Present,</w:t>
      </w:r>
      <w:r w:rsidR="00BF6B41" w:rsidRPr="00B64709">
        <w:rPr>
          <w:rFonts w:cstheme="minorHAnsi"/>
          <w:iCs/>
          <w:sz w:val="16"/>
          <w:szCs w:val="16"/>
        </w:rPr>
        <w:t xml:space="preserve"> No. 144 (1994), pp</w:t>
      </w:r>
      <w:r w:rsidRPr="00B64709">
        <w:rPr>
          <w:rFonts w:cstheme="minorHAnsi"/>
          <w:sz w:val="16"/>
          <w:szCs w:val="16"/>
        </w:rPr>
        <w:t xml:space="preserve"> 1</w:t>
      </w:r>
    </w:p>
  </w:footnote>
  <w:footnote w:id="8">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Cressy, D. </w:t>
      </w:r>
      <w:r w:rsidR="00BF6B41" w:rsidRPr="00B64709">
        <w:rPr>
          <w:rFonts w:cstheme="minorHAnsi"/>
          <w:i/>
          <w:iCs/>
          <w:sz w:val="16"/>
          <w:szCs w:val="16"/>
        </w:rPr>
        <w:t xml:space="preserve">Birth, Marriage and Death: Ritual, Religion and the Life-Cycle in Tudor and Stuart England </w:t>
      </w:r>
      <w:r w:rsidR="00BF6B41" w:rsidRPr="00B64709">
        <w:rPr>
          <w:rFonts w:cstheme="minorHAnsi"/>
          <w:iCs/>
          <w:sz w:val="16"/>
          <w:szCs w:val="16"/>
        </w:rPr>
        <w:t>(Oxford: Oxford University Press 1997)</w:t>
      </w:r>
      <w:r w:rsidRPr="00B64709">
        <w:rPr>
          <w:rFonts w:cstheme="minorHAnsi"/>
          <w:sz w:val="16"/>
          <w:szCs w:val="16"/>
        </w:rPr>
        <w:t xml:space="preserve"> </w:t>
      </w:r>
      <w:r w:rsidR="00B64709">
        <w:rPr>
          <w:rFonts w:cstheme="minorHAnsi"/>
          <w:sz w:val="16"/>
          <w:szCs w:val="16"/>
        </w:rPr>
        <w:t>pp.</w:t>
      </w:r>
      <w:r w:rsidRPr="00B64709">
        <w:rPr>
          <w:rFonts w:cstheme="minorHAnsi"/>
          <w:sz w:val="16"/>
          <w:szCs w:val="16"/>
        </w:rPr>
        <w:t>379</w:t>
      </w:r>
    </w:p>
  </w:footnote>
  <w:footnote w:id="9">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Cressy, D. </w:t>
      </w:r>
      <w:r w:rsidR="00BF6B41" w:rsidRPr="00B64709">
        <w:rPr>
          <w:rFonts w:cstheme="minorHAnsi"/>
          <w:i/>
          <w:iCs/>
          <w:sz w:val="16"/>
          <w:szCs w:val="16"/>
        </w:rPr>
        <w:t xml:space="preserve">Birth, Marriage and Death: Ritual, Religion and the Life-Cycle in Tudor and Stuart England </w:t>
      </w:r>
      <w:r w:rsidR="00BF6B41" w:rsidRPr="00B64709">
        <w:rPr>
          <w:rFonts w:cstheme="minorHAnsi"/>
          <w:iCs/>
          <w:sz w:val="16"/>
          <w:szCs w:val="16"/>
        </w:rPr>
        <w:t>(Oxford: Oxford University Press 1997)</w:t>
      </w:r>
      <w:r w:rsidRPr="00B64709">
        <w:rPr>
          <w:rFonts w:cstheme="minorHAnsi"/>
          <w:sz w:val="16"/>
          <w:szCs w:val="16"/>
        </w:rPr>
        <w:t xml:space="preserve"> </w:t>
      </w:r>
      <w:r w:rsidR="00B64709">
        <w:rPr>
          <w:rFonts w:cstheme="minorHAnsi"/>
          <w:sz w:val="16"/>
          <w:szCs w:val="16"/>
        </w:rPr>
        <w:t>pp.</w:t>
      </w:r>
      <w:r w:rsidRPr="00B64709">
        <w:rPr>
          <w:rFonts w:cstheme="minorHAnsi"/>
          <w:sz w:val="16"/>
          <w:szCs w:val="16"/>
        </w:rPr>
        <w:t>379</w:t>
      </w:r>
    </w:p>
  </w:footnote>
  <w:footnote w:id="10">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1997)</w:t>
      </w:r>
    </w:p>
  </w:footnote>
  <w:footnote w:id="11">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iCs/>
          <w:sz w:val="16"/>
          <w:szCs w:val="16"/>
        </w:rPr>
        <w:t>pp.</w:t>
      </w:r>
      <w:proofErr w:type="gramEnd"/>
      <w:r w:rsidR="00B64709">
        <w:rPr>
          <w:rFonts w:cstheme="minorHAnsi"/>
          <w:iCs/>
          <w:sz w:val="16"/>
          <w:szCs w:val="16"/>
        </w:rPr>
        <w:t xml:space="preserve"> </w:t>
      </w:r>
      <w:r w:rsidRPr="00B64709">
        <w:rPr>
          <w:rFonts w:cstheme="minorHAnsi"/>
          <w:sz w:val="16"/>
          <w:szCs w:val="16"/>
        </w:rPr>
        <w:t>195</w:t>
      </w:r>
    </w:p>
  </w:footnote>
  <w:footnote w:id="12">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Pr="00B64709">
        <w:rPr>
          <w:rFonts w:cstheme="minorHAnsi"/>
          <w:sz w:val="16"/>
          <w:szCs w:val="16"/>
        </w:rPr>
        <w:t xml:space="preserve"> 709 </w:t>
      </w:r>
    </w:p>
  </w:footnote>
  <w:footnote w:id="13">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00BF6B41" w:rsidRPr="00B64709">
        <w:rPr>
          <w:rFonts w:cstheme="minorHAnsi"/>
          <w:sz w:val="16"/>
          <w:szCs w:val="16"/>
        </w:rPr>
        <w:t xml:space="preserve"> </w:t>
      </w:r>
      <w:r w:rsidRPr="00B64709">
        <w:rPr>
          <w:rFonts w:cstheme="minorHAnsi"/>
          <w:sz w:val="16"/>
          <w:szCs w:val="16"/>
        </w:rPr>
        <w:t xml:space="preserve">717 </w:t>
      </w:r>
    </w:p>
  </w:footnote>
  <w:footnote w:id="14">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00BF6B41" w:rsidRPr="00B64709">
        <w:rPr>
          <w:rFonts w:cstheme="minorHAnsi"/>
          <w:sz w:val="16"/>
          <w:szCs w:val="16"/>
        </w:rPr>
        <w:t xml:space="preserve"> </w:t>
      </w:r>
      <w:r w:rsidRPr="00B64709">
        <w:rPr>
          <w:rFonts w:cstheme="minorHAnsi"/>
          <w:sz w:val="16"/>
          <w:szCs w:val="16"/>
        </w:rPr>
        <w:t>717</w:t>
      </w:r>
    </w:p>
  </w:footnote>
  <w:footnote w:id="15">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Pr="00B64709">
        <w:rPr>
          <w:rFonts w:cstheme="minorHAnsi"/>
          <w:sz w:val="16"/>
          <w:szCs w:val="16"/>
        </w:rPr>
        <w:t xml:space="preserve"> 709</w:t>
      </w:r>
    </w:p>
  </w:footnote>
  <w:footnote w:id="16">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p>
  </w:footnote>
  <w:footnote w:id="17">
    <w:p w:rsidR="00B64709"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p>
    <w:p w:rsidR="007E472D" w:rsidRPr="00B64709" w:rsidRDefault="007E472D" w:rsidP="00B64709">
      <w:pPr>
        <w:pStyle w:val="FootnoteText"/>
        <w:rPr>
          <w:rFonts w:cstheme="minorHAnsi"/>
          <w:sz w:val="16"/>
          <w:szCs w:val="16"/>
        </w:rPr>
      </w:pPr>
      <w:r w:rsidRPr="00B64709">
        <w:rPr>
          <w:rFonts w:cstheme="minorHAnsi"/>
          <w:sz w:val="16"/>
          <w:szCs w:val="16"/>
        </w:rPr>
        <w:t xml:space="preserve"> 263</w:t>
      </w:r>
    </w:p>
  </w:footnote>
  <w:footnote w:id="18">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00BF6B41" w:rsidRPr="00B64709">
        <w:rPr>
          <w:rFonts w:cstheme="minorHAnsi"/>
          <w:sz w:val="16"/>
          <w:szCs w:val="16"/>
        </w:rPr>
        <w:t xml:space="preserve"> </w:t>
      </w:r>
      <w:r w:rsidRPr="00B64709">
        <w:rPr>
          <w:rFonts w:cstheme="minorHAnsi"/>
          <w:sz w:val="16"/>
          <w:szCs w:val="16"/>
        </w:rPr>
        <w:t>712 HE</w:t>
      </w:r>
    </w:p>
  </w:footnote>
  <w:footnote w:id="19">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Pr="00B64709">
        <w:rPr>
          <w:rFonts w:cstheme="minorHAnsi"/>
          <w:sz w:val="16"/>
          <w:szCs w:val="16"/>
        </w:rPr>
        <w:t xml:space="preserve"> 712</w:t>
      </w:r>
    </w:p>
  </w:footnote>
  <w:footnote w:id="20">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Pr="00B64709">
        <w:rPr>
          <w:rFonts w:cstheme="minorHAnsi"/>
          <w:sz w:val="16"/>
          <w:szCs w:val="16"/>
        </w:rPr>
        <w:t xml:space="preserve"> 706</w:t>
      </w:r>
    </w:p>
  </w:footnote>
  <w:footnote w:id="21">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Courtenay, W. ‘The Effect of the Black Death on English Higher Education’, </w:t>
      </w:r>
      <w:r w:rsidR="00BF6B41" w:rsidRPr="00B64709">
        <w:rPr>
          <w:rFonts w:cstheme="minorHAnsi"/>
          <w:i/>
          <w:iCs/>
          <w:sz w:val="16"/>
          <w:szCs w:val="16"/>
        </w:rPr>
        <w:t xml:space="preserve">Speculum, </w:t>
      </w:r>
      <w:r w:rsidR="00BF6B41" w:rsidRPr="00B64709">
        <w:rPr>
          <w:rFonts w:cstheme="minorHAnsi"/>
          <w:iCs/>
          <w:sz w:val="16"/>
          <w:szCs w:val="16"/>
        </w:rPr>
        <w:t>Vol. 55, No. 4 (1980), pp</w:t>
      </w:r>
      <w:r w:rsidRPr="00B64709">
        <w:rPr>
          <w:rFonts w:cstheme="minorHAnsi"/>
          <w:sz w:val="16"/>
          <w:szCs w:val="16"/>
        </w:rPr>
        <w:t xml:space="preserve"> 711</w:t>
      </w:r>
    </w:p>
  </w:footnote>
  <w:footnote w:id="22">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iCs/>
          <w:sz w:val="16"/>
          <w:szCs w:val="16"/>
        </w:rPr>
        <w:t>pp.</w:t>
      </w:r>
      <w:proofErr w:type="gramEnd"/>
      <w:r w:rsidRPr="00B64709">
        <w:rPr>
          <w:rFonts w:cstheme="minorHAnsi"/>
          <w:sz w:val="16"/>
          <w:szCs w:val="16"/>
        </w:rPr>
        <w:t>176</w:t>
      </w:r>
    </w:p>
  </w:footnote>
  <w:footnote w:id="23">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sz w:val="16"/>
          <w:szCs w:val="16"/>
        </w:rPr>
        <w:t>pp.</w:t>
      </w:r>
      <w:r w:rsidRPr="00B64709">
        <w:rPr>
          <w:rFonts w:cstheme="minorHAnsi"/>
          <w:sz w:val="16"/>
          <w:szCs w:val="16"/>
        </w:rPr>
        <w:t>260</w:t>
      </w:r>
    </w:p>
  </w:footnote>
  <w:footnote w:id="24">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iCs/>
          <w:sz w:val="16"/>
          <w:szCs w:val="16"/>
        </w:rPr>
        <w:t>pp.</w:t>
      </w:r>
      <w:r w:rsidRPr="00B64709">
        <w:rPr>
          <w:rFonts w:cstheme="minorHAnsi"/>
          <w:sz w:val="16"/>
          <w:szCs w:val="16"/>
        </w:rPr>
        <w:t>260</w:t>
      </w:r>
    </w:p>
  </w:footnote>
  <w:footnote w:id="25">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1997)</w:t>
      </w:r>
    </w:p>
  </w:footnote>
  <w:footnote w:id="26">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Cressy, D. </w:t>
      </w:r>
      <w:r w:rsidR="00BF6B41" w:rsidRPr="00B64709">
        <w:rPr>
          <w:rFonts w:cstheme="minorHAnsi"/>
          <w:i/>
          <w:iCs/>
          <w:sz w:val="16"/>
          <w:szCs w:val="16"/>
        </w:rPr>
        <w:t xml:space="preserve">Birth, Marriage and Death: Ritual, Religion and the Life-Cycle in Tudor and Stuart England </w:t>
      </w:r>
      <w:r w:rsidR="00BF6B41" w:rsidRPr="00B64709">
        <w:rPr>
          <w:rFonts w:cstheme="minorHAnsi"/>
          <w:iCs/>
          <w:sz w:val="16"/>
          <w:szCs w:val="16"/>
        </w:rPr>
        <w:t>(Oxford: Oxford University Press 1997)</w:t>
      </w:r>
      <w:r w:rsidR="00B64709">
        <w:rPr>
          <w:rFonts w:cstheme="minorHAnsi"/>
          <w:iCs/>
          <w:sz w:val="16"/>
          <w:szCs w:val="16"/>
        </w:rPr>
        <w:t xml:space="preserve"> </w:t>
      </w:r>
      <w:r w:rsidR="00B64709">
        <w:rPr>
          <w:rFonts w:cstheme="minorHAnsi"/>
          <w:sz w:val="16"/>
          <w:szCs w:val="16"/>
        </w:rPr>
        <w:t>pp.</w:t>
      </w:r>
      <w:r w:rsidRPr="00B64709">
        <w:rPr>
          <w:rFonts w:cstheme="minorHAnsi"/>
          <w:sz w:val="16"/>
          <w:szCs w:val="16"/>
        </w:rPr>
        <w:t xml:space="preserve"> 386</w:t>
      </w:r>
    </w:p>
  </w:footnote>
  <w:footnote w:id="27">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F6B41" w:rsidRPr="00B64709">
        <w:rPr>
          <w:rFonts w:cstheme="minorHAnsi"/>
          <w:iCs/>
          <w:sz w:val="16"/>
          <w:szCs w:val="16"/>
        </w:rPr>
        <w:t xml:space="preserve">Cressy, D. </w:t>
      </w:r>
      <w:r w:rsidR="00BF6B41" w:rsidRPr="00B64709">
        <w:rPr>
          <w:rFonts w:cstheme="minorHAnsi"/>
          <w:i/>
          <w:iCs/>
          <w:sz w:val="16"/>
          <w:szCs w:val="16"/>
        </w:rPr>
        <w:t xml:space="preserve">Birth, Marriage and Death: Ritual, Religion and the Life-Cycle in Tudor and Stuart England </w:t>
      </w:r>
      <w:r w:rsidR="00BF6B41" w:rsidRPr="00B64709">
        <w:rPr>
          <w:rFonts w:cstheme="minorHAnsi"/>
          <w:iCs/>
          <w:sz w:val="16"/>
          <w:szCs w:val="16"/>
        </w:rPr>
        <w:t>(Oxford: Oxford University Press 1997)</w:t>
      </w:r>
      <w:r w:rsidR="00B64709">
        <w:rPr>
          <w:rFonts w:cstheme="minorHAnsi"/>
          <w:iCs/>
          <w:sz w:val="16"/>
          <w:szCs w:val="16"/>
        </w:rPr>
        <w:t xml:space="preserve"> </w:t>
      </w:r>
      <w:r w:rsidR="00B64709">
        <w:rPr>
          <w:rFonts w:cstheme="minorHAnsi"/>
          <w:sz w:val="16"/>
          <w:szCs w:val="16"/>
        </w:rPr>
        <w:t>pp.</w:t>
      </w:r>
      <w:r w:rsidRPr="00B64709">
        <w:rPr>
          <w:rFonts w:cstheme="minorHAnsi"/>
          <w:sz w:val="16"/>
          <w:szCs w:val="16"/>
        </w:rPr>
        <w:t xml:space="preserve"> 385</w:t>
      </w:r>
    </w:p>
  </w:footnote>
  <w:footnote w:id="28">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1997)</w:t>
      </w:r>
      <w:r w:rsidR="00B64709">
        <w:rPr>
          <w:rFonts w:cstheme="minorHAnsi"/>
          <w:iCs/>
          <w:sz w:val="16"/>
          <w:szCs w:val="16"/>
        </w:rPr>
        <w:t xml:space="preserve"> pp.</w:t>
      </w:r>
      <w:r w:rsidRPr="00B64709">
        <w:rPr>
          <w:rFonts w:cstheme="minorHAnsi"/>
          <w:sz w:val="16"/>
          <w:szCs w:val="16"/>
        </w:rPr>
        <w:t xml:space="preserve"> 195</w:t>
      </w:r>
    </w:p>
  </w:footnote>
  <w:footnote w:id="29">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1997)</w:t>
      </w:r>
      <w:r w:rsidR="00B64709">
        <w:rPr>
          <w:rFonts w:cstheme="minorHAnsi"/>
          <w:iCs/>
          <w:sz w:val="16"/>
          <w:szCs w:val="16"/>
        </w:rPr>
        <w:t xml:space="preserve"> pp.</w:t>
      </w:r>
      <w:r w:rsidRPr="00B64709">
        <w:rPr>
          <w:rFonts w:cstheme="minorHAnsi"/>
          <w:sz w:val="16"/>
          <w:szCs w:val="16"/>
        </w:rPr>
        <w:t xml:space="preserve"> 194</w:t>
      </w:r>
    </w:p>
  </w:footnote>
  <w:footnote w:id="30">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64709" w:rsidRPr="00B64709">
        <w:rPr>
          <w:rFonts w:cstheme="minorHAnsi"/>
          <w:sz w:val="16"/>
          <w:szCs w:val="16"/>
        </w:rPr>
        <w:t>Oosterwijk</w:t>
      </w:r>
      <w:proofErr w:type="spellEnd"/>
      <w:r w:rsidR="00B64709" w:rsidRPr="00B64709">
        <w:rPr>
          <w:rFonts w:cstheme="minorHAnsi"/>
          <w:sz w:val="16"/>
          <w:szCs w:val="16"/>
        </w:rPr>
        <w:t xml:space="preserve">, S. ‘Food for Worms - Food for Thought: The appearance and interpretation of the ‘verminous’ cadaver in Britain and Europe’, </w:t>
      </w:r>
      <w:r w:rsidR="00B64709" w:rsidRPr="00B64709">
        <w:rPr>
          <w:rFonts w:cstheme="minorHAnsi"/>
          <w:i/>
          <w:sz w:val="16"/>
          <w:szCs w:val="16"/>
        </w:rPr>
        <w:t xml:space="preserve">Church Monuments, </w:t>
      </w:r>
      <w:r w:rsidR="00B64709" w:rsidRPr="00B64709">
        <w:rPr>
          <w:rFonts w:cstheme="minorHAnsi"/>
          <w:sz w:val="16"/>
          <w:szCs w:val="16"/>
        </w:rPr>
        <w:t>XX (2005), pp</w:t>
      </w:r>
      <w:r w:rsidRPr="00B64709">
        <w:rPr>
          <w:rFonts w:cstheme="minorHAnsi"/>
          <w:sz w:val="16"/>
          <w:szCs w:val="16"/>
        </w:rPr>
        <w:t xml:space="preserve"> 46</w:t>
      </w:r>
    </w:p>
  </w:footnote>
  <w:footnote w:id="31">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1997)</w:t>
      </w:r>
      <w:r w:rsidR="00B64709">
        <w:rPr>
          <w:rFonts w:cstheme="minorHAnsi"/>
          <w:iCs/>
          <w:sz w:val="16"/>
          <w:szCs w:val="16"/>
        </w:rPr>
        <w:t xml:space="preserve"> pp.</w:t>
      </w:r>
      <w:r w:rsidRPr="00B64709">
        <w:rPr>
          <w:rFonts w:cstheme="minorHAnsi"/>
          <w:sz w:val="16"/>
          <w:szCs w:val="16"/>
        </w:rPr>
        <w:t xml:space="preserve"> 71</w:t>
      </w:r>
    </w:p>
  </w:footnote>
  <w:footnote w:id="32">
    <w:p w:rsidR="007E472D" w:rsidRPr="00B64709" w:rsidRDefault="007E472D" w:rsidP="00B64709">
      <w:pPr>
        <w:pStyle w:val="FootnoteText"/>
        <w:rPr>
          <w:rFonts w:cstheme="minorHAnsi"/>
          <w:sz w:val="16"/>
          <w:szCs w:val="16"/>
        </w:rPr>
      </w:pPr>
      <w:r w:rsidRPr="00B64709">
        <w:rPr>
          <w:rStyle w:val="FootnoteReference"/>
          <w:rFonts w:cstheme="minorHAnsi"/>
          <w:sz w:val="16"/>
          <w:szCs w:val="16"/>
        </w:rPr>
        <w:footnoteRef/>
      </w:r>
      <w:proofErr w:type="spellStart"/>
      <w:r w:rsidR="00B64709" w:rsidRPr="00B64709">
        <w:rPr>
          <w:rFonts w:cstheme="minorHAnsi"/>
          <w:sz w:val="16"/>
          <w:szCs w:val="16"/>
        </w:rPr>
        <w:t>Oosterwijk</w:t>
      </w:r>
      <w:proofErr w:type="spellEnd"/>
      <w:r w:rsidR="00B64709" w:rsidRPr="00B64709">
        <w:rPr>
          <w:rFonts w:cstheme="minorHAnsi"/>
          <w:sz w:val="16"/>
          <w:szCs w:val="16"/>
        </w:rPr>
        <w:t xml:space="preserve">, S. ‘Food for Worms - Food for Thought: The appearance and interpretation of the ‘verminous’ cadaver in Britain and Europe’, </w:t>
      </w:r>
      <w:r w:rsidR="00B64709" w:rsidRPr="00B64709">
        <w:rPr>
          <w:rFonts w:cstheme="minorHAnsi"/>
          <w:i/>
          <w:sz w:val="16"/>
          <w:szCs w:val="16"/>
        </w:rPr>
        <w:t xml:space="preserve">Church Monuments, </w:t>
      </w:r>
      <w:r w:rsidR="00B64709" w:rsidRPr="00B64709">
        <w:rPr>
          <w:rFonts w:cstheme="minorHAnsi"/>
          <w:sz w:val="16"/>
          <w:szCs w:val="16"/>
        </w:rPr>
        <w:t>XX (2005), pp</w:t>
      </w:r>
      <w:r w:rsidR="00B64709" w:rsidRPr="00B64709">
        <w:rPr>
          <w:rFonts w:cstheme="minorHAnsi"/>
          <w:sz w:val="16"/>
          <w:szCs w:val="16"/>
        </w:rPr>
        <w:t xml:space="preserve"> </w:t>
      </w:r>
      <w:r w:rsidRPr="00B64709">
        <w:rPr>
          <w:rFonts w:cstheme="minorHAnsi"/>
          <w:sz w:val="16"/>
          <w:szCs w:val="16"/>
        </w:rPr>
        <w:t>43</w:t>
      </w:r>
    </w:p>
  </w:footnote>
  <w:footnote w:id="33">
    <w:p w:rsidR="00B85900" w:rsidRPr="00B64709" w:rsidRDefault="00B85900"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sz w:val="16"/>
          <w:szCs w:val="16"/>
        </w:rPr>
        <w:t>pp.</w:t>
      </w:r>
      <w:proofErr w:type="gramEnd"/>
      <w:r w:rsidRPr="00B64709">
        <w:rPr>
          <w:rFonts w:cstheme="minorHAnsi"/>
          <w:sz w:val="16"/>
          <w:szCs w:val="16"/>
        </w:rPr>
        <w:t xml:space="preserve"> 133</w:t>
      </w:r>
    </w:p>
  </w:footnote>
  <w:footnote w:id="34">
    <w:p w:rsidR="00B85900" w:rsidRPr="00B64709" w:rsidRDefault="00B85900"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sz w:val="16"/>
          <w:szCs w:val="16"/>
        </w:rPr>
        <w:t>pp.</w:t>
      </w:r>
      <w:r w:rsidRPr="00B64709">
        <w:rPr>
          <w:rFonts w:cstheme="minorHAnsi"/>
          <w:sz w:val="16"/>
          <w:szCs w:val="16"/>
        </w:rPr>
        <w:t xml:space="preserve">238 </w:t>
      </w:r>
    </w:p>
  </w:footnote>
  <w:footnote w:id="35">
    <w:p w:rsidR="007E472D" w:rsidRPr="00B64709" w:rsidRDefault="007E472D"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sz w:val="16"/>
          <w:szCs w:val="16"/>
        </w:rPr>
        <w:t>pp.</w:t>
      </w:r>
      <w:r w:rsidRPr="00B64709">
        <w:rPr>
          <w:rFonts w:cstheme="minorHAnsi"/>
          <w:sz w:val="16"/>
          <w:szCs w:val="16"/>
        </w:rPr>
        <w:t xml:space="preserve">238 </w:t>
      </w:r>
    </w:p>
  </w:footnote>
  <w:footnote w:id="36">
    <w:p w:rsidR="00B85900" w:rsidRPr="00B64709" w:rsidRDefault="00B85900"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sz w:val="16"/>
          <w:szCs w:val="16"/>
        </w:rPr>
        <w:t>pp.</w:t>
      </w:r>
      <w:r w:rsidRPr="00B64709">
        <w:rPr>
          <w:rFonts w:cstheme="minorHAnsi"/>
          <w:sz w:val="16"/>
          <w:szCs w:val="16"/>
        </w:rPr>
        <w:t xml:space="preserve">247 </w:t>
      </w:r>
    </w:p>
  </w:footnote>
  <w:footnote w:id="37">
    <w:p w:rsidR="0058243B" w:rsidRPr="00B64709" w:rsidRDefault="0058243B"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iCs/>
          <w:sz w:val="16"/>
          <w:szCs w:val="16"/>
        </w:rPr>
        <w:t>pp.</w:t>
      </w:r>
      <w:r w:rsidRPr="00B64709">
        <w:rPr>
          <w:rFonts w:cstheme="minorHAnsi"/>
          <w:sz w:val="16"/>
          <w:szCs w:val="16"/>
        </w:rPr>
        <w:t xml:space="preserve"> 225</w:t>
      </w:r>
    </w:p>
  </w:footnote>
  <w:footnote w:id="38">
    <w:p w:rsidR="0058243B" w:rsidRPr="00B64709" w:rsidRDefault="0058243B"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Menache</w:t>
      </w:r>
      <w:proofErr w:type="spellEnd"/>
      <w:r w:rsidR="00BF6B41" w:rsidRPr="00B64709">
        <w:rPr>
          <w:rFonts w:cstheme="minorHAnsi"/>
          <w:iCs/>
          <w:sz w:val="16"/>
          <w:szCs w:val="16"/>
        </w:rPr>
        <w:t xml:space="preserve">, S. </w:t>
      </w:r>
      <w:r w:rsidR="00BF6B41" w:rsidRPr="00B64709">
        <w:rPr>
          <w:rFonts w:cstheme="minorHAnsi"/>
          <w:i/>
          <w:iCs/>
          <w:sz w:val="16"/>
          <w:szCs w:val="16"/>
        </w:rPr>
        <w:t xml:space="preserve">Vox Dei, Communication in the Middle Ages </w:t>
      </w:r>
      <w:r w:rsidR="00BF6B41" w:rsidRPr="00B64709">
        <w:rPr>
          <w:rFonts w:cstheme="minorHAnsi"/>
          <w:iCs/>
          <w:sz w:val="16"/>
          <w:szCs w:val="16"/>
        </w:rPr>
        <w:t>(Oxford: Oxford University Press, 1990)</w:t>
      </w:r>
      <w:r w:rsidRPr="00B64709">
        <w:rPr>
          <w:rFonts w:cstheme="minorHAnsi"/>
          <w:sz w:val="16"/>
          <w:szCs w:val="16"/>
        </w:rPr>
        <w:t xml:space="preserve"> </w:t>
      </w:r>
      <w:r w:rsidR="00B64709">
        <w:rPr>
          <w:rFonts w:cstheme="minorHAnsi"/>
          <w:sz w:val="16"/>
          <w:szCs w:val="16"/>
        </w:rPr>
        <w:t>pp.</w:t>
      </w:r>
      <w:r w:rsidRPr="00B64709">
        <w:rPr>
          <w:rFonts w:cstheme="minorHAnsi"/>
          <w:sz w:val="16"/>
          <w:szCs w:val="16"/>
        </w:rPr>
        <w:t>82</w:t>
      </w:r>
    </w:p>
  </w:footnote>
  <w:footnote w:id="39">
    <w:p w:rsidR="0058243B" w:rsidRPr="00B64709" w:rsidRDefault="0058243B"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Menache</w:t>
      </w:r>
      <w:proofErr w:type="spellEnd"/>
      <w:r w:rsidR="00BF6B41" w:rsidRPr="00B64709">
        <w:rPr>
          <w:rFonts w:cstheme="minorHAnsi"/>
          <w:iCs/>
          <w:sz w:val="16"/>
          <w:szCs w:val="16"/>
        </w:rPr>
        <w:t xml:space="preserve">, S. </w:t>
      </w:r>
      <w:r w:rsidR="00BF6B41" w:rsidRPr="00B64709">
        <w:rPr>
          <w:rFonts w:cstheme="minorHAnsi"/>
          <w:i/>
          <w:iCs/>
          <w:sz w:val="16"/>
          <w:szCs w:val="16"/>
        </w:rPr>
        <w:t xml:space="preserve">Vox Dei, Communication in the Middle Ages </w:t>
      </w:r>
      <w:r w:rsidR="00BF6B41" w:rsidRPr="00B64709">
        <w:rPr>
          <w:rFonts w:cstheme="minorHAnsi"/>
          <w:iCs/>
          <w:sz w:val="16"/>
          <w:szCs w:val="16"/>
        </w:rPr>
        <w:t xml:space="preserve">(Oxford: Oxford University Press, </w:t>
      </w:r>
      <w:proofErr w:type="gramStart"/>
      <w:r w:rsidR="00BF6B41" w:rsidRPr="00B64709">
        <w:rPr>
          <w:rFonts w:cstheme="minorHAnsi"/>
          <w:iCs/>
          <w:sz w:val="16"/>
          <w:szCs w:val="16"/>
        </w:rPr>
        <w:t>1990)</w:t>
      </w:r>
      <w:r w:rsidR="00B64709">
        <w:rPr>
          <w:rFonts w:cstheme="minorHAnsi"/>
          <w:sz w:val="16"/>
          <w:szCs w:val="16"/>
        </w:rPr>
        <w:t>pp.</w:t>
      </w:r>
      <w:proofErr w:type="gramEnd"/>
      <w:r w:rsidRPr="00B64709">
        <w:rPr>
          <w:rFonts w:cstheme="minorHAnsi"/>
          <w:sz w:val="16"/>
          <w:szCs w:val="16"/>
        </w:rPr>
        <w:t xml:space="preserve"> 82</w:t>
      </w:r>
    </w:p>
  </w:footnote>
  <w:footnote w:id="40">
    <w:p w:rsidR="0058243B" w:rsidRPr="00B64709" w:rsidRDefault="0058243B"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Pr="00B64709">
        <w:rPr>
          <w:rFonts w:cstheme="minorHAnsi"/>
          <w:sz w:val="16"/>
          <w:szCs w:val="16"/>
        </w:rPr>
        <w:t>l</w:t>
      </w:r>
      <w:proofErr w:type="gramEnd"/>
      <w:r w:rsidRPr="00B64709">
        <w:rPr>
          <w:rFonts w:cstheme="minorHAnsi"/>
          <w:sz w:val="16"/>
          <w:szCs w:val="16"/>
        </w:rPr>
        <w:t xml:space="preserve"> </w:t>
      </w:r>
      <w:r w:rsidR="00B64709">
        <w:rPr>
          <w:rFonts w:cstheme="minorHAnsi"/>
          <w:sz w:val="16"/>
          <w:szCs w:val="16"/>
        </w:rPr>
        <w:t>pp.</w:t>
      </w:r>
      <w:r w:rsidRPr="00B64709">
        <w:rPr>
          <w:rFonts w:cstheme="minorHAnsi"/>
          <w:sz w:val="16"/>
          <w:szCs w:val="16"/>
        </w:rPr>
        <w:t>183</w:t>
      </w:r>
    </w:p>
  </w:footnote>
  <w:footnote w:id="41">
    <w:p w:rsidR="0058243B" w:rsidRPr="00B64709" w:rsidRDefault="0058243B"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sz w:val="16"/>
          <w:szCs w:val="16"/>
        </w:rPr>
        <w:t>pp.</w:t>
      </w:r>
      <w:proofErr w:type="gramEnd"/>
      <w:r w:rsidRPr="00B64709">
        <w:rPr>
          <w:rFonts w:cstheme="minorHAnsi"/>
          <w:sz w:val="16"/>
          <w:szCs w:val="16"/>
        </w:rPr>
        <w:t xml:space="preserve"> 191</w:t>
      </w:r>
    </w:p>
  </w:footnote>
  <w:footnote w:id="42">
    <w:p w:rsidR="0058243B" w:rsidRPr="00B64709" w:rsidRDefault="0058243B"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sz w:val="16"/>
          <w:szCs w:val="16"/>
        </w:rPr>
        <w:t>pp.</w:t>
      </w:r>
      <w:proofErr w:type="gramEnd"/>
      <w:r w:rsidRPr="00B64709">
        <w:rPr>
          <w:rFonts w:cstheme="minorHAnsi"/>
          <w:sz w:val="16"/>
          <w:szCs w:val="16"/>
        </w:rPr>
        <w:t>181</w:t>
      </w:r>
    </w:p>
  </w:footnote>
  <w:footnote w:id="43">
    <w:p w:rsidR="00C25C1B" w:rsidRPr="00B64709" w:rsidRDefault="00C25C1B" w:rsidP="00B64709">
      <w:pPr>
        <w:pStyle w:val="FootnoteText"/>
        <w:rPr>
          <w:rFonts w:cstheme="minorHAnsi"/>
          <w:sz w:val="16"/>
          <w:szCs w:val="16"/>
        </w:rPr>
      </w:pPr>
      <w:r w:rsidRPr="00B64709">
        <w:rPr>
          <w:rStyle w:val="FootnoteReference"/>
          <w:rFonts w:cstheme="minorHAnsi"/>
          <w:sz w:val="16"/>
          <w:szCs w:val="16"/>
        </w:rPr>
        <w:footnoteRef/>
      </w:r>
      <w:r w:rsidRPr="00B64709">
        <w:rPr>
          <w:rFonts w:cstheme="minorHAnsi"/>
          <w:sz w:val="16"/>
          <w:szCs w:val="16"/>
        </w:rPr>
        <w:t xml:space="preserve"> </w:t>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iCs/>
          <w:sz w:val="16"/>
          <w:szCs w:val="16"/>
        </w:rPr>
        <w:t>pp.</w:t>
      </w:r>
      <w:proofErr w:type="gramEnd"/>
      <w:r w:rsidRPr="00B64709">
        <w:rPr>
          <w:rFonts w:cstheme="minorHAnsi"/>
          <w:sz w:val="16"/>
          <w:szCs w:val="16"/>
        </w:rPr>
        <w:t xml:space="preserve"> 192</w:t>
      </w:r>
    </w:p>
  </w:footnote>
  <w:footnote w:id="44">
    <w:p w:rsidR="00C25C1B" w:rsidRPr="00B64709" w:rsidRDefault="00C25C1B" w:rsidP="00B64709">
      <w:pPr>
        <w:pStyle w:val="FootnoteText"/>
        <w:rPr>
          <w:rFonts w:cstheme="minorHAnsi"/>
          <w:sz w:val="16"/>
          <w:szCs w:val="16"/>
        </w:rPr>
      </w:pPr>
      <w:r w:rsidRPr="00B64709">
        <w:rPr>
          <w:rStyle w:val="FootnoteReference"/>
          <w:rFonts w:cstheme="minorHAnsi"/>
          <w:sz w:val="16"/>
          <w:szCs w:val="16"/>
        </w:rPr>
        <w:footnoteRef/>
      </w:r>
      <w:proofErr w:type="spellStart"/>
      <w:r w:rsidR="00BF6B41" w:rsidRPr="00B64709">
        <w:rPr>
          <w:rFonts w:cstheme="minorHAnsi"/>
          <w:iCs/>
          <w:sz w:val="16"/>
          <w:szCs w:val="16"/>
        </w:rPr>
        <w:t>Daniell</w:t>
      </w:r>
      <w:proofErr w:type="spellEnd"/>
      <w:r w:rsidR="00BF6B41" w:rsidRPr="00B64709">
        <w:rPr>
          <w:rFonts w:cstheme="minorHAnsi"/>
          <w:iCs/>
          <w:sz w:val="16"/>
          <w:szCs w:val="16"/>
        </w:rPr>
        <w:t xml:space="preserve">, C. </w:t>
      </w:r>
      <w:r w:rsidR="00BF6B41" w:rsidRPr="00B64709">
        <w:rPr>
          <w:rFonts w:cstheme="minorHAnsi"/>
          <w:i/>
          <w:iCs/>
          <w:sz w:val="16"/>
          <w:szCs w:val="16"/>
        </w:rPr>
        <w:t xml:space="preserve">Death and Burial in Medieval England 1066 -1550 </w:t>
      </w:r>
      <w:r w:rsidR="00BF6B41" w:rsidRPr="00B64709">
        <w:rPr>
          <w:rFonts w:cstheme="minorHAnsi"/>
          <w:iCs/>
          <w:sz w:val="16"/>
          <w:szCs w:val="16"/>
        </w:rPr>
        <w:t xml:space="preserve">(London: </w:t>
      </w:r>
      <w:proofErr w:type="spellStart"/>
      <w:r w:rsidR="00BF6B41" w:rsidRPr="00B64709">
        <w:rPr>
          <w:rFonts w:cstheme="minorHAnsi"/>
          <w:iCs/>
          <w:sz w:val="16"/>
          <w:szCs w:val="16"/>
        </w:rPr>
        <w:t>Routeledge</w:t>
      </w:r>
      <w:proofErr w:type="spellEnd"/>
      <w:r w:rsidR="00BF6B41" w:rsidRPr="00B64709">
        <w:rPr>
          <w:rFonts w:cstheme="minorHAnsi"/>
          <w:iCs/>
          <w:sz w:val="16"/>
          <w:szCs w:val="16"/>
        </w:rPr>
        <w:t xml:space="preserve">, </w:t>
      </w:r>
      <w:proofErr w:type="gramStart"/>
      <w:r w:rsidR="00BF6B41" w:rsidRPr="00B64709">
        <w:rPr>
          <w:rFonts w:cstheme="minorHAnsi"/>
          <w:iCs/>
          <w:sz w:val="16"/>
          <w:szCs w:val="16"/>
        </w:rPr>
        <w:t>1997)</w:t>
      </w:r>
      <w:r w:rsidR="00B64709">
        <w:rPr>
          <w:rFonts w:cstheme="minorHAnsi"/>
          <w:iCs/>
          <w:sz w:val="16"/>
          <w:szCs w:val="16"/>
        </w:rPr>
        <w:t>pp.</w:t>
      </w:r>
      <w:proofErr w:type="gramEnd"/>
      <w:r w:rsidRPr="00B64709">
        <w:rPr>
          <w:rFonts w:cstheme="minorHAnsi"/>
          <w:sz w:val="16"/>
          <w:szCs w:val="16"/>
        </w:rPr>
        <w:t>182</w:t>
      </w:r>
    </w:p>
  </w:footnote>
  <w:footnote w:id="45">
    <w:p w:rsidR="00F047C7" w:rsidRPr="00B64709" w:rsidRDefault="00F047C7" w:rsidP="00B64709">
      <w:pPr>
        <w:spacing w:line="240" w:lineRule="auto"/>
        <w:jc w:val="both"/>
        <w:rPr>
          <w:rFonts w:cstheme="minorHAnsi"/>
          <w:iCs/>
          <w:sz w:val="16"/>
          <w:szCs w:val="16"/>
        </w:rPr>
      </w:pPr>
      <w:r w:rsidRPr="00B64709">
        <w:rPr>
          <w:rStyle w:val="FootnoteReference"/>
          <w:rFonts w:cstheme="minorHAnsi"/>
          <w:sz w:val="16"/>
          <w:szCs w:val="16"/>
        </w:rPr>
        <w:footnoteRef/>
      </w:r>
      <w:r w:rsidRPr="00B64709">
        <w:rPr>
          <w:rFonts w:cstheme="minorHAnsi"/>
          <w:sz w:val="16"/>
          <w:szCs w:val="16"/>
        </w:rPr>
        <w:t xml:space="preserve"> </w:t>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sz w:val="16"/>
          <w:szCs w:val="16"/>
        </w:rPr>
        <w:t>pp.</w:t>
      </w:r>
      <w:r w:rsidRPr="00B64709">
        <w:rPr>
          <w:rFonts w:cstheme="minorHAnsi"/>
          <w:sz w:val="16"/>
          <w:szCs w:val="16"/>
        </w:rPr>
        <w:t xml:space="preserve"> 250</w:t>
      </w:r>
    </w:p>
  </w:footnote>
  <w:footnote w:id="46">
    <w:p w:rsidR="00F047C7" w:rsidRPr="00B64709" w:rsidRDefault="00F047C7" w:rsidP="00B64709">
      <w:pPr>
        <w:spacing w:line="240" w:lineRule="auto"/>
        <w:jc w:val="both"/>
        <w:rPr>
          <w:rFonts w:cstheme="minorHAnsi"/>
          <w:iCs/>
          <w:sz w:val="16"/>
          <w:szCs w:val="16"/>
        </w:rPr>
      </w:pPr>
      <w:r w:rsidRPr="00B64709">
        <w:rPr>
          <w:rStyle w:val="FootnoteReference"/>
          <w:rFonts w:cstheme="minorHAnsi"/>
          <w:sz w:val="16"/>
          <w:szCs w:val="16"/>
        </w:rPr>
        <w:footnoteRef/>
      </w:r>
      <w:r w:rsidR="00B64709" w:rsidRPr="00B64709">
        <w:rPr>
          <w:rFonts w:cstheme="minorHAnsi"/>
          <w:iCs/>
          <w:sz w:val="16"/>
          <w:szCs w:val="16"/>
        </w:rPr>
        <w:t xml:space="preserve">Zeigler, P. </w:t>
      </w:r>
      <w:r w:rsidR="00B64709" w:rsidRPr="00B64709">
        <w:rPr>
          <w:rFonts w:cstheme="minorHAnsi"/>
          <w:i/>
          <w:iCs/>
          <w:sz w:val="16"/>
          <w:szCs w:val="16"/>
        </w:rPr>
        <w:t xml:space="preserve">The Black Death </w:t>
      </w:r>
      <w:r w:rsidR="00B64709" w:rsidRPr="00B64709">
        <w:rPr>
          <w:rFonts w:cstheme="minorHAnsi"/>
          <w:iCs/>
          <w:sz w:val="16"/>
          <w:szCs w:val="16"/>
        </w:rPr>
        <w:t xml:space="preserve">(London: Collins, 1969) </w:t>
      </w:r>
      <w:r w:rsidR="00B64709">
        <w:rPr>
          <w:rFonts w:cstheme="minorHAnsi"/>
          <w:sz w:val="16"/>
          <w:szCs w:val="16"/>
        </w:rPr>
        <w:t>pp.</w:t>
      </w:r>
      <w:r w:rsidRPr="00B64709">
        <w:rPr>
          <w:rFonts w:cstheme="minorHAnsi"/>
          <w:sz w:val="16"/>
          <w:szCs w:val="16"/>
        </w:rPr>
        <w:t>245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A3A97"/>
    <w:multiLevelType w:val="hybridMultilevel"/>
    <w:tmpl w:val="4440DC4A"/>
    <w:lvl w:ilvl="0" w:tplc="0FAE09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153238"/>
    <w:multiLevelType w:val="hybridMultilevel"/>
    <w:tmpl w:val="51A6CCBC"/>
    <w:lvl w:ilvl="0" w:tplc="6292160C">
      <w:start w:val="712"/>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F14"/>
    <w:rsid w:val="000043C3"/>
    <w:rsid w:val="000075DD"/>
    <w:rsid w:val="00012CE6"/>
    <w:rsid w:val="000826CD"/>
    <w:rsid w:val="000A1BB1"/>
    <w:rsid w:val="00132C85"/>
    <w:rsid w:val="001612A4"/>
    <w:rsid w:val="001617E7"/>
    <w:rsid w:val="00163324"/>
    <w:rsid w:val="001746EF"/>
    <w:rsid w:val="00176729"/>
    <w:rsid w:val="001A4432"/>
    <w:rsid w:val="001A4A89"/>
    <w:rsid w:val="001A79EA"/>
    <w:rsid w:val="001C2162"/>
    <w:rsid w:val="001C568D"/>
    <w:rsid w:val="001D1DCA"/>
    <w:rsid w:val="002115F0"/>
    <w:rsid w:val="002200A4"/>
    <w:rsid w:val="002376E4"/>
    <w:rsid w:val="00240EB5"/>
    <w:rsid w:val="00252CE6"/>
    <w:rsid w:val="00256802"/>
    <w:rsid w:val="00265510"/>
    <w:rsid w:val="00266169"/>
    <w:rsid w:val="002A0BB3"/>
    <w:rsid w:val="002B4F97"/>
    <w:rsid w:val="002E53E6"/>
    <w:rsid w:val="00340B3A"/>
    <w:rsid w:val="00350216"/>
    <w:rsid w:val="00356F31"/>
    <w:rsid w:val="00380658"/>
    <w:rsid w:val="00381A0D"/>
    <w:rsid w:val="003D592D"/>
    <w:rsid w:val="003D7B86"/>
    <w:rsid w:val="003E40D1"/>
    <w:rsid w:val="003E69D1"/>
    <w:rsid w:val="003F1143"/>
    <w:rsid w:val="003F4B16"/>
    <w:rsid w:val="003F72AD"/>
    <w:rsid w:val="0040703E"/>
    <w:rsid w:val="00431D97"/>
    <w:rsid w:val="00451FFE"/>
    <w:rsid w:val="004521D5"/>
    <w:rsid w:val="004739DC"/>
    <w:rsid w:val="004760E6"/>
    <w:rsid w:val="004E1885"/>
    <w:rsid w:val="004F384A"/>
    <w:rsid w:val="005336D3"/>
    <w:rsid w:val="0058243B"/>
    <w:rsid w:val="005E184D"/>
    <w:rsid w:val="006002E0"/>
    <w:rsid w:val="00611221"/>
    <w:rsid w:val="00613E5C"/>
    <w:rsid w:val="00614535"/>
    <w:rsid w:val="00641651"/>
    <w:rsid w:val="006735C4"/>
    <w:rsid w:val="006902F4"/>
    <w:rsid w:val="006951D6"/>
    <w:rsid w:val="006D127E"/>
    <w:rsid w:val="006E1406"/>
    <w:rsid w:val="006E197E"/>
    <w:rsid w:val="006E1E3D"/>
    <w:rsid w:val="006E1F56"/>
    <w:rsid w:val="0070236C"/>
    <w:rsid w:val="00720EB2"/>
    <w:rsid w:val="007326CE"/>
    <w:rsid w:val="0074239A"/>
    <w:rsid w:val="007860FC"/>
    <w:rsid w:val="007B353E"/>
    <w:rsid w:val="007B4084"/>
    <w:rsid w:val="007B7B21"/>
    <w:rsid w:val="007C2401"/>
    <w:rsid w:val="007C49A1"/>
    <w:rsid w:val="007C6F4E"/>
    <w:rsid w:val="007D1BBF"/>
    <w:rsid w:val="007D25C7"/>
    <w:rsid w:val="007D7F75"/>
    <w:rsid w:val="007E472D"/>
    <w:rsid w:val="007E5513"/>
    <w:rsid w:val="007F2A0A"/>
    <w:rsid w:val="00811652"/>
    <w:rsid w:val="0083219F"/>
    <w:rsid w:val="00883560"/>
    <w:rsid w:val="00884048"/>
    <w:rsid w:val="00893ED0"/>
    <w:rsid w:val="008C0E6C"/>
    <w:rsid w:val="008E192E"/>
    <w:rsid w:val="00946004"/>
    <w:rsid w:val="00947980"/>
    <w:rsid w:val="00963085"/>
    <w:rsid w:val="00964140"/>
    <w:rsid w:val="009718A3"/>
    <w:rsid w:val="009A31DE"/>
    <w:rsid w:val="009C3C01"/>
    <w:rsid w:val="009C762E"/>
    <w:rsid w:val="009D5259"/>
    <w:rsid w:val="00A11DBF"/>
    <w:rsid w:val="00A4336A"/>
    <w:rsid w:val="00A52C41"/>
    <w:rsid w:val="00AA3BCC"/>
    <w:rsid w:val="00AA669A"/>
    <w:rsid w:val="00AB33FF"/>
    <w:rsid w:val="00AC3404"/>
    <w:rsid w:val="00AE5E70"/>
    <w:rsid w:val="00B03B3C"/>
    <w:rsid w:val="00B103F5"/>
    <w:rsid w:val="00B30DC0"/>
    <w:rsid w:val="00B40551"/>
    <w:rsid w:val="00B44EF9"/>
    <w:rsid w:val="00B64709"/>
    <w:rsid w:val="00B67372"/>
    <w:rsid w:val="00B71870"/>
    <w:rsid w:val="00B85900"/>
    <w:rsid w:val="00B9228E"/>
    <w:rsid w:val="00B928DC"/>
    <w:rsid w:val="00BB1A39"/>
    <w:rsid w:val="00BF6B41"/>
    <w:rsid w:val="00C25C1B"/>
    <w:rsid w:val="00C63508"/>
    <w:rsid w:val="00C937BA"/>
    <w:rsid w:val="00C93F14"/>
    <w:rsid w:val="00CE2C56"/>
    <w:rsid w:val="00D16045"/>
    <w:rsid w:val="00D34106"/>
    <w:rsid w:val="00D636C7"/>
    <w:rsid w:val="00D65773"/>
    <w:rsid w:val="00D869FA"/>
    <w:rsid w:val="00D94A2E"/>
    <w:rsid w:val="00DE77E2"/>
    <w:rsid w:val="00E03F61"/>
    <w:rsid w:val="00E079E9"/>
    <w:rsid w:val="00E518DD"/>
    <w:rsid w:val="00E54099"/>
    <w:rsid w:val="00E75E44"/>
    <w:rsid w:val="00EC17FB"/>
    <w:rsid w:val="00ED1C51"/>
    <w:rsid w:val="00ED2A71"/>
    <w:rsid w:val="00EF78C7"/>
    <w:rsid w:val="00F047C7"/>
    <w:rsid w:val="00F06F92"/>
    <w:rsid w:val="00F21938"/>
    <w:rsid w:val="00F844AC"/>
    <w:rsid w:val="00F90DC2"/>
    <w:rsid w:val="00FA0DDF"/>
    <w:rsid w:val="00FB52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890012"/>
  <w15:chartTrackingRefBased/>
  <w15:docId w15:val="{51E3BCD5-02DA-4EA0-8B6F-EA678EDB3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03F5"/>
    <w:pPr>
      <w:ind w:left="720"/>
      <w:contextualSpacing/>
    </w:pPr>
  </w:style>
  <w:style w:type="paragraph" w:styleId="BalloonText">
    <w:name w:val="Balloon Text"/>
    <w:basedOn w:val="Normal"/>
    <w:link w:val="BalloonTextChar"/>
    <w:uiPriority w:val="99"/>
    <w:semiHidden/>
    <w:unhideWhenUsed/>
    <w:rsid w:val="002115F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115F0"/>
    <w:rPr>
      <w:rFonts w:ascii="Segoe UI" w:hAnsi="Segoe UI" w:cs="Segoe UI"/>
      <w:sz w:val="18"/>
      <w:szCs w:val="18"/>
    </w:rPr>
  </w:style>
  <w:style w:type="paragraph" w:styleId="FootnoteText">
    <w:name w:val="footnote text"/>
    <w:basedOn w:val="Normal"/>
    <w:link w:val="FootnoteTextChar"/>
    <w:uiPriority w:val="99"/>
    <w:semiHidden/>
    <w:unhideWhenUsed/>
    <w:rsid w:val="0064165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41651"/>
    <w:rPr>
      <w:sz w:val="20"/>
      <w:szCs w:val="20"/>
    </w:rPr>
  </w:style>
  <w:style w:type="character" w:styleId="FootnoteReference">
    <w:name w:val="footnote reference"/>
    <w:basedOn w:val="DefaultParagraphFont"/>
    <w:uiPriority w:val="99"/>
    <w:semiHidden/>
    <w:unhideWhenUsed/>
    <w:rsid w:val="0064165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29E8064-261F-4463-9A5F-BF421F5A8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16339</TotalTime>
  <Pages>10</Pages>
  <Words>2455</Words>
  <Characters>13996</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 Hoffman (1501219)</dc:creator>
  <cp:keywords/>
  <dc:description/>
  <cp:lastModifiedBy>Mary Hoffman (1501219)</cp:lastModifiedBy>
  <cp:revision>7</cp:revision>
  <cp:lastPrinted>2018-01-26T13:03:00Z</cp:lastPrinted>
  <dcterms:created xsi:type="dcterms:W3CDTF">2017-12-16T17:56:00Z</dcterms:created>
  <dcterms:modified xsi:type="dcterms:W3CDTF">2018-02-02T23:35:00Z</dcterms:modified>
</cp:coreProperties>
</file>