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7F55FC" w14:textId="77777777" w:rsidR="00F11D58" w:rsidRPr="00F11D58" w:rsidRDefault="00F11D58" w:rsidP="00F11D58">
      <w:pPr>
        <w:numPr>
          <w:ilvl w:val="0"/>
          <w:numId w:val="12"/>
        </w:numPr>
        <w:rPr>
          <w:b/>
          <w:bCs/>
        </w:rPr>
      </w:pPr>
      <w:r w:rsidRPr="00F11D58">
        <w:rPr>
          <w:b/>
          <w:bCs/>
        </w:rPr>
        <w:t xml:space="preserve">AI Acknowledgement statement: </w:t>
      </w:r>
    </w:p>
    <w:p w14:paraId="58127BD6" w14:textId="77777777" w:rsidR="00F11D58" w:rsidRPr="00F11D58" w:rsidRDefault="00F11D58" w:rsidP="00F11D58">
      <w:pPr>
        <w:rPr>
          <w:b/>
          <w:bCs/>
        </w:rPr>
      </w:pPr>
      <w:r w:rsidRPr="00F11D58">
        <w:rPr>
          <w:b/>
          <w:bCs/>
        </w:rPr>
        <w:t>I acknowledge the use of the AI tools listed below. I confirm that I have not presented any AI generated text as my own work. I confirm I have copies of my drafts, notes, and other resources I used before, and after the use of AI tools which I may be asked to provide in evidence.</w:t>
      </w:r>
    </w:p>
    <w:tbl>
      <w:tblPr>
        <w:tblStyle w:val="TableGrid"/>
        <w:tblW w:w="0" w:type="auto"/>
        <w:tblInd w:w="720" w:type="dxa"/>
        <w:tblLook w:val="04A0" w:firstRow="1" w:lastRow="0" w:firstColumn="1" w:lastColumn="0" w:noHBand="0" w:noVBand="1"/>
      </w:tblPr>
      <w:tblGrid>
        <w:gridCol w:w="3364"/>
        <w:gridCol w:w="1428"/>
        <w:gridCol w:w="1362"/>
        <w:gridCol w:w="2142"/>
      </w:tblGrid>
      <w:tr w:rsidR="00F11D58" w:rsidRPr="00F11D58" w14:paraId="6800C7D6" w14:textId="77777777">
        <w:tc>
          <w:tcPr>
            <w:tcW w:w="2440" w:type="dxa"/>
            <w:tcBorders>
              <w:top w:val="single" w:sz="4" w:space="0" w:color="auto"/>
              <w:left w:val="single" w:sz="4" w:space="0" w:color="auto"/>
              <w:bottom w:val="single" w:sz="4" w:space="0" w:color="auto"/>
              <w:right w:val="single" w:sz="4" w:space="0" w:color="auto"/>
            </w:tcBorders>
            <w:hideMark/>
          </w:tcPr>
          <w:p w14:paraId="5825B208" w14:textId="77777777" w:rsidR="00F11D58" w:rsidRPr="00F11D58" w:rsidRDefault="00F11D58" w:rsidP="00F11D58">
            <w:pPr>
              <w:spacing w:after="160" w:line="278" w:lineRule="auto"/>
              <w:rPr>
                <w:b/>
                <w:bCs/>
              </w:rPr>
            </w:pPr>
            <w:r w:rsidRPr="00F11D58">
              <w:rPr>
                <w:b/>
                <w:bCs/>
              </w:rPr>
              <w:t xml:space="preserve">AI Tool (with </w:t>
            </w:r>
            <w:proofErr w:type="spellStart"/>
            <w:r w:rsidRPr="00F11D58">
              <w:rPr>
                <w:b/>
                <w:bCs/>
              </w:rPr>
              <w:t>url</w:t>
            </w:r>
            <w:proofErr w:type="spellEnd"/>
            <w:r w:rsidRPr="00F11D58">
              <w:rPr>
                <w:b/>
                <w:bCs/>
              </w:rPr>
              <w:t>)</w:t>
            </w:r>
          </w:p>
        </w:tc>
        <w:tc>
          <w:tcPr>
            <w:tcW w:w="1108" w:type="dxa"/>
            <w:tcBorders>
              <w:top w:val="single" w:sz="4" w:space="0" w:color="auto"/>
              <w:left w:val="single" w:sz="4" w:space="0" w:color="auto"/>
              <w:bottom w:val="single" w:sz="4" w:space="0" w:color="auto"/>
              <w:right w:val="single" w:sz="4" w:space="0" w:color="auto"/>
            </w:tcBorders>
            <w:hideMark/>
          </w:tcPr>
          <w:p w14:paraId="392BCF53" w14:textId="77777777" w:rsidR="00F11D58" w:rsidRPr="00F11D58" w:rsidRDefault="00F11D58" w:rsidP="00F11D58">
            <w:pPr>
              <w:spacing w:after="160" w:line="278" w:lineRule="auto"/>
              <w:rPr>
                <w:b/>
                <w:bCs/>
              </w:rPr>
            </w:pPr>
            <w:r w:rsidRPr="00F11D58">
              <w:rPr>
                <w:b/>
                <w:bCs/>
              </w:rPr>
              <w:t>Date used</w:t>
            </w:r>
          </w:p>
        </w:tc>
        <w:tc>
          <w:tcPr>
            <w:tcW w:w="1681" w:type="dxa"/>
            <w:tcBorders>
              <w:top w:val="single" w:sz="4" w:space="0" w:color="auto"/>
              <w:left w:val="single" w:sz="4" w:space="0" w:color="auto"/>
              <w:bottom w:val="single" w:sz="4" w:space="0" w:color="auto"/>
              <w:right w:val="single" w:sz="4" w:space="0" w:color="auto"/>
            </w:tcBorders>
            <w:hideMark/>
          </w:tcPr>
          <w:p w14:paraId="60BD64A3" w14:textId="77777777" w:rsidR="00F11D58" w:rsidRPr="00F11D58" w:rsidRDefault="00F11D58" w:rsidP="00F11D58">
            <w:pPr>
              <w:spacing w:after="160" w:line="278" w:lineRule="auto"/>
              <w:rPr>
                <w:b/>
                <w:bCs/>
              </w:rPr>
            </w:pPr>
            <w:r w:rsidRPr="00F11D58">
              <w:rPr>
                <w:b/>
                <w:bCs/>
              </w:rPr>
              <w:t>Why did you use this tool</w:t>
            </w:r>
          </w:p>
        </w:tc>
        <w:tc>
          <w:tcPr>
            <w:tcW w:w="3067" w:type="dxa"/>
            <w:tcBorders>
              <w:top w:val="single" w:sz="4" w:space="0" w:color="auto"/>
              <w:left w:val="single" w:sz="4" w:space="0" w:color="auto"/>
              <w:bottom w:val="single" w:sz="4" w:space="0" w:color="auto"/>
              <w:right w:val="single" w:sz="4" w:space="0" w:color="auto"/>
            </w:tcBorders>
            <w:hideMark/>
          </w:tcPr>
          <w:p w14:paraId="5CCAB7FA" w14:textId="10F7436D" w:rsidR="00F11D58" w:rsidRPr="00F11D58" w:rsidRDefault="00F11D58" w:rsidP="00F11D58">
            <w:pPr>
              <w:spacing w:after="160" w:line="278" w:lineRule="auto"/>
              <w:rPr>
                <w:b/>
                <w:bCs/>
              </w:rPr>
            </w:pPr>
            <w:r w:rsidRPr="00F11D58">
              <w:rPr>
                <w:b/>
                <w:bCs/>
              </w:rPr>
              <w:t>prompt(s)</w:t>
            </w:r>
          </w:p>
        </w:tc>
      </w:tr>
      <w:tr w:rsidR="00F11D58" w:rsidRPr="00F11D58" w14:paraId="26DF1473" w14:textId="77777777">
        <w:tc>
          <w:tcPr>
            <w:tcW w:w="2440" w:type="dxa"/>
            <w:tcBorders>
              <w:top w:val="single" w:sz="4" w:space="0" w:color="auto"/>
              <w:left w:val="single" w:sz="4" w:space="0" w:color="auto"/>
              <w:bottom w:val="single" w:sz="4" w:space="0" w:color="auto"/>
              <w:right w:val="single" w:sz="4" w:space="0" w:color="auto"/>
            </w:tcBorders>
            <w:hideMark/>
          </w:tcPr>
          <w:p w14:paraId="00FF4AAB" w14:textId="77777777" w:rsidR="00F11D58" w:rsidRPr="00F11D58" w:rsidRDefault="00F11D58" w:rsidP="00F11D58">
            <w:pPr>
              <w:spacing w:after="160" w:line="278" w:lineRule="auto"/>
              <w:rPr>
                <w:b/>
                <w:bCs/>
                <w:i/>
                <w:iCs/>
              </w:rPr>
            </w:pPr>
            <w:hyperlink r:id="rId7" w:history="1">
              <w:r w:rsidRPr="00F11D58">
                <w:rPr>
                  <w:rStyle w:val="Hyperlink"/>
                  <w:b/>
                  <w:bCs/>
                  <w:i/>
                  <w:iCs/>
                </w:rPr>
                <w:t>https://www.grammarly.com</w:t>
              </w:r>
            </w:hyperlink>
            <w:r w:rsidRPr="00F11D58">
              <w:rPr>
                <w:b/>
                <w:bCs/>
                <w:i/>
                <w:iCs/>
              </w:rPr>
              <w:t xml:space="preserve"> </w:t>
            </w:r>
          </w:p>
        </w:tc>
        <w:tc>
          <w:tcPr>
            <w:tcW w:w="1108" w:type="dxa"/>
            <w:tcBorders>
              <w:top w:val="single" w:sz="4" w:space="0" w:color="auto"/>
              <w:left w:val="single" w:sz="4" w:space="0" w:color="auto"/>
              <w:bottom w:val="single" w:sz="4" w:space="0" w:color="auto"/>
              <w:right w:val="single" w:sz="4" w:space="0" w:color="auto"/>
            </w:tcBorders>
            <w:hideMark/>
          </w:tcPr>
          <w:p w14:paraId="5CE02124" w14:textId="71286C97" w:rsidR="00F11D58" w:rsidRPr="00F11D58" w:rsidRDefault="00311D64" w:rsidP="00F11D58">
            <w:pPr>
              <w:spacing w:after="160" w:line="278" w:lineRule="auto"/>
              <w:rPr>
                <w:b/>
                <w:bCs/>
                <w:i/>
                <w:iCs/>
              </w:rPr>
            </w:pPr>
            <w:r>
              <w:rPr>
                <w:b/>
                <w:bCs/>
                <w:i/>
                <w:iCs/>
              </w:rPr>
              <w:t>19/10/2026</w:t>
            </w:r>
          </w:p>
        </w:tc>
        <w:tc>
          <w:tcPr>
            <w:tcW w:w="1681" w:type="dxa"/>
            <w:tcBorders>
              <w:top w:val="single" w:sz="4" w:space="0" w:color="auto"/>
              <w:left w:val="single" w:sz="4" w:space="0" w:color="auto"/>
              <w:bottom w:val="single" w:sz="4" w:space="0" w:color="auto"/>
              <w:right w:val="single" w:sz="4" w:space="0" w:color="auto"/>
            </w:tcBorders>
            <w:hideMark/>
          </w:tcPr>
          <w:p w14:paraId="1D644390" w14:textId="77777777" w:rsidR="00F11D58" w:rsidRPr="00F11D58" w:rsidRDefault="00F11D58" w:rsidP="00F11D58">
            <w:pPr>
              <w:spacing w:after="160" w:line="278" w:lineRule="auto"/>
              <w:rPr>
                <w:b/>
                <w:bCs/>
                <w:i/>
                <w:iCs/>
              </w:rPr>
            </w:pPr>
            <w:r w:rsidRPr="00F11D58">
              <w:rPr>
                <w:b/>
                <w:bCs/>
                <w:i/>
                <w:iCs/>
              </w:rPr>
              <w:t>Check my work</w:t>
            </w:r>
          </w:p>
        </w:tc>
        <w:tc>
          <w:tcPr>
            <w:tcW w:w="3067" w:type="dxa"/>
            <w:tcBorders>
              <w:top w:val="single" w:sz="4" w:space="0" w:color="auto"/>
              <w:left w:val="single" w:sz="4" w:space="0" w:color="auto"/>
              <w:bottom w:val="single" w:sz="4" w:space="0" w:color="auto"/>
              <w:right w:val="single" w:sz="4" w:space="0" w:color="auto"/>
            </w:tcBorders>
            <w:hideMark/>
          </w:tcPr>
          <w:p w14:paraId="2A80B651" w14:textId="210E251A" w:rsidR="00F11D58" w:rsidRPr="00F11D58" w:rsidRDefault="00311D64" w:rsidP="00F11D58">
            <w:pPr>
              <w:spacing w:after="160" w:line="278" w:lineRule="auto"/>
              <w:rPr>
                <w:b/>
                <w:bCs/>
                <w:i/>
                <w:iCs/>
              </w:rPr>
            </w:pPr>
            <w:r>
              <w:rPr>
                <w:b/>
                <w:bCs/>
                <w:i/>
                <w:iCs/>
              </w:rPr>
              <w:t xml:space="preserve">Automatically checks </w:t>
            </w:r>
            <w:r w:rsidR="00F11D58" w:rsidRPr="00F11D58">
              <w:rPr>
                <w:b/>
                <w:bCs/>
                <w:i/>
                <w:iCs/>
              </w:rPr>
              <w:t>the text for readability, grammar and syntax.</w:t>
            </w:r>
          </w:p>
        </w:tc>
      </w:tr>
      <w:tr w:rsidR="00F11D58" w:rsidRPr="00F11D58" w14:paraId="41CC5A79" w14:textId="77777777">
        <w:tc>
          <w:tcPr>
            <w:tcW w:w="2440" w:type="dxa"/>
            <w:tcBorders>
              <w:top w:val="single" w:sz="4" w:space="0" w:color="auto"/>
              <w:left w:val="single" w:sz="4" w:space="0" w:color="auto"/>
              <w:bottom w:val="single" w:sz="4" w:space="0" w:color="auto"/>
              <w:right w:val="single" w:sz="4" w:space="0" w:color="auto"/>
            </w:tcBorders>
            <w:hideMark/>
          </w:tcPr>
          <w:p w14:paraId="57203D24" w14:textId="77777777" w:rsidR="00F11D58" w:rsidRPr="00F11D58" w:rsidRDefault="00F11D58" w:rsidP="00F11D58">
            <w:pPr>
              <w:spacing w:after="160" w:line="278" w:lineRule="auto"/>
              <w:rPr>
                <w:b/>
                <w:bCs/>
                <w:i/>
                <w:iCs/>
              </w:rPr>
            </w:pPr>
            <w:r w:rsidRPr="00F11D58">
              <w:rPr>
                <w:b/>
                <w:bCs/>
                <w:i/>
                <w:iCs/>
              </w:rPr>
              <w:t>https://chatgtp.com/</w:t>
            </w:r>
          </w:p>
        </w:tc>
        <w:tc>
          <w:tcPr>
            <w:tcW w:w="1108" w:type="dxa"/>
            <w:tcBorders>
              <w:top w:val="single" w:sz="4" w:space="0" w:color="auto"/>
              <w:left w:val="single" w:sz="4" w:space="0" w:color="auto"/>
              <w:bottom w:val="single" w:sz="4" w:space="0" w:color="auto"/>
              <w:right w:val="single" w:sz="4" w:space="0" w:color="auto"/>
            </w:tcBorders>
            <w:hideMark/>
          </w:tcPr>
          <w:p w14:paraId="0AD68538" w14:textId="07F30443" w:rsidR="00F11D58" w:rsidRPr="00F11D58" w:rsidRDefault="00311D64" w:rsidP="00F11D58">
            <w:pPr>
              <w:spacing w:after="160" w:line="278" w:lineRule="auto"/>
              <w:rPr>
                <w:b/>
                <w:bCs/>
                <w:i/>
                <w:iCs/>
              </w:rPr>
            </w:pPr>
            <w:r>
              <w:rPr>
                <w:b/>
                <w:bCs/>
                <w:i/>
                <w:iCs/>
              </w:rPr>
              <w:t>19/10/2026</w:t>
            </w:r>
          </w:p>
        </w:tc>
        <w:tc>
          <w:tcPr>
            <w:tcW w:w="1681" w:type="dxa"/>
            <w:tcBorders>
              <w:top w:val="single" w:sz="4" w:space="0" w:color="auto"/>
              <w:left w:val="single" w:sz="4" w:space="0" w:color="auto"/>
              <w:bottom w:val="single" w:sz="4" w:space="0" w:color="auto"/>
              <w:right w:val="single" w:sz="4" w:space="0" w:color="auto"/>
            </w:tcBorders>
            <w:hideMark/>
          </w:tcPr>
          <w:p w14:paraId="62C1617A" w14:textId="4DCD29F7" w:rsidR="00F11D58" w:rsidRPr="00F11D58" w:rsidRDefault="00F11D58" w:rsidP="00F11D58">
            <w:pPr>
              <w:spacing w:after="160" w:line="278" w:lineRule="auto"/>
              <w:rPr>
                <w:b/>
                <w:bCs/>
                <w:i/>
                <w:iCs/>
              </w:rPr>
            </w:pPr>
            <w:r w:rsidRPr="00F11D58">
              <w:rPr>
                <w:b/>
                <w:bCs/>
                <w:i/>
                <w:iCs/>
              </w:rPr>
              <w:t xml:space="preserve">Help with structure </w:t>
            </w:r>
            <w:r w:rsidR="00010B49">
              <w:rPr>
                <w:b/>
                <w:bCs/>
                <w:i/>
                <w:iCs/>
              </w:rPr>
              <w:t>and so</w:t>
            </w:r>
            <w:r w:rsidR="00761BF7">
              <w:rPr>
                <w:b/>
                <w:bCs/>
                <w:i/>
                <w:iCs/>
              </w:rPr>
              <w:t>urce finding</w:t>
            </w:r>
          </w:p>
        </w:tc>
        <w:tc>
          <w:tcPr>
            <w:tcW w:w="3067" w:type="dxa"/>
            <w:tcBorders>
              <w:top w:val="single" w:sz="4" w:space="0" w:color="auto"/>
              <w:left w:val="single" w:sz="4" w:space="0" w:color="auto"/>
              <w:bottom w:val="single" w:sz="4" w:space="0" w:color="auto"/>
              <w:right w:val="single" w:sz="4" w:space="0" w:color="auto"/>
            </w:tcBorders>
            <w:hideMark/>
          </w:tcPr>
          <w:p w14:paraId="2FC55EA3" w14:textId="1C6D0817" w:rsidR="00F11D58" w:rsidRPr="00F11D58" w:rsidRDefault="007D1431" w:rsidP="00F11D58">
            <w:pPr>
              <w:spacing w:after="160" w:line="278" w:lineRule="auto"/>
              <w:rPr>
                <w:b/>
                <w:bCs/>
                <w:i/>
                <w:iCs/>
              </w:rPr>
            </w:pPr>
            <w:r>
              <w:rPr>
                <w:b/>
                <w:bCs/>
                <w:i/>
                <w:iCs/>
              </w:rPr>
              <w:t>P</w:t>
            </w:r>
            <w:r w:rsidRPr="007D1431">
              <w:rPr>
                <w:b/>
                <w:bCs/>
                <w:i/>
                <w:iCs/>
              </w:rPr>
              <w:t>lease find reputable sources which are relevant to my proposed study</w:t>
            </w:r>
            <w:r w:rsidR="00932477">
              <w:rPr>
                <w:b/>
                <w:bCs/>
                <w:i/>
                <w:iCs/>
              </w:rPr>
              <w:t>.</w:t>
            </w:r>
          </w:p>
        </w:tc>
      </w:tr>
      <w:tr w:rsidR="00F11D58" w:rsidRPr="00F11D58" w14:paraId="7226622A" w14:textId="77777777">
        <w:tc>
          <w:tcPr>
            <w:tcW w:w="2440" w:type="dxa"/>
            <w:tcBorders>
              <w:top w:val="single" w:sz="4" w:space="0" w:color="auto"/>
              <w:left w:val="single" w:sz="4" w:space="0" w:color="auto"/>
              <w:bottom w:val="single" w:sz="4" w:space="0" w:color="auto"/>
              <w:right w:val="single" w:sz="4" w:space="0" w:color="auto"/>
            </w:tcBorders>
          </w:tcPr>
          <w:p w14:paraId="57B7A3D4" w14:textId="77777777" w:rsidR="00F11D58" w:rsidRPr="00F11D58" w:rsidRDefault="00F11D58" w:rsidP="00F11D58">
            <w:pPr>
              <w:spacing w:after="160" w:line="278" w:lineRule="auto"/>
              <w:rPr>
                <w:b/>
                <w:bCs/>
              </w:rPr>
            </w:pPr>
          </w:p>
        </w:tc>
        <w:tc>
          <w:tcPr>
            <w:tcW w:w="1108" w:type="dxa"/>
            <w:tcBorders>
              <w:top w:val="single" w:sz="4" w:space="0" w:color="auto"/>
              <w:left w:val="single" w:sz="4" w:space="0" w:color="auto"/>
              <w:bottom w:val="single" w:sz="4" w:space="0" w:color="auto"/>
              <w:right w:val="single" w:sz="4" w:space="0" w:color="auto"/>
            </w:tcBorders>
          </w:tcPr>
          <w:p w14:paraId="3B14EDFB" w14:textId="77777777" w:rsidR="00F11D58" w:rsidRPr="00F11D58" w:rsidRDefault="00F11D58" w:rsidP="00F11D58">
            <w:pPr>
              <w:spacing w:after="160" w:line="278" w:lineRule="auto"/>
              <w:rPr>
                <w:b/>
                <w:bCs/>
              </w:rPr>
            </w:pPr>
          </w:p>
        </w:tc>
        <w:tc>
          <w:tcPr>
            <w:tcW w:w="1681" w:type="dxa"/>
            <w:tcBorders>
              <w:top w:val="single" w:sz="4" w:space="0" w:color="auto"/>
              <w:left w:val="single" w:sz="4" w:space="0" w:color="auto"/>
              <w:bottom w:val="single" w:sz="4" w:space="0" w:color="auto"/>
              <w:right w:val="single" w:sz="4" w:space="0" w:color="auto"/>
            </w:tcBorders>
          </w:tcPr>
          <w:p w14:paraId="2CFA9A97" w14:textId="77777777" w:rsidR="00F11D58" w:rsidRPr="00F11D58" w:rsidRDefault="00F11D58" w:rsidP="00F11D58">
            <w:pPr>
              <w:spacing w:after="160" w:line="278" w:lineRule="auto"/>
              <w:rPr>
                <w:b/>
                <w:bCs/>
              </w:rPr>
            </w:pPr>
          </w:p>
        </w:tc>
        <w:tc>
          <w:tcPr>
            <w:tcW w:w="3067" w:type="dxa"/>
            <w:tcBorders>
              <w:top w:val="single" w:sz="4" w:space="0" w:color="auto"/>
              <w:left w:val="single" w:sz="4" w:space="0" w:color="auto"/>
              <w:bottom w:val="single" w:sz="4" w:space="0" w:color="auto"/>
              <w:right w:val="single" w:sz="4" w:space="0" w:color="auto"/>
            </w:tcBorders>
          </w:tcPr>
          <w:p w14:paraId="2509559E" w14:textId="77777777" w:rsidR="00F11D58" w:rsidRPr="00F11D58" w:rsidRDefault="00F11D58" w:rsidP="00F11D58">
            <w:pPr>
              <w:spacing w:after="160" w:line="278" w:lineRule="auto"/>
              <w:rPr>
                <w:b/>
                <w:bCs/>
              </w:rPr>
            </w:pPr>
          </w:p>
        </w:tc>
      </w:tr>
      <w:tr w:rsidR="00F11D58" w:rsidRPr="00F11D58" w14:paraId="30DE6642" w14:textId="77777777">
        <w:tc>
          <w:tcPr>
            <w:tcW w:w="2440" w:type="dxa"/>
            <w:tcBorders>
              <w:top w:val="single" w:sz="4" w:space="0" w:color="auto"/>
              <w:left w:val="single" w:sz="4" w:space="0" w:color="auto"/>
              <w:bottom w:val="single" w:sz="4" w:space="0" w:color="auto"/>
              <w:right w:val="single" w:sz="4" w:space="0" w:color="auto"/>
            </w:tcBorders>
          </w:tcPr>
          <w:p w14:paraId="4590E84F" w14:textId="77777777" w:rsidR="00F11D58" w:rsidRPr="00F11D58" w:rsidRDefault="00F11D58" w:rsidP="00F11D58">
            <w:pPr>
              <w:spacing w:after="160" w:line="278" w:lineRule="auto"/>
              <w:rPr>
                <w:b/>
                <w:bCs/>
              </w:rPr>
            </w:pPr>
          </w:p>
        </w:tc>
        <w:tc>
          <w:tcPr>
            <w:tcW w:w="1108" w:type="dxa"/>
            <w:tcBorders>
              <w:top w:val="single" w:sz="4" w:space="0" w:color="auto"/>
              <w:left w:val="single" w:sz="4" w:space="0" w:color="auto"/>
              <w:bottom w:val="single" w:sz="4" w:space="0" w:color="auto"/>
              <w:right w:val="single" w:sz="4" w:space="0" w:color="auto"/>
            </w:tcBorders>
          </w:tcPr>
          <w:p w14:paraId="632CECB3" w14:textId="77777777" w:rsidR="00F11D58" w:rsidRPr="00F11D58" w:rsidRDefault="00F11D58" w:rsidP="00F11D58">
            <w:pPr>
              <w:spacing w:after="160" w:line="278" w:lineRule="auto"/>
              <w:rPr>
                <w:b/>
                <w:bCs/>
              </w:rPr>
            </w:pPr>
          </w:p>
        </w:tc>
        <w:tc>
          <w:tcPr>
            <w:tcW w:w="1681" w:type="dxa"/>
            <w:tcBorders>
              <w:top w:val="single" w:sz="4" w:space="0" w:color="auto"/>
              <w:left w:val="single" w:sz="4" w:space="0" w:color="auto"/>
              <w:bottom w:val="single" w:sz="4" w:space="0" w:color="auto"/>
              <w:right w:val="single" w:sz="4" w:space="0" w:color="auto"/>
            </w:tcBorders>
          </w:tcPr>
          <w:p w14:paraId="4D816C3D" w14:textId="77777777" w:rsidR="00F11D58" w:rsidRPr="00F11D58" w:rsidRDefault="00F11D58" w:rsidP="00F11D58">
            <w:pPr>
              <w:spacing w:after="160" w:line="278" w:lineRule="auto"/>
              <w:rPr>
                <w:b/>
                <w:bCs/>
              </w:rPr>
            </w:pPr>
          </w:p>
        </w:tc>
        <w:tc>
          <w:tcPr>
            <w:tcW w:w="3067" w:type="dxa"/>
            <w:tcBorders>
              <w:top w:val="single" w:sz="4" w:space="0" w:color="auto"/>
              <w:left w:val="single" w:sz="4" w:space="0" w:color="auto"/>
              <w:bottom w:val="single" w:sz="4" w:space="0" w:color="auto"/>
              <w:right w:val="single" w:sz="4" w:space="0" w:color="auto"/>
            </w:tcBorders>
          </w:tcPr>
          <w:p w14:paraId="7922387F" w14:textId="77777777" w:rsidR="00F11D58" w:rsidRPr="00F11D58" w:rsidRDefault="00F11D58" w:rsidP="00F11D58">
            <w:pPr>
              <w:spacing w:after="160" w:line="278" w:lineRule="auto"/>
              <w:rPr>
                <w:b/>
                <w:bCs/>
              </w:rPr>
            </w:pPr>
          </w:p>
        </w:tc>
      </w:tr>
      <w:tr w:rsidR="00F11D58" w:rsidRPr="00F11D58" w14:paraId="60F03DC3" w14:textId="77777777">
        <w:tc>
          <w:tcPr>
            <w:tcW w:w="2440" w:type="dxa"/>
            <w:tcBorders>
              <w:top w:val="single" w:sz="4" w:space="0" w:color="auto"/>
              <w:left w:val="single" w:sz="4" w:space="0" w:color="auto"/>
              <w:bottom w:val="single" w:sz="4" w:space="0" w:color="auto"/>
              <w:right w:val="single" w:sz="4" w:space="0" w:color="auto"/>
            </w:tcBorders>
          </w:tcPr>
          <w:p w14:paraId="5F05D135" w14:textId="77777777" w:rsidR="00F11D58" w:rsidRPr="00F11D58" w:rsidRDefault="00F11D58" w:rsidP="00F11D58">
            <w:pPr>
              <w:spacing w:after="160" w:line="278" w:lineRule="auto"/>
              <w:rPr>
                <w:b/>
                <w:bCs/>
              </w:rPr>
            </w:pPr>
          </w:p>
        </w:tc>
        <w:tc>
          <w:tcPr>
            <w:tcW w:w="1108" w:type="dxa"/>
            <w:tcBorders>
              <w:top w:val="single" w:sz="4" w:space="0" w:color="auto"/>
              <w:left w:val="single" w:sz="4" w:space="0" w:color="auto"/>
              <w:bottom w:val="single" w:sz="4" w:space="0" w:color="auto"/>
              <w:right w:val="single" w:sz="4" w:space="0" w:color="auto"/>
            </w:tcBorders>
          </w:tcPr>
          <w:p w14:paraId="7D37D948" w14:textId="77777777" w:rsidR="00F11D58" w:rsidRPr="00F11D58" w:rsidRDefault="00F11D58" w:rsidP="00F11D58">
            <w:pPr>
              <w:spacing w:after="160" w:line="278" w:lineRule="auto"/>
              <w:rPr>
                <w:b/>
                <w:bCs/>
              </w:rPr>
            </w:pPr>
          </w:p>
        </w:tc>
        <w:tc>
          <w:tcPr>
            <w:tcW w:w="1681" w:type="dxa"/>
            <w:tcBorders>
              <w:top w:val="single" w:sz="4" w:space="0" w:color="auto"/>
              <w:left w:val="single" w:sz="4" w:space="0" w:color="auto"/>
              <w:bottom w:val="single" w:sz="4" w:space="0" w:color="auto"/>
              <w:right w:val="single" w:sz="4" w:space="0" w:color="auto"/>
            </w:tcBorders>
          </w:tcPr>
          <w:p w14:paraId="6297A919" w14:textId="77777777" w:rsidR="00F11D58" w:rsidRPr="00F11D58" w:rsidRDefault="00F11D58" w:rsidP="00F11D58">
            <w:pPr>
              <w:spacing w:after="160" w:line="278" w:lineRule="auto"/>
              <w:rPr>
                <w:b/>
                <w:bCs/>
              </w:rPr>
            </w:pPr>
          </w:p>
        </w:tc>
        <w:tc>
          <w:tcPr>
            <w:tcW w:w="3067" w:type="dxa"/>
            <w:tcBorders>
              <w:top w:val="single" w:sz="4" w:space="0" w:color="auto"/>
              <w:left w:val="single" w:sz="4" w:space="0" w:color="auto"/>
              <w:bottom w:val="single" w:sz="4" w:space="0" w:color="auto"/>
              <w:right w:val="single" w:sz="4" w:space="0" w:color="auto"/>
            </w:tcBorders>
          </w:tcPr>
          <w:p w14:paraId="6F3F0D5B" w14:textId="77777777" w:rsidR="00F11D58" w:rsidRPr="00F11D58" w:rsidRDefault="00F11D58" w:rsidP="00F11D58">
            <w:pPr>
              <w:spacing w:after="160" w:line="278" w:lineRule="auto"/>
              <w:rPr>
                <w:b/>
                <w:bCs/>
              </w:rPr>
            </w:pPr>
          </w:p>
        </w:tc>
      </w:tr>
    </w:tbl>
    <w:p w14:paraId="7592852F" w14:textId="77777777" w:rsidR="00F11D58" w:rsidRDefault="00F11D58" w:rsidP="001F57EB">
      <w:pPr>
        <w:rPr>
          <w:b/>
          <w:bCs/>
        </w:rPr>
      </w:pPr>
    </w:p>
    <w:p w14:paraId="22E959C8" w14:textId="77777777" w:rsidR="00F11D58" w:rsidRDefault="00F11D58" w:rsidP="001F57EB">
      <w:pPr>
        <w:rPr>
          <w:b/>
          <w:bCs/>
        </w:rPr>
      </w:pPr>
    </w:p>
    <w:p w14:paraId="6A30B70B" w14:textId="77777777" w:rsidR="00F11D58" w:rsidRDefault="00F11D58" w:rsidP="001F57EB">
      <w:pPr>
        <w:rPr>
          <w:b/>
          <w:bCs/>
        </w:rPr>
      </w:pPr>
    </w:p>
    <w:p w14:paraId="776EEC5C" w14:textId="77777777" w:rsidR="00F11D58" w:rsidRDefault="00F11D58" w:rsidP="001F57EB">
      <w:pPr>
        <w:rPr>
          <w:b/>
          <w:bCs/>
        </w:rPr>
      </w:pPr>
    </w:p>
    <w:p w14:paraId="28FB400D" w14:textId="77777777" w:rsidR="00F11D58" w:rsidRDefault="00F11D58" w:rsidP="001F57EB">
      <w:pPr>
        <w:rPr>
          <w:b/>
          <w:bCs/>
        </w:rPr>
      </w:pPr>
    </w:p>
    <w:p w14:paraId="09CEEA56" w14:textId="77777777" w:rsidR="00F11D58" w:rsidRDefault="00F11D58" w:rsidP="001F57EB">
      <w:pPr>
        <w:rPr>
          <w:b/>
          <w:bCs/>
        </w:rPr>
      </w:pPr>
    </w:p>
    <w:p w14:paraId="4ED53B26" w14:textId="77777777" w:rsidR="00F11D58" w:rsidRDefault="00F11D58" w:rsidP="001F57EB">
      <w:pPr>
        <w:rPr>
          <w:b/>
          <w:bCs/>
        </w:rPr>
      </w:pPr>
    </w:p>
    <w:p w14:paraId="0A10CB83" w14:textId="77777777" w:rsidR="00F11D58" w:rsidRDefault="00F11D58" w:rsidP="001F57EB">
      <w:pPr>
        <w:rPr>
          <w:b/>
          <w:bCs/>
        </w:rPr>
      </w:pPr>
    </w:p>
    <w:p w14:paraId="22EDDDCC" w14:textId="77777777" w:rsidR="00932477" w:rsidRDefault="00932477" w:rsidP="001F57EB">
      <w:pPr>
        <w:rPr>
          <w:b/>
          <w:bCs/>
        </w:rPr>
      </w:pPr>
    </w:p>
    <w:p w14:paraId="042FE537" w14:textId="77777777" w:rsidR="00F11D58" w:rsidRDefault="00F11D58" w:rsidP="001F57EB">
      <w:pPr>
        <w:rPr>
          <w:b/>
          <w:bCs/>
        </w:rPr>
      </w:pPr>
    </w:p>
    <w:p w14:paraId="410CB852" w14:textId="415C121E" w:rsidR="001F57EB" w:rsidRPr="001F57EB" w:rsidRDefault="001F57EB" w:rsidP="001F57EB">
      <w:pPr>
        <w:rPr>
          <w:b/>
          <w:bCs/>
        </w:rPr>
      </w:pPr>
      <w:r w:rsidRPr="001F57EB">
        <w:rPr>
          <w:b/>
          <w:bCs/>
        </w:rPr>
        <w:lastRenderedPageBreak/>
        <w:t>The Effect of Push-Up Variation on Muscular Endurance and Perceived Exertion in Healthy Young Adults: Implications for Accessible Resistance Exercise</w:t>
      </w:r>
    </w:p>
    <w:p w14:paraId="2007E9F3" w14:textId="77777777" w:rsidR="001F57EB" w:rsidRPr="001F57EB" w:rsidRDefault="001F57EB" w:rsidP="001F57EB">
      <w:pPr>
        <w:rPr>
          <w:b/>
          <w:bCs/>
        </w:rPr>
      </w:pPr>
      <w:r w:rsidRPr="001F57EB">
        <w:rPr>
          <w:b/>
          <w:bCs/>
        </w:rPr>
        <w:t>1. Introduction and Background</w:t>
      </w:r>
    </w:p>
    <w:p w14:paraId="6AA6BFAE" w14:textId="77777777" w:rsidR="001F57EB" w:rsidRPr="001F57EB" w:rsidRDefault="001F57EB" w:rsidP="001F57EB">
      <w:r w:rsidRPr="001F57EB">
        <w:t>Age-related deterioration in skeletal muscle strength, mass and physical function presents a significant challenge to healthy ageing and independent living. Sarcopenia, characterised by progressive reductions in muscular strength and mass, is associated with impaired mobility, increased fall risk and reduced functional independence (Cruz-Jentoft et al., 2019). Maintaining muscular fitness is therefore essential for preserving physical capability throughout adulthood.</w:t>
      </w:r>
    </w:p>
    <w:p w14:paraId="1A145D17" w14:textId="77777777" w:rsidR="001F57EB" w:rsidRPr="001F57EB" w:rsidRDefault="001F57EB" w:rsidP="001F57EB">
      <w:r w:rsidRPr="001F57EB">
        <w:t>Resistance training is widely recognised as an effective intervention for improving muscular strength, endurance and functional performance. Fragala et al. (2019) emphasise its importance in counteracting age-related muscular decline, while the World Health Organization (WHO, 2020) recommends muscle-strengthening activities involving major muscle groups at least twice weekly.</w:t>
      </w:r>
    </w:p>
    <w:p w14:paraId="1A43FDE5" w14:textId="77777777" w:rsidR="001F57EB" w:rsidRPr="001F57EB" w:rsidRDefault="001F57EB" w:rsidP="001F57EB">
      <w:r w:rsidRPr="001F57EB">
        <w:t>Despite these benefits, participation may be restricted by equipment costs, limited facility access and perceived exercise difficulty. Bodyweight resistance training offers a potentially accessible alternative, allowing individuals to exercise with minimal equipment. However, exercises must be adaptable to accommodate differences in strength, experience and physical capability.</w:t>
      </w:r>
    </w:p>
    <w:p w14:paraId="3D6FF90F" w14:textId="1ACF628A" w:rsidR="001F57EB" w:rsidRPr="001F57EB" w:rsidRDefault="001F57EB" w:rsidP="001F57EB">
      <w:r w:rsidRPr="001F57EB">
        <w:t xml:space="preserve">The push-up is a widely performed upper-body resistance exercise involving the pectoralis major, triceps brachii and anterior deltoid, alongside stabilising </w:t>
      </w:r>
      <w:r w:rsidR="003E5187">
        <w:t>muscles</w:t>
      </w:r>
      <w:r w:rsidRPr="001F57EB">
        <w:t>. Research demonstrates that push-ups can produce muscular adaptations comparable to conventional resistance exercises when appropriately matched for muscular demand (Calatayud et al., 2015).</w:t>
      </w:r>
    </w:p>
    <w:p w14:paraId="0BB27724" w14:textId="77777777" w:rsidR="001F57EB" w:rsidRPr="001F57EB" w:rsidRDefault="001F57EB" w:rsidP="001F57EB">
      <w:r w:rsidRPr="001F57EB">
        <w:t>Push-up difficulty can be modified by changing the relative elevation of the hands and feet. Incline push-ups, involving elevated hand support, are generally considered less demanding, while decline push-ups, involving elevated feet, may increase upper-body loading.</w:t>
      </w:r>
    </w:p>
    <w:p w14:paraId="58914684" w14:textId="77777777" w:rsidR="001F57EB" w:rsidRPr="001F57EB" w:rsidRDefault="001F57EB" w:rsidP="001F57EB">
      <w:proofErr w:type="spellStart"/>
      <w:r w:rsidRPr="001F57EB">
        <w:t>Suprak</w:t>
      </w:r>
      <w:proofErr w:type="spellEnd"/>
      <w:r w:rsidRPr="001F57EB">
        <w:t xml:space="preserve"> et al. (2011) demonstrated that the proportion of body mass supported by the upper </w:t>
      </w:r>
      <w:proofErr w:type="gramStart"/>
      <w:r w:rsidRPr="001F57EB">
        <w:t>limbs</w:t>
      </w:r>
      <w:proofErr w:type="gramEnd"/>
      <w:r w:rsidRPr="001F57EB">
        <w:t xml:space="preserve"> changes throughout the push-up movement. Similarly, Ebben et al. (2011) identified differences in ground reaction forces across push-up variations.</w:t>
      </w:r>
    </w:p>
    <w:p w14:paraId="584B16C2" w14:textId="77777777" w:rsidR="001F57EB" w:rsidRDefault="001F57EB" w:rsidP="001F57EB">
      <w:r w:rsidRPr="001F57EB">
        <w:t>However, changes in mechanical loading do not necessarily translate into proportional changes in muscular endurance or perceived exertion. Investigating these responses may provide practical evidence for prescribing adjustable bodyweight resistance exercise.</w:t>
      </w:r>
    </w:p>
    <w:p w14:paraId="5BD86344" w14:textId="77777777" w:rsidR="00BB11B3" w:rsidRPr="001F57EB" w:rsidRDefault="00BB11B3" w:rsidP="001F57EB"/>
    <w:p w14:paraId="53B50464" w14:textId="77777777" w:rsidR="001F57EB" w:rsidRPr="001F57EB" w:rsidRDefault="001F57EB" w:rsidP="001F57EB">
      <w:pPr>
        <w:rPr>
          <w:b/>
          <w:bCs/>
        </w:rPr>
      </w:pPr>
      <w:r w:rsidRPr="001F57EB">
        <w:rPr>
          <w:b/>
          <w:bCs/>
        </w:rPr>
        <w:lastRenderedPageBreak/>
        <w:t>2. Research Rationale</w:t>
      </w:r>
    </w:p>
    <w:p w14:paraId="62764A17" w14:textId="77777777" w:rsidR="001F57EB" w:rsidRPr="001F57EB" w:rsidRDefault="001F57EB" w:rsidP="001F57EB">
      <w:r w:rsidRPr="001F57EB">
        <w:t>Progressive overload is a fundamental principle of resistance training, requiring exercise demands to be modified systematically to stimulate physiological adaptation (American College of Sports Medicine, 2009). Conventional resistance training commonly achieves this through adjustments in external load, repetitions or training volume. However, bodyweight exercises present additional challenges because resistance cannot always be adjusted or quantified precisely.</w:t>
      </w:r>
    </w:p>
    <w:p w14:paraId="6F05456B" w14:textId="77777777" w:rsidR="001F57EB" w:rsidRPr="001F57EB" w:rsidRDefault="001F57EB" w:rsidP="001F57EB">
      <w:r w:rsidRPr="001F57EB">
        <w:t>Modifying hand or foot elevation provides a simple method of altering push-up difficulty without specialist equipment. This may be particularly valuable for home-based exercise programmes, where access to conventional resistance-training equipment is limited.</w:t>
      </w:r>
    </w:p>
    <w:p w14:paraId="38451DBF" w14:textId="77777777" w:rsidR="001F57EB" w:rsidRPr="001F57EB" w:rsidRDefault="001F57EB" w:rsidP="001F57EB">
      <w:r w:rsidRPr="001F57EB">
        <w:t>Previous investigations have examined biomechanical loading and muscular activation during push-up variations (Ebben et al., 2011; Calatayud et al., 2015). However, understanding how relatively small changes in elevation influence endurance performance and subjective exercise difficulty remains practically relevant.</w:t>
      </w:r>
    </w:p>
    <w:p w14:paraId="4E92F63D" w14:textId="77777777" w:rsidR="001F57EB" w:rsidRPr="001F57EB" w:rsidRDefault="001F57EB" w:rsidP="001F57EB">
      <w:r w:rsidRPr="001F57EB">
        <w:t>This investigation will compare a low-incline push-up, standard floor push-up and low-decline push-up. These variations are intended to provide different exercise demands while remaining sufficiently challenging for physically active participants.</w:t>
      </w:r>
    </w:p>
    <w:p w14:paraId="76FD516E" w14:textId="77777777" w:rsidR="001F57EB" w:rsidRPr="001F57EB" w:rsidRDefault="001F57EB" w:rsidP="001F57EB">
      <w:r w:rsidRPr="001F57EB">
        <w:t>Although the study will recruit younger adults rather than older individuals, its broader significance concerns the development of accessible resistance-training progressions. Identifying whether modest positional adjustments produce meaningful changes in exercise difficulty may inform future research investigating adaptable exercise programmes for maintaining muscular fitness during ageing.</w:t>
      </w:r>
    </w:p>
    <w:p w14:paraId="6F29EFE7" w14:textId="77777777" w:rsidR="001F57EB" w:rsidRDefault="001F57EB" w:rsidP="001F57EB">
      <w:r w:rsidRPr="001F57EB">
        <w:t>Importantly, the investigation will assess acute exercise responses rather than long-term physiological adaptations or improvements in functional independence.</w:t>
      </w:r>
    </w:p>
    <w:p w14:paraId="3C186E70" w14:textId="77777777" w:rsidR="001B23E7" w:rsidRPr="001F57EB" w:rsidRDefault="001B23E7" w:rsidP="001F57EB"/>
    <w:p w14:paraId="36E5765E" w14:textId="77777777" w:rsidR="001F57EB" w:rsidRPr="001F57EB" w:rsidRDefault="001F57EB" w:rsidP="001F57EB">
      <w:pPr>
        <w:rPr>
          <w:b/>
          <w:bCs/>
        </w:rPr>
      </w:pPr>
      <w:r w:rsidRPr="001F57EB">
        <w:rPr>
          <w:b/>
          <w:bCs/>
        </w:rPr>
        <w:t>3. Research Aim, Objectives and Hypotheses</w:t>
      </w:r>
    </w:p>
    <w:p w14:paraId="1BFABAF5" w14:textId="77777777" w:rsidR="001F57EB" w:rsidRPr="001F57EB" w:rsidRDefault="001F57EB" w:rsidP="001F57EB">
      <w:r w:rsidRPr="001F57EB">
        <w:t>Research question: How do low-incline, standard and low-decline push-up variations influence muscular endurance and perceived exertion in healthy young adults?</w:t>
      </w:r>
    </w:p>
    <w:p w14:paraId="7CE3156D" w14:textId="77777777" w:rsidR="001F57EB" w:rsidRPr="001F57EB" w:rsidRDefault="001F57EB" w:rsidP="001F57EB">
      <w:r w:rsidRPr="001F57EB">
        <w:t>Aim: To investigate whether modifying relative hand and foot elevation provides a practical method of adjusting the difficulty of bodyweight resistance exercise.</w:t>
      </w:r>
    </w:p>
    <w:p w14:paraId="2EBA014B" w14:textId="77777777" w:rsidR="001F57EB" w:rsidRPr="001F57EB" w:rsidRDefault="001F57EB" w:rsidP="001F57EB">
      <w:r w:rsidRPr="001F57EB">
        <w:t>Objectives:</w:t>
      </w:r>
    </w:p>
    <w:p w14:paraId="30D0561D" w14:textId="77777777" w:rsidR="001F57EB" w:rsidRPr="001F57EB" w:rsidRDefault="001F57EB" w:rsidP="001F57EB">
      <w:pPr>
        <w:numPr>
          <w:ilvl w:val="0"/>
          <w:numId w:val="10"/>
        </w:numPr>
      </w:pPr>
      <w:r w:rsidRPr="001F57EB">
        <w:t>Compare muscular endurance across low-incline, standard and low-decline push-ups.</w:t>
      </w:r>
    </w:p>
    <w:p w14:paraId="43847565" w14:textId="77777777" w:rsidR="001F57EB" w:rsidRPr="001F57EB" w:rsidRDefault="001F57EB" w:rsidP="001F57EB">
      <w:pPr>
        <w:numPr>
          <w:ilvl w:val="0"/>
          <w:numId w:val="10"/>
        </w:numPr>
      </w:pPr>
      <w:r w:rsidRPr="001F57EB">
        <w:lastRenderedPageBreak/>
        <w:t>Assess perceived exertion following a standardised number of repetitions in each condition.</w:t>
      </w:r>
    </w:p>
    <w:p w14:paraId="4B987BE2" w14:textId="77777777" w:rsidR="001F57EB" w:rsidRPr="001F57EB" w:rsidRDefault="001F57EB" w:rsidP="001F57EB">
      <w:pPr>
        <w:numPr>
          <w:ilvl w:val="0"/>
          <w:numId w:val="10"/>
        </w:numPr>
      </w:pPr>
      <w:r w:rsidRPr="001F57EB">
        <w:t>Examine individual differences in endurance performance between exercise variations.</w:t>
      </w:r>
    </w:p>
    <w:p w14:paraId="33D55EED" w14:textId="77777777" w:rsidR="001F57EB" w:rsidRPr="001F57EB" w:rsidRDefault="001F57EB" w:rsidP="001F57EB">
      <w:pPr>
        <w:numPr>
          <w:ilvl w:val="0"/>
          <w:numId w:val="10"/>
        </w:numPr>
      </w:pPr>
      <w:r w:rsidRPr="001F57EB">
        <w:t>Consider the implications for accessible and progressive bodyweight resistance training.</w:t>
      </w:r>
    </w:p>
    <w:p w14:paraId="1BA76B10" w14:textId="77777777" w:rsidR="001F57EB" w:rsidRPr="001F57EB" w:rsidRDefault="001F57EB" w:rsidP="001F57EB">
      <w:r w:rsidRPr="001F57EB">
        <w:t>Hypotheses:</w:t>
      </w:r>
    </w:p>
    <w:p w14:paraId="00C30ACD" w14:textId="77777777" w:rsidR="001F57EB" w:rsidRPr="001F57EB" w:rsidRDefault="001F57EB" w:rsidP="001F57EB">
      <w:r w:rsidRPr="001F57EB">
        <w:t>H1: Muscular endurance will be greatest during incline push-ups, followed by standard push-ups, and lowest during decline push-ups.</w:t>
      </w:r>
    </w:p>
    <w:p w14:paraId="5582009C" w14:textId="77777777" w:rsidR="001F57EB" w:rsidRPr="001F57EB" w:rsidRDefault="001F57EB" w:rsidP="001F57EB">
      <w:r w:rsidRPr="001F57EB">
        <w:t>H2: Perceived exertion following five standardised repetitions will be highest during decline push-ups and lowest during incline push-ups.</w:t>
      </w:r>
    </w:p>
    <w:p w14:paraId="775E4BF8" w14:textId="77777777" w:rsidR="001F57EB" w:rsidRPr="001F57EB" w:rsidRDefault="001F57EB" w:rsidP="001F57EB">
      <w:r w:rsidRPr="001F57EB">
        <w:t>H3 (exploratory): The magnitude of endurance differences between conditions will vary among participants.</w:t>
      </w:r>
    </w:p>
    <w:p w14:paraId="77955297" w14:textId="77777777" w:rsidR="001F57EB" w:rsidRPr="001F57EB" w:rsidRDefault="001F57EB" w:rsidP="001F57EB">
      <w:pPr>
        <w:rPr>
          <w:b/>
          <w:bCs/>
        </w:rPr>
      </w:pPr>
      <w:r w:rsidRPr="001F57EB">
        <w:rPr>
          <w:b/>
          <w:bCs/>
        </w:rPr>
        <w:t>4. Methodology</w:t>
      </w:r>
    </w:p>
    <w:p w14:paraId="368E6178" w14:textId="77777777" w:rsidR="001F57EB" w:rsidRPr="001F57EB" w:rsidRDefault="001F57EB" w:rsidP="001F57EB">
      <w:pPr>
        <w:rPr>
          <w:b/>
          <w:bCs/>
        </w:rPr>
      </w:pPr>
      <w:r w:rsidRPr="001F57EB">
        <w:rPr>
          <w:b/>
          <w:bCs/>
        </w:rPr>
        <w:t>4.1 Research Design</w:t>
      </w:r>
    </w:p>
    <w:p w14:paraId="0F3E00C1" w14:textId="77777777" w:rsidR="001F57EB" w:rsidRPr="001F57EB" w:rsidRDefault="001F57EB" w:rsidP="001F57EB">
      <w:r w:rsidRPr="001F57EB">
        <w:t>A quantitative, repeated-measures experimental design will be employed. Each participant will complete three exercise conditions, allowing direct within-participant comparisons.</w:t>
      </w:r>
    </w:p>
    <w:p w14:paraId="58AF9C84" w14:textId="77777777" w:rsidR="001F57EB" w:rsidRPr="001F57EB" w:rsidRDefault="001F57EB" w:rsidP="001F57EB">
      <w:r w:rsidRPr="001F57EB">
        <w:t>A repeated-measures design reduces the influence of individual differences in strength, anthropometry and training experience. Condition order will be counterbalanced to minimise systematic learning, fatigue and order effects.</w:t>
      </w:r>
    </w:p>
    <w:p w14:paraId="64145AD4" w14:textId="77777777" w:rsidR="001F57EB" w:rsidRPr="001F57EB" w:rsidRDefault="001F57EB" w:rsidP="001F57EB">
      <w:pPr>
        <w:rPr>
          <w:b/>
          <w:bCs/>
        </w:rPr>
      </w:pPr>
      <w:r w:rsidRPr="001F57EB">
        <w:rPr>
          <w:b/>
          <w:bCs/>
        </w:rPr>
        <w:t>4.2 Participants</w:t>
      </w:r>
    </w:p>
    <w:p w14:paraId="7BED5FE9" w14:textId="2FEB9809" w:rsidR="001F57EB" w:rsidRPr="001F57EB" w:rsidRDefault="001F57EB" w:rsidP="001F57EB">
      <w:r w:rsidRPr="001F57EB">
        <w:t>Approximately ten healthy adults aged 18–3</w:t>
      </w:r>
      <w:r w:rsidR="000A521D">
        <w:t>5</w:t>
      </w:r>
      <w:r w:rsidRPr="001F57EB">
        <w:t xml:space="preserve"> will be recruited through convenience sampling from the university population.</w:t>
      </w:r>
    </w:p>
    <w:p w14:paraId="5C85793C" w14:textId="77777777" w:rsidR="001F57EB" w:rsidRPr="001F57EB" w:rsidRDefault="001F57EB" w:rsidP="001F57EB">
      <w:r w:rsidRPr="001F57EB">
        <w:t>Participants must be capable of completing at least 15 technically acceptable standard push-ups at the prescribed cadence during screening. This criterion will help ensure that participants can complete all three exercise variations safely and meaningfully.</w:t>
      </w:r>
    </w:p>
    <w:p w14:paraId="0788DBED" w14:textId="77777777" w:rsidR="001F57EB" w:rsidRPr="001F57EB" w:rsidRDefault="001F57EB" w:rsidP="001F57EB">
      <w:r w:rsidRPr="001F57EB">
        <w:t>Individuals reporting current upper-limb injuries, significant musculoskeletal pain or medical conditions contraindicating strenuous resistance exercise will be excluded.</w:t>
      </w:r>
    </w:p>
    <w:p w14:paraId="2869C082" w14:textId="77777777" w:rsidR="001F57EB" w:rsidRPr="001F57EB" w:rsidRDefault="001F57EB" w:rsidP="001F57EB">
      <w:r w:rsidRPr="001F57EB">
        <w:t>Participant characteristics, including age, sex, height, body mass and resistance-training experience, will be recorded.</w:t>
      </w:r>
    </w:p>
    <w:p w14:paraId="7C0AF18C" w14:textId="77777777" w:rsidR="001F57EB" w:rsidRPr="001F57EB" w:rsidRDefault="001F57EB" w:rsidP="001F57EB">
      <w:r w:rsidRPr="001F57EB">
        <w:t>The small sample will limit statistical power and generalisability; therefore, the investigation will be considered exploratory.</w:t>
      </w:r>
    </w:p>
    <w:p w14:paraId="4AE17C26" w14:textId="77777777" w:rsidR="001F57EB" w:rsidRPr="001F57EB" w:rsidRDefault="001F57EB" w:rsidP="001F57EB">
      <w:pPr>
        <w:rPr>
          <w:b/>
          <w:bCs/>
        </w:rPr>
      </w:pPr>
      <w:r w:rsidRPr="001F57EB">
        <w:rPr>
          <w:b/>
          <w:bCs/>
        </w:rPr>
        <w:lastRenderedPageBreak/>
        <w:t>4.3 Equipment and Exercise Conditions</w:t>
      </w:r>
    </w:p>
    <w:p w14:paraId="4764940C" w14:textId="77777777" w:rsidR="001F57EB" w:rsidRPr="001F57EB" w:rsidRDefault="001F57EB" w:rsidP="001F57EB">
      <w:r w:rsidRPr="001F57EB">
        <w:t>Testing will require a stable exercise step, measuring tape, metronome, exercise mat and Borg category-ratio (CR10) perceived exertion scale.</w:t>
      </w:r>
    </w:p>
    <w:p w14:paraId="78906CD1" w14:textId="77777777" w:rsidR="001F57EB" w:rsidRPr="001F57EB" w:rsidRDefault="001F57EB" w:rsidP="001F57EB">
      <w:r w:rsidRPr="001F57EB">
        <w:t>Three conditions will be investigated:</w:t>
      </w:r>
    </w:p>
    <w:p w14:paraId="57AB93AC" w14:textId="77777777" w:rsidR="001F57EB" w:rsidRPr="001F57EB" w:rsidRDefault="001F57EB" w:rsidP="001F57EB">
      <w:pPr>
        <w:numPr>
          <w:ilvl w:val="0"/>
          <w:numId w:val="11"/>
        </w:numPr>
      </w:pPr>
      <w:r w:rsidRPr="001F57EB">
        <w:t>Low incline: Hands elevated approximately 20 cm above the feet.</w:t>
      </w:r>
    </w:p>
    <w:p w14:paraId="6C4D102A" w14:textId="77777777" w:rsidR="001F57EB" w:rsidRPr="001F57EB" w:rsidRDefault="001F57EB" w:rsidP="001F57EB">
      <w:pPr>
        <w:numPr>
          <w:ilvl w:val="0"/>
          <w:numId w:val="11"/>
        </w:numPr>
      </w:pPr>
      <w:r w:rsidRPr="001F57EB">
        <w:t>Standard: Hands and feet positioned at floor level.</w:t>
      </w:r>
    </w:p>
    <w:p w14:paraId="6371FD90" w14:textId="77777777" w:rsidR="001F57EB" w:rsidRPr="001F57EB" w:rsidRDefault="001F57EB" w:rsidP="001F57EB">
      <w:pPr>
        <w:numPr>
          <w:ilvl w:val="0"/>
          <w:numId w:val="11"/>
        </w:numPr>
      </w:pPr>
      <w:r w:rsidRPr="001F57EB">
        <w:t>Low decline: Feet elevated approximately 20 cm above the hands.</w:t>
      </w:r>
    </w:p>
    <w:p w14:paraId="27196324" w14:textId="3D9BBC6E" w:rsidR="001F57EB" w:rsidRPr="001F57EB" w:rsidRDefault="001F57EB" w:rsidP="001F57EB">
      <w:r w:rsidRPr="001F57EB">
        <w:t>The proposed elevation will be evaluated through preliminary testing to determine whether the variations produce distinguishable performance outcomes without excessively prolonged testing.</w:t>
      </w:r>
    </w:p>
    <w:p w14:paraId="13FD3027" w14:textId="77777777" w:rsidR="001F57EB" w:rsidRPr="001F57EB" w:rsidRDefault="001F57EB" w:rsidP="001F57EB">
      <w:r w:rsidRPr="001F57EB">
        <w:t>Hand placement will be standardised relative to shoulder width, and participants will maintain a straight body alignment throughout each repetition.</w:t>
      </w:r>
    </w:p>
    <w:p w14:paraId="732CF400" w14:textId="77777777" w:rsidR="001F57EB" w:rsidRPr="001F57EB" w:rsidRDefault="001F57EB" w:rsidP="001F57EB">
      <w:r w:rsidRPr="001F57EB">
        <w:t>A metronome will control movement cadence at two seconds during the eccentric phase and two seconds during the concentric phase.</w:t>
      </w:r>
    </w:p>
    <w:p w14:paraId="1E9987CF" w14:textId="77777777" w:rsidR="001F57EB" w:rsidRPr="001F57EB" w:rsidRDefault="001F57EB" w:rsidP="001F57EB">
      <w:r w:rsidRPr="001F57EB">
        <w:t>Movement range will be standardised using predetermined technique criteria, including consistent elbow extension and an appropriate lower-body position.</w:t>
      </w:r>
    </w:p>
    <w:p w14:paraId="02FBC195" w14:textId="77777777" w:rsidR="001F57EB" w:rsidRPr="001F57EB" w:rsidRDefault="001F57EB" w:rsidP="001F57EB">
      <w:pPr>
        <w:rPr>
          <w:b/>
          <w:bCs/>
        </w:rPr>
      </w:pPr>
      <w:r w:rsidRPr="001F57EB">
        <w:rPr>
          <w:b/>
          <w:bCs/>
        </w:rPr>
        <w:t>4.4 Experimental Procedure</w:t>
      </w:r>
    </w:p>
    <w:p w14:paraId="0F3E1925" w14:textId="77777777" w:rsidR="001F57EB" w:rsidRPr="001F57EB" w:rsidRDefault="001F57EB" w:rsidP="001F57EB">
      <w:r w:rsidRPr="001F57EB">
        <w:t>Participants will attend one familiarisation session followed by three experimental sessions, separated by at least 48 hours to minimise residual fatigue.</w:t>
      </w:r>
    </w:p>
    <w:p w14:paraId="5C5753C5" w14:textId="77777777" w:rsidR="001F57EB" w:rsidRPr="001F57EB" w:rsidRDefault="001F57EB" w:rsidP="001F57EB">
      <w:r w:rsidRPr="001F57EB">
        <w:t>During familiarisation, participants will practise each variation, receive technique instructions and become familiar with the Borg CR10 scale.</w:t>
      </w:r>
    </w:p>
    <w:p w14:paraId="1D35874F" w14:textId="77777777" w:rsidR="001F57EB" w:rsidRPr="001F57EB" w:rsidRDefault="001F57EB" w:rsidP="001F57EB">
      <w:r w:rsidRPr="001F57EB">
        <w:t>Each experimental session will involve one exercise condition, with the order counterbalanced between participants.</w:t>
      </w:r>
    </w:p>
    <w:p w14:paraId="299493E7" w14:textId="77777777" w:rsidR="001F57EB" w:rsidRPr="001F57EB" w:rsidRDefault="001F57EB" w:rsidP="001F57EB">
      <w:r w:rsidRPr="001F57EB">
        <w:t>Following a standardised upper-body warm-up, participants will perform five controlled repetitions at the prescribed cadence.</w:t>
      </w:r>
    </w:p>
    <w:p w14:paraId="43FAD338" w14:textId="77777777" w:rsidR="001F57EB" w:rsidRPr="001F57EB" w:rsidRDefault="001F57EB" w:rsidP="001F57EB">
      <w:r w:rsidRPr="001F57EB">
        <w:t>Immediately afterwards, perceived exertion will be recorded using the Borg CR10 scale, which assesses subjective exercise intensity (Borg, 1982).</w:t>
      </w:r>
    </w:p>
    <w:p w14:paraId="0885DE11" w14:textId="77777777" w:rsidR="001F57EB" w:rsidRPr="001F57EB" w:rsidRDefault="001F57EB" w:rsidP="001F57EB">
      <w:r w:rsidRPr="001F57EB">
        <w:t>Following five minutes of seated or light active recovery, participants will complete a maximal repetition test at the same cadence.</w:t>
      </w:r>
    </w:p>
    <w:p w14:paraId="12A4FA09" w14:textId="77777777" w:rsidR="001F57EB" w:rsidRPr="001F57EB" w:rsidRDefault="001F57EB" w:rsidP="001F57EB">
      <w:r w:rsidRPr="001F57EB">
        <w:t>Muscular endurance will be operationally defined as the number of correctly completed repetitions before technical failure.</w:t>
      </w:r>
    </w:p>
    <w:p w14:paraId="5E18E629" w14:textId="77777777" w:rsidR="001F57EB" w:rsidRPr="001F57EB" w:rsidRDefault="001F57EB" w:rsidP="001F57EB">
      <w:r w:rsidRPr="001F57EB">
        <w:lastRenderedPageBreak/>
        <w:t>Technical failure will occur when participants cannot maintain the required movement range, prescribed cadence or acceptable technique despite standardised encouragement.</w:t>
      </w:r>
    </w:p>
    <w:p w14:paraId="7C42AA40" w14:textId="77777777" w:rsidR="001F57EB" w:rsidRPr="001F57EB" w:rsidRDefault="001F57EB" w:rsidP="001F57EB">
      <w:r w:rsidRPr="001F57EB">
        <w:t>Participants will avoid strenuous upper-body exercise for 48 hours before testing and will be encouraged to maintain consistent sleep, nutritional intake and caffeine consumption across sessions.</w:t>
      </w:r>
    </w:p>
    <w:p w14:paraId="248A6704" w14:textId="77777777" w:rsidR="001F57EB" w:rsidRPr="001F57EB" w:rsidRDefault="001F57EB" w:rsidP="001F57EB">
      <w:pPr>
        <w:rPr>
          <w:b/>
          <w:bCs/>
        </w:rPr>
      </w:pPr>
      <w:r w:rsidRPr="001F57EB">
        <w:rPr>
          <w:b/>
          <w:bCs/>
        </w:rPr>
        <w:t>4.5 Data Analysis</w:t>
      </w:r>
    </w:p>
    <w:p w14:paraId="6C9ED167" w14:textId="77777777" w:rsidR="001F57EB" w:rsidRPr="001F57EB" w:rsidRDefault="001F57EB" w:rsidP="001F57EB">
      <w:r w:rsidRPr="001F57EB">
        <w:t>Data will be analysed using SPSS.</w:t>
      </w:r>
    </w:p>
    <w:p w14:paraId="23D44B2A" w14:textId="77777777" w:rsidR="001F57EB" w:rsidRPr="001F57EB" w:rsidRDefault="001F57EB" w:rsidP="001F57EB">
      <w:r w:rsidRPr="001F57EB">
        <w:t>Descriptive statistics, including means, standard deviations and individual performance differences, will summarise results across conditions.</w:t>
      </w:r>
    </w:p>
    <w:p w14:paraId="22544FB8" w14:textId="77777777" w:rsidR="001F57EB" w:rsidRPr="001F57EB" w:rsidRDefault="001F57EB" w:rsidP="001F57EB">
      <w:r w:rsidRPr="001F57EB">
        <w:t>A one-way repeated-measures analysis of variance (ANOVA) will be considered for normally distributed endurance data where relevant assumptions are satisfied. If assumptions are unsuitable, a Friedman test will be employed.</w:t>
      </w:r>
    </w:p>
    <w:p w14:paraId="178307EF" w14:textId="77777777" w:rsidR="001F57EB" w:rsidRPr="001F57EB" w:rsidRDefault="001F57EB" w:rsidP="001F57EB">
      <w:r w:rsidRPr="001F57EB">
        <w:t>Perceived exertion scores will be compared using an appropriate repeated-measures procedure, with the Friedman test preferred if the ordinal ratings do not justify parametric analysis.</w:t>
      </w:r>
    </w:p>
    <w:p w14:paraId="18D4173F" w14:textId="77777777" w:rsidR="001F57EB" w:rsidRPr="001F57EB" w:rsidRDefault="001F57EB" w:rsidP="001F57EB">
      <w:r w:rsidRPr="001F57EB">
        <w:t>Effect sizes and individual participant responses will supplement statistical significance testing.</w:t>
      </w:r>
    </w:p>
    <w:p w14:paraId="1B8C80F0" w14:textId="77777777" w:rsidR="001F57EB" w:rsidRPr="001F57EB" w:rsidRDefault="001F57EB" w:rsidP="001F57EB">
      <w:r w:rsidRPr="001F57EB">
        <w:t>Given the limited sample, interpretation will prioritise the magnitude, consistency and practical relevance of observed differences.</w:t>
      </w:r>
    </w:p>
    <w:p w14:paraId="783B41BD" w14:textId="77777777" w:rsidR="001F57EB" w:rsidRPr="001F57EB" w:rsidRDefault="001F57EB" w:rsidP="001F57EB">
      <w:pPr>
        <w:rPr>
          <w:b/>
          <w:bCs/>
        </w:rPr>
      </w:pPr>
      <w:r w:rsidRPr="001F57EB">
        <w:rPr>
          <w:b/>
          <w:bCs/>
        </w:rPr>
        <w:t>5. Ethical Considerations</w:t>
      </w:r>
    </w:p>
    <w:p w14:paraId="1455E59A" w14:textId="77777777" w:rsidR="001F57EB" w:rsidRPr="001F57EB" w:rsidRDefault="001F57EB" w:rsidP="001F57EB">
      <w:r w:rsidRPr="001F57EB">
        <w:t>Ethical approval will be obtained from the university before recruitment.</w:t>
      </w:r>
    </w:p>
    <w:p w14:paraId="3E55F4D3" w14:textId="77777777" w:rsidR="001F57EB" w:rsidRPr="001F57EB" w:rsidRDefault="001F57EB" w:rsidP="001F57EB">
      <w:r w:rsidRPr="001F57EB">
        <w:t>Participants will receive information outlining the study's purpose, procedures, potential risks and voluntary nature. Written informed consent will be obtained, and participants may withdraw without penalty.</w:t>
      </w:r>
    </w:p>
    <w:p w14:paraId="029E1F1E" w14:textId="77777777" w:rsidR="001F57EB" w:rsidRPr="001F57EB" w:rsidRDefault="001F57EB" w:rsidP="001F57EB">
      <w:r w:rsidRPr="001F57EB">
        <w:t>Potential risks include temporary muscular fatigue, delayed-onset muscle soreness and musculoskeletal discomfort. These will be minimised through screening, familiarisation, standardised warm-ups and appropriate supervision.</w:t>
      </w:r>
    </w:p>
    <w:p w14:paraId="071C7AEC" w14:textId="77777777" w:rsidR="001F57EB" w:rsidRPr="001F57EB" w:rsidRDefault="001F57EB" w:rsidP="001F57EB">
      <w:r w:rsidRPr="001F57EB">
        <w:t>Testing will stop immediately if participants experience pain, dizziness or concerning symptoms.</w:t>
      </w:r>
    </w:p>
    <w:p w14:paraId="6AA46BFA" w14:textId="77777777" w:rsidR="001F57EB" w:rsidRDefault="001F57EB" w:rsidP="001F57EB">
      <w:r w:rsidRPr="001F57EB">
        <w:t>All personal information will be anonymised and stored securely in accordance with university data-protection requirements.</w:t>
      </w:r>
    </w:p>
    <w:p w14:paraId="19654374" w14:textId="77777777" w:rsidR="00767CB0" w:rsidRPr="001F57EB" w:rsidRDefault="00767CB0" w:rsidP="001F57EB"/>
    <w:p w14:paraId="40CF4827" w14:textId="77777777" w:rsidR="001F57EB" w:rsidRPr="001F57EB" w:rsidRDefault="001F57EB" w:rsidP="001F57EB">
      <w:pPr>
        <w:rPr>
          <w:b/>
          <w:bCs/>
        </w:rPr>
      </w:pPr>
      <w:r w:rsidRPr="001F57EB">
        <w:rPr>
          <w:b/>
          <w:bCs/>
        </w:rPr>
        <w:lastRenderedPageBreak/>
        <w:t>6. Expected Outcomes and Practical Significance</w:t>
      </w:r>
    </w:p>
    <w:p w14:paraId="6B0FD1C3" w14:textId="77777777" w:rsidR="001F57EB" w:rsidRPr="001F57EB" w:rsidRDefault="001F57EB" w:rsidP="001F57EB">
      <w:r w:rsidRPr="001F57EB">
        <w:t>It is anticipated that incline push-ups will produce the greatest repetition performance and lowest perceived exertion, while decline push-ups will produce the opposite response.</w:t>
      </w:r>
    </w:p>
    <w:p w14:paraId="58EF1EA0" w14:textId="77777777" w:rsidR="001F57EB" w:rsidRPr="001F57EB" w:rsidRDefault="001F57EB" w:rsidP="001F57EB">
      <w:r w:rsidRPr="001F57EB">
        <w:t>However, differences may vary according to participant strength, body proportions and training experience.</w:t>
      </w:r>
    </w:p>
    <w:p w14:paraId="6876B278" w14:textId="77777777" w:rsidR="001F57EB" w:rsidRPr="001F57EB" w:rsidRDefault="001F57EB" w:rsidP="001F57EB">
      <w:r w:rsidRPr="001F57EB">
        <w:t>If supported, the findings would suggest that relatively small adjustments in hand or foot elevation can meaningfully alter bodyweight exercise difficulty.</w:t>
      </w:r>
    </w:p>
    <w:p w14:paraId="2CA99756" w14:textId="77777777" w:rsidR="001F57EB" w:rsidRPr="001F57EB" w:rsidRDefault="001F57EB" w:rsidP="001F57EB">
      <w:r w:rsidRPr="001F57EB">
        <w:t>This could have practical implications for developing accessible resistance-training progressions that accommodate differing physical capabilities without requiring conventional gym equipment.</w:t>
      </w:r>
    </w:p>
    <w:p w14:paraId="011F8DBF" w14:textId="77777777" w:rsidR="001F57EB" w:rsidRPr="001F57EB" w:rsidRDefault="001F57EB" w:rsidP="001F57EB">
      <w:r w:rsidRPr="001F57EB">
        <w:t>Although the study cannot establish effectiveness among older adults, it may provide preliminary evidence supporting future investigations into scalable resistance exercise for healthy ageing.</w:t>
      </w:r>
    </w:p>
    <w:p w14:paraId="328D8126" w14:textId="77777777" w:rsidR="001F57EB" w:rsidRPr="001F57EB" w:rsidRDefault="001F57EB" w:rsidP="001F57EB">
      <w:pPr>
        <w:rPr>
          <w:b/>
          <w:bCs/>
        </w:rPr>
      </w:pPr>
      <w:r w:rsidRPr="001F57EB">
        <w:rPr>
          <w:b/>
          <w:bCs/>
        </w:rPr>
        <w:t>7. Limitations</w:t>
      </w:r>
    </w:p>
    <w:p w14:paraId="79A06173" w14:textId="77777777" w:rsidR="001F57EB" w:rsidRPr="001F57EB" w:rsidRDefault="001F57EB" w:rsidP="001F57EB">
      <w:r w:rsidRPr="001F57EB">
        <w:t>The small convenience sample and inclusion of physically capable young adults will limit generalisability to older or less active populations.</w:t>
      </w:r>
    </w:p>
    <w:p w14:paraId="18C76B88" w14:textId="77777777" w:rsidR="001F57EB" w:rsidRPr="001F57EB" w:rsidRDefault="001F57EB" w:rsidP="001F57EB">
      <w:r w:rsidRPr="001F57EB">
        <w:t>Furthermore, changing hand or foot elevation modifies body geometry, joint angles and potentially muscular recruitment. Consequently, observed performance differences cannot be attributed exclusively to changes in external resistance.</w:t>
      </w:r>
    </w:p>
    <w:p w14:paraId="35750E1C" w14:textId="77777777" w:rsidR="001F57EB" w:rsidRPr="001F57EB" w:rsidRDefault="001F57EB" w:rsidP="001F57EB">
      <w:r w:rsidRPr="001F57EB">
        <w:t>Motivation, exercise familiarity and individual fatigue tolerance may also influence repetitions to technical failure.</w:t>
      </w:r>
    </w:p>
    <w:p w14:paraId="66AB0982" w14:textId="77777777" w:rsidR="001F57EB" w:rsidRDefault="001F57EB" w:rsidP="001F57EB">
      <w:r w:rsidRPr="001F57EB">
        <w:t>Finally, the investigation will measure acute endurance and exertion rather than long-term training adaptations. Longitudinal studies involving older adults would be necessary to determine whether these exercise variations improve muscular fitness and functional independence.</w:t>
      </w:r>
    </w:p>
    <w:p w14:paraId="52EBF07E" w14:textId="77777777" w:rsidR="002003A7" w:rsidRDefault="002003A7" w:rsidP="001F57EB"/>
    <w:p w14:paraId="083B67EF" w14:textId="77777777" w:rsidR="002003A7" w:rsidRDefault="002003A7" w:rsidP="001F57EB"/>
    <w:p w14:paraId="5952B667" w14:textId="77777777" w:rsidR="002003A7" w:rsidRDefault="002003A7" w:rsidP="001F57EB"/>
    <w:p w14:paraId="260043F1" w14:textId="77777777" w:rsidR="002003A7" w:rsidRDefault="002003A7" w:rsidP="001F57EB"/>
    <w:p w14:paraId="404A5CE7" w14:textId="77777777" w:rsidR="002003A7" w:rsidRDefault="002003A7" w:rsidP="001F57EB"/>
    <w:p w14:paraId="5BA858E5" w14:textId="77777777" w:rsidR="002003A7" w:rsidRDefault="002003A7" w:rsidP="001F57EB"/>
    <w:p w14:paraId="0AD45918" w14:textId="77777777" w:rsidR="00F700F7" w:rsidRPr="001F57EB" w:rsidRDefault="00F700F7" w:rsidP="001F57EB"/>
    <w:p w14:paraId="4A98A90D" w14:textId="77777777" w:rsidR="001F57EB" w:rsidRPr="001F57EB" w:rsidRDefault="001F57EB" w:rsidP="001F57EB">
      <w:pPr>
        <w:rPr>
          <w:b/>
          <w:bCs/>
        </w:rPr>
      </w:pPr>
      <w:r w:rsidRPr="001F57EB">
        <w:rPr>
          <w:b/>
          <w:bCs/>
        </w:rPr>
        <w:lastRenderedPageBreak/>
        <w:t>References</w:t>
      </w:r>
    </w:p>
    <w:p w14:paraId="5D9A35FB" w14:textId="27D4E859" w:rsidR="001F57EB" w:rsidRPr="001F57EB" w:rsidRDefault="001F57EB" w:rsidP="001F57EB">
      <w:r w:rsidRPr="001F57EB">
        <w:t xml:space="preserve">American College of Sports Medicine (2009) 'Progression models in resistance training for healthy adults', </w:t>
      </w:r>
      <w:r w:rsidRPr="001F57EB">
        <w:rPr>
          <w:i/>
          <w:iCs/>
        </w:rPr>
        <w:t>Medicine &amp; Science in Sports &amp; Exercise</w:t>
      </w:r>
      <w:r w:rsidRPr="001F57EB">
        <w:t xml:space="preserve">, 41(3), pp. 687–708. </w:t>
      </w:r>
      <w:hyperlink r:id="rId8" w:history="1">
        <w:r w:rsidR="005E3D4C" w:rsidRPr="005E3D4C">
          <w:rPr>
            <w:rStyle w:val="Hyperlink"/>
          </w:rPr>
          <w:t>Progression Models in Resistance Training for</w:t>
        </w:r>
        <w:proofErr w:type="gramStart"/>
        <w:r w:rsidR="005E3D4C" w:rsidRPr="005E3D4C">
          <w:rPr>
            <w:rStyle w:val="Hyperlink"/>
          </w:rPr>
          <w:t>... :</w:t>
        </w:r>
        <w:proofErr w:type="gramEnd"/>
        <w:r w:rsidR="005E3D4C" w:rsidRPr="005E3D4C">
          <w:rPr>
            <w:rStyle w:val="Hyperlink"/>
          </w:rPr>
          <w:t xml:space="preserve"> Medicine &amp; Science in Sports &amp; Exercise</w:t>
        </w:r>
      </w:hyperlink>
    </w:p>
    <w:p w14:paraId="0015CB5C" w14:textId="77777777" w:rsidR="001F57EB" w:rsidRPr="001F57EB" w:rsidRDefault="001F57EB" w:rsidP="001F57EB">
      <w:r w:rsidRPr="001F57EB">
        <w:t xml:space="preserve">Borg, G.A.V. (1982) 'Psychophysical bases of perceived exertion', </w:t>
      </w:r>
      <w:r w:rsidRPr="001F57EB">
        <w:rPr>
          <w:i/>
          <w:iCs/>
        </w:rPr>
        <w:t>Medicine &amp; Science in Sports &amp; Exercise</w:t>
      </w:r>
      <w:r w:rsidRPr="001F57EB">
        <w:t>, 14(5), pp. 377–381.</w:t>
      </w:r>
    </w:p>
    <w:p w14:paraId="5F272E7C" w14:textId="32F90462" w:rsidR="001F57EB" w:rsidRPr="001F57EB" w:rsidRDefault="001F57EB" w:rsidP="001F57EB">
      <w:r w:rsidRPr="001F57EB">
        <w:t xml:space="preserve">Calatayud, J., </w:t>
      </w:r>
      <w:proofErr w:type="spellStart"/>
      <w:r w:rsidRPr="001F57EB">
        <w:t>Borreani</w:t>
      </w:r>
      <w:proofErr w:type="spellEnd"/>
      <w:r w:rsidRPr="001F57EB">
        <w:t xml:space="preserve">, S., Colado, J.C., Martín, F., Tella, V. and Andersen, L.L. (2015) 'Bench press and push-up at comparable levels of muscle activity results in similar strength gains', </w:t>
      </w:r>
      <w:r w:rsidRPr="001F57EB">
        <w:rPr>
          <w:i/>
          <w:iCs/>
        </w:rPr>
        <w:t>Journal of Strength and Conditioning Research</w:t>
      </w:r>
      <w:r w:rsidRPr="001F57EB">
        <w:t xml:space="preserve">, 29(1), pp. 246–253. </w:t>
      </w:r>
      <w:hyperlink r:id="rId9" w:history="1">
        <w:r w:rsidR="00817D88" w:rsidRPr="00817D88">
          <w:rPr>
            <w:rStyle w:val="Hyperlink"/>
          </w:rPr>
          <w:t>Bench Press and Push-up at Comparable Levels of</w:t>
        </w:r>
        <w:proofErr w:type="gramStart"/>
        <w:r w:rsidR="00817D88" w:rsidRPr="00817D88">
          <w:rPr>
            <w:rStyle w:val="Hyperlink"/>
          </w:rPr>
          <w:t>... :</w:t>
        </w:r>
        <w:proofErr w:type="gramEnd"/>
        <w:r w:rsidR="00817D88" w:rsidRPr="00817D88">
          <w:rPr>
            <w:rStyle w:val="Hyperlink"/>
          </w:rPr>
          <w:t xml:space="preserve"> Journal of Strength and Conditioning Research</w:t>
        </w:r>
      </w:hyperlink>
    </w:p>
    <w:p w14:paraId="7D2F2F60" w14:textId="65637948" w:rsidR="001F57EB" w:rsidRPr="001F57EB" w:rsidRDefault="001F57EB" w:rsidP="001F57EB">
      <w:r w:rsidRPr="001F57EB">
        <w:t xml:space="preserve">Cruz-Jentoft, A.J. </w:t>
      </w:r>
      <w:r w:rsidRPr="001F57EB">
        <w:rPr>
          <w:i/>
          <w:iCs/>
        </w:rPr>
        <w:t>et al.</w:t>
      </w:r>
      <w:r w:rsidRPr="001F57EB">
        <w:t xml:space="preserve"> (2019) 'Sarcopenia: revised European consensus on definition and diagnosis', </w:t>
      </w:r>
      <w:r w:rsidRPr="001F57EB">
        <w:rPr>
          <w:i/>
          <w:iCs/>
        </w:rPr>
        <w:t>Age and Ageing</w:t>
      </w:r>
      <w:r w:rsidRPr="001F57EB">
        <w:t xml:space="preserve">, 48(1), pp. 16–31. </w:t>
      </w:r>
      <w:hyperlink r:id="rId10" w:history="1">
        <w:r w:rsidR="00F46BD2" w:rsidRPr="00F46BD2">
          <w:rPr>
            <w:rStyle w:val="Hyperlink"/>
          </w:rPr>
          <w:t>Sarcopenia: revised European consensus on definition and diagnosis | Age and Ageing | Oxford Academic</w:t>
        </w:r>
      </w:hyperlink>
    </w:p>
    <w:p w14:paraId="163965AC" w14:textId="084D59CF" w:rsidR="001F57EB" w:rsidRPr="001F57EB" w:rsidRDefault="001F57EB" w:rsidP="001F57EB">
      <w:r w:rsidRPr="001F57EB">
        <w:t xml:space="preserve">Ebben, W.P., Wurm, B., VanderZanden, T.L., Spadavecchia, M.L., Durocher, J.J., Bickham, C.T. and Petushek, E.J. (2011) 'Kinetic analysis of several variations of push-ups', </w:t>
      </w:r>
      <w:r w:rsidRPr="001F57EB">
        <w:rPr>
          <w:i/>
          <w:iCs/>
        </w:rPr>
        <w:t>Journal of Strength and Conditioning Research</w:t>
      </w:r>
      <w:r w:rsidRPr="001F57EB">
        <w:t xml:space="preserve">, 25(10), pp. 2891–2894. </w:t>
      </w:r>
      <w:hyperlink r:id="rId11" w:history="1">
        <w:r w:rsidR="0091126C" w:rsidRPr="0091126C">
          <w:rPr>
            <w:rStyle w:val="Hyperlink"/>
          </w:rPr>
          <w:t>Kinetic Analysis of Several Variations of Push-</w:t>
        </w:r>
        <w:proofErr w:type="gramStart"/>
        <w:r w:rsidR="0091126C" w:rsidRPr="0091126C">
          <w:rPr>
            <w:rStyle w:val="Hyperlink"/>
          </w:rPr>
          <w:t>Ups :</w:t>
        </w:r>
        <w:proofErr w:type="gramEnd"/>
        <w:r w:rsidR="0091126C" w:rsidRPr="0091126C">
          <w:rPr>
            <w:rStyle w:val="Hyperlink"/>
          </w:rPr>
          <w:t xml:space="preserve"> Journal of Strength and Conditioning Research</w:t>
        </w:r>
      </w:hyperlink>
    </w:p>
    <w:p w14:paraId="32FE2B43" w14:textId="7E67A0B0" w:rsidR="001F57EB" w:rsidRPr="001F57EB" w:rsidRDefault="001F57EB" w:rsidP="001F57EB">
      <w:r w:rsidRPr="001F57EB">
        <w:t xml:space="preserve">Fragala, M.S. </w:t>
      </w:r>
      <w:r w:rsidRPr="001F57EB">
        <w:rPr>
          <w:i/>
          <w:iCs/>
        </w:rPr>
        <w:t>et al.</w:t>
      </w:r>
      <w:r w:rsidRPr="001F57EB">
        <w:t xml:space="preserve"> (2019) 'Resistance training for older adults: position statement from the National Strength and Conditioning Association', </w:t>
      </w:r>
      <w:r w:rsidRPr="001F57EB">
        <w:rPr>
          <w:i/>
          <w:iCs/>
        </w:rPr>
        <w:t>Journal of Strength and Conditioning Research</w:t>
      </w:r>
      <w:r w:rsidRPr="001F57EB">
        <w:t xml:space="preserve">, 33(8), pp. 2019–2052. </w:t>
      </w:r>
      <w:hyperlink r:id="rId12" w:history="1">
        <w:r w:rsidR="0091126C" w:rsidRPr="0091126C">
          <w:rPr>
            <w:rStyle w:val="Hyperlink"/>
          </w:rPr>
          <w:t>Resistance Training for Older Adults: Position</w:t>
        </w:r>
        <w:proofErr w:type="gramStart"/>
        <w:r w:rsidR="0091126C" w:rsidRPr="0091126C">
          <w:rPr>
            <w:rStyle w:val="Hyperlink"/>
          </w:rPr>
          <w:t>... :</w:t>
        </w:r>
        <w:proofErr w:type="gramEnd"/>
        <w:r w:rsidR="0091126C" w:rsidRPr="0091126C">
          <w:rPr>
            <w:rStyle w:val="Hyperlink"/>
          </w:rPr>
          <w:t xml:space="preserve"> Journal of Strength and Conditioning Research</w:t>
        </w:r>
      </w:hyperlink>
    </w:p>
    <w:p w14:paraId="5BCE7085" w14:textId="2D5B2923" w:rsidR="001F57EB" w:rsidRPr="001F57EB" w:rsidRDefault="001F57EB" w:rsidP="001F57EB">
      <w:proofErr w:type="spellStart"/>
      <w:r w:rsidRPr="001F57EB">
        <w:t>Suprak</w:t>
      </w:r>
      <w:proofErr w:type="spellEnd"/>
      <w:r w:rsidRPr="001F57EB">
        <w:t xml:space="preserve">, D.N., Dawes, J., Stephenson, M.D. and Hail, J. (2011) 'The effect of position on the percentage of body mass supported during traditional and modified push-up variants', </w:t>
      </w:r>
      <w:r w:rsidRPr="001F57EB">
        <w:rPr>
          <w:i/>
          <w:iCs/>
        </w:rPr>
        <w:t>Journal of Strength and Conditioning Research</w:t>
      </w:r>
      <w:r w:rsidRPr="001F57EB">
        <w:t xml:space="preserve">, 25(2), pp. 497–503. </w:t>
      </w:r>
      <w:hyperlink r:id="rId13" w:history="1">
        <w:r w:rsidR="003B793F" w:rsidRPr="003B793F">
          <w:rPr>
            <w:rStyle w:val="Hyperlink"/>
          </w:rPr>
          <w:t>The Effect of Position on the Percentage of Body</w:t>
        </w:r>
        <w:proofErr w:type="gramStart"/>
        <w:r w:rsidR="003B793F" w:rsidRPr="003B793F">
          <w:rPr>
            <w:rStyle w:val="Hyperlink"/>
          </w:rPr>
          <w:t>... :</w:t>
        </w:r>
        <w:proofErr w:type="gramEnd"/>
        <w:r w:rsidR="003B793F" w:rsidRPr="003B793F">
          <w:rPr>
            <w:rStyle w:val="Hyperlink"/>
          </w:rPr>
          <w:t xml:space="preserve"> Journal of Strength and Conditioning Research</w:t>
        </w:r>
      </w:hyperlink>
    </w:p>
    <w:p w14:paraId="19BF8D96" w14:textId="7D15F7DC" w:rsidR="001F57EB" w:rsidRPr="001F57EB" w:rsidRDefault="001F57EB" w:rsidP="001F57EB">
      <w:r w:rsidRPr="001F57EB">
        <w:t xml:space="preserve">World Health Organization (2020) </w:t>
      </w:r>
      <w:r w:rsidRPr="001F57EB">
        <w:rPr>
          <w:i/>
          <w:iCs/>
        </w:rPr>
        <w:t>WHO guidelines on physical activity and sedentary behaviour</w:t>
      </w:r>
      <w:r w:rsidRPr="001F57EB">
        <w:t xml:space="preserve">. Geneva: World Health Organization. Available at: </w:t>
      </w:r>
      <w:hyperlink r:id="rId14" w:history="1">
        <w:r w:rsidR="003B793F" w:rsidRPr="003B793F">
          <w:rPr>
            <w:rStyle w:val="Hyperlink"/>
          </w:rPr>
          <w:t>WHO guidelines on physical activity and sedentary behaviour</w:t>
        </w:r>
      </w:hyperlink>
      <w:r w:rsidR="003B793F" w:rsidRPr="003B793F">
        <w:t xml:space="preserve"> </w:t>
      </w:r>
    </w:p>
    <w:p w14:paraId="68074017" w14:textId="77777777" w:rsidR="00C7045C" w:rsidRPr="002003A7" w:rsidRDefault="00C7045C" w:rsidP="001F57EB"/>
    <w:sectPr w:rsidR="00C7045C" w:rsidRPr="002003A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E93082" w14:textId="77777777" w:rsidR="004E322B" w:rsidRDefault="004E322B" w:rsidP="00367B2A">
      <w:pPr>
        <w:spacing w:after="0" w:line="240" w:lineRule="auto"/>
      </w:pPr>
      <w:r>
        <w:separator/>
      </w:r>
    </w:p>
  </w:endnote>
  <w:endnote w:type="continuationSeparator" w:id="0">
    <w:p w14:paraId="0A51F618" w14:textId="77777777" w:rsidR="004E322B" w:rsidRDefault="004E322B" w:rsidP="00367B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B16B08" w14:textId="77777777" w:rsidR="004E322B" w:rsidRDefault="004E322B" w:rsidP="00367B2A">
      <w:pPr>
        <w:spacing w:after="0" w:line="240" w:lineRule="auto"/>
      </w:pPr>
      <w:r>
        <w:separator/>
      </w:r>
    </w:p>
  </w:footnote>
  <w:footnote w:type="continuationSeparator" w:id="0">
    <w:p w14:paraId="6C00E5E5" w14:textId="77777777" w:rsidR="004E322B" w:rsidRDefault="004E322B" w:rsidP="00367B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6B5175"/>
    <w:multiLevelType w:val="multilevel"/>
    <w:tmpl w:val="948AE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046EFB"/>
    <w:multiLevelType w:val="hybridMultilevel"/>
    <w:tmpl w:val="7F52E72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30642C98"/>
    <w:multiLevelType w:val="multilevel"/>
    <w:tmpl w:val="DEFCE5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15845C0"/>
    <w:multiLevelType w:val="multilevel"/>
    <w:tmpl w:val="23EC7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4CE5F0E"/>
    <w:multiLevelType w:val="multilevel"/>
    <w:tmpl w:val="D5AE0E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8F21DA2"/>
    <w:multiLevelType w:val="multilevel"/>
    <w:tmpl w:val="04CC7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E8228F9"/>
    <w:multiLevelType w:val="multilevel"/>
    <w:tmpl w:val="3DFAF3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19A40C8"/>
    <w:multiLevelType w:val="multilevel"/>
    <w:tmpl w:val="D74E8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2B8335A"/>
    <w:multiLevelType w:val="multilevel"/>
    <w:tmpl w:val="6DDAC8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BDE1640"/>
    <w:multiLevelType w:val="multilevel"/>
    <w:tmpl w:val="A6081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2A319F2"/>
    <w:multiLevelType w:val="multilevel"/>
    <w:tmpl w:val="30C8DD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9F20813"/>
    <w:multiLevelType w:val="multilevel"/>
    <w:tmpl w:val="BCE89A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07263490">
    <w:abstractNumId w:val="6"/>
  </w:num>
  <w:num w:numId="2" w16cid:durableId="877812791">
    <w:abstractNumId w:val="11"/>
  </w:num>
  <w:num w:numId="3" w16cid:durableId="811993289">
    <w:abstractNumId w:val="0"/>
  </w:num>
  <w:num w:numId="4" w16cid:durableId="509757572">
    <w:abstractNumId w:val="5"/>
  </w:num>
  <w:num w:numId="5" w16cid:durableId="795639539">
    <w:abstractNumId w:val="4"/>
  </w:num>
  <w:num w:numId="6" w16cid:durableId="171380888">
    <w:abstractNumId w:val="10"/>
  </w:num>
  <w:num w:numId="7" w16cid:durableId="1281454328">
    <w:abstractNumId w:val="7"/>
  </w:num>
  <w:num w:numId="8" w16cid:durableId="352539120">
    <w:abstractNumId w:val="2"/>
  </w:num>
  <w:num w:numId="9" w16cid:durableId="702442582">
    <w:abstractNumId w:val="3"/>
  </w:num>
  <w:num w:numId="10" w16cid:durableId="885487869">
    <w:abstractNumId w:val="8"/>
  </w:num>
  <w:num w:numId="11" w16cid:durableId="1052778342">
    <w:abstractNumId w:val="9"/>
  </w:num>
  <w:num w:numId="12" w16cid:durableId="100489482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705F"/>
    <w:rsid w:val="00010403"/>
    <w:rsid w:val="00010B49"/>
    <w:rsid w:val="00033AAB"/>
    <w:rsid w:val="00070CDB"/>
    <w:rsid w:val="00092059"/>
    <w:rsid w:val="000A521D"/>
    <w:rsid w:val="000A5654"/>
    <w:rsid w:val="000B0320"/>
    <w:rsid w:val="000B119A"/>
    <w:rsid w:val="000C58B7"/>
    <w:rsid w:val="000E6D96"/>
    <w:rsid w:val="001121D4"/>
    <w:rsid w:val="0012647D"/>
    <w:rsid w:val="0012677F"/>
    <w:rsid w:val="00127677"/>
    <w:rsid w:val="00140924"/>
    <w:rsid w:val="00141F86"/>
    <w:rsid w:val="001530A5"/>
    <w:rsid w:val="001908B4"/>
    <w:rsid w:val="001A095A"/>
    <w:rsid w:val="001B23E7"/>
    <w:rsid w:val="001D5901"/>
    <w:rsid w:val="001F1096"/>
    <w:rsid w:val="001F57EB"/>
    <w:rsid w:val="002003A7"/>
    <w:rsid w:val="0020570C"/>
    <w:rsid w:val="00210A7F"/>
    <w:rsid w:val="002133EE"/>
    <w:rsid w:val="00215F2D"/>
    <w:rsid w:val="0024245F"/>
    <w:rsid w:val="00262321"/>
    <w:rsid w:val="00262C3D"/>
    <w:rsid w:val="00266D2B"/>
    <w:rsid w:val="00290E2C"/>
    <w:rsid w:val="00294D41"/>
    <w:rsid w:val="002B3C92"/>
    <w:rsid w:val="002E1743"/>
    <w:rsid w:val="002E36DB"/>
    <w:rsid w:val="00311D64"/>
    <w:rsid w:val="00313DB5"/>
    <w:rsid w:val="0033572C"/>
    <w:rsid w:val="00341731"/>
    <w:rsid w:val="00367B2A"/>
    <w:rsid w:val="00371097"/>
    <w:rsid w:val="0039705F"/>
    <w:rsid w:val="003A01D1"/>
    <w:rsid w:val="003A04B3"/>
    <w:rsid w:val="003B793F"/>
    <w:rsid w:val="003E5187"/>
    <w:rsid w:val="004150B3"/>
    <w:rsid w:val="00415A83"/>
    <w:rsid w:val="00446E5B"/>
    <w:rsid w:val="004528F0"/>
    <w:rsid w:val="00461C0D"/>
    <w:rsid w:val="004C470A"/>
    <w:rsid w:val="004E322B"/>
    <w:rsid w:val="004F2715"/>
    <w:rsid w:val="005341AE"/>
    <w:rsid w:val="00552971"/>
    <w:rsid w:val="0056689F"/>
    <w:rsid w:val="005D3CB8"/>
    <w:rsid w:val="005E3D4C"/>
    <w:rsid w:val="006274F5"/>
    <w:rsid w:val="00631FFD"/>
    <w:rsid w:val="006447C5"/>
    <w:rsid w:val="006506AF"/>
    <w:rsid w:val="00656CDA"/>
    <w:rsid w:val="00663314"/>
    <w:rsid w:val="00680596"/>
    <w:rsid w:val="00683CB7"/>
    <w:rsid w:val="006A4B9C"/>
    <w:rsid w:val="006B0E73"/>
    <w:rsid w:val="006B16BE"/>
    <w:rsid w:val="006D1783"/>
    <w:rsid w:val="006D7533"/>
    <w:rsid w:val="006E5FCA"/>
    <w:rsid w:val="006E616A"/>
    <w:rsid w:val="00705168"/>
    <w:rsid w:val="007109E7"/>
    <w:rsid w:val="0071205B"/>
    <w:rsid w:val="00720C1E"/>
    <w:rsid w:val="00721D6B"/>
    <w:rsid w:val="00761BF7"/>
    <w:rsid w:val="0076395A"/>
    <w:rsid w:val="00767CB0"/>
    <w:rsid w:val="0077118B"/>
    <w:rsid w:val="007A5139"/>
    <w:rsid w:val="007A6B88"/>
    <w:rsid w:val="007C36C8"/>
    <w:rsid w:val="007C4781"/>
    <w:rsid w:val="007C7C95"/>
    <w:rsid w:val="007D054D"/>
    <w:rsid w:val="007D1431"/>
    <w:rsid w:val="00810482"/>
    <w:rsid w:val="0081092C"/>
    <w:rsid w:val="00817835"/>
    <w:rsid w:val="00817D88"/>
    <w:rsid w:val="00825AB7"/>
    <w:rsid w:val="008314E0"/>
    <w:rsid w:val="0084113E"/>
    <w:rsid w:val="00886413"/>
    <w:rsid w:val="008A4F02"/>
    <w:rsid w:val="008A5CE5"/>
    <w:rsid w:val="008B229C"/>
    <w:rsid w:val="008E7230"/>
    <w:rsid w:val="00906FE2"/>
    <w:rsid w:val="00910852"/>
    <w:rsid w:val="00911041"/>
    <w:rsid w:val="0091126C"/>
    <w:rsid w:val="0091512C"/>
    <w:rsid w:val="009211D2"/>
    <w:rsid w:val="00932477"/>
    <w:rsid w:val="00932B3A"/>
    <w:rsid w:val="00953813"/>
    <w:rsid w:val="0096274A"/>
    <w:rsid w:val="0099150B"/>
    <w:rsid w:val="00994959"/>
    <w:rsid w:val="009A38AB"/>
    <w:rsid w:val="009B537F"/>
    <w:rsid w:val="009C63D8"/>
    <w:rsid w:val="009D03F4"/>
    <w:rsid w:val="009F359D"/>
    <w:rsid w:val="00A20015"/>
    <w:rsid w:val="00A41BA7"/>
    <w:rsid w:val="00A54627"/>
    <w:rsid w:val="00A74C46"/>
    <w:rsid w:val="00A7510F"/>
    <w:rsid w:val="00A82E8B"/>
    <w:rsid w:val="00A9302B"/>
    <w:rsid w:val="00AE5B7C"/>
    <w:rsid w:val="00AE5ECF"/>
    <w:rsid w:val="00B162BB"/>
    <w:rsid w:val="00B34098"/>
    <w:rsid w:val="00B37288"/>
    <w:rsid w:val="00B64CF1"/>
    <w:rsid w:val="00B7621B"/>
    <w:rsid w:val="00BA2CC2"/>
    <w:rsid w:val="00BB11B3"/>
    <w:rsid w:val="00BD3FC9"/>
    <w:rsid w:val="00BD58AE"/>
    <w:rsid w:val="00C015CD"/>
    <w:rsid w:val="00C120FB"/>
    <w:rsid w:val="00C26149"/>
    <w:rsid w:val="00C33E42"/>
    <w:rsid w:val="00C42EDC"/>
    <w:rsid w:val="00C54D5F"/>
    <w:rsid w:val="00C648D7"/>
    <w:rsid w:val="00C7045C"/>
    <w:rsid w:val="00C77CFF"/>
    <w:rsid w:val="00CA20EB"/>
    <w:rsid w:val="00CB38CB"/>
    <w:rsid w:val="00CB5555"/>
    <w:rsid w:val="00CF7EC5"/>
    <w:rsid w:val="00D14983"/>
    <w:rsid w:val="00D15358"/>
    <w:rsid w:val="00D33896"/>
    <w:rsid w:val="00D63706"/>
    <w:rsid w:val="00D6406B"/>
    <w:rsid w:val="00D80C0D"/>
    <w:rsid w:val="00D86C96"/>
    <w:rsid w:val="00DB5EEF"/>
    <w:rsid w:val="00DD764F"/>
    <w:rsid w:val="00DD76B9"/>
    <w:rsid w:val="00E2377A"/>
    <w:rsid w:val="00E869E8"/>
    <w:rsid w:val="00EA01DB"/>
    <w:rsid w:val="00EA258B"/>
    <w:rsid w:val="00EA38EB"/>
    <w:rsid w:val="00EB1291"/>
    <w:rsid w:val="00ED1E18"/>
    <w:rsid w:val="00ED27F7"/>
    <w:rsid w:val="00ED4F9F"/>
    <w:rsid w:val="00F11D58"/>
    <w:rsid w:val="00F27689"/>
    <w:rsid w:val="00F35F5C"/>
    <w:rsid w:val="00F46BD2"/>
    <w:rsid w:val="00F6105C"/>
    <w:rsid w:val="00F700F7"/>
    <w:rsid w:val="00F73A14"/>
    <w:rsid w:val="00F9023E"/>
    <w:rsid w:val="00FA6FF8"/>
    <w:rsid w:val="00FE4E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CD4D4"/>
  <w15:chartTrackingRefBased/>
  <w15:docId w15:val="{1642D2D1-A7A7-43E4-BA48-1BBDE8815C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70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70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70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70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70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70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70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70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70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70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70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70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70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70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70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70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70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705F"/>
    <w:rPr>
      <w:rFonts w:eastAsiaTheme="majorEastAsia" w:cstheme="majorBidi"/>
      <w:color w:val="272727" w:themeColor="text1" w:themeTint="D8"/>
    </w:rPr>
  </w:style>
  <w:style w:type="paragraph" w:styleId="Title">
    <w:name w:val="Title"/>
    <w:basedOn w:val="Normal"/>
    <w:next w:val="Normal"/>
    <w:link w:val="TitleChar"/>
    <w:uiPriority w:val="10"/>
    <w:qFormat/>
    <w:rsid w:val="003970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70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70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70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705F"/>
    <w:pPr>
      <w:spacing w:before="160"/>
      <w:jc w:val="center"/>
    </w:pPr>
    <w:rPr>
      <w:i/>
      <w:iCs/>
      <w:color w:val="404040" w:themeColor="text1" w:themeTint="BF"/>
    </w:rPr>
  </w:style>
  <w:style w:type="character" w:customStyle="1" w:styleId="QuoteChar">
    <w:name w:val="Quote Char"/>
    <w:basedOn w:val="DefaultParagraphFont"/>
    <w:link w:val="Quote"/>
    <w:uiPriority w:val="29"/>
    <w:rsid w:val="0039705F"/>
    <w:rPr>
      <w:i/>
      <w:iCs/>
      <w:color w:val="404040" w:themeColor="text1" w:themeTint="BF"/>
    </w:rPr>
  </w:style>
  <w:style w:type="paragraph" w:styleId="ListParagraph">
    <w:name w:val="List Paragraph"/>
    <w:basedOn w:val="Normal"/>
    <w:uiPriority w:val="34"/>
    <w:qFormat/>
    <w:rsid w:val="0039705F"/>
    <w:pPr>
      <w:ind w:left="720"/>
      <w:contextualSpacing/>
    </w:pPr>
  </w:style>
  <w:style w:type="character" w:styleId="IntenseEmphasis">
    <w:name w:val="Intense Emphasis"/>
    <w:basedOn w:val="DefaultParagraphFont"/>
    <w:uiPriority w:val="21"/>
    <w:qFormat/>
    <w:rsid w:val="0039705F"/>
    <w:rPr>
      <w:i/>
      <w:iCs/>
      <w:color w:val="0F4761" w:themeColor="accent1" w:themeShade="BF"/>
    </w:rPr>
  </w:style>
  <w:style w:type="paragraph" w:styleId="IntenseQuote">
    <w:name w:val="Intense Quote"/>
    <w:basedOn w:val="Normal"/>
    <w:next w:val="Normal"/>
    <w:link w:val="IntenseQuoteChar"/>
    <w:uiPriority w:val="30"/>
    <w:qFormat/>
    <w:rsid w:val="003970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705F"/>
    <w:rPr>
      <w:i/>
      <w:iCs/>
      <w:color w:val="0F4761" w:themeColor="accent1" w:themeShade="BF"/>
    </w:rPr>
  </w:style>
  <w:style w:type="character" w:styleId="IntenseReference">
    <w:name w:val="Intense Reference"/>
    <w:basedOn w:val="DefaultParagraphFont"/>
    <w:uiPriority w:val="32"/>
    <w:qFormat/>
    <w:rsid w:val="0039705F"/>
    <w:rPr>
      <w:b/>
      <w:bCs/>
      <w:smallCaps/>
      <w:color w:val="0F4761" w:themeColor="accent1" w:themeShade="BF"/>
      <w:spacing w:val="5"/>
    </w:rPr>
  </w:style>
  <w:style w:type="paragraph" w:styleId="Header">
    <w:name w:val="header"/>
    <w:basedOn w:val="Normal"/>
    <w:link w:val="HeaderChar"/>
    <w:uiPriority w:val="99"/>
    <w:unhideWhenUsed/>
    <w:rsid w:val="00367B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7B2A"/>
  </w:style>
  <w:style w:type="paragraph" w:styleId="Footer">
    <w:name w:val="footer"/>
    <w:basedOn w:val="Normal"/>
    <w:link w:val="FooterChar"/>
    <w:uiPriority w:val="99"/>
    <w:unhideWhenUsed/>
    <w:rsid w:val="00367B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7B2A"/>
  </w:style>
  <w:style w:type="character" w:styleId="Hyperlink">
    <w:name w:val="Hyperlink"/>
    <w:basedOn w:val="DefaultParagraphFont"/>
    <w:uiPriority w:val="99"/>
    <w:unhideWhenUsed/>
    <w:rsid w:val="0076395A"/>
    <w:rPr>
      <w:color w:val="467886" w:themeColor="hyperlink"/>
      <w:u w:val="single"/>
    </w:rPr>
  </w:style>
  <w:style w:type="character" w:styleId="UnresolvedMention">
    <w:name w:val="Unresolved Mention"/>
    <w:basedOn w:val="DefaultParagraphFont"/>
    <w:uiPriority w:val="99"/>
    <w:semiHidden/>
    <w:unhideWhenUsed/>
    <w:rsid w:val="0076395A"/>
    <w:rPr>
      <w:color w:val="605E5C"/>
      <w:shd w:val="clear" w:color="auto" w:fill="E1DFDD"/>
    </w:rPr>
  </w:style>
  <w:style w:type="character" w:styleId="FollowedHyperlink">
    <w:name w:val="FollowedHyperlink"/>
    <w:basedOn w:val="DefaultParagraphFont"/>
    <w:uiPriority w:val="99"/>
    <w:semiHidden/>
    <w:unhideWhenUsed/>
    <w:rsid w:val="006447C5"/>
    <w:rPr>
      <w:color w:val="96607D" w:themeColor="followedHyperlink"/>
      <w:u w:val="single"/>
    </w:rPr>
  </w:style>
  <w:style w:type="table" w:styleId="TableGrid">
    <w:name w:val="Table Grid"/>
    <w:basedOn w:val="TableNormal"/>
    <w:uiPriority w:val="39"/>
    <w:rsid w:val="00F11D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vid.com/jnls/acsm-msse/abstract/10.1249/mss.0b013e3181915670~progression-models-in-resistance-training-for-healthy-adults?redirectionsource=fulltextview" TargetMode="External"/><Relationship Id="rId13" Type="http://schemas.openxmlformats.org/officeDocument/2006/relationships/hyperlink" Target="https://www.ovid.com/jnls/nsca-jscr/abstract/10.1519/jsc.0b013e3181bde2cf~the-effect-of-position-on-the-percentage-of-body-mass?redirectionsource=fulltextview" TargetMode="External"/><Relationship Id="rId3" Type="http://schemas.openxmlformats.org/officeDocument/2006/relationships/settings" Target="settings.xml"/><Relationship Id="rId7" Type="http://schemas.openxmlformats.org/officeDocument/2006/relationships/hyperlink" Target="https://www.grammarly.com" TargetMode="External"/><Relationship Id="rId12" Type="http://schemas.openxmlformats.org/officeDocument/2006/relationships/hyperlink" Target="https://www.ovid.com/jnls/nsca-jscr/fulltext/10.1519/jsc.0000000000003230~resistance-training-for-older-adults-position-statement-fro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vid.com/jnls/nsca-jscr/abstract/10.1519/jsc.0b013e31820c8587~kinetic-analysis-of-several-variations-of-push-ups?redirectionsource=fulltextview"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academic.oup.com/ageing/article/48/1/16/5126243" TargetMode="External"/><Relationship Id="rId4" Type="http://schemas.openxmlformats.org/officeDocument/2006/relationships/webSettings" Target="webSettings.xml"/><Relationship Id="rId9" Type="http://schemas.openxmlformats.org/officeDocument/2006/relationships/hyperlink" Target="https://www.ovid.com/jnls/nsca-jscr/abstract/10.1519/jsc.0000000000000589~bench-press-and-push-up-at-comparable-levels-of-muscle?redirectionsource=fulltextview" TargetMode="External"/><Relationship Id="rId14" Type="http://schemas.openxmlformats.org/officeDocument/2006/relationships/hyperlink" Target="https://www.who.int/publications/i/item/97892400151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2432</Words>
  <Characters>13869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16269</CharactersWithSpaces>
  <SharedDoc>false</SharedDoc>
  <HLinks>
    <vt:vector size="42" baseType="variant">
      <vt:variant>
        <vt:i4>1704002</vt:i4>
      </vt:variant>
      <vt:variant>
        <vt:i4>18</vt:i4>
      </vt:variant>
      <vt:variant>
        <vt:i4>0</vt:i4>
      </vt:variant>
      <vt:variant>
        <vt:i4>5</vt:i4>
      </vt:variant>
      <vt:variant>
        <vt:lpwstr>https://www.who.int/publications/i/item/9789240015128</vt:lpwstr>
      </vt:variant>
      <vt:variant>
        <vt:lpwstr/>
      </vt:variant>
      <vt:variant>
        <vt:i4>4784131</vt:i4>
      </vt:variant>
      <vt:variant>
        <vt:i4>15</vt:i4>
      </vt:variant>
      <vt:variant>
        <vt:i4>0</vt:i4>
      </vt:variant>
      <vt:variant>
        <vt:i4>5</vt:i4>
      </vt:variant>
      <vt:variant>
        <vt:lpwstr>https://doi.org/10.1519/JSC.0b013e3181bde2cf</vt:lpwstr>
      </vt:variant>
      <vt:variant>
        <vt:lpwstr/>
      </vt:variant>
      <vt:variant>
        <vt:i4>5046367</vt:i4>
      </vt:variant>
      <vt:variant>
        <vt:i4>12</vt:i4>
      </vt:variant>
      <vt:variant>
        <vt:i4>0</vt:i4>
      </vt:variant>
      <vt:variant>
        <vt:i4>5</vt:i4>
      </vt:variant>
      <vt:variant>
        <vt:lpwstr>https://doi.org/10.1519/JSC.0000000000003230</vt:lpwstr>
      </vt:variant>
      <vt:variant>
        <vt:lpwstr/>
      </vt:variant>
      <vt:variant>
        <vt:i4>1769559</vt:i4>
      </vt:variant>
      <vt:variant>
        <vt:i4>9</vt:i4>
      </vt:variant>
      <vt:variant>
        <vt:i4>0</vt:i4>
      </vt:variant>
      <vt:variant>
        <vt:i4>5</vt:i4>
      </vt:variant>
      <vt:variant>
        <vt:lpwstr>https://doi.org/10.1519/JSC.0b013e31820c8587</vt:lpwstr>
      </vt:variant>
      <vt:variant>
        <vt:lpwstr/>
      </vt:variant>
      <vt:variant>
        <vt:i4>6094923</vt:i4>
      </vt:variant>
      <vt:variant>
        <vt:i4>6</vt:i4>
      </vt:variant>
      <vt:variant>
        <vt:i4>0</vt:i4>
      </vt:variant>
      <vt:variant>
        <vt:i4>5</vt:i4>
      </vt:variant>
      <vt:variant>
        <vt:lpwstr>https://doi.org/10.1093/ageing/afy169</vt:lpwstr>
      </vt:variant>
      <vt:variant>
        <vt:lpwstr/>
      </vt:variant>
      <vt:variant>
        <vt:i4>4390999</vt:i4>
      </vt:variant>
      <vt:variant>
        <vt:i4>3</vt:i4>
      </vt:variant>
      <vt:variant>
        <vt:i4>0</vt:i4>
      </vt:variant>
      <vt:variant>
        <vt:i4>5</vt:i4>
      </vt:variant>
      <vt:variant>
        <vt:lpwstr>https://doi.org/10.1519/JSC.0000000000000589</vt:lpwstr>
      </vt:variant>
      <vt:variant>
        <vt:lpwstr/>
      </vt:variant>
      <vt:variant>
        <vt:i4>4915276</vt:i4>
      </vt:variant>
      <vt:variant>
        <vt:i4>0</vt:i4>
      </vt:variant>
      <vt:variant>
        <vt:i4>0</vt:i4>
      </vt:variant>
      <vt:variant>
        <vt:i4>5</vt:i4>
      </vt:variant>
      <vt:variant>
        <vt:lpwstr>https://doi.org/10.1249/MSS.0b013e3181915670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 Ashburner</dc:creator>
  <cp:keywords/>
  <dc:description/>
  <cp:lastModifiedBy>Zac Ashburner</cp:lastModifiedBy>
  <cp:revision>124</cp:revision>
  <dcterms:created xsi:type="dcterms:W3CDTF">2026-09-29T08:24:00Z</dcterms:created>
  <dcterms:modified xsi:type="dcterms:W3CDTF">2026-10-23T12:13:00Z</dcterms:modified>
</cp:coreProperties>
</file>