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D8265" w14:textId="68C621B6" w:rsidR="00BF657D" w:rsidRDefault="00BF657D" w:rsidP="003B4FFE">
      <w:pPr>
        <w:spacing w:line="360" w:lineRule="auto"/>
        <w:rPr>
          <w:sz w:val="24"/>
          <w:szCs w:val="24"/>
        </w:rPr>
      </w:pPr>
      <w:r>
        <w:rPr>
          <w:sz w:val="24"/>
          <w:szCs w:val="24"/>
        </w:rPr>
        <w:t xml:space="preserve">This assignment is going to </w:t>
      </w:r>
      <w:r w:rsidR="00BC2A3E">
        <w:rPr>
          <w:sz w:val="24"/>
          <w:szCs w:val="24"/>
        </w:rPr>
        <w:t>be a reflective peer-evaluation of an event that took place on the 20</w:t>
      </w:r>
      <w:r w:rsidR="00BC2A3E" w:rsidRPr="00BC2A3E">
        <w:rPr>
          <w:sz w:val="24"/>
          <w:szCs w:val="24"/>
          <w:vertAlign w:val="superscript"/>
        </w:rPr>
        <w:t>th</w:t>
      </w:r>
      <w:r w:rsidR="00BC2A3E">
        <w:rPr>
          <w:sz w:val="24"/>
          <w:szCs w:val="24"/>
        </w:rPr>
        <w:t xml:space="preserve"> November 2018. </w:t>
      </w:r>
      <w:r w:rsidR="008740A9">
        <w:rPr>
          <w:sz w:val="24"/>
          <w:szCs w:val="24"/>
        </w:rPr>
        <w:t xml:space="preserve">A peer-review aims to be able to provide suggestions on how to improve the quality of work and identify if there have been any errors that need addressing and correcting (Kelly et al, 2014). </w:t>
      </w:r>
      <w:r w:rsidR="00BC2A3E">
        <w:rPr>
          <w:sz w:val="24"/>
          <w:szCs w:val="24"/>
        </w:rPr>
        <w:t xml:space="preserve">The event consisted of several stalls that were presented on the canteen floor of the business campus building. This event aimed to raise awareness of certain vulnerable people </w:t>
      </w:r>
      <w:r w:rsidR="00086716">
        <w:rPr>
          <w:sz w:val="24"/>
          <w:szCs w:val="24"/>
        </w:rPr>
        <w:t xml:space="preserve">to people within our community. Community is defined as a group of individuals who all have the same thing in common such as social interaction, geographic area and common ties as essential elements of community life (MacQueen et al, 2001). </w:t>
      </w:r>
      <w:r w:rsidR="00BC2A3E">
        <w:rPr>
          <w:sz w:val="24"/>
          <w:szCs w:val="24"/>
        </w:rPr>
        <w:t>The stall that</w:t>
      </w:r>
      <w:r w:rsidR="006A2867">
        <w:rPr>
          <w:sz w:val="24"/>
          <w:szCs w:val="24"/>
        </w:rPr>
        <w:t xml:space="preserve"> this assignment is going to be giving a reflective peer-evaluation of is the LGBT stall. During this peer-evaluation there will </w:t>
      </w:r>
      <w:r w:rsidR="00DF48BE">
        <w:rPr>
          <w:sz w:val="24"/>
          <w:szCs w:val="24"/>
        </w:rPr>
        <w:t xml:space="preserve">a discussion of </w:t>
      </w:r>
      <w:r w:rsidR="00A1510C">
        <w:rPr>
          <w:sz w:val="24"/>
          <w:szCs w:val="24"/>
        </w:rPr>
        <w:t>models of behaviour change</w:t>
      </w:r>
      <w:r w:rsidR="00E27DFC">
        <w:rPr>
          <w:sz w:val="24"/>
          <w:szCs w:val="24"/>
        </w:rPr>
        <w:t xml:space="preserve"> and</w:t>
      </w:r>
      <w:r w:rsidR="006A2867">
        <w:rPr>
          <w:sz w:val="24"/>
          <w:szCs w:val="24"/>
        </w:rPr>
        <w:t xml:space="preserve"> things that were done well by the group and things that could have been improved on alongside with a </w:t>
      </w:r>
      <w:r w:rsidR="00154027">
        <w:rPr>
          <w:sz w:val="24"/>
          <w:szCs w:val="24"/>
        </w:rPr>
        <w:t xml:space="preserve">discussion of what was included in the </w:t>
      </w:r>
      <w:r w:rsidR="006A2867">
        <w:rPr>
          <w:sz w:val="24"/>
          <w:szCs w:val="24"/>
        </w:rPr>
        <w:t>portfolio</w:t>
      </w:r>
      <w:r w:rsidR="00154027">
        <w:rPr>
          <w:sz w:val="24"/>
          <w:szCs w:val="24"/>
        </w:rPr>
        <w:t>.</w:t>
      </w:r>
    </w:p>
    <w:p w14:paraId="62758330" w14:textId="7109D71B" w:rsidR="00217CBD" w:rsidRDefault="00861AC5" w:rsidP="003B4FFE">
      <w:pPr>
        <w:spacing w:line="360" w:lineRule="auto"/>
        <w:rPr>
          <w:sz w:val="24"/>
          <w:szCs w:val="24"/>
        </w:rPr>
      </w:pPr>
      <w:r w:rsidRPr="00230BBB">
        <w:rPr>
          <w:sz w:val="24"/>
          <w:szCs w:val="24"/>
        </w:rPr>
        <w:t>Group members</w:t>
      </w:r>
      <w:r w:rsidRPr="00230BBB">
        <w:rPr>
          <w:b/>
          <w:sz w:val="24"/>
          <w:szCs w:val="24"/>
        </w:rPr>
        <w:t>:</w:t>
      </w:r>
      <w:r w:rsidRPr="00217CBD">
        <w:rPr>
          <w:sz w:val="24"/>
          <w:szCs w:val="24"/>
        </w:rPr>
        <w:t xml:space="preserve"> </w:t>
      </w:r>
      <w:r w:rsidR="00217CBD">
        <w:rPr>
          <w:sz w:val="24"/>
          <w:szCs w:val="24"/>
        </w:rPr>
        <w:t xml:space="preserve">Francesca Langdon-Jones, </w:t>
      </w:r>
      <w:proofErr w:type="spellStart"/>
      <w:r w:rsidR="00217CBD">
        <w:rPr>
          <w:sz w:val="24"/>
          <w:szCs w:val="24"/>
        </w:rPr>
        <w:t>Catrin</w:t>
      </w:r>
      <w:proofErr w:type="spellEnd"/>
      <w:r w:rsidR="00217CBD">
        <w:rPr>
          <w:sz w:val="24"/>
          <w:szCs w:val="24"/>
        </w:rPr>
        <w:t xml:space="preserve"> Boulton, Jessica Leach and Jemma cook.</w:t>
      </w:r>
    </w:p>
    <w:p w14:paraId="38DEE542" w14:textId="1BA11740" w:rsidR="00217CBD" w:rsidRDefault="00217CBD" w:rsidP="003B4FFE">
      <w:pPr>
        <w:spacing w:line="360" w:lineRule="auto"/>
        <w:rPr>
          <w:sz w:val="24"/>
          <w:szCs w:val="24"/>
        </w:rPr>
      </w:pPr>
      <w:r>
        <w:rPr>
          <w:sz w:val="24"/>
          <w:szCs w:val="24"/>
        </w:rPr>
        <w:t>Topic chosen: Lesbian, gay, bisexual and transgender (LGBT).</w:t>
      </w:r>
    </w:p>
    <w:p w14:paraId="218E2D9B" w14:textId="1436D619" w:rsidR="00217CBD" w:rsidRDefault="00217CBD" w:rsidP="003B4FFE">
      <w:pPr>
        <w:spacing w:line="360" w:lineRule="auto"/>
        <w:rPr>
          <w:sz w:val="24"/>
          <w:szCs w:val="24"/>
        </w:rPr>
      </w:pPr>
      <w:r>
        <w:rPr>
          <w:sz w:val="24"/>
          <w:szCs w:val="24"/>
        </w:rPr>
        <w:t xml:space="preserve">Materials included: leaflets, map, sexual orientation guide for the NHS, biscuits and quotations. </w:t>
      </w:r>
      <w:bookmarkStart w:id="0" w:name="_GoBack"/>
      <w:bookmarkEnd w:id="0"/>
    </w:p>
    <w:p w14:paraId="16C0362E" w14:textId="4E1BB3B7" w:rsidR="00144238" w:rsidRPr="0087551B" w:rsidRDefault="00957CA4" w:rsidP="003B4FFE">
      <w:pPr>
        <w:spacing w:line="360" w:lineRule="auto"/>
        <w:rPr>
          <w:sz w:val="24"/>
          <w:szCs w:val="24"/>
        </w:rPr>
      </w:pPr>
      <w:r>
        <w:rPr>
          <w:sz w:val="24"/>
          <w:szCs w:val="24"/>
        </w:rPr>
        <w:t xml:space="preserve">There are two main models of behaviour change, </w:t>
      </w:r>
      <w:bookmarkStart w:id="1" w:name="_Hlk531635329"/>
      <w:r>
        <w:rPr>
          <w:sz w:val="24"/>
          <w:szCs w:val="24"/>
        </w:rPr>
        <w:t>the theory of planned behaviour and the health belief model</w:t>
      </w:r>
      <w:bookmarkEnd w:id="1"/>
      <w:r>
        <w:rPr>
          <w:sz w:val="24"/>
          <w:szCs w:val="24"/>
        </w:rPr>
        <w:t>. The</w:t>
      </w:r>
      <w:r w:rsidR="00AD30E7">
        <w:rPr>
          <w:sz w:val="24"/>
          <w:szCs w:val="24"/>
        </w:rPr>
        <w:t xml:space="preserve"> key component to the</w:t>
      </w:r>
      <w:r>
        <w:rPr>
          <w:sz w:val="24"/>
          <w:szCs w:val="24"/>
        </w:rPr>
        <w:t xml:space="preserve"> theory of planned behaviour</w:t>
      </w:r>
      <w:r w:rsidR="00AD30E7">
        <w:rPr>
          <w:sz w:val="24"/>
          <w:szCs w:val="24"/>
        </w:rPr>
        <w:t xml:space="preserve"> is behavioural intent which are influenced by the attitudes of the likelihood that the behaviour will have the outcome that is expected and the evaluation of the risks and benefits of that outcome (</w:t>
      </w:r>
      <w:proofErr w:type="spellStart"/>
      <w:r w:rsidR="00AD30E7">
        <w:rPr>
          <w:sz w:val="24"/>
          <w:szCs w:val="24"/>
        </w:rPr>
        <w:t>LaMorte</w:t>
      </w:r>
      <w:proofErr w:type="spellEnd"/>
      <w:r w:rsidR="00AD30E7">
        <w:rPr>
          <w:sz w:val="24"/>
          <w:szCs w:val="24"/>
        </w:rPr>
        <w:t xml:space="preserve">, 2018). This model is limited as it does not consider </w:t>
      </w:r>
      <w:r w:rsidR="00DF48BE">
        <w:rPr>
          <w:sz w:val="24"/>
          <w:szCs w:val="24"/>
        </w:rPr>
        <w:t xml:space="preserve">other variables such as </w:t>
      </w:r>
      <w:r w:rsidR="00AD30E7">
        <w:rPr>
          <w:sz w:val="24"/>
          <w:szCs w:val="24"/>
        </w:rPr>
        <w:t>environmental or economic influences</w:t>
      </w:r>
      <w:r w:rsidR="00DF48BE">
        <w:rPr>
          <w:sz w:val="24"/>
          <w:szCs w:val="24"/>
        </w:rPr>
        <w:t xml:space="preserve"> (</w:t>
      </w:r>
      <w:proofErr w:type="spellStart"/>
      <w:r w:rsidR="00DF48BE">
        <w:rPr>
          <w:sz w:val="24"/>
          <w:szCs w:val="24"/>
        </w:rPr>
        <w:t>LaMorte</w:t>
      </w:r>
      <w:proofErr w:type="spellEnd"/>
      <w:r w:rsidR="00DF48BE">
        <w:rPr>
          <w:sz w:val="24"/>
          <w:szCs w:val="24"/>
        </w:rPr>
        <w:t>, 2018).</w:t>
      </w:r>
      <w:r w:rsidR="00AD30E7">
        <w:rPr>
          <w:sz w:val="24"/>
          <w:szCs w:val="24"/>
        </w:rPr>
        <w:t xml:space="preserve"> However, the health belief model </w:t>
      </w:r>
      <w:r w:rsidR="00A1510C">
        <w:rPr>
          <w:sz w:val="24"/>
          <w:szCs w:val="24"/>
        </w:rPr>
        <w:t xml:space="preserve">believes that optimal behaviour change will be achieved if perceived barriers, benefits, self-efficacy and threat is targeted (Jones et al, </w:t>
      </w:r>
      <w:r w:rsidR="00E27DFC">
        <w:rPr>
          <w:sz w:val="24"/>
          <w:szCs w:val="24"/>
        </w:rPr>
        <w:t>2016</w:t>
      </w:r>
      <w:r w:rsidR="00A1510C">
        <w:rPr>
          <w:sz w:val="24"/>
          <w:szCs w:val="24"/>
        </w:rPr>
        <w:t>).</w:t>
      </w:r>
      <w:r w:rsidR="00E27DFC">
        <w:rPr>
          <w:sz w:val="24"/>
          <w:szCs w:val="24"/>
        </w:rPr>
        <w:t xml:space="preserve"> For example, if an individual believes that something is going to pose as a threat to their health such as smoking, then they are more likely to change their behaviour.</w:t>
      </w:r>
      <w:r w:rsidR="00BE3B3F">
        <w:rPr>
          <w:sz w:val="24"/>
          <w:szCs w:val="24"/>
        </w:rPr>
        <w:t xml:space="preserve"> The limitations </w:t>
      </w:r>
      <w:r w:rsidR="00D9031C">
        <w:rPr>
          <w:sz w:val="24"/>
          <w:szCs w:val="24"/>
        </w:rPr>
        <w:t xml:space="preserve">to this model </w:t>
      </w:r>
      <w:r w:rsidR="00D60674">
        <w:rPr>
          <w:sz w:val="24"/>
          <w:szCs w:val="24"/>
        </w:rPr>
        <w:t>are that there are no clear or strict rules with regards to combining the formulated variables, however, this can be seen as a strength as it offers flexibility which makes this model adaptable and applicable within many health behaviour an</w:t>
      </w:r>
      <w:r w:rsidR="00086716">
        <w:rPr>
          <w:sz w:val="24"/>
          <w:szCs w:val="24"/>
        </w:rPr>
        <w:t>d population groups</w:t>
      </w:r>
      <w:r w:rsidR="00D60674">
        <w:rPr>
          <w:sz w:val="24"/>
          <w:szCs w:val="24"/>
        </w:rPr>
        <w:t xml:space="preserve">. A second limitation of this model </w:t>
      </w:r>
      <w:r w:rsidR="0075445B">
        <w:rPr>
          <w:sz w:val="24"/>
          <w:szCs w:val="24"/>
        </w:rPr>
        <w:t xml:space="preserve">is its predictive capability as the results gained from quantitative reviews suggests primary </w:t>
      </w:r>
      <w:r w:rsidR="0075445B">
        <w:rPr>
          <w:sz w:val="24"/>
          <w:szCs w:val="24"/>
        </w:rPr>
        <w:lastRenderedPageBreak/>
        <w:t>variables are important predictors of health-related behaviour, however, the effect sizes are</w:t>
      </w:r>
      <w:r w:rsidR="00086716">
        <w:rPr>
          <w:sz w:val="24"/>
          <w:szCs w:val="24"/>
        </w:rPr>
        <w:t xml:space="preserve"> usually very small</w:t>
      </w:r>
      <w:r w:rsidR="0075445B">
        <w:rPr>
          <w:sz w:val="24"/>
          <w:szCs w:val="24"/>
        </w:rPr>
        <w:t xml:space="preserve">. This suggests that other important variables do not get taken into consideration when using the health belief model (Orji, 2012). </w:t>
      </w:r>
      <w:r w:rsidR="00154027">
        <w:rPr>
          <w:sz w:val="24"/>
          <w:szCs w:val="24"/>
        </w:rPr>
        <w:t>T</w:t>
      </w:r>
      <w:r w:rsidR="002C4A88" w:rsidRPr="0087551B">
        <w:rPr>
          <w:sz w:val="24"/>
          <w:szCs w:val="24"/>
        </w:rPr>
        <w:t xml:space="preserve">his LGBT </w:t>
      </w:r>
      <w:r w:rsidR="0075445B" w:rsidRPr="0087551B">
        <w:rPr>
          <w:sz w:val="24"/>
          <w:szCs w:val="24"/>
        </w:rPr>
        <w:t xml:space="preserve">stall </w:t>
      </w:r>
      <w:r w:rsidR="00BF721A">
        <w:rPr>
          <w:sz w:val="24"/>
          <w:szCs w:val="24"/>
        </w:rPr>
        <w:t xml:space="preserve">used </w:t>
      </w:r>
      <w:r w:rsidR="0087551B" w:rsidRPr="0087551B">
        <w:rPr>
          <w:sz w:val="24"/>
          <w:szCs w:val="24"/>
        </w:rPr>
        <w:t>the behaviour change model</w:t>
      </w:r>
      <w:r w:rsidR="00BF721A">
        <w:rPr>
          <w:sz w:val="24"/>
          <w:szCs w:val="24"/>
        </w:rPr>
        <w:t>s the aim was to raise</w:t>
      </w:r>
      <w:r w:rsidR="002C4A88" w:rsidRPr="0087551B">
        <w:rPr>
          <w:sz w:val="24"/>
          <w:szCs w:val="24"/>
        </w:rPr>
        <w:t xml:space="preserve"> awareness of charities that people can visit if they are struggling with anything LGBT related such as hate crimes or if they need someone to talk to. </w:t>
      </w:r>
      <w:r w:rsidR="00AE02A1" w:rsidRPr="0087551B">
        <w:rPr>
          <w:sz w:val="24"/>
          <w:szCs w:val="24"/>
        </w:rPr>
        <w:t>The stall made it clear that they were raising awareness by the amount of charity leaflets presented on the table.</w:t>
      </w:r>
    </w:p>
    <w:p w14:paraId="601947C3" w14:textId="14C0EBBF" w:rsidR="00567F19" w:rsidRDefault="00567F19" w:rsidP="003B4FFE">
      <w:pPr>
        <w:spacing w:line="360" w:lineRule="auto"/>
        <w:rPr>
          <w:sz w:val="24"/>
          <w:szCs w:val="24"/>
        </w:rPr>
      </w:pPr>
      <w:r>
        <w:rPr>
          <w:sz w:val="24"/>
          <w:szCs w:val="24"/>
        </w:rPr>
        <w:t xml:space="preserve">The presentation of this stall was very eye grabbing as it was very colourful. </w:t>
      </w:r>
      <w:r w:rsidR="0087551B">
        <w:rPr>
          <w:sz w:val="24"/>
          <w:szCs w:val="24"/>
        </w:rPr>
        <w:t>A</w:t>
      </w:r>
      <w:r>
        <w:rPr>
          <w:sz w:val="24"/>
          <w:szCs w:val="24"/>
        </w:rPr>
        <w:t xml:space="preserve">s the stall was placed the closest to the door it was the first one that individuals would see as they walked in along side with it being very colourful. Due to the stall being presented the way it was it was clear from far away that the stall was </w:t>
      </w:r>
      <w:r w:rsidR="003D30CA">
        <w:rPr>
          <w:sz w:val="24"/>
          <w:szCs w:val="24"/>
        </w:rPr>
        <w:t xml:space="preserve">giving out information regarding the </w:t>
      </w:r>
      <w:r>
        <w:rPr>
          <w:sz w:val="24"/>
          <w:szCs w:val="24"/>
        </w:rPr>
        <w:t>LGBT community without going up to it and looking at the leaflets.</w:t>
      </w:r>
      <w:r w:rsidR="003D30CA">
        <w:rPr>
          <w:sz w:val="24"/>
          <w:szCs w:val="24"/>
        </w:rPr>
        <w:t xml:space="preserve"> Another way in which this stall was visually appealing was they way in which the leaflets were set out. All the leaflets were set out in an organised and tidy manor without overlapping each other, this made the information a lot easier </w:t>
      </w:r>
      <w:r w:rsidR="002159E6">
        <w:rPr>
          <w:sz w:val="24"/>
          <w:szCs w:val="24"/>
        </w:rPr>
        <w:t>to understand and access without it being overwhelming.</w:t>
      </w:r>
      <w:r w:rsidR="00BF721A">
        <w:rPr>
          <w:sz w:val="24"/>
          <w:szCs w:val="24"/>
        </w:rPr>
        <w:t xml:space="preserve"> </w:t>
      </w:r>
      <w:r w:rsidR="00BF721A" w:rsidRPr="006D249D">
        <w:rPr>
          <w:sz w:val="24"/>
          <w:szCs w:val="24"/>
        </w:rPr>
        <w:t xml:space="preserve">This links to the behaviour change model as </w:t>
      </w:r>
      <w:r w:rsidR="006D249D" w:rsidRPr="006D249D">
        <w:rPr>
          <w:sz w:val="24"/>
          <w:szCs w:val="24"/>
        </w:rPr>
        <w:t xml:space="preserve">people are more likely to take note of the information being provided if it easy to access and therefore will be able to know how to change their behaviour.  </w:t>
      </w:r>
      <w:r w:rsidR="002159E6" w:rsidRPr="006D249D">
        <w:rPr>
          <w:sz w:val="24"/>
          <w:szCs w:val="24"/>
        </w:rPr>
        <w:t xml:space="preserve"> </w:t>
      </w:r>
    </w:p>
    <w:p w14:paraId="52C3D5E3" w14:textId="47F01BCF" w:rsidR="00015E69" w:rsidRDefault="00E72D76" w:rsidP="003B4FFE">
      <w:pPr>
        <w:spacing w:line="360" w:lineRule="auto"/>
        <w:rPr>
          <w:sz w:val="24"/>
          <w:szCs w:val="24"/>
        </w:rPr>
      </w:pPr>
      <w:r>
        <w:rPr>
          <w:sz w:val="24"/>
          <w:szCs w:val="24"/>
        </w:rPr>
        <w:t>The information that was presented on this stall was mostly made up of charity leaflets that offer a support network for individuals within the LGBT community</w:t>
      </w:r>
      <w:r w:rsidR="00FA0BBF">
        <w:rPr>
          <w:sz w:val="24"/>
          <w:szCs w:val="24"/>
        </w:rPr>
        <w:t>, such as, LGBT foundation, YMCA, advocacy support Cymru ASC and LGBT Cymru helpline. Individuals that were interested were able to take as many leaflets as needed as the group had managed to get hold of many copies of each leaflet.</w:t>
      </w:r>
      <w:r w:rsidR="0059239D">
        <w:rPr>
          <w:sz w:val="24"/>
          <w:szCs w:val="24"/>
        </w:rPr>
        <w:t xml:space="preserve"> Most of these leaflets were also presented in a way that put a positive persona on being part of the LGBT community and that there’s nothing negative about it. </w:t>
      </w:r>
      <w:r w:rsidR="00BF721A">
        <w:rPr>
          <w:sz w:val="24"/>
          <w:szCs w:val="24"/>
        </w:rPr>
        <w:t xml:space="preserve">This links to the behaviour change models as it aims to get people to change their perception of the LGBT community. </w:t>
      </w:r>
      <w:r w:rsidR="00015E69" w:rsidRPr="00BF721A">
        <w:rPr>
          <w:color w:val="000000" w:themeColor="text1"/>
          <w:sz w:val="24"/>
          <w:szCs w:val="24"/>
        </w:rPr>
        <w:t>However</w:t>
      </w:r>
      <w:r w:rsidR="00015E69">
        <w:rPr>
          <w:sz w:val="24"/>
          <w:szCs w:val="24"/>
        </w:rPr>
        <w:t xml:space="preserve">, there were a few leaflets and posters about hate crimes within the LGBT community which gave information on what a hate crime is and who to call if the individual feels like they have been victim of a hate crime or knows someone that has. In July 2017 </w:t>
      </w:r>
      <w:r w:rsidR="00064A54">
        <w:rPr>
          <w:sz w:val="24"/>
          <w:szCs w:val="24"/>
        </w:rPr>
        <w:t>the UK Government conducted a survey in order to find out more information about the experiences of LGBT people in the UK (</w:t>
      </w:r>
      <w:bookmarkStart w:id="2" w:name="_Hlk531205524"/>
      <w:r w:rsidR="00636BB3">
        <w:rPr>
          <w:sz w:val="24"/>
          <w:szCs w:val="24"/>
        </w:rPr>
        <w:t xml:space="preserve">Home </w:t>
      </w:r>
      <w:r w:rsidR="00064A54">
        <w:rPr>
          <w:sz w:val="24"/>
          <w:szCs w:val="24"/>
        </w:rPr>
        <w:t>Office, 2018</w:t>
      </w:r>
      <w:bookmarkEnd w:id="2"/>
      <w:r w:rsidR="00064A54">
        <w:rPr>
          <w:sz w:val="24"/>
          <w:szCs w:val="24"/>
        </w:rPr>
        <w:t xml:space="preserve">). Over 108,000 people responded to this survey and the survey found that 2 in 5 of </w:t>
      </w:r>
      <w:r w:rsidR="00064A54">
        <w:rPr>
          <w:sz w:val="24"/>
          <w:szCs w:val="24"/>
        </w:rPr>
        <w:lastRenderedPageBreak/>
        <w:t>these people had experienced an incident because they were LGBT and that more than 9 in 10 of these more serious incidents were left unreported due to the individuals believing that ‘it happens all the time’ (</w:t>
      </w:r>
      <w:r w:rsidR="00636BB3">
        <w:rPr>
          <w:sz w:val="24"/>
          <w:szCs w:val="24"/>
        </w:rPr>
        <w:t xml:space="preserve">Home </w:t>
      </w:r>
      <w:r w:rsidR="00062222">
        <w:rPr>
          <w:sz w:val="24"/>
          <w:szCs w:val="24"/>
        </w:rPr>
        <w:t>Office, 2018</w:t>
      </w:r>
      <w:r w:rsidR="00064A54">
        <w:rPr>
          <w:sz w:val="24"/>
          <w:szCs w:val="24"/>
        </w:rPr>
        <w:t xml:space="preserve">). Handing out these leaflets and giving people the correct information of where to go if they do experience any sort of hate crime may help to cause a decline in these statistics. </w:t>
      </w:r>
      <w:r w:rsidR="008A0CCC">
        <w:rPr>
          <w:sz w:val="24"/>
          <w:szCs w:val="24"/>
        </w:rPr>
        <w:t>This links to the health belief model as it targets a threat to individual’s health which may make them more likely to report hate crimes.</w:t>
      </w:r>
    </w:p>
    <w:p w14:paraId="3385B0D7" w14:textId="31FFA18F" w:rsidR="00E72D76" w:rsidRDefault="00154027" w:rsidP="003B4FFE">
      <w:pPr>
        <w:spacing w:line="360" w:lineRule="auto"/>
        <w:rPr>
          <w:sz w:val="24"/>
          <w:szCs w:val="24"/>
        </w:rPr>
      </w:pPr>
      <w:r>
        <w:rPr>
          <w:sz w:val="24"/>
          <w:szCs w:val="24"/>
        </w:rPr>
        <w:t>T</w:t>
      </w:r>
      <w:r w:rsidR="00FA0BBF">
        <w:rPr>
          <w:sz w:val="24"/>
          <w:szCs w:val="24"/>
        </w:rPr>
        <w:t>he group had also presented a large map</w:t>
      </w:r>
      <w:r w:rsidR="0059239D">
        <w:rPr>
          <w:sz w:val="24"/>
          <w:szCs w:val="24"/>
        </w:rPr>
        <w:t xml:space="preserve"> </w:t>
      </w:r>
      <w:r w:rsidR="00D30EEC">
        <w:rPr>
          <w:sz w:val="24"/>
          <w:szCs w:val="24"/>
        </w:rPr>
        <w:t>of</w:t>
      </w:r>
      <w:r w:rsidR="00FA0BBF">
        <w:rPr>
          <w:sz w:val="24"/>
          <w:szCs w:val="24"/>
        </w:rPr>
        <w:t xml:space="preserve"> the world on the table with was colour coordinated into the ‘</w:t>
      </w:r>
      <w:bookmarkStart w:id="3" w:name="_Hlk531636775"/>
      <w:r w:rsidR="00FA0BBF">
        <w:rPr>
          <w:sz w:val="24"/>
          <w:szCs w:val="24"/>
        </w:rPr>
        <w:t>sexual orientation laws in the world’</w:t>
      </w:r>
      <w:bookmarkEnd w:id="3"/>
      <w:r w:rsidR="00FA0BBF">
        <w:rPr>
          <w:sz w:val="24"/>
          <w:szCs w:val="24"/>
        </w:rPr>
        <w:t>.</w:t>
      </w:r>
      <w:r w:rsidR="0059239D">
        <w:rPr>
          <w:sz w:val="24"/>
          <w:szCs w:val="24"/>
        </w:rPr>
        <w:t xml:space="preserve"> This map made it visually easy to understand where in the world it is illegal to be part of the LGBT community as it was colour coded. This map also stood out as none of the other stalls on the day had anything similar. </w:t>
      </w:r>
      <w:r w:rsidR="00062222">
        <w:rPr>
          <w:sz w:val="24"/>
          <w:szCs w:val="24"/>
        </w:rPr>
        <w:t>In addition to presenting a map there was also biscuits placed on the table which people could help themselves to when they went and had a look at the stall. This made people more likely to visit the stall and therefore the information which was being given was more likely to reach more</w:t>
      </w:r>
      <w:r w:rsidR="00062222" w:rsidRPr="006D249D">
        <w:rPr>
          <w:sz w:val="24"/>
          <w:szCs w:val="24"/>
        </w:rPr>
        <w:t xml:space="preserve"> people</w:t>
      </w:r>
      <w:r w:rsidR="00062222">
        <w:rPr>
          <w:sz w:val="24"/>
          <w:szCs w:val="24"/>
        </w:rPr>
        <w:t>.</w:t>
      </w:r>
      <w:r w:rsidR="006D249D">
        <w:rPr>
          <w:sz w:val="24"/>
          <w:szCs w:val="24"/>
        </w:rPr>
        <w:t xml:space="preserve"> By proving food it is linking to the target audience as it was presented in the canteen and people go to the canteen to get food. </w:t>
      </w:r>
      <w:r w:rsidR="00062222">
        <w:rPr>
          <w:sz w:val="24"/>
          <w:szCs w:val="24"/>
        </w:rPr>
        <w:t xml:space="preserve">  </w:t>
      </w:r>
    </w:p>
    <w:p w14:paraId="74B41708" w14:textId="6DAFD270" w:rsidR="000565CC" w:rsidRPr="000F4CB2" w:rsidRDefault="00344D63" w:rsidP="003B4FFE">
      <w:pPr>
        <w:spacing w:line="360" w:lineRule="auto"/>
        <w:rPr>
          <w:sz w:val="24"/>
          <w:szCs w:val="24"/>
        </w:rPr>
      </w:pPr>
      <w:r>
        <w:rPr>
          <w:sz w:val="24"/>
          <w:szCs w:val="24"/>
        </w:rPr>
        <w:t>Ways in which this stall could be improved if it was to be done again is</w:t>
      </w:r>
      <w:r w:rsidR="006D74CD">
        <w:rPr>
          <w:sz w:val="24"/>
          <w:szCs w:val="24"/>
        </w:rPr>
        <w:t xml:space="preserve"> the group could have brought in a guest speaker</w:t>
      </w:r>
      <w:r>
        <w:rPr>
          <w:sz w:val="24"/>
          <w:szCs w:val="24"/>
        </w:rPr>
        <w:t xml:space="preserve">. This guest speaker could have been an individual that works for one of the charities that were being presented or a victim of a hate crime that may have been able to talk about their experiences, </w:t>
      </w:r>
      <w:r w:rsidR="006D74CD">
        <w:rPr>
          <w:sz w:val="24"/>
          <w:szCs w:val="24"/>
        </w:rPr>
        <w:t>give more knowledge and understanding off this chosen vulnerable group.</w:t>
      </w:r>
      <w:r w:rsidR="000120B0">
        <w:rPr>
          <w:sz w:val="24"/>
          <w:szCs w:val="24"/>
        </w:rPr>
        <w:t xml:space="preserve"> Having a guest speaker would have achieved a better buy in to the cause and the charities. </w:t>
      </w:r>
      <w:r>
        <w:rPr>
          <w:sz w:val="24"/>
          <w:szCs w:val="24"/>
        </w:rPr>
        <w:t xml:space="preserve">Another thing that could have been improved upon is that there was no shocking imagery </w:t>
      </w:r>
      <w:r w:rsidR="00C76A05">
        <w:rPr>
          <w:sz w:val="24"/>
          <w:szCs w:val="24"/>
        </w:rPr>
        <w:t xml:space="preserve">presented on the stall, by having shocking images it would have made people remember the stall and using shock advertising is known to be </w:t>
      </w:r>
      <w:r w:rsidR="000F4CB2">
        <w:rPr>
          <w:sz w:val="24"/>
          <w:szCs w:val="24"/>
        </w:rPr>
        <w:t>an effective technique to raise awareness of certain topics (</w:t>
      </w:r>
      <w:proofErr w:type="spellStart"/>
      <w:r w:rsidR="000F4CB2">
        <w:rPr>
          <w:sz w:val="24"/>
          <w:szCs w:val="24"/>
        </w:rPr>
        <w:t>Urwin</w:t>
      </w:r>
      <w:proofErr w:type="spellEnd"/>
      <w:r w:rsidR="000F4CB2">
        <w:rPr>
          <w:sz w:val="24"/>
          <w:szCs w:val="24"/>
        </w:rPr>
        <w:t xml:space="preserve"> &amp; Venter, 2014).</w:t>
      </w:r>
      <w:r w:rsidR="000120B0">
        <w:rPr>
          <w:sz w:val="24"/>
          <w:szCs w:val="24"/>
        </w:rPr>
        <w:t xml:space="preserve"> By using shocking imagery the group would have been using the health belief model by targeting a threat in order for individuals to change their behaviour. The final negative is that d</w:t>
      </w:r>
      <w:r w:rsidR="000F4CB2">
        <w:rPr>
          <w:sz w:val="24"/>
          <w:szCs w:val="24"/>
        </w:rPr>
        <w:t xml:space="preserve">ue to the timing that the stall took place there wasn’t too many people around. Even tough the stall to place on the canteen floor, it was before lunch time which meant that many people were in lectures and not in the canteen. </w:t>
      </w:r>
    </w:p>
    <w:p w14:paraId="3073C250" w14:textId="323A820D" w:rsidR="000120B0" w:rsidRPr="008A0CCC" w:rsidRDefault="00274291" w:rsidP="003B4FFE">
      <w:pPr>
        <w:spacing w:line="360" w:lineRule="auto"/>
        <w:rPr>
          <w:color w:val="000000" w:themeColor="text1"/>
          <w:sz w:val="24"/>
          <w:szCs w:val="24"/>
        </w:rPr>
      </w:pPr>
      <w:r>
        <w:rPr>
          <w:color w:val="000000" w:themeColor="text1"/>
          <w:sz w:val="24"/>
          <w:szCs w:val="24"/>
        </w:rPr>
        <w:lastRenderedPageBreak/>
        <w:t xml:space="preserve">The group had created a portfolio in which included </w:t>
      </w:r>
      <w:r w:rsidR="00D30EEC">
        <w:rPr>
          <w:color w:val="000000" w:themeColor="text1"/>
          <w:sz w:val="24"/>
          <w:szCs w:val="24"/>
        </w:rPr>
        <w:t xml:space="preserve">a copy of each of the information that was presented on the stall such as the different charity leaflets, the map of the </w:t>
      </w:r>
      <w:r w:rsidR="00D30EEC">
        <w:rPr>
          <w:sz w:val="24"/>
          <w:szCs w:val="24"/>
        </w:rPr>
        <w:t xml:space="preserve">sexual orientation laws in the world, sexual orientation: a guide for the NHS, </w:t>
      </w:r>
      <w:r w:rsidR="00725FAA">
        <w:rPr>
          <w:sz w:val="24"/>
          <w:szCs w:val="24"/>
        </w:rPr>
        <w:t xml:space="preserve">quotations, having a say on influencing policy and information about hate crimes committed within the LGBT community. The portfolio also included written plans of who in the group would complete different tasks and when they would get those tasks done by such as gathering leaflets. They also set dates for when they would all meet in order to be able to discuss and plan the stall. </w:t>
      </w:r>
      <w:r w:rsidR="008A0CCC">
        <w:rPr>
          <w:sz w:val="24"/>
          <w:szCs w:val="24"/>
        </w:rPr>
        <w:t>There was a copy of a questionnaire included that was used on the day in order to measure how successful the stall had been.</w:t>
      </w:r>
    </w:p>
    <w:p w14:paraId="5B984210" w14:textId="1E68A302" w:rsidR="000F4CB2" w:rsidRPr="008A0CCC" w:rsidRDefault="000120B0" w:rsidP="003B4FFE">
      <w:pPr>
        <w:spacing w:line="360" w:lineRule="auto"/>
        <w:rPr>
          <w:sz w:val="24"/>
          <w:szCs w:val="24"/>
        </w:rPr>
      </w:pPr>
      <w:r>
        <w:rPr>
          <w:sz w:val="24"/>
          <w:szCs w:val="24"/>
        </w:rPr>
        <w:t xml:space="preserve">In conclusion the group used the models of behaviour change by </w:t>
      </w:r>
      <w:r w:rsidR="00BE0E03">
        <w:rPr>
          <w:sz w:val="24"/>
          <w:szCs w:val="24"/>
        </w:rPr>
        <w:t xml:space="preserve">attempting to get people to change their perception of the LGBT community to a positive and that being LGBT is nothing to be ashamed of through their leaflets. </w:t>
      </w:r>
      <w:r w:rsidR="008A0CCC">
        <w:rPr>
          <w:sz w:val="24"/>
          <w:szCs w:val="24"/>
        </w:rPr>
        <w:t xml:space="preserve">The health belief model was also used when using leaflets that promotes reporting hate crimes as it targets a threat to an individual’s health a well-being. </w:t>
      </w:r>
      <w:r w:rsidR="000F4CB2">
        <w:rPr>
          <w:color w:val="000000" w:themeColor="text1"/>
          <w:sz w:val="24"/>
          <w:szCs w:val="24"/>
        </w:rPr>
        <w:t xml:space="preserve">Overall the group put in a very good effort in raising awareness for the LBT community </w:t>
      </w:r>
      <w:r w:rsidR="007B6E53">
        <w:rPr>
          <w:color w:val="000000" w:themeColor="text1"/>
          <w:sz w:val="24"/>
          <w:szCs w:val="24"/>
        </w:rPr>
        <w:t>by making their stall attractive, providing useful and easily accessible information and using a map and biscuits to gain peoples interest and attract people to the stall.</w:t>
      </w:r>
      <w:r w:rsidR="00FF007A">
        <w:rPr>
          <w:color w:val="000000" w:themeColor="text1"/>
          <w:sz w:val="24"/>
          <w:szCs w:val="24"/>
        </w:rPr>
        <w:t xml:space="preserve"> </w:t>
      </w:r>
      <w:r w:rsidR="007B6E53">
        <w:rPr>
          <w:color w:val="000000" w:themeColor="text1"/>
          <w:sz w:val="24"/>
          <w:szCs w:val="24"/>
        </w:rPr>
        <w:t>With regards to recommendations</w:t>
      </w:r>
      <w:r w:rsidR="000F50E9">
        <w:rPr>
          <w:color w:val="000000" w:themeColor="text1"/>
          <w:sz w:val="24"/>
          <w:szCs w:val="24"/>
        </w:rPr>
        <w:t xml:space="preserve"> for the future, </w:t>
      </w:r>
      <w:r w:rsidR="007B6E53">
        <w:rPr>
          <w:color w:val="000000" w:themeColor="text1"/>
          <w:sz w:val="24"/>
          <w:szCs w:val="24"/>
        </w:rPr>
        <w:t xml:space="preserve">the first recommendation would be to bring in a guest speaker who would be able to provide more knowledge and understanding of the subject matter, </w:t>
      </w:r>
      <w:r w:rsidR="0018275C">
        <w:rPr>
          <w:color w:val="000000" w:themeColor="text1"/>
          <w:sz w:val="24"/>
          <w:szCs w:val="24"/>
        </w:rPr>
        <w:t>use shocking imagery in order to make the message they are tr</w:t>
      </w:r>
      <w:r>
        <w:rPr>
          <w:color w:val="000000" w:themeColor="text1"/>
          <w:sz w:val="24"/>
          <w:szCs w:val="24"/>
        </w:rPr>
        <w:t xml:space="preserve">ying to portray more memorable and </w:t>
      </w:r>
      <w:r w:rsidR="000F50E9">
        <w:rPr>
          <w:color w:val="000000" w:themeColor="text1"/>
          <w:sz w:val="24"/>
          <w:szCs w:val="24"/>
        </w:rPr>
        <w:t>set</w:t>
      </w:r>
      <w:r>
        <w:rPr>
          <w:color w:val="000000" w:themeColor="text1"/>
          <w:sz w:val="24"/>
          <w:szCs w:val="24"/>
        </w:rPr>
        <w:t>ting</w:t>
      </w:r>
      <w:r w:rsidR="000F50E9">
        <w:rPr>
          <w:color w:val="000000" w:themeColor="text1"/>
          <w:sz w:val="24"/>
          <w:szCs w:val="24"/>
        </w:rPr>
        <w:t xml:space="preserve"> the stall </w:t>
      </w:r>
      <w:r w:rsidR="00826021">
        <w:rPr>
          <w:color w:val="000000" w:themeColor="text1"/>
          <w:sz w:val="24"/>
          <w:szCs w:val="24"/>
        </w:rPr>
        <w:t xml:space="preserve">for a time when they know there are going </w:t>
      </w:r>
      <w:r w:rsidR="00FF007A">
        <w:rPr>
          <w:color w:val="000000" w:themeColor="text1"/>
          <w:sz w:val="24"/>
          <w:szCs w:val="24"/>
        </w:rPr>
        <w:t>t</w:t>
      </w:r>
      <w:r w:rsidR="00826021">
        <w:rPr>
          <w:color w:val="000000" w:themeColor="text1"/>
          <w:sz w:val="24"/>
          <w:szCs w:val="24"/>
        </w:rPr>
        <w:t>o</w:t>
      </w:r>
      <w:r>
        <w:rPr>
          <w:color w:val="000000" w:themeColor="text1"/>
          <w:sz w:val="24"/>
          <w:szCs w:val="24"/>
        </w:rPr>
        <w:t xml:space="preserve"> be a lot of people in the area.</w:t>
      </w:r>
    </w:p>
    <w:p w14:paraId="65784EB2" w14:textId="77777777" w:rsidR="008740A9" w:rsidRDefault="008740A9" w:rsidP="003B4FFE">
      <w:pPr>
        <w:spacing w:line="360" w:lineRule="auto"/>
        <w:rPr>
          <w:sz w:val="24"/>
          <w:szCs w:val="24"/>
          <w:u w:val="single"/>
        </w:rPr>
      </w:pPr>
    </w:p>
    <w:p w14:paraId="7363C2A7" w14:textId="77777777" w:rsidR="006D249D" w:rsidRDefault="006D249D" w:rsidP="003B4FFE">
      <w:pPr>
        <w:spacing w:line="360" w:lineRule="auto"/>
        <w:rPr>
          <w:sz w:val="24"/>
          <w:szCs w:val="24"/>
          <w:u w:val="single"/>
        </w:rPr>
      </w:pPr>
    </w:p>
    <w:p w14:paraId="1ADCF7D9" w14:textId="77777777" w:rsidR="006D249D" w:rsidRDefault="006D249D" w:rsidP="003B4FFE">
      <w:pPr>
        <w:spacing w:line="360" w:lineRule="auto"/>
        <w:rPr>
          <w:sz w:val="24"/>
          <w:szCs w:val="24"/>
          <w:u w:val="single"/>
        </w:rPr>
      </w:pPr>
    </w:p>
    <w:p w14:paraId="3430498D" w14:textId="77777777" w:rsidR="006D249D" w:rsidRDefault="006D249D" w:rsidP="003B4FFE">
      <w:pPr>
        <w:spacing w:line="360" w:lineRule="auto"/>
        <w:rPr>
          <w:sz w:val="24"/>
          <w:szCs w:val="24"/>
          <w:u w:val="single"/>
        </w:rPr>
      </w:pPr>
    </w:p>
    <w:p w14:paraId="195ACD45" w14:textId="77777777" w:rsidR="006D249D" w:rsidRDefault="006D249D" w:rsidP="003B4FFE">
      <w:pPr>
        <w:spacing w:line="360" w:lineRule="auto"/>
        <w:rPr>
          <w:sz w:val="24"/>
          <w:szCs w:val="24"/>
          <w:u w:val="single"/>
        </w:rPr>
      </w:pPr>
    </w:p>
    <w:p w14:paraId="4582FBEE" w14:textId="77777777" w:rsidR="006D249D" w:rsidRDefault="006D249D" w:rsidP="003B4FFE">
      <w:pPr>
        <w:spacing w:line="360" w:lineRule="auto"/>
        <w:rPr>
          <w:sz w:val="24"/>
          <w:szCs w:val="24"/>
          <w:u w:val="single"/>
        </w:rPr>
      </w:pPr>
    </w:p>
    <w:p w14:paraId="56CC0541" w14:textId="77777777" w:rsidR="003B4FFE" w:rsidRDefault="003B4FFE" w:rsidP="003B4FFE">
      <w:pPr>
        <w:spacing w:line="360" w:lineRule="auto"/>
        <w:rPr>
          <w:sz w:val="24"/>
          <w:szCs w:val="24"/>
          <w:u w:val="single"/>
        </w:rPr>
      </w:pPr>
    </w:p>
    <w:p w14:paraId="536FF634" w14:textId="5F944947" w:rsidR="008740A9" w:rsidRPr="008740A9" w:rsidRDefault="008740A9" w:rsidP="003B4FFE">
      <w:pPr>
        <w:spacing w:line="360" w:lineRule="auto"/>
        <w:rPr>
          <w:sz w:val="24"/>
          <w:szCs w:val="24"/>
          <w:u w:val="single"/>
        </w:rPr>
      </w:pPr>
      <w:r w:rsidRPr="008740A9">
        <w:rPr>
          <w:sz w:val="24"/>
          <w:szCs w:val="24"/>
          <w:u w:val="single"/>
        </w:rPr>
        <w:lastRenderedPageBreak/>
        <w:t>Reference list</w:t>
      </w:r>
    </w:p>
    <w:p w14:paraId="3EEBA914" w14:textId="0D660DBC" w:rsidR="00636BB3" w:rsidRPr="00636BB3" w:rsidRDefault="00636BB3" w:rsidP="003B4FFE">
      <w:pPr>
        <w:spacing w:line="360" w:lineRule="auto"/>
        <w:rPr>
          <w:rStyle w:val="Hyperlink"/>
          <w:color w:val="auto"/>
          <w:sz w:val="24"/>
          <w:szCs w:val="24"/>
          <w:u w:val="none"/>
        </w:rPr>
      </w:pPr>
      <w:r>
        <w:rPr>
          <w:rStyle w:val="Hyperlink"/>
          <w:color w:val="auto"/>
          <w:sz w:val="24"/>
          <w:szCs w:val="24"/>
          <w:u w:val="none"/>
        </w:rPr>
        <w:t xml:space="preserve">Home Office. (2018) </w:t>
      </w:r>
      <w:r>
        <w:rPr>
          <w:rStyle w:val="Hyperlink"/>
          <w:i/>
          <w:color w:val="auto"/>
          <w:sz w:val="24"/>
          <w:szCs w:val="24"/>
          <w:u w:val="none"/>
        </w:rPr>
        <w:t xml:space="preserve">National LGBT Survey: Summary report. </w:t>
      </w:r>
      <w:r>
        <w:rPr>
          <w:rStyle w:val="Hyperlink"/>
          <w:color w:val="auto"/>
          <w:sz w:val="24"/>
          <w:szCs w:val="24"/>
          <w:u w:val="none"/>
        </w:rPr>
        <w:t xml:space="preserve">Available at: </w:t>
      </w:r>
      <w:hyperlink r:id="rId6" w:history="1">
        <w:r w:rsidRPr="00E333AE">
          <w:rPr>
            <w:rStyle w:val="Hyperlink"/>
            <w:sz w:val="24"/>
            <w:szCs w:val="24"/>
          </w:rPr>
          <w:t>https://www.gov.uk/government/publications/national-lgbt-survey-summary-report/national-lgbt-survey-summary-report</w:t>
        </w:r>
      </w:hyperlink>
      <w:r>
        <w:rPr>
          <w:rStyle w:val="Hyperlink"/>
          <w:color w:val="auto"/>
          <w:sz w:val="24"/>
          <w:szCs w:val="24"/>
          <w:u w:val="none"/>
        </w:rPr>
        <w:t xml:space="preserve"> (Accessed: 23</w:t>
      </w:r>
      <w:r w:rsidRPr="00636BB3">
        <w:rPr>
          <w:rStyle w:val="Hyperlink"/>
          <w:color w:val="auto"/>
          <w:sz w:val="24"/>
          <w:szCs w:val="24"/>
          <w:u w:val="none"/>
          <w:vertAlign w:val="superscript"/>
        </w:rPr>
        <w:t>rd</w:t>
      </w:r>
      <w:r>
        <w:rPr>
          <w:rStyle w:val="Hyperlink"/>
          <w:color w:val="auto"/>
          <w:sz w:val="24"/>
          <w:szCs w:val="24"/>
          <w:u w:val="none"/>
        </w:rPr>
        <w:t xml:space="preserve"> November 2018).</w:t>
      </w:r>
    </w:p>
    <w:p w14:paraId="4CECAE3D" w14:textId="7550FC4A" w:rsidR="00F9292C" w:rsidRPr="00216E97" w:rsidRDefault="00F9292C" w:rsidP="003B4FFE">
      <w:pPr>
        <w:spacing w:line="360" w:lineRule="auto"/>
        <w:rPr>
          <w:rStyle w:val="Hyperlink"/>
          <w:color w:val="auto"/>
          <w:sz w:val="24"/>
          <w:szCs w:val="24"/>
          <w:u w:val="none"/>
        </w:rPr>
      </w:pPr>
      <w:r>
        <w:rPr>
          <w:rStyle w:val="Hyperlink"/>
          <w:color w:val="auto"/>
          <w:sz w:val="24"/>
          <w:szCs w:val="24"/>
          <w:u w:val="none"/>
        </w:rPr>
        <w:t xml:space="preserve">Kelly, J., </w:t>
      </w:r>
      <w:proofErr w:type="spellStart"/>
      <w:r>
        <w:rPr>
          <w:rStyle w:val="Hyperlink"/>
          <w:color w:val="auto"/>
          <w:sz w:val="24"/>
          <w:szCs w:val="24"/>
          <w:u w:val="none"/>
        </w:rPr>
        <w:t>Sadeghieh</w:t>
      </w:r>
      <w:proofErr w:type="spellEnd"/>
      <w:r>
        <w:rPr>
          <w:rStyle w:val="Hyperlink"/>
          <w:color w:val="auto"/>
          <w:sz w:val="24"/>
          <w:szCs w:val="24"/>
          <w:u w:val="none"/>
        </w:rPr>
        <w:t xml:space="preserve">, T., </w:t>
      </w:r>
      <w:proofErr w:type="spellStart"/>
      <w:r>
        <w:rPr>
          <w:rStyle w:val="Hyperlink"/>
          <w:color w:val="auto"/>
          <w:sz w:val="24"/>
          <w:szCs w:val="24"/>
          <w:u w:val="none"/>
        </w:rPr>
        <w:t>Adeli</w:t>
      </w:r>
      <w:proofErr w:type="spellEnd"/>
      <w:r>
        <w:rPr>
          <w:rStyle w:val="Hyperlink"/>
          <w:color w:val="auto"/>
          <w:sz w:val="24"/>
          <w:szCs w:val="24"/>
          <w:u w:val="none"/>
        </w:rPr>
        <w:t xml:space="preserve">, K. (2014) Peer Review in Scientific Publications: Benefits, Critiques, &amp; A Survival Guide. </w:t>
      </w:r>
      <w:r>
        <w:rPr>
          <w:rStyle w:val="Hyperlink"/>
          <w:i/>
          <w:color w:val="auto"/>
          <w:sz w:val="24"/>
          <w:szCs w:val="24"/>
          <w:u w:val="none"/>
        </w:rPr>
        <w:t xml:space="preserve">The Journal of the International Federation of Clinical Chemistry and Laboratory Medicine. </w:t>
      </w:r>
      <w:r>
        <w:rPr>
          <w:rStyle w:val="Hyperlink"/>
          <w:color w:val="auto"/>
          <w:sz w:val="24"/>
          <w:szCs w:val="24"/>
          <w:u w:val="none"/>
        </w:rPr>
        <w:t>Vol 25, Issue 3, pp. 227-243.</w:t>
      </w:r>
    </w:p>
    <w:p w14:paraId="2EE5356D" w14:textId="77777777" w:rsidR="00F9292C" w:rsidRDefault="00F9292C" w:rsidP="003B4FFE">
      <w:pPr>
        <w:spacing w:line="360" w:lineRule="auto"/>
        <w:rPr>
          <w:sz w:val="24"/>
          <w:szCs w:val="24"/>
        </w:rPr>
      </w:pPr>
      <w:proofErr w:type="spellStart"/>
      <w:r>
        <w:rPr>
          <w:rStyle w:val="Hyperlink"/>
          <w:color w:val="auto"/>
          <w:sz w:val="24"/>
          <w:szCs w:val="24"/>
          <w:u w:val="none"/>
        </w:rPr>
        <w:t>LaMorte</w:t>
      </w:r>
      <w:proofErr w:type="spellEnd"/>
      <w:r>
        <w:rPr>
          <w:rStyle w:val="Hyperlink"/>
          <w:color w:val="auto"/>
          <w:sz w:val="24"/>
          <w:szCs w:val="24"/>
          <w:u w:val="none"/>
        </w:rPr>
        <w:t xml:space="preserve">, W. (2018) </w:t>
      </w:r>
      <w:r w:rsidRPr="00216E97">
        <w:rPr>
          <w:rStyle w:val="Hyperlink"/>
          <w:i/>
          <w:color w:val="auto"/>
          <w:sz w:val="24"/>
          <w:szCs w:val="24"/>
          <w:u w:val="none"/>
        </w:rPr>
        <w:t>Behavioural Change Models</w:t>
      </w:r>
      <w:r>
        <w:rPr>
          <w:rStyle w:val="Hyperlink"/>
          <w:color w:val="auto"/>
          <w:sz w:val="24"/>
          <w:szCs w:val="24"/>
          <w:u w:val="none"/>
        </w:rPr>
        <w:t xml:space="preserve">. Available at: </w:t>
      </w:r>
      <w:hyperlink r:id="rId7" w:history="1">
        <w:r w:rsidRPr="00E333AE">
          <w:rPr>
            <w:rStyle w:val="Hyperlink"/>
            <w:sz w:val="24"/>
            <w:szCs w:val="24"/>
          </w:rPr>
          <w:t>http://sphweb.bumc.bu.edu/otlt/MPH-Modules/SB/BehavioralChangeTheories/BehavioralChangeTheories3.html</w:t>
        </w:r>
      </w:hyperlink>
      <w:r>
        <w:rPr>
          <w:sz w:val="24"/>
          <w:szCs w:val="24"/>
        </w:rPr>
        <w:t xml:space="preserve"> (Accessed:  23</w:t>
      </w:r>
      <w:r w:rsidRPr="00216E97">
        <w:rPr>
          <w:sz w:val="24"/>
          <w:szCs w:val="24"/>
          <w:vertAlign w:val="superscript"/>
        </w:rPr>
        <w:t>rd</w:t>
      </w:r>
      <w:r>
        <w:rPr>
          <w:sz w:val="24"/>
          <w:szCs w:val="24"/>
        </w:rPr>
        <w:t xml:space="preserve"> November 2018).</w:t>
      </w:r>
    </w:p>
    <w:p w14:paraId="1FE6199D" w14:textId="57F29B20" w:rsidR="00C41AA3" w:rsidRPr="00C41AA3" w:rsidRDefault="00C41AA3" w:rsidP="003B4FFE">
      <w:pPr>
        <w:pStyle w:val="Heading1"/>
        <w:spacing w:line="360" w:lineRule="auto"/>
        <w:rPr>
          <w:rFonts w:asciiTheme="minorHAnsi" w:eastAsia="Times New Roman" w:hAnsiTheme="minorHAnsi" w:cstheme="minorHAnsi"/>
          <w:bCs/>
          <w:color w:val="auto"/>
          <w:kern w:val="36"/>
          <w:sz w:val="24"/>
          <w:szCs w:val="24"/>
          <w:lang w:eastAsia="en-GB"/>
        </w:rPr>
      </w:pPr>
      <w:r w:rsidRPr="00C41AA3">
        <w:rPr>
          <w:rStyle w:val="Hyperlink"/>
          <w:rFonts w:asciiTheme="minorHAnsi" w:hAnsiTheme="minorHAnsi" w:cstheme="minorHAnsi"/>
          <w:color w:val="auto"/>
          <w:sz w:val="24"/>
          <w:szCs w:val="24"/>
          <w:u w:val="none"/>
        </w:rPr>
        <w:t xml:space="preserve">MacQueen, K., McLellan, E., Metzger, D., </w:t>
      </w:r>
      <w:proofErr w:type="spellStart"/>
      <w:r w:rsidRPr="00C41AA3">
        <w:rPr>
          <w:rStyle w:val="Hyperlink"/>
          <w:rFonts w:asciiTheme="minorHAnsi" w:hAnsiTheme="minorHAnsi" w:cstheme="minorHAnsi"/>
          <w:color w:val="auto"/>
          <w:sz w:val="24"/>
          <w:szCs w:val="24"/>
          <w:u w:val="none"/>
        </w:rPr>
        <w:t>Kegeles</w:t>
      </w:r>
      <w:proofErr w:type="spellEnd"/>
      <w:r w:rsidRPr="00C41AA3">
        <w:rPr>
          <w:rStyle w:val="Hyperlink"/>
          <w:rFonts w:asciiTheme="minorHAnsi" w:hAnsiTheme="minorHAnsi" w:cstheme="minorHAnsi"/>
          <w:color w:val="auto"/>
          <w:sz w:val="24"/>
          <w:szCs w:val="24"/>
          <w:u w:val="none"/>
        </w:rPr>
        <w:t xml:space="preserve">, S., Strauss, R., Scotti, R., Blanchard, L., Trotter, R. (2001) </w:t>
      </w:r>
      <w:r w:rsidRPr="00C41AA3">
        <w:rPr>
          <w:rFonts w:asciiTheme="minorHAnsi" w:eastAsia="Times New Roman" w:hAnsiTheme="minorHAnsi" w:cstheme="minorHAnsi"/>
          <w:bCs/>
          <w:color w:val="auto"/>
          <w:kern w:val="36"/>
          <w:sz w:val="24"/>
          <w:szCs w:val="24"/>
          <w:lang w:eastAsia="en-GB"/>
        </w:rPr>
        <w:t>What Is Community? An Evidence-Based Definition for Participatory Public Health</w:t>
      </w:r>
      <w:r>
        <w:rPr>
          <w:rFonts w:asciiTheme="minorHAnsi" w:eastAsia="Times New Roman" w:hAnsiTheme="minorHAnsi" w:cstheme="minorHAnsi"/>
          <w:bCs/>
          <w:color w:val="auto"/>
          <w:kern w:val="36"/>
          <w:sz w:val="24"/>
          <w:szCs w:val="24"/>
          <w:lang w:eastAsia="en-GB"/>
        </w:rPr>
        <w:t xml:space="preserve">. </w:t>
      </w:r>
      <w:r>
        <w:rPr>
          <w:rFonts w:asciiTheme="minorHAnsi" w:eastAsia="Times New Roman" w:hAnsiTheme="minorHAnsi" w:cstheme="minorHAnsi"/>
          <w:bCs/>
          <w:i/>
          <w:color w:val="auto"/>
          <w:kern w:val="36"/>
          <w:sz w:val="24"/>
          <w:szCs w:val="24"/>
          <w:lang w:eastAsia="en-GB"/>
        </w:rPr>
        <w:t>American Journal of Public Health</w:t>
      </w:r>
      <w:r>
        <w:rPr>
          <w:rFonts w:asciiTheme="minorHAnsi" w:eastAsia="Times New Roman" w:hAnsiTheme="minorHAnsi" w:cstheme="minorHAnsi"/>
          <w:bCs/>
          <w:color w:val="auto"/>
          <w:kern w:val="36"/>
          <w:sz w:val="24"/>
          <w:szCs w:val="24"/>
          <w:lang w:eastAsia="en-GB"/>
        </w:rPr>
        <w:t>. Vol 91, Issue 12, pp. 1929-1938.</w:t>
      </w:r>
    </w:p>
    <w:p w14:paraId="2E381390" w14:textId="77777777" w:rsidR="00C41AA3" w:rsidRPr="00C41AA3" w:rsidRDefault="00F9292C" w:rsidP="003B4FFE">
      <w:pPr>
        <w:pStyle w:val="Heading1"/>
        <w:spacing w:line="360" w:lineRule="auto"/>
        <w:rPr>
          <w:rFonts w:asciiTheme="minorHAnsi" w:eastAsia="Times New Roman" w:hAnsiTheme="minorHAnsi" w:cstheme="minorHAnsi"/>
          <w:bCs/>
          <w:color w:val="auto"/>
          <w:kern w:val="36"/>
          <w:sz w:val="24"/>
          <w:szCs w:val="24"/>
          <w:lang w:eastAsia="en-GB"/>
        </w:rPr>
      </w:pPr>
      <w:r w:rsidRPr="00C41AA3">
        <w:rPr>
          <w:rStyle w:val="Hyperlink"/>
          <w:rFonts w:asciiTheme="minorHAnsi" w:hAnsiTheme="minorHAnsi" w:cstheme="minorHAnsi"/>
          <w:color w:val="auto"/>
          <w:sz w:val="24"/>
          <w:szCs w:val="24"/>
          <w:u w:val="none"/>
        </w:rPr>
        <w:t xml:space="preserve">Orji, R., </w:t>
      </w:r>
      <w:proofErr w:type="spellStart"/>
      <w:r w:rsidRPr="00C41AA3">
        <w:rPr>
          <w:rStyle w:val="Hyperlink"/>
          <w:rFonts w:asciiTheme="minorHAnsi" w:hAnsiTheme="minorHAnsi" w:cstheme="minorHAnsi"/>
          <w:color w:val="auto"/>
          <w:sz w:val="24"/>
          <w:szCs w:val="24"/>
          <w:u w:val="none"/>
        </w:rPr>
        <w:t>Vassileva</w:t>
      </w:r>
      <w:proofErr w:type="spellEnd"/>
      <w:r w:rsidRPr="00C41AA3">
        <w:rPr>
          <w:rStyle w:val="Hyperlink"/>
          <w:rFonts w:asciiTheme="minorHAnsi" w:hAnsiTheme="minorHAnsi" w:cstheme="minorHAnsi"/>
          <w:color w:val="auto"/>
          <w:sz w:val="24"/>
          <w:szCs w:val="24"/>
          <w:u w:val="none"/>
        </w:rPr>
        <w:t xml:space="preserve">, J., </w:t>
      </w:r>
      <w:proofErr w:type="spellStart"/>
      <w:r w:rsidRPr="00C41AA3">
        <w:rPr>
          <w:rStyle w:val="Hyperlink"/>
          <w:rFonts w:asciiTheme="minorHAnsi" w:hAnsiTheme="minorHAnsi" w:cstheme="minorHAnsi"/>
          <w:color w:val="auto"/>
          <w:sz w:val="24"/>
          <w:szCs w:val="24"/>
          <w:u w:val="none"/>
        </w:rPr>
        <w:t>Mandryk</w:t>
      </w:r>
      <w:proofErr w:type="spellEnd"/>
      <w:r w:rsidRPr="00C41AA3">
        <w:rPr>
          <w:rStyle w:val="Hyperlink"/>
          <w:rFonts w:asciiTheme="minorHAnsi" w:hAnsiTheme="minorHAnsi" w:cstheme="minorHAnsi"/>
          <w:color w:val="auto"/>
          <w:sz w:val="24"/>
          <w:szCs w:val="24"/>
          <w:u w:val="none"/>
        </w:rPr>
        <w:t xml:space="preserve">, R. (2012) </w:t>
      </w:r>
      <w:r w:rsidRPr="00C41AA3">
        <w:rPr>
          <w:rFonts w:asciiTheme="minorHAnsi" w:eastAsia="Times New Roman" w:hAnsiTheme="minorHAnsi" w:cstheme="minorHAnsi"/>
          <w:bCs/>
          <w:color w:val="auto"/>
          <w:kern w:val="36"/>
          <w:sz w:val="24"/>
          <w:szCs w:val="24"/>
          <w:lang w:eastAsia="en-GB"/>
        </w:rPr>
        <w:t xml:space="preserve">Towards an Effective Health Interventions Design: An Extension of the Health Belief Model. </w:t>
      </w:r>
      <w:r w:rsidRPr="00C41AA3">
        <w:rPr>
          <w:rFonts w:asciiTheme="minorHAnsi" w:eastAsia="Times New Roman" w:hAnsiTheme="minorHAnsi" w:cstheme="minorHAnsi"/>
          <w:bCs/>
          <w:i/>
          <w:color w:val="auto"/>
          <w:kern w:val="36"/>
          <w:sz w:val="24"/>
          <w:szCs w:val="24"/>
          <w:lang w:eastAsia="en-GB"/>
        </w:rPr>
        <w:t>Online Journal of Public Health Informatics</w:t>
      </w:r>
      <w:r w:rsidRPr="00C41AA3">
        <w:rPr>
          <w:rFonts w:asciiTheme="minorHAnsi" w:eastAsia="Times New Roman" w:hAnsiTheme="minorHAnsi" w:cstheme="minorHAnsi"/>
          <w:bCs/>
          <w:color w:val="auto"/>
          <w:kern w:val="36"/>
          <w:sz w:val="24"/>
          <w:szCs w:val="24"/>
          <w:lang w:eastAsia="en-GB"/>
        </w:rPr>
        <w:t>. Vol 4, Issue 3, pp. 4321.</w:t>
      </w:r>
    </w:p>
    <w:p w14:paraId="254D0827" w14:textId="533B8A5E" w:rsidR="00F9292C" w:rsidRPr="00C41AA3" w:rsidRDefault="00636BB3" w:rsidP="003B4FFE">
      <w:pPr>
        <w:pStyle w:val="Heading1"/>
        <w:spacing w:line="360" w:lineRule="auto"/>
        <w:rPr>
          <w:rStyle w:val="Hyperlink"/>
          <w:rFonts w:asciiTheme="minorHAnsi" w:eastAsia="Times New Roman" w:hAnsiTheme="minorHAnsi" w:cstheme="minorHAnsi"/>
          <w:bCs/>
          <w:i/>
          <w:color w:val="auto"/>
          <w:kern w:val="36"/>
          <w:sz w:val="24"/>
          <w:szCs w:val="24"/>
          <w:u w:val="none"/>
          <w:lang w:eastAsia="en-GB"/>
        </w:rPr>
      </w:pPr>
      <w:proofErr w:type="spellStart"/>
      <w:r w:rsidRPr="00C41AA3">
        <w:rPr>
          <w:rStyle w:val="Hyperlink"/>
          <w:rFonts w:asciiTheme="minorHAnsi" w:hAnsiTheme="minorHAnsi" w:cstheme="minorHAnsi"/>
          <w:color w:val="auto"/>
          <w:sz w:val="24"/>
          <w:szCs w:val="24"/>
          <w:u w:val="none"/>
        </w:rPr>
        <w:t>Urwin</w:t>
      </w:r>
      <w:proofErr w:type="spellEnd"/>
      <w:r w:rsidRPr="00C41AA3">
        <w:rPr>
          <w:rStyle w:val="Hyperlink"/>
          <w:rFonts w:asciiTheme="minorHAnsi" w:hAnsiTheme="minorHAnsi" w:cstheme="minorHAnsi"/>
          <w:color w:val="auto"/>
          <w:sz w:val="24"/>
          <w:szCs w:val="24"/>
          <w:u w:val="none"/>
        </w:rPr>
        <w:t>, B and Venter, M. (2014</w:t>
      </w:r>
      <w:r w:rsidR="00154027" w:rsidRPr="00C41AA3">
        <w:rPr>
          <w:rStyle w:val="Hyperlink"/>
          <w:rFonts w:asciiTheme="minorHAnsi" w:hAnsiTheme="minorHAnsi" w:cstheme="minorHAnsi"/>
          <w:color w:val="auto"/>
          <w:sz w:val="24"/>
          <w:szCs w:val="24"/>
          <w:u w:val="none"/>
        </w:rPr>
        <w:t xml:space="preserve">) </w:t>
      </w:r>
      <w:r w:rsidR="00154027" w:rsidRPr="00C41AA3">
        <w:rPr>
          <w:rFonts w:asciiTheme="minorHAnsi" w:hAnsiTheme="minorHAnsi" w:cstheme="minorHAnsi"/>
          <w:color w:val="auto"/>
          <w:sz w:val="24"/>
          <w:szCs w:val="24"/>
        </w:rPr>
        <w:t xml:space="preserve">Shock Advertising: Not So Shocking Anymore. An Investigation among Generation Y. </w:t>
      </w:r>
      <w:r w:rsidR="00154027" w:rsidRPr="00C41AA3">
        <w:rPr>
          <w:rFonts w:asciiTheme="minorHAnsi" w:hAnsiTheme="minorHAnsi" w:cstheme="minorHAnsi"/>
          <w:i/>
          <w:color w:val="auto"/>
          <w:sz w:val="24"/>
          <w:szCs w:val="24"/>
        </w:rPr>
        <w:t>Mediterranean Journal of Social Science.</w:t>
      </w:r>
      <w:r w:rsidR="00154027" w:rsidRPr="00C41AA3">
        <w:rPr>
          <w:rFonts w:asciiTheme="minorHAnsi" w:hAnsiTheme="minorHAnsi" w:cstheme="minorHAnsi"/>
          <w:color w:val="auto"/>
          <w:sz w:val="24"/>
          <w:szCs w:val="24"/>
        </w:rPr>
        <w:t xml:space="preserve"> Vol 5, Issue 21, pp. 203-214.</w:t>
      </w:r>
    </w:p>
    <w:p w14:paraId="517CAB87" w14:textId="36E5BA99" w:rsidR="00725FAA" w:rsidRPr="00725FAA" w:rsidRDefault="00725FAA" w:rsidP="003B4FFE">
      <w:pPr>
        <w:spacing w:line="360" w:lineRule="auto"/>
        <w:rPr>
          <w:sz w:val="24"/>
          <w:szCs w:val="24"/>
          <w:u w:val="single"/>
        </w:rPr>
      </w:pPr>
    </w:p>
    <w:sectPr w:rsidR="00725FAA" w:rsidRPr="00725FA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14ED0" w14:textId="77777777" w:rsidR="00B073E3" w:rsidRDefault="00B073E3" w:rsidP="00BF657D">
      <w:pPr>
        <w:spacing w:after="0" w:line="240" w:lineRule="auto"/>
      </w:pPr>
      <w:r>
        <w:separator/>
      </w:r>
    </w:p>
  </w:endnote>
  <w:endnote w:type="continuationSeparator" w:id="0">
    <w:p w14:paraId="5AA262E6" w14:textId="77777777" w:rsidR="00B073E3" w:rsidRDefault="00B073E3" w:rsidP="00BF6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8033691"/>
      <w:docPartObj>
        <w:docPartGallery w:val="Page Numbers (Bottom of Page)"/>
        <w:docPartUnique/>
      </w:docPartObj>
    </w:sdtPr>
    <w:sdtEndPr>
      <w:rPr>
        <w:noProof/>
      </w:rPr>
    </w:sdtEndPr>
    <w:sdtContent>
      <w:p w14:paraId="5B17DD1E" w14:textId="0BC771B0" w:rsidR="003B4FFE" w:rsidRDefault="003B4F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75AD82" w14:textId="77777777" w:rsidR="003B4FFE" w:rsidRDefault="003B4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C29E4" w14:textId="77777777" w:rsidR="00B073E3" w:rsidRDefault="00B073E3" w:rsidP="00BF657D">
      <w:pPr>
        <w:spacing w:after="0" w:line="240" w:lineRule="auto"/>
      </w:pPr>
      <w:r>
        <w:separator/>
      </w:r>
    </w:p>
  </w:footnote>
  <w:footnote w:type="continuationSeparator" w:id="0">
    <w:p w14:paraId="66F2F8AD" w14:textId="77777777" w:rsidR="00B073E3" w:rsidRDefault="00B073E3" w:rsidP="00BF6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743FF" w14:textId="77777777" w:rsidR="000E24B8" w:rsidRDefault="000E24B8">
    <w:pPr>
      <w:pStyle w:val="Header"/>
    </w:pPr>
    <w:r>
      <w:t>Jessica Hain Griffiths</w:t>
    </w:r>
  </w:p>
  <w:p w14:paraId="43284515" w14:textId="5E021581" w:rsidR="000E24B8" w:rsidRDefault="000E24B8">
    <w:pPr>
      <w:pStyle w:val="Header"/>
    </w:pPr>
    <w:r>
      <w:t>P140974</w:t>
    </w:r>
  </w:p>
  <w:p w14:paraId="7AEF205A" w14:textId="77777777" w:rsidR="00BC2A3E" w:rsidRDefault="00BC2A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57D"/>
    <w:rsid w:val="000120B0"/>
    <w:rsid w:val="00015E69"/>
    <w:rsid w:val="000565CC"/>
    <w:rsid w:val="00062222"/>
    <w:rsid w:val="00064A54"/>
    <w:rsid w:val="00086716"/>
    <w:rsid w:val="000E24B8"/>
    <w:rsid w:val="000F4CB2"/>
    <w:rsid w:val="000F50E9"/>
    <w:rsid w:val="00144238"/>
    <w:rsid w:val="00154027"/>
    <w:rsid w:val="0018275C"/>
    <w:rsid w:val="002159E6"/>
    <w:rsid w:val="00217CBD"/>
    <w:rsid w:val="00230BBB"/>
    <w:rsid w:val="00236B6D"/>
    <w:rsid w:val="0025421E"/>
    <w:rsid w:val="00274291"/>
    <w:rsid w:val="00274BF1"/>
    <w:rsid w:val="002C4A88"/>
    <w:rsid w:val="00344D63"/>
    <w:rsid w:val="003B4FFE"/>
    <w:rsid w:val="003D30CA"/>
    <w:rsid w:val="00403761"/>
    <w:rsid w:val="00567F19"/>
    <w:rsid w:val="0059239D"/>
    <w:rsid w:val="00636BB3"/>
    <w:rsid w:val="006A2867"/>
    <w:rsid w:val="006D249D"/>
    <w:rsid w:val="006D74CD"/>
    <w:rsid w:val="00725FAA"/>
    <w:rsid w:val="0075445B"/>
    <w:rsid w:val="007B6E53"/>
    <w:rsid w:val="007F6639"/>
    <w:rsid w:val="00826021"/>
    <w:rsid w:val="00861AC5"/>
    <w:rsid w:val="008740A9"/>
    <w:rsid w:val="0087551B"/>
    <w:rsid w:val="008A0CCC"/>
    <w:rsid w:val="008B0966"/>
    <w:rsid w:val="008F1916"/>
    <w:rsid w:val="00957CA4"/>
    <w:rsid w:val="009F06A3"/>
    <w:rsid w:val="00A1510C"/>
    <w:rsid w:val="00AA4B71"/>
    <w:rsid w:val="00AD30E7"/>
    <w:rsid w:val="00AE02A1"/>
    <w:rsid w:val="00B02E83"/>
    <w:rsid w:val="00B073E3"/>
    <w:rsid w:val="00BC2A3E"/>
    <w:rsid w:val="00BE0E03"/>
    <w:rsid w:val="00BE3B3F"/>
    <w:rsid w:val="00BF657D"/>
    <w:rsid w:val="00BF721A"/>
    <w:rsid w:val="00C41AA3"/>
    <w:rsid w:val="00C76A05"/>
    <w:rsid w:val="00CC6264"/>
    <w:rsid w:val="00D30EEC"/>
    <w:rsid w:val="00D60674"/>
    <w:rsid w:val="00D9031C"/>
    <w:rsid w:val="00DA5B83"/>
    <w:rsid w:val="00DF48BE"/>
    <w:rsid w:val="00E27DFC"/>
    <w:rsid w:val="00E72D76"/>
    <w:rsid w:val="00F44733"/>
    <w:rsid w:val="00F9041E"/>
    <w:rsid w:val="00F9292C"/>
    <w:rsid w:val="00FA0BBF"/>
    <w:rsid w:val="00FB7172"/>
    <w:rsid w:val="00FF0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D97A"/>
  <w15:chartTrackingRefBased/>
  <w15:docId w15:val="{9FE4FF06-BF70-4379-8EA6-A5CCBC673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9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6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57D"/>
  </w:style>
  <w:style w:type="paragraph" w:styleId="Footer">
    <w:name w:val="footer"/>
    <w:basedOn w:val="Normal"/>
    <w:link w:val="FooterChar"/>
    <w:uiPriority w:val="99"/>
    <w:unhideWhenUsed/>
    <w:rsid w:val="00BF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57D"/>
  </w:style>
  <w:style w:type="character" w:styleId="Hyperlink">
    <w:name w:val="Hyperlink"/>
    <w:basedOn w:val="DefaultParagraphFont"/>
    <w:uiPriority w:val="99"/>
    <w:unhideWhenUsed/>
    <w:rsid w:val="008740A9"/>
    <w:rPr>
      <w:color w:val="0563C1" w:themeColor="hyperlink"/>
      <w:u w:val="single"/>
    </w:rPr>
  </w:style>
  <w:style w:type="character" w:customStyle="1" w:styleId="UnresolvedMention1">
    <w:name w:val="Unresolved Mention1"/>
    <w:basedOn w:val="DefaultParagraphFont"/>
    <w:uiPriority w:val="99"/>
    <w:semiHidden/>
    <w:unhideWhenUsed/>
    <w:rsid w:val="008740A9"/>
    <w:rPr>
      <w:color w:val="605E5C"/>
      <w:shd w:val="clear" w:color="auto" w:fill="E1DFDD"/>
    </w:rPr>
  </w:style>
  <w:style w:type="character" w:customStyle="1" w:styleId="Heading1Char">
    <w:name w:val="Heading 1 Char"/>
    <w:basedOn w:val="DefaultParagraphFont"/>
    <w:link w:val="Heading1"/>
    <w:uiPriority w:val="9"/>
    <w:rsid w:val="00F9292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636B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306101">
      <w:bodyDiv w:val="1"/>
      <w:marLeft w:val="0"/>
      <w:marRight w:val="0"/>
      <w:marTop w:val="0"/>
      <w:marBottom w:val="0"/>
      <w:divBdr>
        <w:top w:val="none" w:sz="0" w:space="0" w:color="auto"/>
        <w:left w:val="none" w:sz="0" w:space="0" w:color="auto"/>
        <w:bottom w:val="none" w:sz="0" w:space="0" w:color="auto"/>
        <w:right w:val="none" w:sz="0" w:space="0" w:color="auto"/>
      </w:divBdr>
    </w:div>
    <w:div w:id="201394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phweb.bumc.bu.edu/otlt/MPH-Modules/SB/BehavioralChangeTheories/BehavioralChangeTheories3.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national-lgbt-survey-summary-report/national-lgbt-survey-summary-repor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hain-griffiths</dc:creator>
  <cp:keywords/>
  <dc:description/>
  <cp:lastModifiedBy>jessica hain-griffiths</cp:lastModifiedBy>
  <cp:revision>4</cp:revision>
  <dcterms:created xsi:type="dcterms:W3CDTF">2018-12-07T00:53:00Z</dcterms:created>
  <dcterms:modified xsi:type="dcterms:W3CDTF">2018-12-07T01:03:00Z</dcterms:modified>
</cp:coreProperties>
</file>