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79F760" w14:textId="5F8D9C32" w:rsidR="00686BB4" w:rsidRPr="00B673D3" w:rsidRDefault="001F28A0" w:rsidP="00B673D3">
      <w:pPr>
        <w:spacing w:line="276" w:lineRule="auto"/>
        <w:rPr>
          <w:sz w:val="28"/>
          <w:szCs w:val="28"/>
          <w:u w:val="single"/>
        </w:rPr>
      </w:pPr>
      <w:r w:rsidRPr="00B673D3">
        <w:rPr>
          <w:sz w:val="28"/>
          <w:szCs w:val="28"/>
          <w:u w:val="single"/>
        </w:rPr>
        <w:t>Performance Management and Reward</w:t>
      </w:r>
    </w:p>
    <w:p w14:paraId="2D129366" w14:textId="465393D8" w:rsidR="00DF1D28" w:rsidRPr="00DF1D28" w:rsidRDefault="00DF1D28" w:rsidP="00B673D3">
      <w:pPr>
        <w:spacing w:line="276" w:lineRule="auto"/>
        <w:rPr>
          <w:sz w:val="24"/>
          <w:szCs w:val="24"/>
        </w:rPr>
      </w:pPr>
      <w:r w:rsidRPr="00DF1D28">
        <w:rPr>
          <w:sz w:val="24"/>
          <w:szCs w:val="24"/>
        </w:rPr>
        <w:t>Hock,</w:t>
      </w:r>
      <w:r>
        <w:rPr>
          <w:sz w:val="24"/>
          <w:szCs w:val="24"/>
        </w:rPr>
        <w:t xml:space="preserve"> D. (1996, quoted in Waldrop, 1996) illustrated that “an organisation, no matter how well designed, is only as good as the people who live and work in it.” Maintaining good employees is key to any organisation and this can be done through </w:t>
      </w:r>
      <w:r w:rsidR="00834DAC">
        <w:rPr>
          <w:sz w:val="24"/>
          <w:szCs w:val="24"/>
        </w:rPr>
        <w:t>performance management and reward. This briefing paper will give you a better insight into the importance of performance management and how performance is linked to reward.</w:t>
      </w:r>
    </w:p>
    <w:p w14:paraId="1EDE6CA4" w14:textId="77777777" w:rsidR="00834DAC" w:rsidRDefault="00834DAC" w:rsidP="00B673D3">
      <w:pPr>
        <w:spacing w:line="276" w:lineRule="auto"/>
        <w:rPr>
          <w:sz w:val="24"/>
          <w:szCs w:val="24"/>
        </w:rPr>
      </w:pPr>
      <w:r>
        <w:rPr>
          <w:sz w:val="24"/>
          <w:szCs w:val="24"/>
        </w:rPr>
        <w:t>AC 4.1</w:t>
      </w:r>
    </w:p>
    <w:p w14:paraId="5C32FAC9" w14:textId="6DCFCD6E" w:rsidR="00834DAC" w:rsidRDefault="00834DAC" w:rsidP="00B673D3">
      <w:pPr>
        <w:spacing w:line="276" w:lineRule="auto"/>
        <w:rPr>
          <w:sz w:val="24"/>
          <w:szCs w:val="24"/>
        </w:rPr>
      </w:pPr>
      <w:r>
        <w:rPr>
          <w:sz w:val="24"/>
          <w:szCs w:val="24"/>
        </w:rPr>
        <w:t xml:space="preserve">Performance management is an important tool for both the employer/organisation but also the employee, it is essential in ensuring that there is a shared understanding of goals and that both parties have a clear understanding of the role’s definition. Waite et al (2021) explains that performance management starts with an </w:t>
      </w:r>
      <w:r w:rsidR="00635B6C">
        <w:rPr>
          <w:sz w:val="24"/>
          <w:szCs w:val="24"/>
        </w:rPr>
        <w:t>employee’s</w:t>
      </w:r>
      <w:r>
        <w:rPr>
          <w:sz w:val="24"/>
          <w:szCs w:val="24"/>
        </w:rPr>
        <w:t xml:space="preserve"> induction and continues through “monitoring work, </w:t>
      </w:r>
      <w:r w:rsidR="00635B6C">
        <w:rPr>
          <w:sz w:val="24"/>
          <w:szCs w:val="24"/>
        </w:rPr>
        <w:t>informing reward decisions but also managing poor performance” to be able to build on this through learning and development throughout their time with the organisation.</w:t>
      </w:r>
    </w:p>
    <w:p w14:paraId="6B857CEF" w14:textId="33E43996" w:rsidR="00635B6C" w:rsidRDefault="00635B6C" w:rsidP="00B673D3">
      <w:pPr>
        <w:spacing w:line="276" w:lineRule="auto"/>
        <w:rPr>
          <w:sz w:val="24"/>
          <w:szCs w:val="24"/>
        </w:rPr>
      </w:pPr>
      <w:r>
        <w:rPr>
          <w:sz w:val="24"/>
          <w:szCs w:val="24"/>
        </w:rPr>
        <w:t>From the organisation’s point of view, performance management is key in collating performance data, understanding work issues but it can also encourage employee engagement. An employee will benefit as well, if performance management is done effectively, by discussing work activities, it gives opportunities for recognition for work but can also aid in their long-term planning within their role or career path.</w:t>
      </w:r>
    </w:p>
    <w:p w14:paraId="3ED4E060" w14:textId="28594A90" w:rsidR="001F28A0" w:rsidRDefault="00635B6C" w:rsidP="00B673D3">
      <w:pPr>
        <w:spacing w:line="276" w:lineRule="auto"/>
        <w:rPr>
          <w:sz w:val="24"/>
          <w:szCs w:val="24"/>
        </w:rPr>
      </w:pPr>
      <w:r>
        <w:rPr>
          <w:sz w:val="24"/>
          <w:szCs w:val="24"/>
        </w:rPr>
        <w:t>Any form of performance management must have a clear procedure, specifying the approach and should be suitable to the organisation’s specific needs</w:t>
      </w:r>
      <w:r w:rsidR="00B7306F">
        <w:rPr>
          <w:sz w:val="24"/>
          <w:szCs w:val="24"/>
        </w:rPr>
        <w:t xml:space="preserve"> (</w:t>
      </w:r>
      <w:r>
        <w:rPr>
          <w:sz w:val="24"/>
          <w:szCs w:val="24"/>
        </w:rPr>
        <w:t>Waite et al. 2021)</w:t>
      </w:r>
      <w:r w:rsidR="00B7306F">
        <w:rPr>
          <w:sz w:val="24"/>
          <w:szCs w:val="24"/>
        </w:rPr>
        <w:t xml:space="preserve">. Another key aspect is reviewing performance objectives and job descriptions, this is important to both parties to ensure they are both aligned with the company’s overall goals and objectives. </w:t>
      </w:r>
      <w:r w:rsidR="008061E3">
        <w:rPr>
          <w:sz w:val="24"/>
          <w:szCs w:val="24"/>
        </w:rPr>
        <w:t>Another key component is integrated policies and procedures within the organisation which supports the performance management approach therefore what the organisation is trying to achieve.</w:t>
      </w:r>
    </w:p>
    <w:p w14:paraId="0FA6D920" w14:textId="77777777" w:rsidR="001F28A0" w:rsidRPr="001F28A0" w:rsidRDefault="001F28A0" w:rsidP="00B673D3">
      <w:pPr>
        <w:spacing w:line="276" w:lineRule="auto"/>
        <w:rPr>
          <w:sz w:val="24"/>
          <w:szCs w:val="24"/>
        </w:rPr>
      </w:pPr>
    </w:p>
    <w:p w14:paraId="0E792100" w14:textId="77777777" w:rsidR="008061E3" w:rsidRDefault="008061E3" w:rsidP="00B673D3">
      <w:pPr>
        <w:spacing w:line="276" w:lineRule="auto"/>
        <w:rPr>
          <w:sz w:val="24"/>
          <w:szCs w:val="24"/>
        </w:rPr>
      </w:pPr>
      <w:r>
        <w:rPr>
          <w:sz w:val="24"/>
          <w:szCs w:val="24"/>
        </w:rPr>
        <w:t>AC. 4.2</w:t>
      </w:r>
    </w:p>
    <w:p w14:paraId="4A1C3501" w14:textId="3192D84E" w:rsidR="00825DFD" w:rsidRDefault="00825DFD" w:rsidP="00B673D3">
      <w:pPr>
        <w:spacing w:line="276" w:lineRule="auto"/>
        <w:rPr>
          <w:sz w:val="24"/>
          <w:szCs w:val="24"/>
        </w:rPr>
      </w:pPr>
      <w:r>
        <w:rPr>
          <w:sz w:val="24"/>
          <w:szCs w:val="24"/>
        </w:rPr>
        <w:t>There are many factors that can affect any employee’s performance. A common concept is skill vs will which was a concept introduced by Max Landsberg in ‘The Tao of Coaching’ (2015), he explains that if performance seems poor it is either because of the capability of the employee or their motivation (their will).</w:t>
      </w:r>
    </w:p>
    <w:p w14:paraId="10D0BCFA" w14:textId="0123F1D2" w:rsidR="00825DFD" w:rsidRDefault="004D4AF6" w:rsidP="00B673D3">
      <w:pPr>
        <w:spacing w:line="276" w:lineRule="auto"/>
        <w:rPr>
          <w:sz w:val="24"/>
          <w:szCs w:val="24"/>
        </w:rPr>
      </w:pPr>
      <w:r>
        <w:rPr>
          <w:noProof/>
        </w:rPr>
        <w:lastRenderedPageBreak/>
        <mc:AlternateContent>
          <mc:Choice Requires="wps">
            <w:drawing>
              <wp:anchor distT="0" distB="0" distL="114300" distR="114300" simplePos="0" relativeHeight="251660288" behindDoc="0" locked="0" layoutInCell="1" allowOverlap="1" wp14:anchorId="5B00B937" wp14:editId="209C5833">
                <wp:simplePos x="0" y="0"/>
                <wp:positionH relativeFrom="column">
                  <wp:posOffset>1465580</wp:posOffset>
                </wp:positionH>
                <wp:positionV relativeFrom="paragraph">
                  <wp:posOffset>2858135</wp:posOffset>
                </wp:positionV>
                <wp:extent cx="2794000" cy="635"/>
                <wp:effectExtent l="0" t="0" r="0" b="0"/>
                <wp:wrapSquare wrapText="bothSides"/>
                <wp:docPr id="30048766" name="Text Box 1"/>
                <wp:cNvGraphicFramePr/>
                <a:graphic xmlns:a="http://schemas.openxmlformats.org/drawingml/2006/main">
                  <a:graphicData uri="http://schemas.microsoft.com/office/word/2010/wordprocessingShape">
                    <wps:wsp>
                      <wps:cNvSpPr txBox="1"/>
                      <wps:spPr>
                        <a:xfrm>
                          <a:off x="0" y="0"/>
                          <a:ext cx="2794000" cy="635"/>
                        </a:xfrm>
                        <a:prstGeom prst="rect">
                          <a:avLst/>
                        </a:prstGeom>
                        <a:solidFill>
                          <a:prstClr val="white"/>
                        </a:solidFill>
                        <a:ln>
                          <a:noFill/>
                        </a:ln>
                      </wps:spPr>
                      <wps:txbx>
                        <w:txbxContent>
                          <w:p w14:paraId="17AAD946" w14:textId="2FCF709E" w:rsidR="004D4AF6" w:rsidRPr="00F37D00" w:rsidRDefault="004D4AF6" w:rsidP="004D4AF6">
                            <w:pPr>
                              <w:pStyle w:val="Caption"/>
                              <w:rPr>
                                <w:noProof/>
                              </w:rPr>
                            </w:pPr>
                            <w:r>
                              <w:t xml:space="preserve">Figure </w:t>
                            </w:r>
                            <w:r>
                              <w:fldChar w:fldCharType="begin"/>
                            </w:r>
                            <w:r>
                              <w:instrText xml:space="preserve"> SEQ Figure \* ARABIC </w:instrText>
                            </w:r>
                            <w:r>
                              <w:fldChar w:fldCharType="separate"/>
                            </w:r>
                            <w:r>
                              <w:rPr>
                                <w:noProof/>
                              </w:rPr>
                              <w:t>1</w:t>
                            </w:r>
                            <w:r>
                              <w:fldChar w:fldCharType="end"/>
                            </w:r>
                            <w:r>
                              <w:t>: Skill/Will Matrix (</w:t>
                            </w:r>
                            <w:r>
                              <w:rPr>
                                <w:noProof/>
                              </w:rPr>
                              <w:t>Parsons, 2023)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B00B937" id="_x0000_t202" coordsize="21600,21600" o:spt="202" path="m,l,21600r21600,l21600,xe">
                <v:stroke joinstyle="miter"/>
                <v:path gradientshapeok="t" o:connecttype="rect"/>
              </v:shapetype>
              <v:shape id="Text Box 1" o:spid="_x0000_s1026" type="#_x0000_t202" style="position:absolute;margin-left:115.4pt;margin-top:225.05pt;width:220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" stroked="f">
                <v:textbox style="mso-fit-shape-to-text:t" inset="0,0,0,0">
                  <w:txbxContent>
                    <w:p w14:paraId="17AAD946" w14:textId="2FCF709E" w:rsidR="004D4AF6" w:rsidRPr="00F37D00" w:rsidRDefault="004D4AF6" w:rsidP="004D4AF6">
                      <w:pPr>
                        <w:pStyle w:val="Caption"/>
                        <w:rPr>
                          <w:noProof/>
                        </w:rPr>
                      </w:pPr>
                      <w:r>
                        <w:t xml:space="preserve">Figure </w:t>
                      </w:r>
                      <w:r>
                        <w:fldChar w:fldCharType="begin"/>
                      </w:r>
                      <w:r>
                        <w:instrText xml:space="preserve"> SEQ Figure \* ARABIC </w:instrText>
                      </w:r>
                      <w:r>
                        <w:fldChar w:fldCharType="separate"/>
                      </w:r>
                      <w:r>
                        <w:rPr>
                          <w:noProof/>
                        </w:rPr>
                        <w:t>1</w:t>
                      </w:r>
                      <w:r>
                        <w:fldChar w:fldCharType="end"/>
                      </w:r>
                      <w:r>
                        <w:t>: Skill/Will Matrix (</w:t>
                      </w:r>
                      <w:r>
                        <w:rPr>
                          <w:noProof/>
                        </w:rPr>
                        <w:t>Parsons, 2023)</w:t>
                      </w:r>
                    </w:p>
                  </w:txbxContent>
                </v:textbox>
                <w10:wrap type="square"/>
              </v:shape>
            </w:pict>
          </mc:Fallback>
        </mc:AlternateContent>
      </w:r>
      <w:r>
        <w:rPr>
          <w:noProof/>
          <w:sz w:val="24"/>
          <w:szCs w:val="24"/>
        </w:rPr>
        <w:drawing>
          <wp:anchor distT="0" distB="0" distL="114300" distR="114300" simplePos="0" relativeHeight="251658240" behindDoc="1" locked="0" layoutInCell="1" allowOverlap="1" wp14:anchorId="42B6FAC7" wp14:editId="35655E82">
            <wp:simplePos x="0" y="0"/>
            <wp:positionH relativeFrom="margin">
              <wp:align>center</wp:align>
            </wp:positionH>
            <wp:positionV relativeFrom="margin">
              <wp:posOffset>7315</wp:posOffset>
            </wp:positionV>
            <wp:extent cx="2794000" cy="2794000"/>
            <wp:effectExtent l="0" t="0" r="6350" b="6350"/>
            <wp:wrapSquare wrapText="bothSides"/>
            <wp:docPr id="744038590" name="Picture 1" descr="A white and black text on a yellow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4038590" name="Picture 1" descr="A white and black text on a yellow background&#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794000" cy="2794000"/>
                    </a:xfrm>
                    <a:prstGeom prst="rect">
                      <a:avLst/>
                    </a:prstGeom>
                  </pic:spPr>
                </pic:pic>
              </a:graphicData>
            </a:graphic>
            <wp14:sizeRelH relativeFrom="margin">
              <wp14:pctWidth>0</wp14:pctWidth>
            </wp14:sizeRelH>
            <wp14:sizeRelV relativeFrom="margin">
              <wp14:pctHeight>0</wp14:pctHeight>
            </wp14:sizeRelV>
          </wp:anchor>
        </w:drawing>
      </w:r>
    </w:p>
    <w:p w14:paraId="3B9684F4" w14:textId="77777777" w:rsidR="004D4AF6" w:rsidRDefault="004D4AF6" w:rsidP="00B673D3">
      <w:pPr>
        <w:spacing w:line="276" w:lineRule="auto"/>
        <w:rPr>
          <w:sz w:val="24"/>
          <w:szCs w:val="24"/>
        </w:rPr>
      </w:pPr>
    </w:p>
    <w:p w14:paraId="3702FFC3" w14:textId="77777777" w:rsidR="004D4AF6" w:rsidRDefault="004D4AF6" w:rsidP="00B673D3">
      <w:pPr>
        <w:spacing w:line="276" w:lineRule="auto"/>
        <w:rPr>
          <w:sz w:val="24"/>
          <w:szCs w:val="24"/>
        </w:rPr>
      </w:pPr>
    </w:p>
    <w:p w14:paraId="5DE72658" w14:textId="77777777" w:rsidR="004D4AF6" w:rsidRDefault="004D4AF6" w:rsidP="00B673D3">
      <w:pPr>
        <w:spacing w:line="276" w:lineRule="auto"/>
        <w:rPr>
          <w:sz w:val="24"/>
          <w:szCs w:val="24"/>
        </w:rPr>
      </w:pPr>
    </w:p>
    <w:p w14:paraId="0C3A151C" w14:textId="77777777" w:rsidR="004D4AF6" w:rsidRDefault="004D4AF6" w:rsidP="00B673D3">
      <w:pPr>
        <w:spacing w:line="276" w:lineRule="auto"/>
        <w:rPr>
          <w:sz w:val="24"/>
          <w:szCs w:val="24"/>
        </w:rPr>
      </w:pPr>
    </w:p>
    <w:p w14:paraId="16825594" w14:textId="77777777" w:rsidR="004D4AF6" w:rsidRDefault="004D4AF6" w:rsidP="00B673D3">
      <w:pPr>
        <w:spacing w:line="276" w:lineRule="auto"/>
        <w:rPr>
          <w:sz w:val="24"/>
          <w:szCs w:val="24"/>
        </w:rPr>
      </w:pPr>
    </w:p>
    <w:p w14:paraId="73D33AFA" w14:textId="77777777" w:rsidR="004D4AF6" w:rsidRDefault="004D4AF6" w:rsidP="00B673D3">
      <w:pPr>
        <w:spacing w:line="276" w:lineRule="auto"/>
        <w:rPr>
          <w:sz w:val="24"/>
          <w:szCs w:val="24"/>
        </w:rPr>
      </w:pPr>
    </w:p>
    <w:p w14:paraId="2280DF50" w14:textId="77777777" w:rsidR="004D4AF6" w:rsidRDefault="004D4AF6" w:rsidP="00B673D3">
      <w:pPr>
        <w:spacing w:line="276" w:lineRule="auto"/>
        <w:rPr>
          <w:sz w:val="24"/>
          <w:szCs w:val="24"/>
        </w:rPr>
      </w:pPr>
    </w:p>
    <w:p w14:paraId="3A36A4DE" w14:textId="77777777" w:rsidR="004D4AF6" w:rsidRDefault="004D4AF6" w:rsidP="00B673D3">
      <w:pPr>
        <w:spacing w:line="276" w:lineRule="auto"/>
        <w:rPr>
          <w:sz w:val="24"/>
          <w:szCs w:val="24"/>
        </w:rPr>
      </w:pPr>
    </w:p>
    <w:p w14:paraId="37BA4056" w14:textId="77777777" w:rsidR="004D4AF6" w:rsidRDefault="004D4AF6" w:rsidP="00B673D3">
      <w:pPr>
        <w:spacing w:line="276" w:lineRule="auto"/>
        <w:rPr>
          <w:sz w:val="24"/>
          <w:szCs w:val="24"/>
        </w:rPr>
      </w:pPr>
    </w:p>
    <w:p w14:paraId="4EB30965" w14:textId="77777777" w:rsidR="004D4AF6" w:rsidRDefault="004D4AF6" w:rsidP="00B673D3">
      <w:pPr>
        <w:spacing w:line="276" w:lineRule="auto"/>
        <w:rPr>
          <w:sz w:val="24"/>
          <w:szCs w:val="24"/>
        </w:rPr>
      </w:pPr>
    </w:p>
    <w:p w14:paraId="496C6F5C" w14:textId="520EC472" w:rsidR="004D4AF6" w:rsidRDefault="004D4AF6" w:rsidP="00B673D3">
      <w:pPr>
        <w:spacing w:line="276" w:lineRule="auto"/>
        <w:rPr>
          <w:sz w:val="24"/>
          <w:szCs w:val="24"/>
        </w:rPr>
      </w:pPr>
      <w:r>
        <w:rPr>
          <w:sz w:val="24"/>
          <w:szCs w:val="24"/>
        </w:rPr>
        <w:t>As can be seen from Figure 1 if an employee has high will but low skills then they are committed but need a little guidance or training to become capable</w:t>
      </w:r>
      <w:r w:rsidR="00084655">
        <w:rPr>
          <w:sz w:val="24"/>
          <w:szCs w:val="24"/>
        </w:rPr>
        <w:t>;</w:t>
      </w:r>
      <w:r>
        <w:rPr>
          <w:sz w:val="24"/>
          <w:szCs w:val="24"/>
        </w:rPr>
        <w:t xml:space="preserve"> if they are capable but not motivated they could be discouraged and need support or reward  (which will be discussed later)</w:t>
      </w:r>
      <w:r w:rsidR="00084655">
        <w:rPr>
          <w:sz w:val="24"/>
          <w:szCs w:val="24"/>
        </w:rPr>
        <w:t>;</w:t>
      </w:r>
      <w:r>
        <w:rPr>
          <w:sz w:val="24"/>
          <w:szCs w:val="24"/>
        </w:rPr>
        <w:t xml:space="preserve"> if they are motivated and are capable, these are the high performers</w:t>
      </w:r>
      <w:r w:rsidR="00084655">
        <w:rPr>
          <w:sz w:val="24"/>
          <w:szCs w:val="24"/>
        </w:rPr>
        <w:t>, they may need to be challenged or promoted; and then those that aren’t motivated and lack the skills are the low performers, they need a clear training plan, with quick wins to motivate them but also train them.</w:t>
      </w:r>
    </w:p>
    <w:p w14:paraId="756355CD" w14:textId="3CC68881" w:rsidR="00084655" w:rsidRDefault="00084655" w:rsidP="00B673D3">
      <w:pPr>
        <w:spacing w:line="276" w:lineRule="auto"/>
        <w:rPr>
          <w:sz w:val="24"/>
          <w:szCs w:val="24"/>
        </w:rPr>
      </w:pPr>
      <w:r>
        <w:rPr>
          <w:sz w:val="24"/>
          <w:szCs w:val="24"/>
        </w:rPr>
        <w:t xml:space="preserve">When it comes to capability this goes hand in hand with training and learning and development, with motivation it can be more complicated. </w:t>
      </w:r>
      <w:r w:rsidR="003E55F3">
        <w:rPr>
          <w:sz w:val="24"/>
          <w:szCs w:val="24"/>
        </w:rPr>
        <w:t xml:space="preserve">Motivation comes in many </w:t>
      </w:r>
      <w:r w:rsidR="00C678AF">
        <w:rPr>
          <w:sz w:val="24"/>
          <w:szCs w:val="24"/>
        </w:rPr>
        <w:t>forms,</w:t>
      </w:r>
      <w:r w:rsidR="003E55F3">
        <w:rPr>
          <w:sz w:val="24"/>
          <w:szCs w:val="24"/>
        </w:rPr>
        <w:t xml:space="preserve"> but they can all lead to a more productive team.</w:t>
      </w:r>
      <w:r w:rsidR="003E55F3" w:rsidRPr="003E55F3">
        <w:rPr>
          <w:sz w:val="24"/>
          <w:szCs w:val="24"/>
        </w:rPr>
        <w:t xml:space="preserve"> </w:t>
      </w:r>
      <w:r w:rsidR="003E55F3">
        <w:rPr>
          <w:sz w:val="24"/>
          <w:szCs w:val="24"/>
        </w:rPr>
        <w:t>There are 2 aspects to motivation, intrinsic and extrinsic</w:t>
      </w:r>
      <w:r w:rsidR="003E55F3">
        <w:rPr>
          <w:sz w:val="24"/>
          <w:szCs w:val="24"/>
        </w:rPr>
        <w:t>; intrinsic motivation comes from within, an employee chooses to do a project or task because it is enjoyable or satisfying,</w:t>
      </w:r>
      <w:r w:rsidR="00C678AF">
        <w:rPr>
          <w:sz w:val="24"/>
          <w:szCs w:val="24"/>
        </w:rPr>
        <w:t xml:space="preserve"> extrinsic motivation</w:t>
      </w:r>
      <w:r w:rsidR="003E55F3">
        <w:rPr>
          <w:sz w:val="24"/>
          <w:szCs w:val="24"/>
        </w:rPr>
        <w:t xml:space="preserve"> </w:t>
      </w:r>
      <w:r w:rsidR="00C678AF">
        <w:rPr>
          <w:sz w:val="24"/>
          <w:szCs w:val="24"/>
        </w:rPr>
        <w:t>has an external reward for work, such as pay, benefits or a promotion/new job title.</w:t>
      </w:r>
    </w:p>
    <w:p w14:paraId="56449CDC" w14:textId="6EFC392E" w:rsidR="00CB6567" w:rsidRPr="00C678AF" w:rsidRDefault="00C678AF" w:rsidP="00B673D3">
      <w:pPr>
        <w:spacing w:line="276" w:lineRule="auto"/>
        <w:rPr>
          <w:sz w:val="24"/>
          <w:szCs w:val="24"/>
        </w:rPr>
      </w:pPr>
      <w:r w:rsidRPr="00C678AF">
        <w:rPr>
          <w:sz w:val="24"/>
          <w:szCs w:val="24"/>
        </w:rPr>
        <w:t xml:space="preserve">One other key factor which can affect performance management is the quality of leadership and management. Poor leadership can lead to very unmotivated employees. Good leadership will lead to </w:t>
      </w:r>
      <w:r w:rsidR="00CB6567" w:rsidRPr="00C678AF">
        <w:rPr>
          <w:sz w:val="24"/>
          <w:szCs w:val="24"/>
        </w:rPr>
        <w:t>relevant development opportunities</w:t>
      </w:r>
      <w:r w:rsidRPr="00C678AF">
        <w:rPr>
          <w:sz w:val="24"/>
          <w:szCs w:val="24"/>
        </w:rPr>
        <w:t>, b</w:t>
      </w:r>
      <w:r w:rsidR="00CB6567" w:rsidRPr="00C678AF">
        <w:rPr>
          <w:sz w:val="24"/>
          <w:szCs w:val="24"/>
        </w:rPr>
        <w:t>uilding team spirit</w:t>
      </w:r>
      <w:r w:rsidRPr="00C678AF">
        <w:rPr>
          <w:sz w:val="24"/>
          <w:szCs w:val="24"/>
        </w:rPr>
        <w:t>, r</w:t>
      </w:r>
      <w:r w:rsidR="00CB6567" w:rsidRPr="00C678AF">
        <w:rPr>
          <w:sz w:val="24"/>
          <w:szCs w:val="24"/>
        </w:rPr>
        <w:t>ecognising employee achievement</w:t>
      </w:r>
      <w:r w:rsidRPr="00C678AF">
        <w:rPr>
          <w:sz w:val="24"/>
          <w:szCs w:val="24"/>
        </w:rPr>
        <w:t xml:space="preserve"> and p</w:t>
      </w:r>
      <w:r w:rsidR="00CB6567" w:rsidRPr="00C678AF">
        <w:rPr>
          <w:sz w:val="24"/>
          <w:szCs w:val="24"/>
        </w:rPr>
        <w:t xml:space="preserve">roviding </w:t>
      </w:r>
      <w:r w:rsidRPr="00C678AF">
        <w:rPr>
          <w:sz w:val="24"/>
          <w:szCs w:val="24"/>
        </w:rPr>
        <w:t xml:space="preserve">employees with the </w:t>
      </w:r>
      <w:r w:rsidR="00CB6567" w:rsidRPr="00C678AF">
        <w:rPr>
          <w:sz w:val="24"/>
          <w:szCs w:val="24"/>
        </w:rPr>
        <w:t xml:space="preserve">support </w:t>
      </w:r>
      <w:r w:rsidRPr="00C678AF">
        <w:rPr>
          <w:sz w:val="24"/>
          <w:szCs w:val="24"/>
        </w:rPr>
        <w:t xml:space="preserve">they </w:t>
      </w:r>
      <w:r w:rsidR="00CB6567" w:rsidRPr="00C678AF">
        <w:rPr>
          <w:sz w:val="24"/>
          <w:szCs w:val="24"/>
        </w:rPr>
        <w:t>need</w:t>
      </w:r>
      <w:r w:rsidRPr="00C678AF">
        <w:rPr>
          <w:sz w:val="24"/>
          <w:szCs w:val="24"/>
        </w:rPr>
        <w:t>.</w:t>
      </w:r>
    </w:p>
    <w:p w14:paraId="6F56CE19" w14:textId="77777777" w:rsidR="001F28A0" w:rsidRDefault="001F28A0" w:rsidP="00B673D3">
      <w:pPr>
        <w:spacing w:line="276" w:lineRule="auto"/>
        <w:rPr>
          <w:sz w:val="24"/>
          <w:szCs w:val="24"/>
        </w:rPr>
      </w:pPr>
    </w:p>
    <w:p w14:paraId="0339654B" w14:textId="18875420" w:rsidR="00C678AF" w:rsidRDefault="00C678AF" w:rsidP="00B673D3">
      <w:pPr>
        <w:spacing w:line="276" w:lineRule="auto"/>
        <w:rPr>
          <w:sz w:val="24"/>
          <w:szCs w:val="24"/>
        </w:rPr>
      </w:pPr>
      <w:r>
        <w:rPr>
          <w:sz w:val="24"/>
          <w:szCs w:val="24"/>
        </w:rPr>
        <w:t>AC 4.3</w:t>
      </w:r>
    </w:p>
    <w:p w14:paraId="6106688E" w14:textId="6F3A9456" w:rsidR="00C678AF" w:rsidRDefault="00C678AF" w:rsidP="00B673D3">
      <w:pPr>
        <w:spacing w:line="276" w:lineRule="auto"/>
        <w:rPr>
          <w:sz w:val="24"/>
          <w:szCs w:val="24"/>
        </w:rPr>
      </w:pPr>
      <w:r>
        <w:rPr>
          <w:sz w:val="24"/>
          <w:szCs w:val="24"/>
        </w:rPr>
        <w:t>2 different methods of performance review are self-assessment and 360 feedback.</w:t>
      </w:r>
      <w:r w:rsidR="002A3831">
        <w:rPr>
          <w:sz w:val="24"/>
          <w:szCs w:val="24"/>
        </w:rPr>
        <w:t xml:space="preserve"> With any form of performance review, it is essential to ensure that employees are not </w:t>
      </w:r>
      <w:r w:rsidR="002A3831">
        <w:rPr>
          <w:sz w:val="24"/>
          <w:szCs w:val="24"/>
        </w:rPr>
        <w:lastRenderedPageBreak/>
        <w:t>discriminated against for any of the protected characteristics that are outlined in the Equality Act (2010), such as age, race, sex, disability etc. This must also be reflected in any objectives or expectations set for an employee.</w:t>
      </w:r>
    </w:p>
    <w:p w14:paraId="4726E407" w14:textId="7031FDF5" w:rsidR="002A3831" w:rsidRDefault="002A3831" w:rsidP="00B673D3">
      <w:pPr>
        <w:spacing w:line="276" w:lineRule="auto"/>
        <w:rPr>
          <w:sz w:val="24"/>
          <w:szCs w:val="24"/>
        </w:rPr>
      </w:pPr>
      <w:r>
        <w:rPr>
          <w:sz w:val="24"/>
          <w:szCs w:val="24"/>
        </w:rPr>
        <w:t>Self-assessment</w:t>
      </w:r>
    </w:p>
    <w:p w14:paraId="07ADABBF" w14:textId="3AE8C431" w:rsidR="00C30F2E" w:rsidRDefault="00C30F2E" w:rsidP="00B673D3">
      <w:pPr>
        <w:spacing w:line="276" w:lineRule="auto"/>
        <w:rPr>
          <w:sz w:val="24"/>
          <w:szCs w:val="24"/>
        </w:rPr>
      </w:pPr>
      <w:r>
        <w:rPr>
          <w:sz w:val="24"/>
          <w:szCs w:val="24"/>
        </w:rPr>
        <w:t>Self-assessment is arguably the most important form of performance review as employees should be aware of how well they are doing, although it should always be balances with peer or manager feedback as well. Waite et al. (2021) explains that self-assessment is often very difficult as some will find highlighting their weaknesses difficult while others do not like to boast about their achievements.</w:t>
      </w:r>
      <w:r w:rsidR="0080497C">
        <w:rPr>
          <w:sz w:val="24"/>
          <w:szCs w:val="24"/>
        </w:rPr>
        <w:t xml:space="preserve"> If done correctly, self-assessment can be a vital tool in identifying developmental needs and support needed, although Waite et al. (2021) also highlighted that employees need to be honest in these reviews but “honesty will depend on the level of trust an employee has in the system and in those reviewing their self-assessment.”</w:t>
      </w:r>
    </w:p>
    <w:p w14:paraId="20EFBC88" w14:textId="3DDDD31A" w:rsidR="00C30F2E" w:rsidRDefault="00C30F2E" w:rsidP="00B673D3">
      <w:pPr>
        <w:spacing w:line="276" w:lineRule="auto"/>
        <w:rPr>
          <w:sz w:val="24"/>
          <w:szCs w:val="24"/>
        </w:rPr>
      </w:pPr>
      <w:r>
        <w:rPr>
          <w:sz w:val="24"/>
          <w:szCs w:val="24"/>
        </w:rPr>
        <w:t>360-degree feedback</w:t>
      </w:r>
    </w:p>
    <w:p w14:paraId="1EE304AE" w14:textId="2C02E3B9" w:rsidR="00C30F2E" w:rsidRDefault="00C30F2E" w:rsidP="00B673D3">
      <w:pPr>
        <w:spacing w:line="276" w:lineRule="auto"/>
        <w:rPr>
          <w:sz w:val="24"/>
          <w:szCs w:val="24"/>
        </w:rPr>
      </w:pPr>
      <w:r>
        <w:rPr>
          <w:sz w:val="24"/>
          <w:szCs w:val="24"/>
        </w:rPr>
        <w:t>Getting feedback from others is often very beneficial, the purpose of a 360-degree feedback is to gain feedback from those around the employee - anyone who reports to them, colleagues and their own manager. This should give a wide overview of their performance to decide on effective objectives going forward, although there is the challenge of ensuring feedback is honest (CIPD 2024).</w:t>
      </w:r>
    </w:p>
    <w:p w14:paraId="7ADB951A" w14:textId="77777777" w:rsidR="001F28A0" w:rsidRDefault="001F28A0" w:rsidP="00B673D3">
      <w:pPr>
        <w:spacing w:line="276" w:lineRule="auto"/>
        <w:rPr>
          <w:sz w:val="24"/>
          <w:szCs w:val="24"/>
        </w:rPr>
      </w:pPr>
    </w:p>
    <w:p w14:paraId="4290E048" w14:textId="2EC697DA" w:rsidR="0080497C" w:rsidRDefault="0080497C" w:rsidP="00B673D3">
      <w:pPr>
        <w:spacing w:line="276" w:lineRule="auto"/>
        <w:rPr>
          <w:sz w:val="24"/>
          <w:szCs w:val="24"/>
        </w:rPr>
      </w:pPr>
      <w:r>
        <w:rPr>
          <w:sz w:val="24"/>
          <w:szCs w:val="24"/>
        </w:rPr>
        <w:t>AC 5.1</w:t>
      </w:r>
    </w:p>
    <w:p w14:paraId="3AF9BF3F" w14:textId="58FB9784" w:rsidR="0080497C" w:rsidRDefault="0080497C" w:rsidP="00B673D3">
      <w:pPr>
        <w:spacing w:line="276" w:lineRule="auto"/>
        <w:rPr>
          <w:sz w:val="24"/>
          <w:szCs w:val="24"/>
        </w:rPr>
      </w:pPr>
      <w:r>
        <w:rPr>
          <w:sz w:val="24"/>
          <w:szCs w:val="24"/>
        </w:rPr>
        <w:t>CIPD (2022</w:t>
      </w:r>
      <w:r w:rsidR="00A57281">
        <w:rPr>
          <w:sz w:val="24"/>
          <w:szCs w:val="24"/>
        </w:rPr>
        <w:t>a</w:t>
      </w:r>
      <w:r>
        <w:rPr>
          <w:sz w:val="24"/>
          <w:szCs w:val="24"/>
        </w:rPr>
        <w:t>) describes</w:t>
      </w:r>
      <w:r w:rsidR="00FA35CA">
        <w:rPr>
          <w:sz w:val="24"/>
          <w:szCs w:val="24"/>
        </w:rPr>
        <w:t xml:space="preserve"> total rewards systems as</w:t>
      </w:r>
      <w:r>
        <w:rPr>
          <w:sz w:val="24"/>
          <w:szCs w:val="24"/>
        </w:rPr>
        <w:t xml:space="preserve"> covering “all aspects of work that are valued by people, including such aspects as flexible working opportunities, or being rewarded fairly”.</w:t>
      </w:r>
    </w:p>
    <w:p w14:paraId="12BD3D50" w14:textId="46F079A5" w:rsidR="004845CD" w:rsidRDefault="004845CD" w:rsidP="00B673D3">
      <w:pPr>
        <w:spacing w:line="276" w:lineRule="auto"/>
        <w:rPr>
          <w:sz w:val="24"/>
          <w:szCs w:val="24"/>
        </w:rPr>
      </w:pPr>
      <w:r>
        <w:rPr>
          <w:sz w:val="24"/>
          <w:szCs w:val="24"/>
        </w:rPr>
        <w:t>Often you would associate total reward with pay which is often appreciated by employees, but CIPD (2022</w:t>
      </w:r>
      <w:r w:rsidR="00A57281">
        <w:rPr>
          <w:sz w:val="24"/>
          <w:szCs w:val="24"/>
        </w:rPr>
        <w:t>a</w:t>
      </w:r>
      <w:r>
        <w:rPr>
          <w:sz w:val="24"/>
          <w:szCs w:val="24"/>
        </w:rPr>
        <w:t>) explains this is not the only way to reward employees, with non-financial rewards such as work/life balance and development and career opportunities. Armstrong (2019) explains that although pay is important it can easily be replicated by competitors, that is why non-financial rewards are equally as important to promote personal growth and development.</w:t>
      </w:r>
    </w:p>
    <w:p w14:paraId="67F020CC" w14:textId="7C104FA2" w:rsidR="001F28A0" w:rsidRPr="00FA35CA" w:rsidRDefault="00FA35CA" w:rsidP="00B673D3">
      <w:pPr>
        <w:spacing w:line="276" w:lineRule="auto"/>
        <w:rPr>
          <w:sz w:val="24"/>
          <w:szCs w:val="24"/>
        </w:rPr>
      </w:pPr>
      <w:r>
        <w:rPr>
          <w:sz w:val="24"/>
          <w:szCs w:val="24"/>
        </w:rPr>
        <w:t xml:space="preserve">Financial rewards such as pay are important to ensure an employee is valued for the work, they do but </w:t>
      </w:r>
      <w:r w:rsidRPr="00FA35CA">
        <w:rPr>
          <w:sz w:val="24"/>
          <w:szCs w:val="24"/>
        </w:rPr>
        <w:t xml:space="preserve">also to ensure they feel respected and are treated fairly. In a sales position, sales commission could also be offered to incentivise sales although this can cause frustration among staff, but it can also demotivate those that are tasked with non-sales tasks for the day. </w:t>
      </w:r>
    </w:p>
    <w:p w14:paraId="3AF4C03E" w14:textId="1B7F2196" w:rsidR="00FA35CA" w:rsidRPr="00FA35CA" w:rsidRDefault="00FA35CA" w:rsidP="00B673D3">
      <w:pPr>
        <w:spacing w:line="276" w:lineRule="auto"/>
        <w:rPr>
          <w:rFonts w:cs="Calibri"/>
          <w:sz w:val="24"/>
          <w:szCs w:val="24"/>
        </w:rPr>
      </w:pPr>
      <w:bookmarkStart w:id="0" w:name="_Hlk168004205"/>
      <w:r w:rsidRPr="00FA35CA">
        <w:rPr>
          <w:rFonts w:cs="Calibri"/>
          <w:sz w:val="24"/>
          <w:szCs w:val="24"/>
        </w:rPr>
        <w:lastRenderedPageBreak/>
        <w:t xml:space="preserve">The </w:t>
      </w:r>
      <w:r w:rsidRPr="00FA35CA">
        <w:rPr>
          <w:rFonts w:cs="Calibri"/>
          <w:sz w:val="24"/>
          <w:szCs w:val="24"/>
        </w:rPr>
        <w:t>Working Time Regulations (1998)</w:t>
      </w:r>
      <w:bookmarkEnd w:id="0"/>
      <w:r w:rsidRPr="00FA35CA">
        <w:rPr>
          <w:rFonts w:cs="Calibri"/>
          <w:sz w:val="24"/>
          <w:szCs w:val="24"/>
        </w:rPr>
        <w:t xml:space="preserve"> gives guidelines on the maximum working hours an employee can work in a week. This is something that an employee can opt out </w:t>
      </w:r>
      <w:proofErr w:type="gramStart"/>
      <w:r w:rsidRPr="00FA35CA">
        <w:rPr>
          <w:rFonts w:cs="Calibri"/>
          <w:sz w:val="24"/>
          <w:szCs w:val="24"/>
        </w:rPr>
        <w:t>of</w:t>
      </w:r>
      <w:proofErr w:type="gramEnd"/>
      <w:r w:rsidRPr="00FA35CA">
        <w:rPr>
          <w:rFonts w:cs="Calibri"/>
          <w:sz w:val="24"/>
          <w:szCs w:val="24"/>
        </w:rPr>
        <w:t xml:space="preserve"> but it caps the working week at 48hours to help maintain a work-life balance. Another legislation that was updated this year was regarding flexible working requests. Employees can now make a flexible working request from day 1 of their employment and they can also submit 2 requests in any given 12-month period. Creating and maintain a good work-life balance can be crucial to any organisation.</w:t>
      </w:r>
    </w:p>
    <w:p w14:paraId="61B55A51" w14:textId="77777777" w:rsidR="00FA35CA" w:rsidRPr="00FA35CA" w:rsidRDefault="00FA35CA" w:rsidP="00B673D3">
      <w:pPr>
        <w:spacing w:line="276" w:lineRule="auto"/>
        <w:rPr>
          <w:sz w:val="24"/>
          <w:szCs w:val="24"/>
        </w:rPr>
      </w:pPr>
    </w:p>
    <w:p w14:paraId="60EECD10" w14:textId="019814DB" w:rsidR="004845CD" w:rsidRDefault="00FA35CA" w:rsidP="00B673D3">
      <w:pPr>
        <w:spacing w:line="276" w:lineRule="auto"/>
        <w:rPr>
          <w:sz w:val="24"/>
          <w:szCs w:val="24"/>
        </w:rPr>
      </w:pPr>
      <w:r>
        <w:rPr>
          <w:sz w:val="24"/>
          <w:szCs w:val="24"/>
        </w:rPr>
        <w:t>AC 5.2</w:t>
      </w:r>
    </w:p>
    <w:p w14:paraId="61C970C3" w14:textId="317F59AF" w:rsidR="00FA35CA" w:rsidRDefault="00A57281" w:rsidP="00B673D3">
      <w:pPr>
        <w:spacing w:line="276" w:lineRule="auto"/>
        <w:rPr>
          <w:sz w:val="24"/>
          <w:szCs w:val="24"/>
        </w:rPr>
      </w:pPr>
      <w:r>
        <w:rPr>
          <w:sz w:val="24"/>
          <w:szCs w:val="24"/>
        </w:rPr>
        <w:t>In the ‘Incentives and Recognition’ report by CIPD (2022b) it explains that rewards should be clearly linked with performance standards and if the link isn’t clear it can lead to poor performance. Employees will often find work more meaningful if they feel their objectives are important for the organisation, therefore setting targets and making objectives should be done carefully. Waite et al. (2021) explains that having a more motivated workforce can lead to ‘higher productivity , lower employee turnover, lower sickness absence and higher engagement’.</w:t>
      </w:r>
      <w:r w:rsidR="00C337CB">
        <w:rPr>
          <w:sz w:val="24"/>
          <w:szCs w:val="24"/>
        </w:rPr>
        <w:t xml:space="preserve"> As mentioned previously there are 2 types of motivation extrinsic and intrinsic. Extrinsic motivation can be achieved by the ‘prospect of reward or punishment’ (Waite et al. 2021). Where intrinsic motivation comes from within and can be linked to non-financial rewards such as increased responsibility or autonomy.</w:t>
      </w:r>
    </w:p>
    <w:p w14:paraId="78A68944" w14:textId="0AB480B8" w:rsidR="00C337CB" w:rsidRPr="00FA35CA" w:rsidRDefault="00C337CB" w:rsidP="00B673D3">
      <w:pPr>
        <w:spacing w:line="276" w:lineRule="auto"/>
        <w:rPr>
          <w:sz w:val="24"/>
          <w:szCs w:val="24"/>
        </w:rPr>
      </w:pPr>
      <w:r>
        <w:rPr>
          <w:sz w:val="24"/>
          <w:szCs w:val="24"/>
        </w:rPr>
        <w:t>Maslow’s hierarchy of needs is often referenced when discussing motivation, Alderfer (1972) adapted this pyramid and grouped the needs and has designed it to be more flexible</w:t>
      </w:r>
      <w:r w:rsidR="008D2385">
        <w:rPr>
          <w:sz w:val="24"/>
          <w:szCs w:val="24"/>
        </w:rPr>
        <w:t xml:space="preserve"> calling it ERG, Existence, Relatedness and Growth</w:t>
      </w:r>
      <w:r>
        <w:rPr>
          <w:sz w:val="24"/>
          <w:szCs w:val="24"/>
        </w:rPr>
        <w:t>. At the base is the physiological and safety needs, which the financial aspect of work addresses. The next level is social belonging and self-esteem which is addressed with the recognition of work by colleagues and managers. The final level is self-actualisation which Alderfer relates to personal growth and career development.</w:t>
      </w:r>
    </w:p>
    <w:p w14:paraId="7DD7837F" w14:textId="77777777" w:rsidR="00A57281" w:rsidRDefault="00A57281" w:rsidP="00B673D3">
      <w:pPr>
        <w:spacing w:line="276" w:lineRule="auto"/>
        <w:rPr>
          <w:sz w:val="24"/>
          <w:szCs w:val="24"/>
        </w:rPr>
      </w:pPr>
    </w:p>
    <w:p w14:paraId="2403A6DF" w14:textId="1072A9FC" w:rsidR="008D2385" w:rsidRDefault="008D2385" w:rsidP="00B673D3">
      <w:pPr>
        <w:spacing w:line="276" w:lineRule="auto"/>
        <w:rPr>
          <w:sz w:val="24"/>
          <w:szCs w:val="24"/>
        </w:rPr>
      </w:pPr>
      <w:r>
        <w:rPr>
          <w:sz w:val="24"/>
          <w:szCs w:val="24"/>
        </w:rPr>
        <w:t>AC 5.3</w:t>
      </w:r>
    </w:p>
    <w:p w14:paraId="236B11BF" w14:textId="392C9EFE" w:rsidR="008D2385" w:rsidRDefault="008D2385" w:rsidP="00B673D3">
      <w:pPr>
        <w:spacing w:line="276" w:lineRule="auto"/>
        <w:rPr>
          <w:sz w:val="24"/>
          <w:szCs w:val="24"/>
        </w:rPr>
      </w:pPr>
      <w:r>
        <w:rPr>
          <w:sz w:val="24"/>
          <w:szCs w:val="24"/>
        </w:rPr>
        <w:t>There are many reasons why employees should be treated fairly in relation to pay. One is the Equality Act (2010) which outlines that a woman should receive the same pay and benefits for the same work and vice versa. The Equality Act (2010, quoted in Waite et al. 2021</w:t>
      </w:r>
      <w:r w:rsidR="0046216F">
        <w:rPr>
          <w:sz w:val="24"/>
          <w:szCs w:val="24"/>
        </w:rPr>
        <w:t>, p.201)outlines the 3 types of “equal work as:</w:t>
      </w:r>
    </w:p>
    <w:p w14:paraId="059EE0F8" w14:textId="00B38B3C" w:rsidR="0046216F" w:rsidRDefault="0046216F" w:rsidP="00B673D3">
      <w:pPr>
        <w:pStyle w:val="ListParagraph"/>
        <w:numPr>
          <w:ilvl w:val="0"/>
          <w:numId w:val="10"/>
        </w:numPr>
        <w:spacing w:line="276" w:lineRule="auto"/>
        <w:rPr>
          <w:sz w:val="24"/>
          <w:szCs w:val="24"/>
        </w:rPr>
      </w:pPr>
      <w:r>
        <w:rPr>
          <w:sz w:val="24"/>
          <w:szCs w:val="24"/>
        </w:rPr>
        <w:t xml:space="preserve">Like work, where the work is the same or broadly </w:t>
      </w:r>
      <w:proofErr w:type="gramStart"/>
      <w:r>
        <w:rPr>
          <w:sz w:val="24"/>
          <w:szCs w:val="24"/>
        </w:rPr>
        <w:t>similar;</w:t>
      </w:r>
      <w:proofErr w:type="gramEnd"/>
    </w:p>
    <w:p w14:paraId="76DEE13E" w14:textId="491BD638" w:rsidR="0046216F" w:rsidRDefault="0046216F" w:rsidP="00B673D3">
      <w:pPr>
        <w:pStyle w:val="ListParagraph"/>
        <w:numPr>
          <w:ilvl w:val="0"/>
          <w:numId w:val="10"/>
        </w:numPr>
        <w:spacing w:line="276" w:lineRule="auto"/>
        <w:rPr>
          <w:sz w:val="24"/>
          <w:szCs w:val="24"/>
        </w:rPr>
      </w:pPr>
      <w:r>
        <w:rPr>
          <w:sz w:val="24"/>
          <w:szCs w:val="24"/>
        </w:rPr>
        <w:t xml:space="preserve">Work related as equivalent under an analytical job evaluation </w:t>
      </w:r>
      <w:proofErr w:type="gramStart"/>
      <w:r>
        <w:rPr>
          <w:sz w:val="24"/>
          <w:szCs w:val="24"/>
        </w:rPr>
        <w:t>scheme;</w:t>
      </w:r>
      <w:proofErr w:type="gramEnd"/>
    </w:p>
    <w:p w14:paraId="349F425B" w14:textId="58A7566F" w:rsidR="0046216F" w:rsidRDefault="0046216F" w:rsidP="00B673D3">
      <w:pPr>
        <w:pStyle w:val="ListParagraph"/>
        <w:numPr>
          <w:ilvl w:val="0"/>
          <w:numId w:val="10"/>
        </w:numPr>
        <w:spacing w:line="276" w:lineRule="auto"/>
        <w:rPr>
          <w:sz w:val="24"/>
          <w:szCs w:val="24"/>
        </w:rPr>
      </w:pPr>
      <w:r>
        <w:rPr>
          <w:sz w:val="24"/>
          <w:szCs w:val="24"/>
        </w:rPr>
        <w:t>Work of equal value, where the work is different but factors such as effort, skill and decision-making are equal in value.”</w:t>
      </w:r>
    </w:p>
    <w:p w14:paraId="278452BD" w14:textId="7F7BD22F" w:rsidR="0046216F" w:rsidRDefault="0046216F" w:rsidP="00B673D3">
      <w:pPr>
        <w:spacing w:line="276" w:lineRule="auto"/>
        <w:rPr>
          <w:sz w:val="24"/>
          <w:szCs w:val="24"/>
        </w:rPr>
      </w:pPr>
      <w:bookmarkStart w:id="1" w:name="_Hlk171291024"/>
      <w:r>
        <w:rPr>
          <w:sz w:val="24"/>
          <w:szCs w:val="24"/>
        </w:rPr>
        <w:lastRenderedPageBreak/>
        <w:t>The Equality and Human Rights Commission (2014)</w:t>
      </w:r>
      <w:r w:rsidR="00CD061F">
        <w:rPr>
          <w:sz w:val="24"/>
          <w:szCs w:val="24"/>
        </w:rPr>
        <w:t xml:space="preserve"> </w:t>
      </w:r>
      <w:r>
        <w:rPr>
          <w:sz w:val="24"/>
          <w:szCs w:val="24"/>
        </w:rPr>
        <w:t>suggested that ‘experience, qualifications, geographical differences, unsocial hours and rotating shift work’ could all be objectively justified as reasons for unequal pay.</w:t>
      </w:r>
    </w:p>
    <w:p w14:paraId="35D43FC5" w14:textId="58426D81" w:rsidR="00CD061F" w:rsidRDefault="00CD061F" w:rsidP="00B673D3">
      <w:pPr>
        <w:spacing w:line="276" w:lineRule="auto"/>
        <w:rPr>
          <w:sz w:val="24"/>
          <w:szCs w:val="24"/>
        </w:rPr>
      </w:pPr>
      <w:r>
        <w:rPr>
          <w:sz w:val="24"/>
          <w:szCs w:val="24"/>
        </w:rPr>
        <w:t>Another reason for fair pay is due to the National Minimum Wage and National Living Wage, which was a 1998 act which now sits under the Equality Act (2010). These rates are set by the government based on recommendations from the Low Pay Commission to ensure all workers are paid fairly for their work. Minimum wage is categorised based on age with an additional rate for apprentices based on the fact they are in training.</w:t>
      </w:r>
    </w:p>
    <w:p w14:paraId="7729B561" w14:textId="777F7C09" w:rsidR="00473015" w:rsidRDefault="00832E69" w:rsidP="00B673D3">
      <w:pPr>
        <w:spacing w:line="276" w:lineRule="auto"/>
        <w:rPr>
          <w:sz w:val="24"/>
          <w:szCs w:val="24"/>
        </w:rPr>
      </w:pPr>
      <w:r>
        <w:rPr>
          <w:sz w:val="24"/>
          <w:szCs w:val="24"/>
        </w:rPr>
        <w:t>According to CIPD (2023) 31% of employers had no impact when the minimum wage was increased in 2023 meaning employers are doing what they can to create positive working cultures already by rewarding staff.</w:t>
      </w:r>
      <w:bookmarkEnd w:id="1"/>
    </w:p>
    <w:p w14:paraId="6ED55237" w14:textId="77777777" w:rsidR="00686BB4" w:rsidRDefault="00686BB4" w:rsidP="00B673D3">
      <w:pPr>
        <w:spacing w:line="276" w:lineRule="auto"/>
        <w:rPr>
          <w:sz w:val="24"/>
          <w:szCs w:val="24"/>
        </w:rPr>
      </w:pPr>
    </w:p>
    <w:p w14:paraId="72ECDBC5" w14:textId="19CE73B5" w:rsidR="00686BB4" w:rsidRDefault="00832E69" w:rsidP="00B673D3">
      <w:pPr>
        <w:spacing w:line="276" w:lineRule="auto"/>
        <w:rPr>
          <w:sz w:val="24"/>
          <w:szCs w:val="24"/>
        </w:rPr>
      </w:pPr>
      <w:r>
        <w:rPr>
          <w:sz w:val="24"/>
          <w:szCs w:val="24"/>
        </w:rPr>
        <w:t xml:space="preserve">For further information regarding performance management and rewards visit </w:t>
      </w:r>
      <w:r w:rsidRPr="00832E69">
        <w:rPr>
          <w:sz w:val="24"/>
          <w:szCs w:val="24"/>
        </w:rPr>
        <w:t>https://www.acas.org.uk/advice</w:t>
      </w:r>
    </w:p>
    <w:p w14:paraId="4A1DC3C9" w14:textId="77777777" w:rsidR="00686BB4" w:rsidRDefault="00686BB4" w:rsidP="00B673D3">
      <w:pPr>
        <w:spacing w:line="276" w:lineRule="auto"/>
        <w:rPr>
          <w:sz w:val="24"/>
          <w:szCs w:val="24"/>
        </w:rPr>
      </w:pPr>
    </w:p>
    <w:p w14:paraId="7550303B" w14:textId="77777777" w:rsidR="00B673D3" w:rsidRDefault="00B673D3" w:rsidP="00B673D3">
      <w:pPr>
        <w:spacing w:line="276" w:lineRule="auto"/>
        <w:rPr>
          <w:sz w:val="24"/>
          <w:szCs w:val="24"/>
        </w:rPr>
      </w:pPr>
    </w:p>
    <w:p w14:paraId="61E5B542" w14:textId="77777777" w:rsidR="00B673D3" w:rsidRPr="003A1AD0" w:rsidRDefault="00B673D3" w:rsidP="00B673D3">
      <w:pPr>
        <w:spacing w:line="276" w:lineRule="auto"/>
        <w:rPr>
          <w:u w:val="single"/>
        </w:rPr>
      </w:pPr>
      <w:r w:rsidRPr="003A1AD0">
        <w:rPr>
          <w:u w:val="single"/>
        </w:rPr>
        <w:t>Reference list</w:t>
      </w:r>
    </w:p>
    <w:p w14:paraId="4467973E" w14:textId="77777777" w:rsidR="00B673D3" w:rsidRPr="003A1AD0" w:rsidRDefault="00B673D3" w:rsidP="00B673D3">
      <w:pPr>
        <w:spacing w:line="276" w:lineRule="auto"/>
      </w:pPr>
    </w:p>
    <w:p w14:paraId="5521FF70" w14:textId="77777777" w:rsidR="00B673D3" w:rsidRPr="003A1AD0" w:rsidRDefault="00B673D3" w:rsidP="00B673D3">
      <w:pPr>
        <w:spacing w:line="276" w:lineRule="auto"/>
      </w:pPr>
      <w:r w:rsidRPr="003A1AD0">
        <w:t xml:space="preserve">Alderfer, C. (1972) </w:t>
      </w:r>
      <w:r w:rsidRPr="003A1AD0">
        <w:rPr>
          <w:i/>
          <w:iCs/>
        </w:rPr>
        <w:t xml:space="preserve">Existence, Relatedness and Growth. </w:t>
      </w:r>
      <w:r w:rsidRPr="003A1AD0">
        <w:t>New York: Free Press.</w:t>
      </w:r>
    </w:p>
    <w:p w14:paraId="14514455" w14:textId="77777777" w:rsidR="00B673D3" w:rsidRPr="003A1AD0" w:rsidRDefault="00B673D3" w:rsidP="00B673D3">
      <w:pPr>
        <w:spacing w:line="276" w:lineRule="auto"/>
      </w:pPr>
      <w:r w:rsidRPr="003A1AD0">
        <w:t xml:space="preserve">Armstrong, M. (2019) </w:t>
      </w:r>
      <w:r w:rsidRPr="003A1AD0">
        <w:rPr>
          <w:i/>
          <w:iCs/>
        </w:rPr>
        <w:t>Armstrong’s Handbook of Reward Management Practice.</w:t>
      </w:r>
      <w:r w:rsidRPr="003A1AD0">
        <w:t xml:space="preserve"> 6</w:t>
      </w:r>
      <w:r w:rsidRPr="003A1AD0">
        <w:rPr>
          <w:vertAlign w:val="superscript"/>
        </w:rPr>
        <w:t>th</w:t>
      </w:r>
      <w:r w:rsidRPr="003A1AD0">
        <w:t xml:space="preserve"> ed. London: Kogan Page.</w:t>
      </w:r>
    </w:p>
    <w:p w14:paraId="0CB71FCA" w14:textId="77777777" w:rsidR="00B673D3" w:rsidRPr="003A1AD0" w:rsidRDefault="00B673D3" w:rsidP="00B673D3">
      <w:pPr>
        <w:spacing w:line="276" w:lineRule="auto"/>
      </w:pPr>
      <w:r w:rsidRPr="003A1AD0">
        <w:rPr>
          <w:rFonts w:cs="Arial"/>
          <w:shd w:val="clear" w:color="auto" w:fill="FFFFFF"/>
        </w:rPr>
        <w:t xml:space="preserve">Barr, E. (2020) </w:t>
      </w:r>
      <w:r w:rsidRPr="003A1AD0">
        <w:rPr>
          <w:rFonts w:cs="Arial"/>
          <w:i/>
          <w:iCs/>
          <w:shd w:val="clear" w:color="auto" w:fill="FFFFFF"/>
        </w:rPr>
        <w:t>Extrinsic &amp; intrinsic motivation examples - what’s the difference?</w:t>
      </w:r>
      <w:r w:rsidRPr="003A1AD0">
        <w:rPr>
          <w:rFonts w:cs="Arial"/>
          <w:shd w:val="clear" w:color="auto" w:fill="FFFFFF"/>
        </w:rPr>
        <w:t xml:space="preserve"> </w:t>
      </w:r>
      <w:r>
        <w:rPr>
          <w:rFonts w:cs="Arial"/>
          <w:shd w:val="clear" w:color="auto" w:fill="FFFFFF"/>
        </w:rPr>
        <w:t>Available at</w:t>
      </w:r>
      <w:r w:rsidRPr="003A1AD0">
        <w:rPr>
          <w:rFonts w:cs="Arial"/>
          <w:shd w:val="clear" w:color="auto" w:fill="FFFFFF"/>
        </w:rPr>
        <w:t>: https://sprigghr.com/blog/hr-professionals/extrinsic-intrinsic-motivation-examples-whats-the-difference/ (Accessed: July 7, 2024).</w:t>
      </w:r>
    </w:p>
    <w:p w14:paraId="684B309E" w14:textId="77777777" w:rsidR="00B673D3" w:rsidRPr="003A1AD0" w:rsidRDefault="00B673D3" w:rsidP="00B673D3">
      <w:pPr>
        <w:spacing w:line="276" w:lineRule="auto"/>
      </w:pPr>
      <w:r w:rsidRPr="003A1AD0">
        <w:t xml:space="preserve">CIPD (2022a) </w:t>
      </w:r>
      <w:r w:rsidRPr="003A1AD0">
        <w:rPr>
          <w:i/>
          <w:iCs/>
        </w:rPr>
        <w:t>Strategic Reward and Total Reward.</w:t>
      </w:r>
      <w:r w:rsidRPr="003A1AD0">
        <w:t xml:space="preserve"> London: Chartered Institute of Personnel and Development.</w:t>
      </w:r>
    </w:p>
    <w:p w14:paraId="27950BFF" w14:textId="77777777" w:rsidR="00B673D3" w:rsidRPr="003A1AD0" w:rsidRDefault="00B673D3" w:rsidP="00B673D3">
      <w:pPr>
        <w:spacing w:line="276" w:lineRule="auto"/>
      </w:pPr>
      <w:r w:rsidRPr="003A1AD0">
        <w:t xml:space="preserve">CIPD (2022b) </w:t>
      </w:r>
      <w:r w:rsidRPr="003A1AD0">
        <w:rPr>
          <w:i/>
          <w:iCs/>
        </w:rPr>
        <w:t xml:space="preserve">Incentives and Recognition: An evidence </w:t>
      </w:r>
      <w:proofErr w:type="gramStart"/>
      <w:r w:rsidRPr="003A1AD0">
        <w:rPr>
          <w:i/>
          <w:iCs/>
        </w:rPr>
        <w:t>review</w:t>
      </w:r>
      <w:proofErr w:type="gramEnd"/>
      <w:r w:rsidRPr="003A1AD0">
        <w:rPr>
          <w:i/>
          <w:iCs/>
        </w:rPr>
        <w:t xml:space="preserve">. </w:t>
      </w:r>
      <w:r w:rsidRPr="003A1AD0">
        <w:t>London: Chartered Institute of Personnel and Development.</w:t>
      </w:r>
    </w:p>
    <w:p w14:paraId="1BF9ED03" w14:textId="77777777" w:rsidR="00B673D3" w:rsidRPr="003A1AD0" w:rsidRDefault="00B673D3" w:rsidP="00B673D3">
      <w:pPr>
        <w:spacing w:line="276" w:lineRule="auto"/>
      </w:pPr>
      <w:r w:rsidRPr="003A1AD0">
        <w:t xml:space="preserve">CIPD (2023) </w:t>
      </w:r>
      <w:r w:rsidRPr="003A1AD0">
        <w:rPr>
          <w:i/>
          <w:iCs/>
        </w:rPr>
        <w:t xml:space="preserve">Informing the UK’s National Living Wage for 2024. </w:t>
      </w:r>
      <w:r w:rsidRPr="003A1AD0">
        <w:t>London: Chartered Institute of Personnel and Development.</w:t>
      </w:r>
    </w:p>
    <w:p w14:paraId="5E06487B" w14:textId="77777777" w:rsidR="00B673D3" w:rsidRPr="003A1AD0" w:rsidRDefault="00B673D3" w:rsidP="00B673D3">
      <w:pPr>
        <w:spacing w:line="276" w:lineRule="auto"/>
      </w:pPr>
      <w:r w:rsidRPr="003A1AD0">
        <w:t xml:space="preserve">CIPD (2024) </w:t>
      </w:r>
      <w:r w:rsidRPr="003A1AD0">
        <w:rPr>
          <w:i/>
          <w:iCs/>
        </w:rPr>
        <w:t xml:space="preserve">Performance Reviews. </w:t>
      </w:r>
      <w:r w:rsidRPr="003A1AD0">
        <w:t>London: Chartered Institute of Personnel and Development.</w:t>
      </w:r>
    </w:p>
    <w:p w14:paraId="32177FF6" w14:textId="77777777" w:rsidR="00B673D3" w:rsidRPr="003A1AD0" w:rsidRDefault="00B673D3" w:rsidP="00B673D3">
      <w:pPr>
        <w:spacing w:line="276" w:lineRule="auto"/>
      </w:pPr>
      <w:r w:rsidRPr="003A1AD0">
        <w:t xml:space="preserve">Equality Act 2010 Available at: https://www.legislation.gov.uk/ukpga/2010/15/contents (Accessed: </w:t>
      </w:r>
      <w:r>
        <w:t>5</w:t>
      </w:r>
      <w:r w:rsidRPr="003A1AD0">
        <w:t xml:space="preserve"> </w:t>
      </w:r>
      <w:r>
        <w:t>July</w:t>
      </w:r>
      <w:r w:rsidRPr="003A1AD0">
        <w:t xml:space="preserve"> 2024)</w:t>
      </w:r>
    </w:p>
    <w:p w14:paraId="4A94BBB6" w14:textId="77777777" w:rsidR="00B673D3" w:rsidRPr="003A1AD0" w:rsidRDefault="00B673D3" w:rsidP="00B673D3">
      <w:pPr>
        <w:spacing w:line="276" w:lineRule="auto"/>
      </w:pPr>
      <w:r w:rsidRPr="003A1AD0">
        <w:t xml:space="preserve">Equality and Human Rights Commission (2014) </w:t>
      </w:r>
      <w:r w:rsidRPr="003A1AD0">
        <w:rPr>
          <w:i/>
          <w:iCs/>
        </w:rPr>
        <w:t>What equality law means for you as an employer: pay and benefits.</w:t>
      </w:r>
      <w:r w:rsidRPr="003A1AD0">
        <w:t xml:space="preserve"> Available at: </w:t>
      </w:r>
      <w:hyperlink r:id="rId6" w:history="1">
        <w:r w:rsidRPr="003A1AD0">
          <w:rPr>
            <w:rStyle w:val="Hyperlink"/>
            <w:color w:val="auto"/>
          </w:rPr>
          <w:t>https://www.equalityhumanrights.com/publication-</w:t>
        </w:r>
        <w:r w:rsidRPr="003A1AD0">
          <w:rPr>
            <w:rStyle w:val="Hyperlink"/>
            <w:color w:val="auto"/>
          </w:rPr>
          <w:lastRenderedPageBreak/>
          <w:t>download/what-equality-law-means-you-employer-pay-and-benefits</w:t>
        </w:r>
      </w:hyperlink>
      <w:r w:rsidRPr="003A1AD0">
        <w:t xml:space="preserve"> (Archived at: </w:t>
      </w:r>
      <w:hyperlink r:id="rId7" w:history="1">
        <w:r w:rsidRPr="003A1AD0">
          <w:rPr>
            <w:rStyle w:val="Hyperlink"/>
            <w:color w:val="auto"/>
          </w:rPr>
          <w:t>https://perma.cc/7Z5G-47HD</w:t>
        </w:r>
      </w:hyperlink>
      <w:r w:rsidRPr="003A1AD0">
        <w:t xml:space="preserve">) (Accessed </w:t>
      </w:r>
      <w:r>
        <w:t>7 July 2024)</w:t>
      </w:r>
    </w:p>
    <w:p w14:paraId="46F20990" w14:textId="77777777" w:rsidR="00B673D3" w:rsidRPr="003A1AD0" w:rsidRDefault="00B673D3" w:rsidP="00B673D3">
      <w:pPr>
        <w:spacing w:line="276" w:lineRule="auto"/>
      </w:pPr>
      <w:r w:rsidRPr="003A1AD0">
        <w:rPr>
          <w:rFonts w:cs="Arial"/>
          <w:shd w:val="clear" w:color="auto" w:fill="FFFFFF"/>
        </w:rPr>
        <w:t>Landsberg, M. (2015) </w:t>
      </w:r>
      <w:r w:rsidRPr="003A1AD0">
        <w:rPr>
          <w:rFonts w:cs="Arial"/>
          <w:i/>
          <w:iCs/>
          <w:shd w:val="clear" w:color="auto" w:fill="FFFFFF"/>
        </w:rPr>
        <w:t>The Tao of coaching: Boost your effectiveness at work by inspiring and developing those around you</w:t>
      </w:r>
      <w:r w:rsidRPr="003A1AD0">
        <w:rPr>
          <w:rFonts w:cs="Arial"/>
          <w:shd w:val="clear" w:color="auto" w:fill="FFFFFF"/>
        </w:rPr>
        <w:t>. London: Profile Books.</w:t>
      </w:r>
    </w:p>
    <w:p w14:paraId="4E65A7FD" w14:textId="77777777" w:rsidR="00B673D3" w:rsidRPr="003A1AD0" w:rsidRDefault="00B673D3" w:rsidP="00B673D3">
      <w:pPr>
        <w:spacing w:line="276" w:lineRule="auto"/>
        <w:rPr>
          <w:rFonts w:cs="Arial"/>
          <w:shd w:val="clear" w:color="auto" w:fill="FFFFFF"/>
        </w:rPr>
      </w:pPr>
      <w:r w:rsidRPr="003A1AD0">
        <w:rPr>
          <w:rFonts w:cs="Arial"/>
          <w:shd w:val="clear" w:color="auto" w:fill="FFFFFF"/>
        </w:rPr>
        <w:t>Parsons, G. (2023) </w:t>
      </w:r>
      <w:r w:rsidRPr="003A1AD0">
        <w:rPr>
          <w:rFonts w:cs="Arial"/>
          <w:i/>
          <w:iCs/>
          <w:shd w:val="clear" w:color="auto" w:fill="FFFFFF"/>
        </w:rPr>
        <w:t>Skill/Will matrix explained</w:t>
      </w:r>
      <w:r>
        <w:rPr>
          <w:rFonts w:cs="Arial"/>
          <w:i/>
          <w:iCs/>
          <w:shd w:val="clear" w:color="auto" w:fill="FFFFFF"/>
        </w:rPr>
        <w:t>.</w:t>
      </w:r>
      <w:r w:rsidRPr="003A1AD0">
        <w:rPr>
          <w:rFonts w:cs="Arial"/>
          <w:shd w:val="clear" w:color="auto" w:fill="FFFFFF"/>
        </w:rPr>
        <w:t> </w:t>
      </w:r>
      <w:proofErr w:type="spellStart"/>
      <w:r w:rsidRPr="003A1AD0">
        <w:rPr>
          <w:rFonts w:cs="Arial"/>
          <w:shd w:val="clear" w:color="auto" w:fill="FFFFFF"/>
        </w:rPr>
        <w:t>BiteSize</w:t>
      </w:r>
      <w:proofErr w:type="spellEnd"/>
      <w:r w:rsidRPr="003A1AD0">
        <w:rPr>
          <w:rFonts w:cs="Arial"/>
          <w:shd w:val="clear" w:color="auto" w:fill="FFFFFF"/>
        </w:rPr>
        <w:t xml:space="preserve"> Learning. Available at: https://www.bitesizelearning.co.uk/resources/skill-will-matrix-leadership-style (Accessed: 6 July 2024).</w:t>
      </w:r>
    </w:p>
    <w:p w14:paraId="2CEA641C" w14:textId="77777777" w:rsidR="00B673D3" w:rsidRPr="003A1AD0" w:rsidRDefault="00B673D3" w:rsidP="00B673D3">
      <w:pPr>
        <w:spacing w:line="276" w:lineRule="auto"/>
      </w:pPr>
      <w:r w:rsidRPr="003A1AD0">
        <w:t xml:space="preserve">Waite, K., Beevers, K., Small, N., Tomlinson, K. and Hussain, S. (2021) </w:t>
      </w:r>
      <w:r w:rsidRPr="003A1AD0">
        <w:rPr>
          <w:i/>
          <w:iCs/>
        </w:rPr>
        <w:t>People practice: a complete guide.</w:t>
      </w:r>
      <w:r w:rsidRPr="003A1AD0">
        <w:t xml:space="preserve"> London: Kogan Page Limited.</w:t>
      </w:r>
    </w:p>
    <w:p w14:paraId="370F5FC9" w14:textId="77777777" w:rsidR="00B673D3" w:rsidRPr="003A1AD0" w:rsidRDefault="00B673D3" w:rsidP="00B673D3">
      <w:pPr>
        <w:spacing w:line="276" w:lineRule="auto"/>
      </w:pPr>
      <w:r w:rsidRPr="003A1AD0">
        <w:t xml:space="preserve">Waldrop, M. M. (1996) </w:t>
      </w:r>
      <w:r w:rsidRPr="003A1AD0">
        <w:rPr>
          <w:i/>
          <w:iCs/>
        </w:rPr>
        <w:t>Dee Hock on Management.</w:t>
      </w:r>
      <w:r w:rsidRPr="003A1AD0">
        <w:t xml:space="preserve"> Fast Company. Available at: https://www.fastcompany.com/27454/dee-hock-management (Accessed: 4 July 2024)</w:t>
      </w:r>
    </w:p>
    <w:p w14:paraId="63DA8526" w14:textId="77777777" w:rsidR="00B673D3" w:rsidRPr="003A1AD0" w:rsidRDefault="00B673D3" w:rsidP="00B673D3">
      <w:pPr>
        <w:spacing w:line="276" w:lineRule="auto"/>
      </w:pPr>
      <w:r w:rsidRPr="003A1AD0">
        <w:t xml:space="preserve">Working Time Regulations 1998. Available at: </w:t>
      </w:r>
      <w:hyperlink r:id="rId8" w:history="1">
        <w:r w:rsidRPr="003A1AD0">
          <w:rPr>
            <w:rStyle w:val="Hyperlink"/>
            <w:color w:val="auto"/>
          </w:rPr>
          <w:t>https://www.legislation.gov.uk/uksi/1998/1833/contents</w:t>
        </w:r>
      </w:hyperlink>
      <w:r w:rsidRPr="003A1AD0">
        <w:t xml:space="preserve"> (Accessed: 30 </w:t>
      </w:r>
      <w:r>
        <w:t>June</w:t>
      </w:r>
      <w:r w:rsidRPr="003A1AD0">
        <w:t xml:space="preserve"> 2024)</w:t>
      </w:r>
    </w:p>
    <w:p w14:paraId="4D44C27B" w14:textId="77777777" w:rsidR="00B673D3" w:rsidRPr="00686BB4" w:rsidRDefault="00B673D3" w:rsidP="00B673D3">
      <w:pPr>
        <w:spacing w:line="276" w:lineRule="auto"/>
        <w:rPr>
          <w:sz w:val="24"/>
          <w:szCs w:val="24"/>
        </w:rPr>
      </w:pPr>
    </w:p>
    <w:sectPr w:rsidR="00B673D3" w:rsidRPr="00686B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837597"/>
    <w:multiLevelType w:val="hybridMultilevel"/>
    <w:tmpl w:val="DDCC5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E83BC8"/>
    <w:multiLevelType w:val="hybridMultilevel"/>
    <w:tmpl w:val="3BFA42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93351A"/>
    <w:multiLevelType w:val="hybridMultilevel"/>
    <w:tmpl w:val="B96AB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273E1A"/>
    <w:multiLevelType w:val="hybridMultilevel"/>
    <w:tmpl w:val="46DCB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385B6D"/>
    <w:multiLevelType w:val="hybridMultilevel"/>
    <w:tmpl w:val="4F5610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437EF9"/>
    <w:multiLevelType w:val="hybridMultilevel"/>
    <w:tmpl w:val="CC4874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7F871D5"/>
    <w:multiLevelType w:val="hybridMultilevel"/>
    <w:tmpl w:val="8BC205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D4077E5"/>
    <w:multiLevelType w:val="hybridMultilevel"/>
    <w:tmpl w:val="D5942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DFC39C7"/>
    <w:multiLevelType w:val="hybridMultilevel"/>
    <w:tmpl w:val="7CEC0F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33455CE"/>
    <w:multiLevelType w:val="hybridMultilevel"/>
    <w:tmpl w:val="284AEE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15835466">
    <w:abstractNumId w:val="3"/>
  </w:num>
  <w:num w:numId="2" w16cid:durableId="2071414326">
    <w:abstractNumId w:val="6"/>
  </w:num>
  <w:num w:numId="3" w16cid:durableId="1924027221">
    <w:abstractNumId w:val="4"/>
  </w:num>
  <w:num w:numId="4" w16cid:durableId="791901119">
    <w:abstractNumId w:val="7"/>
  </w:num>
  <w:num w:numId="5" w16cid:durableId="696321108">
    <w:abstractNumId w:val="9"/>
  </w:num>
  <w:num w:numId="6" w16cid:durableId="982194507">
    <w:abstractNumId w:val="1"/>
  </w:num>
  <w:num w:numId="7" w16cid:durableId="1703751476">
    <w:abstractNumId w:val="0"/>
  </w:num>
  <w:num w:numId="8" w16cid:durableId="966466509">
    <w:abstractNumId w:val="8"/>
  </w:num>
  <w:num w:numId="9" w16cid:durableId="1090934360">
    <w:abstractNumId w:val="2"/>
  </w:num>
  <w:num w:numId="10" w16cid:durableId="46505429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28A0"/>
    <w:rsid w:val="00027369"/>
    <w:rsid w:val="00084655"/>
    <w:rsid w:val="000A56D2"/>
    <w:rsid w:val="00136748"/>
    <w:rsid w:val="001F28A0"/>
    <w:rsid w:val="002A3831"/>
    <w:rsid w:val="003C2E2F"/>
    <w:rsid w:val="003E55F3"/>
    <w:rsid w:val="0046216F"/>
    <w:rsid w:val="00473015"/>
    <w:rsid w:val="004845CD"/>
    <w:rsid w:val="004A3644"/>
    <w:rsid w:val="004D4AF6"/>
    <w:rsid w:val="00635B6C"/>
    <w:rsid w:val="00686BB4"/>
    <w:rsid w:val="0080497C"/>
    <w:rsid w:val="008061E3"/>
    <w:rsid w:val="00825DFD"/>
    <w:rsid w:val="00832E69"/>
    <w:rsid w:val="00834DAC"/>
    <w:rsid w:val="008D2385"/>
    <w:rsid w:val="00A57281"/>
    <w:rsid w:val="00B43DD2"/>
    <w:rsid w:val="00B673D3"/>
    <w:rsid w:val="00B7306F"/>
    <w:rsid w:val="00C30F2E"/>
    <w:rsid w:val="00C337CB"/>
    <w:rsid w:val="00C678AF"/>
    <w:rsid w:val="00CB6567"/>
    <w:rsid w:val="00CD061F"/>
    <w:rsid w:val="00DB5DD6"/>
    <w:rsid w:val="00DF1D28"/>
    <w:rsid w:val="00EC4273"/>
    <w:rsid w:val="00F10D3A"/>
    <w:rsid w:val="00FA35C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0C2062"/>
  <w15:chartTrackingRefBased/>
  <w15:docId w15:val="{7545E5A8-58ED-4BBD-9BC4-C1328B47A8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28A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F28A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F28A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F28A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F28A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28A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28A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28A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28A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28A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F28A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F28A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F28A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F28A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28A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28A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28A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28A0"/>
    <w:rPr>
      <w:rFonts w:eastAsiaTheme="majorEastAsia" w:cstheme="majorBidi"/>
      <w:color w:val="272727" w:themeColor="text1" w:themeTint="D8"/>
    </w:rPr>
  </w:style>
  <w:style w:type="paragraph" w:styleId="Title">
    <w:name w:val="Title"/>
    <w:basedOn w:val="Normal"/>
    <w:next w:val="Normal"/>
    <w:link w:val="TitleChar"/>
    <w:uiPriority w:val="10"/>
    <w:qFormat/>
    <w:rsid w:val="001F28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28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28A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28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28A0"/>
    <w:pPr>
      <w:spacing w:before="160"/>
      <w:jc w:val="center"/>
    </w:pPr>
    <w:rPr>
      <w:i/>
      <w:iCs/>
      <w:color w:val="404040" w:themeColor="text1" w:themeTint="BF"/>
    </w:rPr>
  </w:style>
  <w:style w:type="character" w:customStyle="1" w:styleId="QuoteChar">
    <w:name w:val="Quote Char"/>
    <w:basedOn w:val="DefaultParagraphFont"/>
    <w:link w:val="Quote"/>
    <w:uiPriority w:val="29"/>
    <w:rsid w:val="001F28A0"/>
    <w:rPr>
      <w:i/>
      <w:iCs/>
      <w:color w:val="404040" w:themeColor="text1" w:themeTint="BF"/>
    </w:rPr>
  </w:style>
  <w:style w:type="paragraph" w:styleId="ListParagraph">
    <w:name w:val="List Paragraph"/>
    <w:basedOn w:val="Normal"/>
    <w:uiPriority w:val="34"/>
    <w:qFormat/>
    <w:rsid w:val="001F28A0"/>
    <w:pPr>
      <w:ind w:left="720"/>
      <w:contextualSpacing/>
    </w:pPr>
  </w:style>
  <w:style w:type="character" w:styleId="IntenseEmphasis">
    <w:name w:val="Intense Emphasis"/>
    <w:basedOn w:val="DefaultParagraphFont"/>
    <w:uiPriority w:val="21"/>
    <w:qFormat/>
    <w:rsid w:val="001F28A0"/>
    <w:rPr>
      <w:i/>
      <w:iCs/>
      <w:color w:val="0F4761" w:themeColor="accent1" w:themeShade="BF"/>
    </w:rPr>
  </w:style>
  <w:style w:type="paragraph" w:styleId="IntenseQuote">
    <w:name w:val="Intense Quote"/>
    <w:basedOn w:val="Normal"/>
    <w:next w:val="Normal"/>
    <w:link w:val="IntenseQuoteChar"/>
    <w:uiPriority w:val="30"/>
    <w:qFormat/>
    <w:rsid w:val="001F28A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28A0"/>
    <w:rPr>
      <w:i/>
      <w:iCs/>
      <w:color w:val="0F4761" w:themeColor="accent1" w:themeShade="BF"/>
    </w:rPr>
  </w:style>
  <w:style w:type="character" w:styleId="IntenseReference">
    <w:name w:val="Intense Reference"/>
    <w:basedOn w:val="DefaultParagraphFont"/>
    <w:uiPriority w:val="32"/>
    <w:qFormat/>
    <w:rsid w:val="001F28A0"/>
    <w:rPr>
      <w:b/>
      <w:bCs/>
      <w:smallCaps/>
      <w:color w:val="0F4761" w:themeColor="accent1" w:themeShade="BF"/>
      <w:spacing w:val="5"/>
    </w:rPr>
  </w:style>
  <w:style w:type="character" w:styleId="Hyperlink">
    <w:name w:val="Hyperlink"/>
    <w:basedOn w:val="DefaultParagraphFont"/>
    <w:uiPriority w:val="99"/>
    <w:unhideWhenUsed/>
    <w:rsid w:val="00473015"/>
    <w:rPr>
      <w:color w:val="467886" w:themeColor="hyperlink"/>
      <w:u w:val="single"/>
    </w:rPr>
  </w:style>
  <w:style w:type="character" w:styleId="UnresolvedMention">
    <w:name w:val="Unresolved Mention"/>
    <w:basedOn w:val="DefaultParagraphFont"/>
    <w:uiPriority w:val="99"/>
    <w:semiHidden/>
    <w:unhideWhenUsed/>
    <w:rsid w:val="00473015"/>
    <w:rPr>
      <w:color w:val="605E5C"/>
      <w:shd w:val="clear" w:color="auto" w:fill="E1DFDD"/>
    </w:rPr>
  </w:style>
  <w:style w:type="paragraph" w:styleId="Caption">
    <w:name w:val="caption"/>
    <w:basedOn w:val="Normal"/>
    <w:next w:val="Normal"/>
    <w:uiPriority w:val="35"/>
    <w:unhideWhenUsed/>
    <w:qFormat/>
    <w:rsid w:val="004D4AF6"/>
    <w:pPr>
      <w:spacing w:after="200" w:line="240" w:lineRule="auto"/>
    </w:pPr>
    <w:rPr>
      <w:i/>
      <w:iCs/>
      <w:color w:val="0E2841" w:themeColor="text2"/>
      <w:sz w:val="18"/>
      <w:szCs w:val="18"/>
    </w:rPr>
  </w:style>
  <w:style w:type="character" w:styleId="FollowedHyperlink">
    <w:name w:val="FollowedHyperlink"/>
    <w:basedOn w:val="DefaultParagraphFont"/>
    <w:uiPriority w:val="99"/>
    <w:semiHidden/>
    <w:unhideWhenUsed/>
    <w:rsid w:val="008D238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5159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si/1998/1833/contents" TargetMode="External"/><Relationship Id="rId3" Type="http://schemas.openxmlformats.org/officeDocument/2006/relationships/settings" Target="settings.xml"/><Relationship Id="rId7" Type="http://schemas.openxmlformats.org/officeDocument/2006/relationships/hyperlink" Target="https://perma.cc/7Z5G-47H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qualityhumanrights.com/publication-download/what-equality-law-means-you-employer-pay-and-benefits"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301</TotalTime>
  <Pages>6</Pages>
  <Words>1803</Words>
  <Characters>10278</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Catrin Hughes</dc:creator>
  <cp:keywords/>
  <dc:description/>
  <cp:lastModifiedBy>Catrin Hughes</cp:lastModifiedBy>
  <cp:revision>4</cp:revision>
  <dcterms:created xsi:type="dcterms:W3CDTF">2024-07-07T18:22:00Z</dcterms:created>
  <dcterms:modified xsi:type="dcterms:W3CDTF">2024-07-07T23:57:00Z</dcterms:modified>
</cp:coreProperties>
</file>