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r>
        <w:rPr/>
        <w:drawing>
          <wp:inline distL="0" distT="0" distB="0" distR="0">
            <wp:extent cx="2857500" cy="1714500"/>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0" t="0" r="0" b="0"/>
                    <a:stretch/>
                  </pic:blipFill>
                  <pic:spPr>
                    <a:xfrm rot="0">
                      <a:off x="0" y="0"/>
                      <a:ext cx="2857500" cy="1714500"/>
                    </a:xfrm>
                    <a:prstGeom prst="rect"/>
                  </pic:spPr>
                </pic:pic>
              </a:graphicData>
            </a:graphic>
          </wp:inline>
        </w:drawing>
      </w:r>
    </w:p>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p>
    <w:p>
      <w:pPr>
        <w:pStyle w:val="style0"/>
        <w:spacing w:lineRule="auto" w:line="360"/>
        <w:jc w:val="center"/>
        <w:rPr>
          <w:rFonts w:ascii="Times New Roman" w:cs="Times New Roman" w:hAnsi="Times New Roman"/>
          <w:b/>
          <w:bCs/>
          <w:sz w:val="32"/>
          <w:szCs w:val="32"/>
        </w:rPr>
      </w:pPr>
    </w:p>
    <w:p>
      <w:pPr>
        <w:pStyle w:val="style0"/>
        <w:spacing w:lineRule="auto" w:line="360"/>
        <w:jc w:val="left"/>
        <w:rPr>
          <w:rFonts w:ascii="Times New Roman" w:cs="Times New Roman" w:hAnsi="Times New Roman"/>
          <w:b/>
          <w:bCs/>
          <w:sz w:val="32"/>
          <w:szCs w:val="32"/>
        </w:rPr>
      </w:pPr>
      <w:r>
        <w:rPr>
          <w:rFonts w:ascii="Times New Roman" w:cs="Times New Roman" w:hAnsi="Times New Roman"/>
          <w:b/>
          <w:bCs/>
          <w:sz w:val="32"/>
          <w:szCs w:val="32"/>
          <w:lang w:val="en-US"/>
        </w:rPr>
        <w:t>Name: Hari Barot</w:t>
      </w:r>
    </w:p>
    <w:p>
      <w:pPr>
        <w:pStyle w:val="style0"/>
        <w:spacing w:lineRule="auto" w:line="360"/>
        <w:jc w:val="left"/>
        <w:rPr>
          <w:rFonts w:ascii="Times New Roman" w:cs="Times New Roman" w:hAnsi="Times New Roman"/>
          <w:b/>
          <w:bCs/>
          <w:sz w:val="32"/>
          <w:szCs w:val="32"/>
        </w:rPr>
      </w:pPr>
      <w:r>
        <w:rPr>
          <w:rFonts w:ascii="Times New Roman" w:cs="Times New Roman" w:hAnsi="Times New Roman"/>
          <w:b/>
          <w:bCs/>
          <w:sz w:val="32"/>
          <w:szCs w:val="32"/>
          <w:lang w:val="en-US"/>
        </w:rPr>
        <w:t>Subject :</w:t>
      </w:r>
      <w:r>
        <w:rPr>
          <w:rFonts w:ascii="Times New Roman" w:cs="Times New Roman" w:hAnsi="Times New Roman"/>
          <w:b/>
          <w:bCs/>
          <w:sz w:val="32"/>
          <w:szCs w:val="32"/>
        </w:rPr>
        <w:t>DATA SECURITY, GOVERNANCE AND COMPLIANCE PRINCIPLES IN FINSURE BANK</w:t>
      </w:r>
    </w:p>
    <w:p>
      <w:pPr>
        <w:pStyle w:val="style0"/>
        <w:spacing w:lineRule="auto" w:line="360"/>
        <w:jc w:val="left"/>
        <w:rPr>
          <w:rFonts w:ascii="Times New Roman" w:cs="Times New Roman" w:hAnsi="Times New Roman"/>
          <w:b/>
          <w:bCs/>
          <w:sz w:val="32"/>
          <w:szCs w:val="32"/>
        </w:rPr>
      </w:pPr>
      <w:r>
        <w:rPr>
          <w:rFonts w:ascii="Times New Roman" w:cs="Times New Roman" w:hAnsi="Times New Roman"/>
          <w:b/>
          <w:bCs/>
          <w:sz w:val="32"/>
          <w:szCs w:val="32"/>
          <w:lang w:val="en-US"/>
        </w:rPr>
        <w:t>Subject id: 2520160</w:t>
      </w:r>
    </w:p>
    <w:p>
      <w:pPr>
        <w:pStyle w:val="style0"/>
        <w:spacing w:lineRule="auto" w:line="360"/>
        <w:jc w:val="left"/>
        <w:rPr>
          <w:rFonts w:ascii="Times New Roman" w:cs="Times New Roman" w:hAnsi="Times New Roman"/>
          <w:b/>
          <w:bCs/>
          <w:sz w:val="32"/>
          <w:szCs w:val="32"/>
        </w:rPr>
      </w:pPr>
    </w:p>
    <w:p>
      <w:pPr>
        <w:pStyle w:val="style0"/>
        <w:rPr>
          <w:rFonts w:ascii="Times New Roman" w:cs="Times New Roman" w:hAnsi="Times New Roman"/>
          <w:b/>
          <w:bCs/>
        </w:rPr>
      </w:pPr>
      <w:r>
        <w:rPr>
          <w:rFonts w:ascii="Times New Roman" w:cs="Times New Roman" w:hAnsi="Times New Roman"/>
          <w:b/>
          <w:bCs/>
        </w:rPr>
        <w:br w:type="page"/>
      </w:r>
    </w:p>
    <w:p>
      <w:pPr>
        <w:pStyle w:val="style0"/>
        <w:spacing w:lineRule="auto" w:line="360"/>
        <w:jc w:val="both"/>
        <w:rPr>
          <w:rFonts w:ascii="Times New Roman" w:cs="Times New Roman" w:hAnsi="Times New Roman"/>
          <w:b/>
          <w:bCs/>
        </w:rPr>
      </w:pPr>
      <w:r>
        <w:rPr>
          <w:rFonts w:ascii="Times New Roman" w:cs="Times New Roman" w:hAnsi="Times New Roman"/>
          <w:b/>
          <w:bCs/>
        </w:rPr>
        <w:t>Abstract</w:t>
      </w:r>
    </w:p>
    <w:p>
      <w:pPr>
        <w:pStyle w:val="style0"/>
        <w:spacing w:lineRule="auto" w:line="360"/>
        <w:jc w:val="both"/>
        <w:rPr>
          <w:rFonts w:ascii="Times New Roman" w:cs="Times New Roman" w:hAnsi="Times New Roman"/>
        </w:rPr>
      </w:pPr>
      <w:r>
        <w:rPr>
          <w:rFonts w:ascii="Times New Roman" w:cs="Times New Roman" w:hAnsi="Times New Roman"/>
        </w:rPr>
        <w:t xml:space="preserve">The rise of digital financial services has created greater vulnerabilities to cyber threats, especially for cloud-based companies. This report analyses </w:t>
      </w:r>
      <w:r>
        <w:rPr>
          <w:rFonts w:ascii="Times New Roman" w:cs="Times New Roman" w:hAnsi="Times New Roman"/>
        </w:rPr>
        <w:t>FinSure</w:t>
      </w:r>
      <w:r>
        <w:rPr>
          <w:rFonts w:ascii="Times New Roman" w:cs="Times New Roman" w:hAnsi="Times New Roman"/>
        </w:rPr>
        <w:t xml:space="preserve"> Bank (FSB), a digital-only financial organisation, which is at risk in terms of data security, governance and compliance. The research starts with an overview of security standards, such as ISO 27001 and ITIL, to assess their applicability in contemporary cyber security. The report then builds on this theoretical basis to propose a security, governance and compliance model for FSB. This strategy encompasses aspects such as BYOD concerns, cloud security, data governance, and compliance standards like GDPR. Additionally, the report assesses the need for security standards to be constantly updated to keep pace with risks and technological changes. The report concludes that a holistic, coordinated and dynamic security approach is critical to protecting sensitive financial information and ensuring organisational resilience</w:t>
      </w:r>
      <w:r>
        <w:rPr>
          <w:rFonts w:ascii="Times New Roman" w:cs="Times New Roman" w:hAnsi="Times New Roman"/>
        </w:rPr>
        <w:t>.</w:t>
      </w:r>
    </w:p>
    <w:p>
      <w:pPr>
        <w:pStyle w:val="style0"/>
        <w:rPr>
          <w:rFonts w:ascii="Times New Roman" w:cs="宋体" w:eastAsia="宋体" w:hAnsi="Times New Roman"/>
          <w:b/>
          <w:sz w:val="28"/>
          <w:szCs w:val="40"/>
        </w:rPr>
      </w:pPr>
      <w:r>
        <w:br w:type="page"/>
      </w:r>
    </w:p>
    <w:p>
      <w:pPr>
        <w:pStyle w:val="style266"/>
        <w:spacing w:lineRule="auto" w:line="360"/>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p>
      <w:pPr>
        <w:pStyle w:val="style19"/>
        <w:tabs>
          <w:tab w:val="right" w:leader="dot" w:pos="9016"/>
        </w:tabs>
        <w:spacing w:lineRule="auto" w:line="360"/>
        <w:jc w:val="center"/>
        <w:rPr>
          <w:rFonts w:ascii="Times New Roman" w:cs="Times New Roman" w:hAnsi="Times New Roman"/>
          <w:noProof/>
        </w:rPr>
      </w:pPr>
      <w:r>
        <w:rPr>
          <w:rFonts w:ascii="Times New Roman" w:cs="Times New Roman" w:hAnsi="Times New Roman"/>
        </w:rPr>
        <w:fldChar w:fldCharType="begin"/>
      </w:r>
      <w:r>
        <w:rPr>
          <w:rFonts w:ascii="Times New Roman" w:cs="Times New Roman" w:hAnsi="Times New Roman"/>
        </w:rPr>
        <w:instrText xml:space="preserve"> TOC \o "1-3" \h \z \u </w:instrText>
      </w:r>
      <w:r>
        <w:rPr>
          <w:rFonts w:ascii="Times New Roman" w:cs="Times New Roman" w:hAnsi="Times New Roman"/>
        </w:rPr>
        <w:fldChar w:fldCharType="separate"/>
      </w:r>
      <w:r>
        <w:rPr/>
        <w:fldChar w:fldCharType="begin"/>
      </w:r>
      <w:r>
        <w:instrText xml:space="preserve"> HYPERLINK \l "_Toc228272064" </w:instrText>
      </w:r>
      <w:r>
        <w:rPr/>
        <w:fldChar w:fldCharType="separate"/>
      </w:r>
      <w:r>
        <w:rPr>
          <w:rStyle w:val="style85"/>
          <w:rFonts w:ascii="Times New Roman" w:cs="Times New Roman" w:hAnsi="Times New Roman"/>
          <w:noProof/>
          <w:color w:val="auto"/>
        </w:rPr>
        <w:t>1. Introduction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_Toc228272064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"_Toc228272065" </w:instrText>
      </w:r>
      <w:r>
        <w:rPr/>
        <w:fldChar w:fldCharType="separate"/>
      </w:r>
      <w:r>
        <w:rPr>
          <w:rStyle w:val="style85"/>
          <w:rFonts w:ascii="Times New Roman" w:cs="Times New Roman" w:hAnsi="Times New Roman"/>
          <w:noProof/>
          <w:color w:val="auto"/>
        </w:rPr>
        <w:t>2. Literature Review: Security Frameworks and Models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_Toc228272065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"_Toc228272066" </w:instrText>
      </w:r>
      <w:r>
        <w:rPr/>
        <w:fldChar w:fldCharType="separate"/>
      </w:r>
      <w:r>
        <w:rPr>
          <w:rStyle w:val="style85"/>
          <w:rFonts w:ascii="Times New Roman" w:cs="Times New Roman" w:hAnsi="Times New Roman"/>
          <w:noProof/>
          <w:color w:val="auto"/>
        </w:rPr>
        <w:t>3. Case Analysis: Security and Governance Issues in FSB</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_Toc228272066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"_Toc228272067" </w:instrText>
      </w:r>
      <w:r>
        <w:rPr/>
        <w:fldChar w:fldCharType="separate"/>
      </w:r>
      <w:r>
        <w:rPr>
          <w:rStyle w:val="style85"/>
          <w:rFonts w:ascii="Times New Roman" w:cs="Times New Roman" w:hAnsi="Times New Roman"/>
          <w:noProof/>
          <w:color w:val="auto"/>
        </w:rPr>
        <w:t>4. Proposed Security, Governance and Compliance Framework</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_Toc228272067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"_Toc228272068" </w:instrText>
      </w:r>
      <w:r>
        <w:rPr/>
        <w:fldChar w:fldCharType="separate"/>
      </w:r>
      <w:r>
        <w:rPr>
          <w:rStyle w:val="style85"/>
          <w:rFonts w:ascii="Times New Roman" w:cs="Times New Roman" w:hAnsi="Times New Roman"/>
          <w:noProof/>
          <w:color w:val="auto"/>
        </w:rPr>
        <w:t>5. Critical Discussion: Importance of Evolving Regulations and Standards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_Toc228272068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"_Toc228272069" </w:instrText>
      </w:r>
      <w:r>
        <w:rPr/>
        <w:fldChar w:fldCharType="separate"/>
      </w:r>
      <w:r>
        <w:rPr>
          <w:rStyle w:val="style85"/>
          <w:rFonts w:ascii="Times New Roman" w:cs="Times New Roman" w:hAnsi="Times New Roman"/>
          <w:noProof/>
          <w:color w:val="auto"/>
        </w:rPr>
        <w:t>6. Conclusion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_Toc228272069 \h </w:instrText>
      </w:r>
      <w:r>
        <w:rPr>
          <w:rFonts w:ascii="Times New Roman" w:cs="Times New Roman" w:hAnsi="Times New Roman"/>
          <w:noProof/>
          <w:webHidden/>
        </w:rPr>
        <w:fldChar w:fldCharType="separate"/>
      </w:r>
      <w:r>
        <w:rPr>
          <w:rFonts w:ascii="Times New Roman" w:cs="Times New Roman" w:hAnsi="Times New Roman"/>
          <w:noProof/>
          <w:webHidden/>
        </w:rPr>
        <w:t>12</w:t>
      </w:r>
      <w:r>
        <w:rPr>
          <w:rFonts w:ascii="Times New Roman" w:cs="Times New Roman" w:hAnsi="Times New Roman"/>
          <w:noProof/>
          <w:webHidden/>
        </w:rPr>
        <w:fldChar w:fldCharType="end"/>
      </w:r>
      <w:r>
        <w:rPr/>
        <w:fldChar w:fldCharType="end"/>
      </w:r>
    </w:p>
    <w:p>
      <w:pPr>
        <w:pStyle w:val="style19"/>
        <w:tabs>
          <w:tab w:val="right" w:leader="dot" w:pos="9016"/>
        </w:tabs>
        <w:spacing w:lineRule="auto" w:line="360"/>
        <w:jc w:val="center"/>
        <w:rPr>
          <w:rFonts w:ascii="Times New Roman" w:cs="Times New Roman" w:hAnsi="Times New Roman"/>
          <w:noProof/>
        </w:rPr>
      </w:pPr>
      <w:r>
        <w:rPr/>
        <w:fldChar w:fldCharType="begin"/>
      </w:r>
      <w:r>
        <w:instrText xml:space="preserve"> HYPERLINK \l "_Toc228272070" </w:instrText>
      </w:r>
      <w:r>
        <w:rPr/>
        <w:fldChar w:fldCharType="separate"/>
      </w:r>
      <w:r>
        <w:rPr>
          <w:rStyle w:val="style85"/>
          <w:rFonts w:ascii="Times New Roman" w:cs="Times New Roman" w:hAnsi="Times New Roman"/>
          <w:noProof/>
          <w:color w:val="auto"/>
        </w:rPr>
        <w:t>References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_Toc228272070 \h </w:instrText>
      </w:r>
      <w:r>
        <w:rPr>
          <w:rFonts w:ascii="Times New Roman" w:cs="Times New Roman" w:hAnsi="Times New Roman"/>
          <w:noProof/>
          <w:webHidden/>
        </w:rPr>
        <w:fldChar w:fldCharType="separate"/>
      </w:r>
      <w:r>
        <w:rPr>
          <w:rFonts w:ascii="Times New Roman" w:cs="Times New Roman" w:hAnsi="Times New Roman"/>
          <w:noProof/>
          <w:webHidden/>
        </w:rPr>
        <w:t>14</w:t>
      </w:r>
      <w:r>
        <w:rPr>
          <w:rFonts w:ascii="Times New Roman" w:cs="Times New Roman" w:hAnsi="Times New Roman"/>
          <w:noProof/>
          <w:webHidden/>
        </w:rPr>
        <w:fldChar w:fldCharType="end"/>
      </w:r>
      <w:r>
        <w:rPr/>
        <w:fldChar w:fldCharType="end"/>
      </w:r>
    </w:p>
    <w:p>
      <w:pPr>
        <w:pStyle w:val="style0"/>
        <w:spacing w:lineRule="auto" w:line="360"/>
        <w:jc w:val="center"/>
        <w:rPr/>
      </w:pPr>
      <w:r>
        <w:rPr>
          <w:rFonts w:ascii="Times New Roman" w:cs="Times New Roman" w:hAnsi="Times New Roman"/>
          <w:b/>
          <w:bCs/>
          <w:noProof/>
        </w:rPr>
        <w:fldChar w:fldCharType="end"/>
      </w:r>
    </w:p>
    <w:p>
      <w:pPr>
        <w:pStyle w:val="style0"/>
        <w:rPr>
          <w:rFonts w:ascii="Times New Roman" w:cs="宋体" w:eastAsia="宋体" w:hAnsi="Times New Roman"/>
          <w:b/>
          <w:sz w:val="28"/>
          <w:szCs w:val="40"/>
        </w:rPr>
      </w:pPr>
      <w:r>
        <w:br w:type="page"/>
      </w:r>
    </w:p>
    <w:bookmarkStart w:id="0" w:name="_Toc228272064"/>
    <w:p>
      <w:pPr>
        <w:pStyle w:val="style1"/>
        <w:rPr/>
      </w:pPr>
      <w:r>
        <w:t>1. Introduction</w:t>
      </w:r>
      <w:bookmarkEnd w:id="0"/>
    </w:p>
    <w:p>
      <w:pPr>
        <w:pStyle w:val="style0"/>
        <w:spacing w:lineRule="auto" w:line="360"/>
        <w:jc w:val="both"/>
        <w:rPr>
          <w:rFonts w:ascii="Times New Roman" w:cs="Times New Roman" w:hAnsi="Times New Roman"/>
        </w:rPr>
      </w:pPr>
      <w:r>
        <w:rPr>
          <w:rFonts w:ascii="Times New Roman" w:cs="Times New Roman" w:hAnsi="Times New Roman"/>
        </w:rPr>
        <w:t xml:space="preserve">The digitisation of financial services has dramatically transformed the operational environment of today's financial institutions, allowing firms like </w:t>
      </w:r>
      <w:r>
        <w:rPr>
          <w:rFonts w:ascii="Times New Roman" w:cs="Times New Roman" w:hAnsi="Times New Roman"/>
        </w:rPr>
        <w:t>FinSure</w:t>
      </w:r>
      <w:r>
        <w:rPr>
          <w:rFonts w:ascii="Times New Roman" w:cs="Times New Roman" w:hAnsi="Times New Roman"/>
        </w:rPr>
        <w:t xml:space="preserve"> Bank (FSB) to offer more convenient, efficient and scalable, globally available services. This shift has led to improved operational efficiency and customer satisfaction, but has also brought a slew of advanced security issues. As the case scenario suggests, FSB's heavy dependence on cloud computing, coupled with the introduction of Bring Your Own Device (BYOD) policies, has increased its attack surface. These business decisions, in the absence of strong security measures, expose the organisation to risks of unauthorised access, data theft and </w:t>
      </w:r>
      <w:r>
        <w:rPr>
          <w:rFonts w:ascii="Times New Roman" w:cs="Times New Roman" w:hAnsi="Times New Roman"/>
        </w:rPr>
        <w:t>cyber attacks</w:t>
      </w:r>
      <w:r>
        <w:rPr>
          <w:rFonts w:ascii="Times New Roman" w:cs="Times New Roman" w:hAnsi="Times New Roman"/>
        </w:rPr>
        <w:t>. More importantly, the lack of an integrated governance model, a formalised risk management approach and well-established compliance measures exposes the organisation to significant risks, including substantial financial losses, regulatory fines and reputational risks.</w:t>
      </w:r>
    </w:p>
    <w:p>
      <w:pPr>
        <w:pStyle w:val="style0"/>
        <w:spacing w:lineRule="auto" w:line="360"/>
        <w:jc w:val="both"/>
        <w:rPr>
          <w:rFonts w:ascii="Times New Roman" w:cs="Times New Roman" w:hAnsi="Times New Roman"/>
        </w:rPr>
      </w:pPr>
      <w:r>
        <w:rPr>
          <w:rFonts w:ascii="Times New Roman" w:cs="Times New Roman" w:hAnsi="Times New Roman"/>
        </w:rPr>
        <w:t>This report will critically assess these issues and propose a high-level, structured approach based on existing data security, governance and compliance best practices. It also draws on and translates theoretical and practical insights to develop a customised solution for the particular risks faced by FSB. It also assesses the strategic value of ever evolving regulatory standards in delivering long term cybersecurity and organisation resilience</w:t>
      </w:r>
      <w:r>
        <w:rPr>
          <w:rFonts w:ascii="Times New Roman" w:cs="Times New Roman" w:hAnsi="Times New Roman"/>
        </w:rPr>
        <w:t>.</w:t>
      </w:r>
    </w:p>
    <w:bookmarkStart w:id="1" w:name="_Toc228272065"/>
    <w:p>
      <w:pPr>
        <w:pStyle w:val="style1"/>
        <w:rPr/>
      </w:pPr>
      <w:r>
        <w:t>2. Literature Review: Security Frameworks and Models</w:t>
      </w:r>
      <w:bookmarkEnd w:id="1"/>
    </w:p>
    <w:p>
      <w:pPr>
        <w:pStyle w:val="style0"/>
        <w:spacing w:lineRule="auto" w:line="360"/>
        <w:jc w:val="both"/>
        <w:rPr>
          <w:rFonts w:ascii="Times New Roman" w:cs="Times New Roman" w:hAnsi="Times New Roman"/>
        </w:rPr>
      </w:pPr>
      <w:r>
        <w:rPr>
          <w:rFonts w:ascii="Times New Roman" w:cs="Times New Roman" w:hAnsi="Times New Roman"/>
        </w:rPr>
        <w:t>Cybersecurity is now heavily dependent on frameworks which provide advice on risk management and compliance. Two common frameworks are ISO 27001 and ITIL that offer comprehensive approaches to information security and IT service management.</w:t>
      </w:r>
    </w:p>
    <w:p>
      <w:pPr>
        <w:pStyle w:val="style0"/>
        <w:spacing w:lineRule="auto" w:line="360"/>
        <w:jc w:val="both"/>
        <w:rPr>
          <w:rFonts w:ascii="Times New Roman" w:cs="Times New Roman" w:hAnsi="Times New Roman"/>
        </w:rPr>
      </w:pPr>
      <w:r>
        <w:rPr>
          <w:rFonts w:ascii="Times New Roman" w:cs="Times New Roman" w:hAnsi="Times New Roman"/>
        </w:rPr>
        <w:t>ISO 27001 is an international standard for Information Security Management Systems (ISMS). It provides a risk-based approach to information security management, including risk assessment, control measures and monitoring of information security (Humphreys, 2025). One of the key advantages is its focus on risk, meaning companies will prioritise their valuable assets and risks. And ISO 27001 is a continuous improvement model, based on the Plan-Do-Check-Act (PDCA) approach, meaning it is adaptable to new threats.</w:t>
      </w:r>
    </w:p>
    <w:p>
      <w:pPr>
        <w:pStyle w:val="style0"/>
        <w:spacing w:lineRule="auto" w:line="360"/>
        <w:jc w:val="both"/>
        <w:rPr>
          <w:rFonts w:ascii="Times New Roman" w:cs="Times New Roman" w:hAnsi="Times New Roman"/>
        </w:rPr>
      </w:pPr>
      <w:r>
        <w:rPr>
          <w:rFonts w:ascii="Times New Roman" w:cs="Times New Roman" w:hAnsi="Times New Roman"/>
        </w:rPr>
        <w:t xml:space="preserve">However, ITIL is its IT service management framework, which delivers IT services that align to business. While ITIL is not a security framework, it does include security in the service lifecycle. It supports the organisation to maintain service uptime, respond to incidents and </w:t>
      </w:r>
      <w:r>
        <w:rPr>
          <w:rFonts w:ascii="Times New Roman" w:cs="Times New Roman" w:hAnsi="Times New Roman"/>
        </w:rPr>
        <w:t>manage service quality. Integrating ITIL and security adds efficiency and security into processes.</w:t>
      </w:r>
    </w:p>
    <w:p>
      <w:pPr>
        <w:pStyle w:val="style0"/>
        <w:spacing w:lineRule="auto" w:line="360"/>
        <w:jc w:val="both"/>
        <w:rPr>
          <w:rFonts w:ascii="Times New Roman" w:cs="Times New Roman" w:hAnsi="Times New Roman"/>
        </w:rPr>
      </w:pPr>
      <w:r>
        <w:rPr>
          <w:rFonts w:ascii="Times New Roman" w:cs="Times New Roman" w:hAnsi="Times New Roman"/>
        </w:rPr>
        <w:t>The other major framework is the NIST Cybersecurity Framework, which provides a holistic approach in five functions: Identify, Protect, Detect, Respond, and Recover (</w:t>
      </w:r>
      <w:r>
        <w:rPr>
          <w:rFonts w:ascii="Times New Roman" w:cs="Times New Roman" w:hAnsi="Times New Roman"/>
        </w:rPr>
        <w:t>Aljumaiah</w:t>
      </w:r>
      <w:r>
        <w:rPr>
          <w:rFonts w:ascii="Times New Roman" w:cs="Times New Roman" w:hAnsi="Times New Roman"/>
        </w:rPr>
        <w:t xml:space="preserve"> et al., 2025). This is particularly useful for organisations like FSB, which need a comprehensive model that is flexible to different risks.</w:t>
      </w:r>
    </w:p>
    <w:p>
      <w:pPr>
        <w:pStyle w:val="style0"/>
        <w:spacing w:lineRule="auto" w:line="360"/>
        <w:jc w:val="both"/>
        <w:rPr>
          <w:rFonts w:ascii="Times New Roman" w:cs="Times New Roman" w:hAnsi="Times New Roman"/>
        </w:rPr>
      </w:pPr>
      <w:r>
        <w:rPr>
          <w:rFonts w:ascii="Times New Roman" w:cs="Times New Roman" w:hAnsi="Times New Roman"/>
        </w:rPr>
        <w:t>These models offer good advice, but need to be applied properly. One of the main problems is organisations simply "drinking from the firehose" without taking into account organisational contexts. So it is important to contextualise these models, which will be demonstrated in the solution provided for FSB</w:t>
      </w:r>
      <w:r>
        <w:rPr>
          <w:rFonts w:ascii="Times New Roman" w:cs="Times New Roman" w:hAnsi="Times New Roman"/>
        </w:rPr>
        <w:t>.</w:t>
      </w:r>
    </w:p>
    <w:bookmarkStart w:id="2" w:name="_Toc228272066"/>
    <w:p>
      <w:pPr>
        <w:pStyle w:val="style1"/>
        <w:rPr/>
      </w:pPr>
      <w:r>
        <w:t>3. Case Analysis: Security and Governance Issues in FSB</w:t>
      </w:r>
      <w:bookmarkEnd w:id="2"/>
    </w:p>
    <w:p>
      <w:pPr>
        <w:pStyle w:val="style0"/>
        <w:spacing w:lineRule="auto" w:line="360"/>
        <w:jc w:val="both"/>
        <w:rPr>
          <w:rFonts w:ascii="Times New Roman" w:cs="Times New Roman" w:hAnsi="Times New Roman"/>
        </w:rPr>
      </w:pPr>
      <w:r>
        <w:rPr>
          <w:rFonts w:ascii="Times New Roman" w:cs="Times New Roman" w:hAnsi="Times New Roman"/>
        </w:rPr>
        <w:t xml:space="preserve">The </w:t>
      </w:r>
      <w:r>
        <w:rPr>
          <w:rFonts w:ascii="Times New Roman" w:cs="Times New Roman" w:hAnsi="Times New Roman"/>
        </w:rPr>
        <w:t>FinSure</w:t>
      </w:r>
      <w:r>
        <w:rPr>
          <w:rFonts w:ascii="Times New Roman" w:cs="Times New Roman" w:hAnsi="Times New Roman"/>
        </w:rPr>
        <w:t xml:space="preserve"> Bank (FSB) attack highlights the range of vulnerabilities that are a result of both technical and organisational failures, and therefore may well be a symptom of not only technical security problems but also security governance problems. A key issue is the bank's use of cloud computing services without a security governance framework to manage it. The advantages of cloud computing include scalability, efficiency and access, but it also includes the shared accountability for data security between a range of parties. This can lead to blurred lines of accountability and responsibility without proper governance ensuring security is configured properly, adequate access and monitoring is in place (Lopes et al., 2024). This could result in unauthorised access to critical financial data, particularly if third-party service providers are not carefully evaluated and contractually bound to adopt best-security practices.</w:t>
      </w:r>
    </w:p>
    <w:p>
      <w:pPr>
        <w:pStyle w:val="style0"/>
        <w:spacing w:lineRule="auto" w:line="360"/>
        <w:jc w:val="both"/>
        <w:rPr>
          <w:rFonts w:ascii="Times New Roman" w:cs="Times New Roman" w:hAnsi="Times New Roman"/>
        </w:rPr>
      </w:pPr>
      <w:r>
        <w:rPr>
          <w:rFonts w:ascii="Times New Roman" w:cs="Times New Roman" w:hAnsi="Times New Roman"/>
        </w:rPr>
        <w:t xml:space="preserve">The risks associated with using the cloud are compounded by the company's adoption of Bring Your Own Device (BYOD) policies and practices. Although BYOD enhances flexibility and productivity, it also results in a much larger attack vector. These end-user devices are generally not managed by the organisation, and may not have consistent security controls, software updates and enterprise security controls in place. This leaves a potential for malware, unencrypted network connections and unauthorised apps to expose organisational data. More significantly, the absence of security policies, device compliance and security checklists undermines access control. This increases the risk of insider attacks, both deliberate and inadvertent, as internal users and third-party suppliers may inadvertently share information, or abuse vulnerabilities to engage in a </w:t>
      </w:r>
      <w:r>
        <w:rPr>
          <w:rFonts w:ascii="Times New Roman" w:cs="Times New Roman" w:hAnsi="Times New Roman"/>
        </w:rPr>
        <w:t>cyber attack</w:t>
      </w:r>
      <w:r>
        <w:rPr>
          <w:rFonts w:ascii="Times New Roman" w:cs="Times New Roman" w:hAnsi="Times New Roman"/>
        </w:rPr>
        <w:t>.</w:t>
      </w:r>
    </w:p>
    <w:p>
      <w:pPr>
        <w:pStyle w:val="style0"/>
        <w:spacing w:lineRule="auto" w:line="360"/>
        <w:jc w:val="both"/>
        <w:rPr>
          <w:rFonts w:ascii="Times New Roman" w:cs="Times New Roman" w:hAnsi="Times New Roman"/>
        </w:rPr>
      </w:pPr>
      <w:r>
        <w:rPr>
          <w:rFonts w:ascii="Times New Roman" w:cs="Times New Roman" w:hAnsi="Times New Roman"/>
        </w:rPr>
        <w:t>Aside from technological risk, FSB demonstrates an alarming lack of compliance, not least in respect to data protection laws including the General Data Protection Regulation (GDPR). The international nature of the operations creates a regulatory requirement to put in place effective data management controls such as data minimisation, lawful processing and breach notification (</w:t>
      </w:r>
      <w:r>
        <w:rPr>
          <w:rFonts w:ascii="Times New Roman" w:cs="Times New Roman" w:hAnsi="Times New Roman"/>
        </w:rPr>
        <w:t>Karkošková</w:t>
      </w:r>
      <w:r>
        <w:rPr>
          <w:rFonts w:ascii="Times New Roman" w:cs="Times New Roman" w:hAnsi="Times New Roman"/>
        </w:rPr>
        <w:t>, 2023). Without such controls, not only is there a risk of attracting hefty fines, but also reputational risk, which is critical in the financial sector. So, compliance should not be viewed only as a regulatory requirement, but also a means of business and reputation risk management.</w:t>
      </w:r>
    </w:p>
    <w:p>
      <w:pPr>
        <w:pStyle w:val="style0"/>
        <w:spacing w:lineRule="auto" w:line="360"/>
        <w:jc w:val="both"/>
        <w:rPr>
          <w:rFonts w:ascii="Times New Roman" w:cs="Times New Roman" w:hAnsi="Times New Roman"/>
        </w:rPr>
      </w:pPr>
      <w:r>
        <w:rPr>
          <w:rFonts w:ascii="Times New Roman" w:cs="Times New Roman" w:hAnsi="Times New Roman"/>
        </w:rPr>
        <w:t>The main issue is likely to be the absence of a risk management strategy. The absence of a process that ensures the identification, assessment and prioritisation of risks places FSB in a reactive rather than a proactive approach, which focuses on what has happened, rather than what may happen. It prevents the organisation from identifying threats and risks, and prioritising investment. As a consequence, security measures are uncoordinated and lack strategy, and they are not outcome-based.</w:t>
      </w:r>
    </w:p>
    <w:p>
      <w:pPr>
        <w:pStyle w:val="style0"/>
        <w:spacing w:lineRule="auto" w:line="360"/>
        <w:jc w:val="both"/>
        <w:rPr>
          <w:rFonts w:ascii="Times New Roman" w:cs="Times New Roman" w:hAnsi="Times New Roman"/>
        </w:rPr>
      </w:pPr>
      <w:r>
        <w:rPr>
          <w:rFonts w:ascii="Times New Roman" w:cs="Times New Roman" w:hAnsi="Times New Roman"/>
        </w:rPr>
        <w:t>In brief, the absence of governance, uncontrolled BYOD, non-compliance with regulations and risk management and mitigation are problematic. These issues are not in isolation, but are connected and highlight the need for an integrated and strategically-oriented security governance framework that covers both the technical and organisational dimensions of cybersecurity.</w:t>
      </w:r>
    </w:p>
    <w:p>
      <w:pPr>
        <w:pStyle w:val="style0"/>
        <w:spacing w:lineRule="auto" w:line="360"/>
        <w:jc w:val="both"/>
        <w:rPr>
          <w:rFonts w:ascii="Times New Roman" w:cs="Times New Roman" w:hAnsi="Times New Roman"/>
        </w:rPr>
      </w:pPr>
      <w:r>
        <w:rPr>
          <w:rFonts w:ascii="Times New Roman" w:cs="Times New Roman" w:hAnsi="Times New Roman"/>
        </w:rPr>
        <w:t>Furthermore, the current security model doesn't appear to have strong continuous monitoring and auditing for anomaly detection and compliance. Failure to continuously monitor network and user behaviour, anomalies and incidents could result in threats not being identified until it's too late (Khan, 2025). In addition, the absence of a security culture and security awareness training adds to these challenges, with the human factor being the cause of many security breaches. This highlights the need for both operational and technical measures for security awareness and improvement</w:t>
      </w:r>
      <w:r>
        <w:rPr>
          <w:rFonts w:ascii="Times New Roman" w:cs="Times New Roman" w:hAnsi="Times New Roman"/>
        </w:rPr>
        <w:t>.</w:t>
      </w:r>
    </w:p>
    <w:bookmarkStart w:id="3" w:name="_Toc228272067"/>
    <w:p>
      <w:pPr>
        <w:pStyle w:val="style1"/>
        <w:rPr/>
      </w:pPr>
      <w:r>
        <w:t>4. Proposed Security, Governance and Compliance Framework</w:t>
      </w:r>
      <w:bookmarkEnd w:id="3"/>
    </w:p>
    <w:p>
      <w:pPr>
        <w:pStyle w:val="style0"/>
        <w:spacing w:lineRule="auto" w:line="360"/>
        <w:jc w:val="both"/>
        <w:rPr>
          <w:rFonts w:ascii="Times New Roman" w:cs="Times New Roman" w:hAnsi="Times New Roman"/>
        </w:rPr>
      </w:pPr>
      <w:r>
        <w:rPr>
          <w:rFonts w:ascii="Times New Roman" w:cs="Times New Roman" w:hAnsi="Times New Roman"/>
        </w:rPr>
        <w:t xml:space="preserve">In order to tackle the multifaceted and interdependent security issues outlined for </w:t>
      </w:r>
      <w:r>
        <w:rPr>
          <w:rFonts w:ascii="Times New Roman" w:cs="Times New Roman" w:hAnsi="Times New Roman"/>
        </w:rPr>
        <w:t>FinSure</w:t>
      </w:r>
      <w:r>
        <w:rPr>
          <w:rFonts w:ascii="Times New Roman" w:cs="Times New Roman" w:hAnsi="Times New Roman"/>
        </w:rPr>
        <w:t xml:space="preserve"> Bank (FSB), it is imperative to take an integrated and strategic approach that combines the foundational tenets of ISO 27001, the NIST Cybersecurity Framework and ITIL service management principles. This approach shifts the focus from isolated and siloed perspectives </w:t>
      </w:r>
      <w:r>
        <w:rPr>
          <w:rFonts w:ascii="Times New Roman" w:cs="Times New Roman" w:hAnsi="Times New Roman"/>
        </w:rPr>
        <w:t>on security, governance and compliance to a holistic, enterprise-wide approach. This not only secures critical financial information but also integrates security measures with business goals, regulatory requirements and operational efficiency</w:t>
      </w:r>
      <w:r>
        <w:rPr>
          <w:rFonts w:ascii="Times New Roman" w:cs="Times New Roman" w:hAnsi="Times New Roman"/>
        </w:rPr>
        <w:t xml:space="preserve"> </w:t>
      </w:r>
      <w:r>
        <w:rPr>
          <w:rFonts w:ascii="Times New Roman" w:cs="Times New Roman" w:hAnsi="Times New Roman"/>
        </w:rPr>
        <w:t>(Velmurugan et al., 2023)</w:t>
      </w:r>
      <w:r>
        <w:rPr>
          <w:rFonts w:ascii="Times New Roman" w:cs="Times New Roman" w:hAnsi="Times New Roman"/>
        </w:rPr>
        <w:t>. This holistic view is especially important for a digital native financial institution such as FSB, given the institution's technology reliance and global presence, which expose it to advanced cyber threats</w:t>
      </w:r>
      <w:r>
        <w:rPr>
          <w:rFonts w:ascii="Times New Roman" w:cs="Times New Roman" w:hAnsi="Times New Roman"/>
        </w:rPr>
        <w:t>.</w:t>
      </w:r>
    </w:p>
    <w:p>
      <w:pPr>
        <w:pStyle w:val="style0"/>
        <w:spacing w:lineRule="auto" w:line="360"/>
        <w:jc w:val="both"/>
        <w:rPr>
          <w:rFonts w:ascii="Times New Roman" w:cs="Times New Roman" w:hAnsi="Times New Roman"/>
        </w:rPr>
      </w:pPr>
      <w:r>
        <w:rPr>
          <w:rFonts w:ascii="Times New Roman" w:cs="Times New Roman" w:hAnsi="Times New Roman"/>
        </w:rPr>
        <w:t xml:space="preserve">The solution for </w:t>
      </w:r>
      <w:r>
        <w:rPr>
          <w:rFonts w:ascii="Times New Roman" w:cs="Times New Roman" w:hAnsi="Times New Roman"/>
        </w:rPr>
        <w:t>FinSure</w:t>
      </w:r>
      <w:r>
        <w:rPr>
          <w:rFonts w:ascii="Times New Roman" w:cs="Times New Roman" w:hAnsi="Times New Roman"/>
        </w:rPr>
        <w:t xml:space="preserve"> Bank is envisaged as an Integrated Security Governance Model (ISGM-FSB), tailored to combat the bank's disjointed security and risk-laden ecosystem. Rather than simply adopting a generic framework, the model creates a multi-dimensional interdependent architecture with five key elements: governance, risk management, technical security controls, compliance and continuous monitoring. The governance layer upholds strategic oversight through a central security governance board, prioritising security in line with business goals. The risk management layer embraces an agile and iterative model, facilitating ongoing identification, risk assessment and prioritisation of threats, especially those relating to the use of cloud and bring your own device (BYOD) policies. At the technical level, Zero Trust principles are adopted through rigorous identity authentication, least privilege access, and device security assessment to combat insider and external threats</w:t>
      </w:r>
      <w:r>
        <w:rPr>
          <w:rFonts w:ascii="Times New Roman" w:cs="Times New Roman" w:hAnsi="Times New Roman"/>
        </w:rPr>
        <w:t xml:space="preserve"> </w:t>
      </w:r>
      <w:r>
        <w:rPr>
          <w:rFonts w:ascii="Times New Roman" w:cs="Times New Roman" w:hAnsi="Times New Roman"/>
        </w:rPr>
        <w:t xml:space="preserve">(Singh, 2025). The compliance layer embeds regulatory measures, such as GDPR, into business processes, turning compliance from a passive obligation into an active organisational strength. Finally, the continuous monitoring layer provides real-time visibility, anomaly detection, and incident response, leading to improved resilience. This multi-dimensional approach not only aligns with existing frameworks like ISO 27001, NIST and ITIL, but also personalises them into a context-sensitive model, specifically in response to vulnerabilities in </w:t>
      </w:r>
      <w:r>
        <w:rPr>
          <w:rFonts w:ascii="Times New Roman" w:cs="Times New Roman" w:hAnsi="Times New Roman"/>
        </w:rPr>
        <w:t>FinSure</w:t>
      </w:r>
      <w:r>
        <w:rPr>
          <w:rFonts w:ascii="Times New Roman" w:cs="Times New Roman" w:hAnsi="Times New Roman"/>
        </w:rPr>
        <w:t xml:space="preserve"> Bank, showcasing its practical relevance and strategic alignment.</w:t>
      </w:r>
    </w:p>
    <w:p>
      <w:pPr>
        <w:pStyle w:val="style0"/>
        <w:spacing w:lineRule="auto" w:line="360"/>
        <w:jc w:val="center"/>
        <w:rPr>
          <w:rFonts w:ascii="Times New Roman" w:cs="Times New Roman" w:hAnsi="Times New Roman"/>
        </w:rPr>
      </w:pPr>
      <w:r>
        <w:rPr>
          <w:rFonts w:ascii="Times New Roman" w:cs="Times New Roman" w:hAnsi="Times New Roman"/>
          <w:noProof/>
        </w:rPr>
        <w:drawing>
          <wp:inline distL="0" distT="0" distB="0" distR="0">
            <wp:extent cx="3640739" cy="2498725"/>
            <wp:effectExtent l="76200" t="76200" r="131445" b="130174"/>
            <wp:docPr id="102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15040" t="0" r="12028" b="0"/>
                    <a:stretch/>
                  </pic:blipFill>
                  <pic:spPr>
                    <a:xfrm rot="0">
                      <a:off x="0" y="0"/>
                      <a:ext cx="3640739" cy="2498725"/>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Times New Roman" w:cs="Times New Roman" w:hAnsi="Times New Roman"/>
          <w:b/>
          <w:bCs/>
        </w:rPr>
      </w:pPr>
      <w:r>
        <w:rPr>
          <w:rFonts w:ascii="Times New Roman" w:cs="Times New Roman" w:hAnsi="Times New Roman"/>
          <w:b/>
          <w:bCs/>
        </w:rPr>
        <w:t xml:space="preserve">Figure 1: </w:t>
      </w:r>
      <w:r>
        <w:rPr>
          <w:rFonts w:ascii="Times New Roman" w:cs="Times New Roman" w:hAnsi="Times New Roman"/>
          <w:b/>
          <w:bCs/>
        </w:rPr>
        <w:t>ISO 27001 ISMS (PDCA Cycle Diagram)</w:t>
      </w:r>
    </w:p>
    <w:p>
      <w:pPr>
        <w:pStyle w:val="style0"/>
        <w:spacing w:lineRule="auto" w:line="360"/>
        <w:jc w:val="center"/>
        <w:rPr>
          <w:rFonts w:ascii="Times New Roman" w:cs="Times New Roman" w:hAnsi="Times New Roman"/>
        </w:rPr>
      </w:pPr>
      <w:r>
        <w:rPr>
          <w:rFonts w:ascii="Times New Roman" w:cs="Times New Roman" w:hAnsi="Times New Roman"/>
        </w:rPr>
        <w:t xml:space="preserve">(Source: </w:t>
      </w:r>
      <w:r>
        <w:rPr>
          <w:rFonts w:ascii="Times New Roman" w:cs="Times New Roman" w:hAnsi="Times New Roman"/>
        </w:rPr>
        <w:t>researchgate</w:t>
      </w:r>
      <w:r>
        <w:rPr>
          <w:rFonts w:ascii="Times New Roman" w:cs="Times New Roman" w:hAnsi="Times New Roman"/>
        </w:rPr>
        <w:t>, 2026)</w:t>
      </w:r>
    </w:p>
    <w:p>
      <w:pPr>
        <w:pStyle w:val="style0"/>
        <w:spacing w:lineRule="auto" w:line="360"/>
        <w:jc w:val="both"/>
        <w:rPr>
          <w:rFonts w:ascii="Times New Roman" w:cs="Times New Roman" w:hAnsi="Times New Roman"/>
        </w:rPr>
      </w:pPr>
      <w:r>
        <w:rPr>
          <w:rFonts w:ascii="Times New Roman" w:cs="Times New Roman" w:hAnsi="Times New Roman"/>
        </w:rPr>
        <w:t>The cornerstone of this approach is the creation of an Information Security Governance Board, which serves as the strategic focal point for security decisions. This board should be composed of senior management, IT managers and compliance officers, ensuring that security is taken from a technical issue to the boardroom. This body should not only be involved in the development of policies, but also in strategy, risk management and performance assessment. By integrating governance into the senior management of the organisation, FSB can create an environment where security is considered a key enabler of business innovation, while still maintaining adequate risk management</w:t>
      </w:r>
      <w:r>
        <w:rPr>
          <w:rFonts w:ascii="Times New Roman" w:cs="Times New Roman" w:hAnsi="Times New Roman"/>
        </w:rPr>
        <w:t xml:space="preserve"> </w:t>
      </w:r>
      <w:r>
        <w:rPr>
          <w:rFonts w:ascii="Times New Roman" w:cs="Times New Roman" w:hAnsi="Times New Roman"/>
        </w:rPr>
        <w:t>(Ratchford et al., 2022)</w:t>
      </w:r>
      <w:r>
        <w:rPr>
          <w:rFonts w:ascii="Times New Roman" w:cs="Times New Roman" w:hAnsi="Times New Roman"/>
        </w:rPr>
        <w:t>. The transition from reactive to proactive governance is crucial in overcoming the identified systemic vulnerabilities in the existing organisational framework.</w:t>
      </w:r>
    </w:p>
    <w:p>
      <w:pPr>
        <w:pStyle w:val="style0"/>
        <w:spacing w:lineRule="auto" w:line="360"/>
        <w:jc w:val="center"/>
        <w:rPr>
          <w:rFonts w:ascii="Times New Roman" w:cs="Times New Roman" w:hAnsi="Times New Roman"/>
        </w:rPr>
      </w:pPr>
      <w:r>
        <w:rPr>
          <w:rFonts w:ascii="Times New Roman" w:cs="Times New Roman" w:hAnsi="Times New Roman"/>
        </w:rPr>
        <w:drawing>
          <wp:inline distL="0" distT="0" distB="0" distR="0">
            <wp:extent cx="2895749" cy="2406774"/>
            <wp:effectExtent l="76200" t="76200" r="133350" b="12700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2895749" cy="2406774"/>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Times New Roman" w:cs="Times New Roman" w:hAnsi="Times New Roman"/>
          <w:b/>
          <w:bCs/>
        </w:rPr>
      </w:pPr>
      <w:r>
        <w:rPr>
          <w:rFonts w:ascii="Times New Roman" w:cs="Times New Roman" w:hAnsi="Times New Roman"/>
          <w:b/>
          <w:bCs/>
        </w:rPr>
        <w:t xml:space="preserve">Figure 2: </w:t>
      </w:r>
      <w:r>
        <w:rPr>
          <w:rFonts w:ascii="Times New Roman" w:cs="Times New Roman" w:hAnsi="Times New Roman"/>
          <w:b/>
          <w:bCs/>
        </w:rPr>
        <w:t>NIST Cybersecurity Framework Diagram</w:t>
      </w:r>
    </w:p>
    <w:p>
      <w:pPr>
        <w:pStyle w:val="style0"/>
        <w:spacing w:lineRule="auto" w:line="360"/>
        <w:jc w:val="center"/>
        <w:rPr>
          <w:rFonts w:ascii="Times New Roman" w:cs="Times New Roman" w:hAnsi="Times New Roman"/>
        </w:rPr>
      </w:pPr>
      <w:r>
        <w:rPr>
          <w:rFonts w:ascii="Times New Roman" w:cs="Times New Roman" w:hAnsi="Times New Roman"/>
        </w:rPr>
        <w:t xml:space="preserve">(Source: </w:t>
      </w:r>
      <w:r>
        <w:rPr>
          <w:rFonts w:ascii="Times New Roman" w:cs="Times New Roman" w:hAnsi="Times New Roman"/>
        </w:rPr>
        <w:t>nvlpubs.nist</w:t>
      </w:r>
      <w:r>
        <w:rPr>
          <w:rFonts w:ascii="Times New Roman" w:cs="Times New Roman" w:hAnsi="Times New Roman"/>
        </w:rPr>
        <w:t>, 2026)</w:t>
      </w:r>
    </w:p>
    <w:p>
      <w:pPr>
        <w:pStyle w:val="style0"/>
        <w:spacing w:lineRule="auto" w:line="360"/>
        <w:jc w:val="both"/>
        <w:rPr>
          <w:rFonts w:ascii="Times New Roman" w:cs="Times New Roman" w:hAnsi="Times New Roman"/>
        </w:rPr>
      </w:pPr>
      <w:r>
        <w:rPr>
          <w:rFonts w:ascii="Times New Roman" w:cs="Times New Roman" w:hAnsi="Times New Roman"/>
        </w:rPr>
        <w:t>The operationalisation of this governance is through the establishment of an Information Security Management System (ISMS) based on ISO 27001. The ISMS offers a systematic approach to information security management, involving ongoing risk assessment, control deployment and evaluation. The risk assessment allows the organisation to identify valuable assets, analyse threats and assess vulnerabilities. This knowledge guides the implementation of security controls, such as sophisticated encryption technologies, identity and access control systems and real-time monitoring techniques. Crucially, the ISMS is dynamic and operates on a plan, do, check and act model, which ensures that the security controls remain responsive to threats and risks as they arise and change.</w:t>
      </w:r>
    </w:p>
    <w:p>
      <w:pPr>
        <w:pStyle w:val="style0"/>
        <w:spacing w:lineRule="auto" w:line="360"/>
        <w:jc w:val="both"/>
        <w:rPr>
          <w:rFonts w:ascii="Times New Roman" w:cs="Times New Roman" w:hAnsi="Times New Roman"/>
        </w:rPr>
      </w:pPr>
      <w:r>
        <w:rPr>
          <w:rFonts w:ascii="Times New Roman" w:cs="Times New Roman" w:hAnsi="Times New Roman"/>
        </w:rPr>
        <w:t>BYOD risks require a well-designed access control mechanism. Since personal devices fall outside the control of the organisation, they pose a considerable security risk. To address these risks, FSB needs to embrace a Zero Trust model, where trust is never implicit. This includes requiring multi-factor authentication to enhance user authentication, conducting device posture checks to ensure only secure and up-to-date devices are allowed to access the network, and using mobile device management (MDM) software to manage security policies on devices</w:t>
      </w:r>
      <w:r>
        <w:rPr>
          <w:rFonts w:ascii="Times New Roman" w:cs="Times New Roman" w:hAnsi="Times New Roman"/>
        </w:rPr>
        <w:t xml:space="preserve"> </w:t>
      </w:r>
      <w:r>
        <w:rPr>
          <w:rFonts w:ascii="Times New Roman" w:cs="Times New Roman" w:hAnsi="Times New Roman"/>
        </w:rPr>
        <w:t>(Alzoubi et al., 2022)</w:t>
      </w:r>
      <w:r>
        <w:rPr>
          <w:rFonts w:ascii="Times New Roman" w:cs="Times New Roman" w:hAnsi="Times New Roman"/>
        </w:rPr>
        <w:t>. These steps not only decrease the risk of unauthorised access but also provide better insight and control over endpoint security, addressing one of the major risks identified in the case study.</w:t>
      </w:r>
    </w:p>
    <w:p>
      <w:pPr>
        <w:pStyle w:val="style0"/>
        <w:spacing w:lineRule="auto" w:line="360"/>
        <w:jc w:val="center"/>
        <w:rPr>
          <w:rFonts w:ascii="Times New Roman" w:cs="Times New Roman" w:hAnsi="Times New Roman"/>
        </w:rPr>
      </w:pPr>
      <w:r>
        <w:rPr>
          <w:rFonts w:ascii="Times New Roman" w:cs="Times New Roman" w:hAnsi="Times New Roman"/>
        </w:rPr>
        <w:drawing>
          <wp:inline distL="0" distT="0" distB="0" distR="0">
            <wp:extent cx="2197213" cy="3657788"/>
            <wp:effectExtent l="76200" t="76200" r="127000" b="13335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2197213" cy="3657788"/>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Times New Roman" w:cs="Times New Roman" w:hAnsi="Times New Roman"/>
          <w:b/>
          <w:bCs/>
        </w:rPr>
      </w:pPr>
      <w:r>
        <w:rPr>
          <w:rFonts w:ascii="Times New Roman" w:cs="Times New Roman" w:hAnsi="Times New Roman"/>
          <w:b/>
          <w:bCs/>
        </w:rPr>
        <w:t xml:space="preserve">Figure 3: </w:t>
      </w:r>
      <w:r>
        <w:rPr>
          <w:rFonts w:ascii="Times New Roman" w:cs="Times New Roman" w:hAnsi="Times New Roman"/>
          <w:b/>
          <w:bCs/>
        </w:rPr>
        <w:t>Security Governance Structure</w:t>
      </w:r>
    </w:p>
    <w:p>
      <w:pPr>
        <w:pStyle w:val="style0"/>
        <w:spacing w:lineRule="auto" w:line="360"/>
        <w:jc w:val="center"/>
        <w:rPr>
          <w:rFonts w:ascii="Times New Roman" w:cs="Times New Roman" w:hAnsi="Times New Roman"/>
        </w:rPr>
      </w:pPr>
      <w:r>
        <w:rPr>
          <w:rFonts w:ascii="Times New Roman" w:cs="Times New Roman" w:hAnsi="Times New Roman"/>
        </w:rPr>
        <w:t>(Source: self-created)</w:t>
      </w:r>
    </w:p>
    <w:p>
      <w:pPr>
        <w:pStyle w:val="style0"/>
        <w:spacing w:lineRule="auto" w:line="360"/>
        <w:jc w:val="both"/>
        <w:rPr>
          <w:rFonts w:ascii="Times New Roman" w:cs="Times New Roman" w:hAnsi="Times New Roman"/>
        </w:rPr>
      </w:pPr>
      <w:r>
        <w:rPr>
          <w:rFonts w:ascii="Times New Roman" w:cs="Times New Roman" w:hAnsi="Times New Roman"/>
        </w:rPr>
        <w:t>Data security should be made an integral element of the proposed approach, especially considering the sensitive data (financial and personal) that FSB handles. This involves the deployment of robust data security controls, such as end-to-end encryption, data classification and secure data storage. Data should be encrypted in transit and at rest to protect against unauthorised access and eavesdropping. Also, the principle of least privilege should be diligently applied, so that users only access the data they need to carry out their duties. This minimises the potential for internal abuse and inadvertent data leaks, enhancing data governance.</w:t>
      </w:r>
    </w:p>
    <w:p>
      <w:pPr>
        <w:pStyle w:val="style0"/>
        <w:spacing w:lineRule="auto" w:line="360"/>
        <w:jc w:val="both"/>
        <w:rPr>
          <w:rFonts w:ascii="Times New Roman" w:cs="Times New Roman" w:hAnsi="Times New Roman"/>
        </w:rPr>
      </w:pPr>
      <w:r>
        <w:rPr>
          <w:rFonts w:ascii="Times New Roman" w:cs="Times New Roman" w:hAnsi="Times New Roman"/>
        </w:rPr>
        <w:t>Risk management is also key to taking a proactive and iterative approach. In line with the NIST Cybersecurity Framework, FSB should embrace an iterative approach including risk identification, assessment, mitigation and monitoring. This iterative approach ensures that security measures adapt to changes in organisational structure and potential threats. Moreover, an incident response plan is crucial to improve organisational resilience</w:t>
      </w:r>
      <w:r>
        <w:rPr>
          <w:rFonts w:ascii="Times New Roman" w:cs="Times New Roman" w:hAnsi="Times New Roman"/>
        </w:rPr>
        <w:t xml:space="preserve"> </w:t>
      </w:r>
      <w:r>
        <w:rPr>
          <w:rFonts w:ascii="Times New Roman" w:cs="Times New Roman" w:hAnsi="Times New Roman"/>
        </w:rPr>
        <w:t>(Achor, 2023)</w:t>
      </w:r>
      <w:r>
        <w:rPr>
          <w:rFonts w:ascii="Times New Roman" w:cs="Times New Roman" w:hAnsi="Times New Roman"/>
        </w:rPr>
        <w:t xml:space="preserve">. This plan should outline the processes for identifying, reporting and responding to security events, </w:t>
      </w:r>
      <w:r>
        <w:rPr>
          <w:rFonts w:ascii="Times New Roman" w:cs="Times New Roman" w:hAnsi="Times New Roman"/>
        </w:rPr>
        <w:t>allowing the organisation to effectively mitigate the effects of security breaches and facilitate rapid recovery.</w:t>
      </w:r>
    </w:p>
    <w:p>
      <w:pPr>
        <w:pStyle w:val="style0"/>
        <w:spacing w:lineRule="auto" w:line="360"/>
        <w:jc w:val="center"/>
        <w:rPr>
          <w:rFonts w:ascii="Times New Roman" w:cs="Times New Roman" w:hAnsi="Times New Roman"/>
        </w:rPr>
      </w:pPr>
      <w:r>
        <w:rPr>
          <w:rFonts w:ascii="Times New Roman" w:cs="Times New Roman" w:hAnsi="Times New Roman"/>
        </w:rPr>
        <w:drawing>
          <wp:inline distL="0" distT="0" distB="0" distR="0">
            <wp:extent cx="1924149" cy="3181514"/>
            <wp:effectExtent l="76200" t="76200" r="133350" b="13335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1924149" cy="3181514"/>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Times New Roman" w:cs="Times New Roman" w:hAnsi="Times New Roman"/>
          <w:b/>
          <w:bCs/>
        </w:rPr>
      </w:pPr>
      <w:r>
        <w:rPr>
          <w:rFonts w:ascii="Times New Roman" w:cs="Times New Roman" w:hAnsi="Times New Roman"/>
          <w:b/>
          <w:bCs/>
        </w:rPr>
        <w:t xml:space="preserve">Figure 4: </w:t>
      </w:r>
      <w:r>
        <w:rPr>
          <w:rFonts w:ascii="Times New Roman" w:cs="Times New Roman" w:hAnsi="Times New Roman"/>
          <w:b/>
          <w:bCs/>
        </w:rPr>
        <w:t>BYOD Security Model (Zero Trust Based)</w:t>
      </w:r>
    </w:p>
    <w:p>
      <w:pPr>
        <w:pStyle w:val="style0"/>
        <w:spacing w:lineRule="auto" w:line="360"/>
        <w:jc w:val="center"/>
        <w:rPr>
          <w:rFonts w:ascii="Times New Roman" w:cs="Times New Roman" w:hAnsi="Times New Roman"/>
        </w:rPr>
      </w:pPr>
      <w:r>
        <w:rPr>
          <w:rFonts w:ascii="Times New Roman" w:cs="Times New Roman" w:hAnsi="Times New Roman"/>
        </w:rPr>
        <w:t xml:space="preserve">(Source: </w:t>
      </w:r>
      <w:r>
        <w:rPr>
          <w:rFonts w:ascii="Times New Roman" w:cs="Times New Roman" w:hAnsi="Times New Roman"/>
        </w:rPr>
        <w:t>self-created)</w:t>
      </w:r>
    </w:p>
    <w:p>
      <w:pPr>
        <w:pStyle w:val="style0"/>
        <w:spacing w:lineRule="auto" w:line="360"/>
        <w:jc w:val="both"/>
        <w:rPr>
          <w:rFonts w:ascii="Times New Roman" w:cs="Times New Roman" w:hAnsi="Times New Roman"/>
        </w:rPr>
      </w:pPr>
      <w:r>
        <w:rPr>
          <w:rFonts w:ascii="Times New Roman" w:cs="Times New Roman" w:hAnsi="Times New Roman"/>
        </w:rPr>
        <w:t>Compliance with regulations, such as GDPR, should be ingrained in the organisation's processes. This means not only adopting policies related to data protection but also to regular auditing and detailed documentation to maintain records of compliance. Part of this includes training and awareness for employees, which is a prime source of security incidents</w:t>
      </w:r>
      <w:r>
        <w:rPr>
          <w:rFonts w:ascii="Times New Roman" w:cs="Times New Roman" w:hAnsi="Times New Roman"/>
        </w:rPr>
        <w:t xml:space="preserve"> </w:t>
      </w:r>
      <w:r>
        <w:rPr>
          <w:rFonts w:ascii="Times New Roman" w:cs="Times New Roman" w:hAnsi="Times New Roman"/>
        </w:rPr>
        <w:t>(Anderson et al., 2022)</w:t>
      </w:r>
      <w:r>
        <w:rPr>
          <w:rFonts w:ascii="Times New Roman" w:cs="Times New Roman" w:hAnsi="Times New Roman"/>
        </w:rPr>
        <w:t>. Through training and awareness, FSB can ensure compliance and improve its security stance, thereby minimising regulatory risks.</w:t>
      </w:r>
    </w:p>
    <w:p>
      <w:pPr>
        <w:pStyle w:val="style0"/>
        <w:spacing w:lineRule="auto" w:line="360"/>
        <w:jc w:val="both"/>
        <w:rPr>
          <w:rFonts w:ascii="Times New Roman" w:cs="Times New Roman" w:hAnsi="Times New Roman"/>
        </w:rPr>
      </w:pPr>
      <w:r>
        <w:rPr>
          <w:rFonts w:ascii="Times New Roman" w:cs="Times New Roman" w:hAnsi="Times New Roman"/>
        </w:rPr>
        <w:t xml:space="preserve">Finally, as a cloud-based organisation, it is critical to ensure that appropriate Service Level Agreements (SLAs) are in place with external service providers. These should clearly outline security, data privacy and incident management responsibilities, ensuring that third-party vendors uphold the same rigorous standards as the bank itself. The adoption of this holistic and strategically driven approach will enable </w:t>
      </w:r>
      <w:r>
        <w:rPr>
          <w:rFonts w:ascii="Times New Roman" w:cs="Times New Roman" w:hAnsi="Times New Roman"/>
        </w:rPr>
        <w:t>FinSure</w:t>
      </w:r>
      <w:r>
        <w:rPr>
          <w:rFonts w:ascii="Times New Roman" w:cs="Times New Roman" w:hAnsi="Times New Roman"/>
        </w:rPr>
        <w:t xml:space="preserve"> Bank to evolve from its current disjointed and reactive security model to a unified, proactive and resilient framework that is well-equipped to deal with current and emerging cybersecurity threats.</w:t>
      </w:r>
    </w:p>
    <w:bookmarkStart w:id="4" w:name="_Toc228272068"/>
    <w:p>
      <w:pPr>
        <w:pStyle w:val="style1"/>
        <w:rPr/>
      </w:pPr>
      <w:r>
        <w:t>5. Critical Discussion: Importance of Evolving Regulations and Standards</w:t>
      </w:r>
      <w:bookmarkEnd w:id="4"/>
    </w:p>
    <w:p>
      <w:pPr>
        <w:pStyle w:val="style0"/>
        <w:spacing w:lineRule="auto" w:line="360"/>
        <w:jc w:val="both"/>
        <w:rPr>
          <w:rFonts w:ascii="Times New Roman" w:cs="Times New Roman" w:hAnsi="Times New Roman"/>
        </w:rPr>
      </w:pPr>
      <w:r>
        <w:rPr>
          <w:rFonts w:ascii="Times New Roman" w:cs="Times New Roman" w:hAnsi="Times New Roman"/>
        </w:rPr>
        <w:t xml:space="preserve">Cybersecurity threats are ever evolving and it is important that regulatory frameworks and standards are constantly being built, refined and refined. The Internet of Things, a world of ever-evolving technologies and continually connected systems, requires dynamic security. Cybersecurity threats are dynamic and become more complex, sophisticated and larger. The emergence of new attack vectors, such as ransomware-as-a-service, spear phishing and artificial intelligence-powered </w:t>
      </w:r>
      <w:r>
        <w:rPr>
          <w:rFonts w:ascii="Times New Roman" w:cs="Times New Roman" w:hAnsi="Times New Roman"/>
        </w:rPr>
        <w:t>cyber attacks</w:t>
      </w:r>
      <w:r>
        <w:rPr>
          <w:rFonts w:ascii="Times New Roman" w:cs="Times New Roman" w:hAnsi="Times New Roman"/>
        </w:rPr>
        <w:t>, have all taken the threat landscape to a new level (Ike et al., 2025). That means that current regulatory standards can quickly become outdated, leaving vulnerabilities that were not previously recognised.</w:t>
      </w:r>
    </w:p>
    <w:p>
      <w:pPr>
        <w:pStyle w:val="style0"/>
        <w:spacing w:lineRule="auto" w:line="360"/>
        <w:jc w:val="both"/>
        <w:rPr>
          <w:rFonts w:ascii="Times New Roman" w:cs="Times New Roman" w:hAnsi="Times New Roman"/>
        </w:rPr>
      </w:pPr>
      <w:r>
        <w:rPr>
          <w:rFonts w:ascii="Times New Roman" w:cs="Times New Roman" w:hAnsi="Times New Roman"/>
        </w:rPr>
        <w:t>A key driver of the need to update regulations is more sophisticated cyber threats. Cybercriminals now take more advanced techniques such as automation, social engineering and machine learning to exploit vulnerabilities. Current defence measures that largely focus on perimeter security are not sufficient to tackle these threats. Therefore, regulators must be proactive, keeping their regulations up-to-date to combat emerging threats and encouraging proactive security approaches. This is essential to promote proactive risk mitigation that recognises and prevents threats.</w:t>
      </w:r>
    </w:p>
    <w:p>
      <w:pPr>
        <w:pStyle w:val="style0"/>
        <w:spacing w:lineRule="auto" w:line="360"/>
        <w:jc w:val="both"/>
        <w:rPr>
          <w:rFonts w:ascii="Times New Roman" w:cs="Times New Roman" w:hAnsi="Times New Roman"/>
        </w:rPr>
      </w:pPr>
      <w:r>
        <w:rPr>
          <w:rFonts w:ascii="Times New Roman" w:cs="Times New Roman" w:hAnsi="Times New Roman"/>
        </w:rPr>
        <w:t xml:space="preserve">Technological change is also a driver of regulatory change. The rise of cloud computing, Internet of Things (IoT) and artificial intelligence has created a larger attack surface that provides opportunities for </w:t>
      </w:r>
      <w:r>
        <w:rPr>
          <w:rFonts w:ascii="Times New Roman" w:cs="Times New Roman" w:hAnsi="Times New Roman"/>
        </w:rPr>
        <w:t>cyber attacks</w:t>
      </w:r>
      <w:r>
        <w:rPr>
          <w:rFonts w:ascii="Times New Roman" w:cs="Times New Roman" w:hAnsi="Times New Roman"/>
        </w:rPr>
        <w:t>. These technologies are often complex, multi-tenant and manage large amounts of data - all security risks. For instance, cloud computing requires robust identity and access management policies and IoT devices may not have sufficient built-in security (Cao and Kretschmer, 2026). Without new standards, organisations may struggle to implement these technologies in a secure manner, which increases their risk. New standards ensure security practices are up-to-date to keep pace with technological change, and provide organisations with advice about managing risk with these technologies.</w:t>
      </w:r>
    </w:p>
    <w:p>
      <w:pPr>
        <w:pStyle w:val="style0"/>
        <w:spacing w:lineRule="auto" w:line="360"/>
        <w:jc w:val="both"/>
        <w:rPr>
          <w:rFonts w:ascii="Times New Roman" w:cs="Times New Roman" w:hAnsi="Times New Roman"/>
        </w:rPr>
      </w:pPr>
      <w:r>
        <w:rPr>
          <w:rFonts w:ascii="Times New Roman" w:cs="Times New Roman" w:hAnsi="Times New Roman"/>
        </w:rPr>
        <w:t>New standards are critical for organisations in terms of accountability and transparency. They establish clarity on data usage, risk assessment and containment, removing doubts about security practices. Compliance with these standards leads to consistent and structured approaches to cybersecurity, enhancing security levels. In sectors where trust and integrity are vital, such as finance, adherence to the latest regulations plays a pivotal role in gaining and retaining trust and reputation.</w:t>
      </w:r>
    </w:p>
    <w:p>
      <w:pPr>
        <w:pStyle w:val="style0"/>
        <w:spacing w:lineRule="auto" w:line="360"/>
        <w:jc w:val="both"/>
        <w:rPr>
          <w:rFonts w:ascii="Times New Roman" w:cs="Times New Roman" w:hAnsi="Times New Roman"/>
        </w:rPr>
      </w:pPr>
      <w:r>
        <w:rPr>
          <w:rFonts w:ascii="Times New Roman" w:cs="Times New Roman" w:hAnsi="Times New Roman"/>
        </w:rPr>
        <w:t>However, it's important to recognise the rate of change in regulations can present some challenges. This can be more challenging for smaller organisations. Compliance with regulations can be expensive from an investment perspective (new technology, training and process re-engineering). Moreover, the complexities of dealing with different regulatory regimes in different jurisdictions may present a challenge (</w:t>
      </w:r>
      <w:r>
        <w:rPr>
          <w:rFonts w:ascii="Times New Roman" w:cs="Times New Roman" w:hAnsi="Times New Roman"/>
        </w:rPr>
        <w:t>Alshar'e</w:t>
      </w:r>
      <w:r>
        <w:rPr>
          <w:rFonts w:ascii="Times New Roman" w:cs="Times New Roman" w:hAnsi="Times New Roman"/>
        </w:rPr>
        <w:t>, 2023). However, the potential costs of non-compliance (in terms of financial and reputation risk) far exceed the cost of compliance.</w:t>
      </w:r>
    </w:p>
    <w:p>
      <w:pPr>
        <w:pStyle w:val="style0"/>
        <w:spacing w:lineRule="auto" w:line="360"/>
        <w:jc w:val="both"/>
        <w:rPr>
          <w:rFonts w:ascii="Times New Roman" w:cs="Times New Roman" w:hAnsi="Times New Roman"/>
        </w:rPr>
      </w:pPr>
      <w:r>
        <w:rPr>
          <w:rFonts w:ascii="Times New Roman" w:cs="Times New Roman" w:hAnsi="Times New Roman"/>
        </w:rPr>
        <w:t xml:space="preserve">Finally, the evolving regulations and standards are not only reactive to the digital world, but also proactive in a dynamic environment. Standards play an important role in assisting organisations to navigate through the security landscape to help ensure they remain protected against threats (Khalid et al., 2025). For </w:t>
      </w:r>
      <w:r>
        <w:rPr>
          <w:rFonts w:ascii="Times New Roman" w:cs="Times New Roman" w:hAnsi="Times New Roman"/>
        </w:rPr>
        <w:t>FinSure</w:t>
      </w:r>
      <w:r>
        <w:rPr>
          <w:rFonts w:ascii="Times New Roman" w:cs="Times New Roman" w:hAnsi="Times New Roman"/>
        </w:rPr>
        <w:t xml:space="preserve"> Bank, adherence to new regulations is not an option, but an essence of maintaining its business, as it enables the bank to ensure the security of sensitive data, maintain trust and conduct business in a secured and safe manner in the rapidly evolving technological world.</w:t>
      </w:r>
    </w:p>
    <w:p>
      <w:pPr>
        <w:pStyle w:val="style0"/>
        <w:spacing w:lineRule="auto" w:line="360"/>
        <w:jc w:val="both"/>
        <w:rPr>
          <w:rFonts w:ascii="Times New Roman" w:cs="Times New Roman" w:hAnsi="Times New Roman"/>
        </w:rPr>
      </w:pPr>
      <w:r>
        <w:rPr>
          <w:rFonts w:ascii="Times New Roman" w:cs="Times New Roman" w:hAnsi="Times New Roman"/>
        </w:rPr>
        <w:t>Moreover, the development of regulatory frameworks also encourages a proactive approach to security, allowing organisations to be compliant and prepared for the future. It also enhances standardisation across the industry, enabling collaboration, sharing and pooling of resources in an effort to secure infrastructure against cyber threats, an essential requirement in the global financial system</w:t>
      </w:r>
      <w:r>
        <w:rPr>
          <w:rFonts w:ascii="Times New Roman" w:cs="Times New Roman" w:hAnsi="Times New Roman"/>
        </w:rPr>
        <w:t>.</w:t>
      </w:r>
    </w:p>
    <w:bookmarkStart w:id="5" w:name="_Toc228272069"/>
    <w:p>
      <w:pPr>
        <w:pStyle w:val="style1"/>
        <w:rPr/>
      </w:pPr>
      <w:r>
        <w:t>6. Conclusion</w:t>
      </w:r>
      <w:bookmarkEnd w:id="5"/>
    </w:p>
    <w:p>
      <w:pPr>
        <w:pStyle w:val="style0"/>
        <w:spacing w:lineRule="auto" w:line="360"/>
        <w:jc w:val="both"/>
        <w:rPr>
          <w:rFonts w:ascii="Times New Roman" w:cs="Times New Roman" w:hAnsi="Times New Roman"/>
        </w:rPr>
      </w:pPr>
      <w:r>
        <w:rPr>
          <w:rFonts w:ascii="Times New Roman" w:cs="Times New Roman" w:hAnsi="Times New Roman"/>
        </w:rPr>
        <w:t xml:space="preserve">This report has analysed the key security, governance and compliance issues confronting </w:t>
      </w:r>
      <w:r>
        <w:rPr>
          <w:rFonts w:ascii="Times New Roman" w:cs="Times New Roman" w:hAnsi="Times New Roman"/>
        </w:rPr>
        <w:t>FinSure</w:t>
      </w:r>
      <w:r>
        <w:rPr>
          <w:rFonts w:ascii="Times New Roman" w:cs="Times New Roman" w:hAnsi="Times New Roman"/>
        </w:rPr>
        <w:t xml:space="preserve"> Bank and offered a holistic approach grounded in proven standards. This report analyses that the current disjointed approach leaves the organisation vulnerable to many security threats, such as data breaches and non-compliance.</w:t>
      </w:r>
    </w:p>
    <w:p>
      <w:pPr>
        <w:pStyle w:val="style0"/>
        <w:spacing w:lineRule="auto" w:line="360"/>
        <w:jc w:val="both"/>
        <w:rPr>
          <w:rFonts w:ascii="Times New Roman" w:cs="Times New Roman" w:hAnsi="Times New Roman"/>
        </w:rPr>
      </w:pPr>
      <w:r>
        <w:rPr>
          <w:rFonts w:ascii="Times New Roman" w:cs="Times New Roman" w:hAnsi="Times New Roman"/>
        </w:rPr>
        <w:t>Through an integrated approach that incorporates ISO 27001, NIST and ITIL methodologies, FSB can build a comprehensive security strategy. The integrated framework focuses on governance, risk, data security and compliance, integrating security throughout the organisation's operations.</w:t>
      </w:r>
    </w:p>
    <w:p>
      <w:pPr>
        <w:pStyle w:val="style0"/>
        <w:spacing w:lineRule="auto" w:line="360"/>
        <w:jc w:val="both"/>
        <w:rPr>
          <w:rFonts w:ascii="Times New Roman" w:cs="Times New Roman" w:hAnsi="Times New Roman"/>
        </w:rPr>
      </w:pPr>
      <w:r>
        <w:rPr>
          <w:rFonts w:ascii="Times New Roman" w:cs="Times New Roman" w:hAnsi="Times New Roman"/>
        </w:rPr>
        <w:t>Moreover, the critical analysis underscores the need for dynamic regulatory frameworks to combat threats. In the digital age, organisations need to be responsive and proactive in their security measures.</w:t>
      </w:r>
    </w:p>
    <w:p>
      <w:pPr>
        <w:pStyle w:val="style0"/>
        <w:spacing w:lineRule="auto" w:line="360"/>
        <w:jc w:val="both"/>
        <w:rPr>
          <w:rFonts w:ascii="Times New Roman" w:cs="Times New Roman" w:hAnsi="Times New Roman"/>
        </w:rPr>
      </w:pPr>
      <w:r>
        <w:rPr>
          <w:rFonts w:ascii="Times New Roman" w:cs="Times New Roman" w:hAnsi="Times New Roman"/>
        </w:rPr>
        <w:t xml:space="preserve">Finally, the effectiveness of a security framework is realised through its implementation and integration with business goals. For </w:t>
      </w:r>
      <w:r>
        <w:rPr>
          <w:rFonts w:ascii="Times New Roman" w:cs="Times New Roman" w:hAnsi="Times New Roman"/>
        </w:rPr>
        <w:t>FinSure</w:t>
      </w:r>
      <w:r>
        <w:rPr>
          <w:rFonts w:ascii="Times New Roman" w:cs="Times New Roman" w:hAnsi="Times New Roman"/>
        </w:rPr>
        <w:t xml:space="preserve"> Bank, embracing a structured, dynamic approach to security is vital in safeguarding assets, preserving customer confidence and driving growth</w:t>
      </w:r>
    </w:p>
    <w:p>
      <w:pPr>
        <w:pStyle w:val="style0"/>
        <w:spacing w:lineRule="auto" w:line="360"/>
        <w:jc w:val="both"/>
        <w:rPr>
          <w:rFonts w:ascii="Times New Roman" w:cs="Times New Roman" w:hAnsi="Times New Roman"/>
        </w:rPr>
      </w:pPr>
      <w:r>
        <w:rPr>
          <w:rFonts w:ascii="Times New Roman" w:cs="Times New Roman" w:hAnsi="Times New Roman"/>
        </w:rPr>
        <w:br w:type="page"/>
      </w:r>
    </w:p>
    <w:bookmarkStart w:id="6" w:name="_Toc228272070"/>
    <w:p>
      <w:pPr>
        <w:pStyle w:val="style1"/>
        <w:rPr/>
      </w:pPr>
      <w:r>
        <w:t>References</w:t>
      </w:r>
      <w:bookmarkEnd w:id="6"/>
    </w:p>
    <w:p>
      <w:pPr>
        <w:pStyle w:val="style0"/>
        <w:spacing w:lineRule="auto" w:line="360"/>
        <w:jc w:val="both"/>
        <w:rPr>
          <w:rFonts w:ascii="Times New Roman" w:cs="Times New Roman" w:hAnsi="Times New Roman"/>
        </w:rPr>
      </w:pPr>
      <w:r>
        <w:rPr>
          <w:rFonts w:ascii="Times New Roman" w:cs="Times New Roman" w:hAnsi="Times New Roman"/>
        </w:rPr>
        <w:t>Humphreys, E., 2025. </w:t>
      </w:r>
      <w:r>
        <w:rPr>
          <w:rFonts w:ascii="Times New Roman" w:cs="Times New Roman" w:hAnsi="Times New Roman"/>
          <w:i/>
          <w:iCs/>
        </w:rPr>
        <w:t>Implementing the ISO/IEC 27001 information security management system standard</w:t>
      </w:r>
      <w:r>
        <w:rPr>
          <w:rFonts w:ascii="Times New Roman" w:cs="Times New Roman" w:hAnsi="Times New Roman"/>
        </w:rPr>
        <w:t>. Artech House.</w:t>
      </w:r>
    </w:p>
    <w:p>
      <w:pPr>
        <w:pStyle w:val="style0"/>
        <w:spacing w:lineRule="auto" w:line="360"/>
        <w:jc w:val="both"/>
        <w:rPr>
          <w:rFonts w:ascii="Times New Roman" w:cs="Times New Roman" w:hAnsi="Times New Roman"/>
        </w:rPr>
      </w:pPr>
      <w:r>
        <w:rPr>
          <w:rFonts w:ascii="Times New Roman" w:cs="Times New Roman" w:hAnsi="Times New Roman"/>
        </w:rPr>
        <w:t>Aljumaiah</w:t>
      </w:r>
      <w:r>
        <w:rPr>
          <w:rFonts w:ascii="Times New Roman" w:cs="Times New Roman" w:hAnsi="Times New Roman"/>
        </w:rPr>
        <w:t xml:space="preserve">, O., Jiang, W., Addula, S.R. and </w:t>
      </w:r>
      <w:r>
        <w:rPr>
          <w:rFonts w:ascii="Times New Roman" w:cs="Times New Roman" w:hAnsi="Times New Roman"/>
        </w:rPr>
        <w:t>Almaiah</w:t>
      </w:r>
      <w:r>
        <w:rPr>
          <w:rFonts w:ascii="Times New Roman" w:cs="Times New Roman" w:hAnsi="Times New Roman"/>
        </w:rPr>
        <w:t xml:space="preserve">, M.A., 2025. </w:t>
      </w:r>
      <w:r>
        <w:rPr>
          <w:rFonts w:ascii="Times New Roman" w:cs="Times New Roman" w:hAnsi="Times New Roman"/>
        </w:rPr>
        <w:t>Analyzing</w:t>
      </w:r>
      <w:r>
        <w:rPr>
          <w:rFonts w:ascii="Times New Roman" w:cs="Times New Roman" w:hAnsi="Times New Roman"/>
        </w:rPr>
        <w:t xml:space="preserve"> cybersecurity risks and threats in IT infrastructure based on NIST framework. </w:t>
      </w:r>
      <w:r>
        <w:rPr>
          <w:rFonts w:ascii="Times New Roman" w:cs="Times New Roman" w:hAnsi="Times New Roman"/>
          <w:i/>
          <w:iCs/>
        </w:rPr>
        <w:t xml:space="preserve">J. Cyber </w:t>
      </w:r>
      <w:r>
        <w:rPr>
          <w:rFonts w:ascii="Times New Roman" w:cs="Times New Roman" w:hAnsi="Times New Roman"/>
          <w:i/>
          <w:iCs/>
        </w:rPr>
        <w:t>Secur</w:t>
      </w:r>
      <w:r>
        <w:rPr>
          <w:rFonts w:ascii="Times New Roman" w:cs="Times New Roman" w:hAnsi="Times New Roman"/>
          <w:i/>
          <w:iCs/>
        </w:rPr>
        <w:t>. Risk Audit</w:t>
      </w:r>
      <w:r>
        <w:rPr>
          <w:rFonts w:ascii="Times New Roman" w:cs="Times New Roman" w:hAnsi="Times New Roman"/>
        </w:rPr>
        <w:t>, </w:t>
      </w:r>
      <w:r>
        <w:rPr>
          <w:rFonts w:ascii="Times New Roman" w:cs="Times New Roman" w:hAnsi="Times New Roman"/>
          <w:i/>
          <w:iCs/>
        </w:rPr>
        <w:t>2025</w:t>
      </w:r>
      <w:r>
        <w:rPr>
          <w:rFonts w:ascii="Times New Roman" w:cs="Times New Roman" w:hAnsi="Times New Roman"/>
        </w:rPr>
        <w:t>(2), pp.12-26.</w:t>
      </w:r>
    </w:p>
    <w:p>
      <w:pPr>
        <w:pStyle w:val="style0"/>
        <w:spacing w:lineRule="auto" w:line="360"/>
        <w:jc w:val="both"/>
        <w:rPr>
          <w:rFonts w:ascii="Times New Roman" w:cs="Times New Roman" w:hAnsi="Times New Roman"/>
        </w:rPr>
      </w:pPr>
      <w:r>
        <w:rPr>
          <w:rFonts w:ascii="Times New Roman" w:cs="Times New Roman" w:hAnsi="Times New Roman"/>
        </w:rPr>
        <w:t>Lopes, S., Leite, P., Carvalho, S. and Teixeira, P., 2024, April. Using ITIL as part of the NIST Cybersecurity Framework. In </w:t>
      </w:r>
      <w:r>
        <w:rPr>
          <w:rFonts w:ascii="Times New Roman" w:cs="Times New Roman" w:hAnsi="Times New Roman"/>
          <w:i/>
          <w:iCs/>
        </w:rPr>
        <w:t>2024 12th International Symposium on Digital Forensics and Security (ISDFS)</w:t>
      </w:r>
      <w:r>
        <w:rPr>
          <w:rFonts w:ascii="Times New Roman" w:cs="Times New Roman" w:hAnsi="Times New Roman"/>
        </w:rPr>
        <w:t> (pp. 1-6). IEEE.</w:t>
      </w:r>
    </w:p>
    <w:p>
      <w:pPr>
        <w:pStyle w:val="style0"/>
        <w:spacing w:lineRule="auto" w:line="360"/>
        <w:jc w:val="both"/>
        <w:rPr>
          <w:rFonts w:ascii="Times New Roman" w:cs="Times New Roman" w:hAnsi="Times New Roman"/>
        </w:rPr>
      </w:pPr>
      <w:r>
        <w:rPr>
          <w:rFonts w:ascii="Times New Roman" w:cs="Times New Roman" w:hAnsi="Times New Roman"/>
        </w:rPr>
        <w:t>Karkošková</w:t>
      </w:r>
      <w:r>
        <w:rPr>
          <w:rFonts w:ascii="Times New Roman" w:cs="Times New Roman" w:hAnsi="Times New Roman"/>
        </w:rPr>
        <w:t>, S., 2023. Data governance model to enhance data quality in financial institutions. </w:t>
      </w:r>
      <w:r>
        <w:rPr>
          <w:rFonts w:ascii="Times New Roman" w:cs="Times New Roman" w:hAnsi="Times New Roman"/>
          <w:i/>
          <w:iCs/>
        </w:rPr>
        <w:t>Information Systems Management</w:t>
      </w:r>
      <w:r>
        <w:rPr>
          <w:rFonts w:ascii="Times New Roman" w:cs="Times New Roman" w:hAnsi="Times New Roman"/>
        </w:rPr>
        <w:t>, </w:t>
      </w:r>
      <w:r>
        <w:rPr>
          <w:rFonts w:ascii="Times New Roman" w:cs="Times New Roman" w:hAnsi="Times New Roman"/>
          <w:i/>
          <w:iCs/>
        </w:rPr>
        <w:t>40</w:t>
      </w:r>
      <w:r>
        <w:rPr>
          <w:rFonts w:ascii="Times New Roman" w:cs="Times New Roman" w:hAnsi="Times New Roman"/>
        </w:rPr>
        <w:t>(1), pp.90-110.</w:t>
      </w:r>
    </w:p>
    <w:p>
      <w:pPr>
        <w:pStyle w:val="style0"/>
        <w:spacing w:lineRule="auto" w:line="360"/>
        <w:jc w:val="both"/>
        <w:rPr>
          <w:rFonts w:ascii="Times New Roman" w:cs="Times New Roman" w:hAnsi="Times New Roman"/>
        </w:rPr>
      </w:pPr>
      <w:r>
        <w:rPr>
          <w:rFonts w:ascii="Times New Roman" w:cs="Times New Roman" w:hAnsi="Times New Roman"/>
        </w:rPr>
        <w:t>Khan, M.I., 2025. Managing threats in cloud computing: A cybersecurity risk mitigation framework. </w:t>
      </w:r>
      <w:r>
        <w:rPr>
          <w:rFonts w:ascii="Times New Roman" w:cs="Times New Roman" w:hAnsi="Times New Roman"/>
          <w:i/>
          <w:iCs/>
        </w:rPr>
        <w:t>International Journal of Advanced Research in Computer Science</w:t>
      </w:r>
      <w:r>
        <w:rPr>
          <w:rFonts w:ascii="Times New Roman" w:cs="Times New Roman" w:hAnsi="Times New Roman"/>
        </w:rPr>
        <w:t>, </w:t>
      </w:r>
      <w:r>
        <w:rPr>
          <w:rFonts w:ascii="Times New Roman" w:cs="Times New Roman" w:hAnsi="Times New Roman"/>
          <w:i/>
          <w:iCs/>
        </w:rPr>
        <w:t>15</w:t>
      </w:r>
      <w:r>
        <w:rPr>
          <w:rFonts w:ascii="Times New Roman" w:cs="Times New Roman" w:hAnsi="Times New Roman"/>
        </w:rPr>
        <w:t>(5).</w:t>
      </w:r>
    </w:p>
    <w:p>
      <w:pPr>
        <w:pStyle w:val="style0"/>
        <w:spacing w:lineRule="auto" w:line="360"/>
        <w:jc w:val="both"/>
        <w:rPr>
          <w:rFonts w:ascii="Times New Roman" w:cs="Times New Roman" w:hAnsi="Times New Roman"/>
        </w:rPr>
      </w:pPr>
      <w:r>
        <w:rPr>
          <w:rFonts w:ascii="Times New Roman" w:cs="Times New Roman" w:hAnsi="Times New Roman"/>
        </w:rPr>
        <w:t xml:space="preserve">Velmurugan, R., Kumar, R., Saravanan, D., Patnaik, S. and </w:t>
      </w:r>
      <w:r>
        <w:rPr>
          <w:rFonts w:ascii="Times New Roman" w:cs="Times New Roman" w:hAnsi="Times New Roman"/>
        </w:rPr>
        <w:t>Ikkurthi</w:t>
      </w:r>
      <w:r>
        <w:rPr>
          <w:rFonts w:ascii="Times New Roman" w:cs="Times New Roman" w:hAnsi="Times New Roman"/>
        </w:rPr>
        <w:t>, S.K., 2023. A critical cloud security risks detection using artificial neural networks at banking sector. In </w:t>
      </w:r>
      <w:r>
        <w:rPr>
          <w:rFonts w:ascii="Times New Roman" w:cs="Times New Roman" w:hAnsi="Times New Roman"/>
          <w:i/>
          <w:iCs/>
        </w:rPr>
        <w:t>Artificial Intelligence for Smart Healthcare</w:t>
      </w:r>
      <w:r>
        <w:rPr>
          <w:rFonts w:ascii="Times New Roman" w:cs="Times New Roman" w:hAnsi="Times New Roman"/>
        </w:rPr>
        <w:t> (pp. 75-93). Cham: Springer International Publishing.</w:t>
      </w:r>
    </w:p>
    <w:p>
      <w:pPr>
        <w:pStyle w:val="style0"/>
        <w:spacing w:lineRule="auto" w:line="360"/>
        <w:jc w:val="both"/>
        <w:rPr>
          <w:rFonts w:ascii="Times New Roman" w:cs="Times New Roman" w:hAnsi="Times New Roman"/>
        </w:rPr>
      </w:pPr>
      <w:r>
        <w:rPr>
          <w:rFonts w:ascii="Times New Roman" w:cs="Times New Roman" w:hAnsi="Times New Roman"/>
        </w:rPr>
        <w:t>Ratchford, M., El-Gayar, O., Noteboom, C. and Wang, Y., 2022. BYOD security issues: A systematic literature review. </w:t>
      </w:r>
      <w:r>
        <w:rPr>
          <w:rFonts w:ascii="Times New Roman" w:cs="Times New Roman" w:hAnsi="Times New Roman"/>
          <w:i/>
          <w:iCs/>
        </w:rPr>
        <w:t>Information Security Journal: A Global Perspective</w:t>
      </w:r>
      <w:r>
        <w:rPr>
          <w:rFonts w:ascii="Times New Roman" w:cs="Times New Roman" w:hAnsi="Times New Roman"/>
        </w:rPr>
        <w:t>, </w:t>
      </w:r>
      <w:r>
        <w:rPr>
          <w:rFonts w:ascii="Times New Roman" w:cs="Times New Roman" w:hAnsi="Times New Roman"/>
          <w:i/>
          <w:iCs/>
        </w:rPr>
        <w:t>31</w:t>
      </w:r>
      <w:r>
        <w:rPr>
          <w:rFonts w:ascii="Times New Roman" w:cs="Times New Roman" w:hAnsi="Times New Roman"/>
        </w:rPr>
        <w:t>(3), pp.253-273.</w:t>
      </w:r>
    </w:p>
    <w:p>
      <w:pPr>
        <w:pStyle w:val="style0"/>
        <w:spacing w:lineRule="auto" w:line="360"/>
        <w:jc w:val="both"/>
        <w:rPr>
          <w:rFonts w:ascii="Times New Roman" w:cs="Times New Roman" w:hAnsi="Times New Roman"/>
        </w:rPr>
      </w:pPr>
      <w:r>
        <w:rPr>
          <w:rFonts w:ascii="Times New Roman" w:cs="Times New Roman" w:hAnsi="Times New Roman"/>
        </w:rPr>
        <w:t xml:space="preserve">Alzoubi, H.M., Ghazal, T.M., Hasan, M.K., </w:t>
      </w:r>
      <w:r>
        <w:rPr>
          <w:rFonts w:ascii="Times New Roman" w:cs="Times New Roman" w:hAnsi="Times New Roman"/>
        </w:rPr>
        <w:t>Alketbi</w:t>
      </w:r>
      <w:r>
        <w:rPr>
          <w:rFonts w:ascii="Times New Roman" w:cs="Times New Roman" w:hAnsi="Times New Roman"/>
        </w:rPr>
        <w:t>, A., Kamran, R., Al-</w:t>
      </w:r>
      <w:r>
        <w:rPr>
          <w:rFonts w:ascii="Times New Roman" w:cs="Times New Roman" w:hAnsi="Times New Roman"/>
        </w:rPr>
        <w:t>Dmour</w:t>
      </w:r>
      <w:r>
        <w:rPr>
          <w:rFonts w:ascii="Times New Roman" w:cs="Times New Roman" w:hAnsi="Times New Roman"/>
        </w:rPr>
        <w:t>, N.A. and Islam, S., 2022, May. Cyber security threats on digital banking. In </w:t>
      </w:r>
      <w:r>
        <w:rPr>
          <w:rFonts w:ascii="Times New Roman" w:cs="Times New Roman" w:hAnsi="Times New Roman"/>
          <w:i/>
          <w:iCs/>
        </w:rPr>
        <w:t>2022 1st International Conference on AI in Cybersecurity (ICAIC)</w:t>
      </w:r>
      <w:r>
        <w:rPr>
          <w:rFonts w:ascii="Times New Roman" w:cs="Times New Roman" w:hAnsi="Times New Roman"/>
        </w:rPr>
        <w:t> (pp. 1-4). IEEE.</w:t>
      </w:r>
    </w:p>
    <w:p>
      <w:pPr>
        <w:pStyle w:val="style0"/>
        <w:spacing w:lineRule="auto" w:line="360"/>
        <w:jc w:val="both"/>
        <w:rPr>
          <w:rFonts w:ascii="Times New Roman" w:cs="Times New Roman" w:hAnsi="Times New Roman"/>
        </w:rPr>
      </w:pPr>
      <w:r>
        <w:rPr>
          <w:rFonts w:ascii="Times New Roman" w:cs="Times New Roman" w:hAnsi="Times New Roman"/>
        </w:rPr>
        <w:t>Achor, O., 2023. </w:t>
      </w:r>
      <w:r>
        <w:rPr>
          <w:rFonts w:ascii="Times New Roman" w:cs="Times New Roman" w:hAnsi="Times New Roman"/>
          <w:i/>
          <w:iCs/>
        </w:rPr>
        <w:t>Data Security Strategies for Preventing Breaches Due to Insider Threats</w:t>
      </w:r>
      <w:r>
        <w:rPr>
          <w:rFonts w:ascii="Times New Roman" w:cs="Times New Roman" w:hAnsi="Times New Roman"/>
        </w:rPr>
        <w:t> (Doctoral dissertation, Walden University).</w:t>
      </w:r>
    </w:p>
    <w:p>
      <w:pPr>
        <w:pStyle w:val="style0"/>
        <w:spacing w:lineRule="auto" w:line="360"/>
        <w:jc w:val="both"/>
        <w:rPr>
          <w:rFonts w:ascii="Times New Roman" w:cs="Times New Roman" w:hAnsi="Times New Roman"/>
        </w:rPr>
      </w:pPr>
      <w:r>
        <w:rPr>
          <w:rFonts w:ascii="Times New Roman" w:cs="Times New Roman" w:hAnsi="Times New Roman"/>
        </w:rPr>
        <w:t>Anderson, J., Huang, Q., Cheng, L. and Hu, H., 2022, October. BYOZ: Protecting BYOD through zero trust network security. In </w:t>
      </w:r>
      <w:r>
        <w:rPr>
          <w:rFonts w:ascii="Times New Roman" w:cs="Times New Roman" w:hAnsi="Times New Roman"/>
          <w:i/>
          <w:iCs/>
        </w:rPr>
        <w:t>2022 IEEE International conference on networking, architecture and storage (NAS)</w:t>
      </w:r>
      <w:r>
        <w:rPr>
          <w:rFonts w:ascii="Times New Roman" w:cs="Times New Roman" w:hAnsi="Times New Roman"/>
        </w:rPr>
        <w:t> (pp. 1-8). IEEE.</w:t>
      </w:r>
    </w:p>
    <w:p>
      <w:pPr>
        <w:pStyle w:val="style0"/>
        <w:spacing w:lineRule="auto" w:line="360"/>
        <w:jc w:val="both"/>
        <w:rPr>
          <w:rFonts w:ascii="Times New Roman" w:cs="Times New Roman" w:hAnsi="Times New Roman"/>
        </w:rPr>
      </w:pPr>
      <w:r>
        <w:rPr>
          <w:rFonts w:ascii="Times New Roman" w:cs="Times New Roman" w:hAnsi="Times New Roman"/>
        </w:rPr>
        <w:t xml:space="preserve">Ike, J.E., Kessie, J.D., Okaro, H.E., </w:t>
      </w:r>
      <w:r>
        <w:rPr>
          <w:rFonts w:ascii="Times New Roman" w:cs="Times New Roman" w:hAnsi="Times New Roman"/>
        </w:rPr>
        <w:t>Ezeife</w:t>
      </w:r>
      <w:r>
        <w:rPr>
          <w:rFonts w:ascii="Times New Roman" w:cs="Times New Roman" w:hAnsi="Times New Roman"/>
        </w:rPr>
        <w:t xml:space="preserve">, E. and </w:t>
      </w:r>
      <w:r>
        <w:rPr>
          <w:rFonts w:ascii="Times New Roman" w:cs="Times New Roman" w:hAnsi="Times New Roman"/>
        </w:rPr>
        <w:t>Onibokun</w:t>
      </w:r>
      <w:r>
        <w:rPr>
          <w:rFonts w:ascii="Times New Roman" w:cs="Times New Roman" w:hAnsi="Times New Roman"/>
        </w:rPr>
        <w:t>, T., 2025. Identity and Access Management in Cloud Storage: A Comprehensive Guide. </w:t>
      </w:r>
      <w:r>
        <w:rPr>
          <w:rFonts w:ascii="Times New Roman" w:cs="Times New Roman" w:hAnsi="Times New Roman"/>
          <w:i/>
          <w:iCs/>
        </w:rPr>
        <w:t xml:space="preserve">Int. J. </w:t>
      </w:r>
      <w:r>
        <w:rPr>
          <w:rFonts w:ascii="Times New Roman" w:cs="Times New Roman" w:hAnsi="Times New Roman"/>
          <w:i/>
          <w:iCs/>
        </w:rPr>
        <w:t>Multidiscip</w:t>
      </w:r>
      <w:r>
        <w:rPr>
          <w:rFonts w:ascii="Times New Roman" w:cs="Times New Roman" w:hAnsi="Times New Roman"/>
          <w:i/>
          <w:iCs/>
        </w:rPr>
        <w:t>. Res. Growth Eval</w:t>
      </w:r>
      <w:r>
        <w:rPr>
          <w:rFonts w:ascii="Times New Roman" w:cs="Times New Roman" w:hAnsi="Times New Roman"/>
        </w:rPr>
        <w:t>, </w:t>
      </w:r>
      <w:r>
        <w:rPr>
          <w:rFonts w:ascii="Times New Roman" w:cs="Times New Roman" w:hAnsi="Times New Roman"/>
          <w:i/>
          <w:iCs/>
        </w:rPr>
        <w:t>6</w:t>
      </w:r>
      <w:r>
        <w:rPr>
          <w:rFonts w:ascii="Times New Roman" w:cs="Times New Roman" w:hAnsi="Times New Roman"/>
        </w:rPr>
        <w:t>(2), pp.245-252.</w:t>
      </w:r>
    </w:p>
    <w:p>
      <w:pPr>
        <w:pStyle w:val="style0"/>
        <w:spacing w:lineRule="auto" w:line="360"/>
        <w:jc w:val="both"/>
        <w:rPr>
          <w:rFonts w:ascii="Times New Roman" w:cs="Times New Roman" w:hAnsi="Times New Roman"/>
        </w:rPr>
      </w:pPr>
      <w:r>
        <w:rPr>
          <w:rFonts w:ascii="Times New Roman" w:cs="Times New Roman" w:hAnsi="Times New Roman"/>
        </w:rPr>
        <w:t>Cao, R. and Kretschmer, T., 2026. Regulation as opportunity: proactive GDPR compliance in the US financial services industry. </w:t>
      </w:r>
      <w:r>
        <w:rPr>
          <w:rFonts w:ascii="Times New Roman" w:cs="Times New Roman" w:hAnsi="Times New Roman"/>
          <w:i/>
          <w:iCs/>
        </w:rPr>
        <w:t>Industrial and Corporate Change</w:t>
      </w:r>
      <w:r>
        <w:rPr>
          <w:rFonts w:ascii="Times New Roman" w:cs="Times New Roman" w:hAnsi="Times New Roman"/>
        </w:rPr>
        <w:t>, </w:t>
      </w:r>
      <w:r>
        <w:rPr>
          <w:rFonts w:ascii="Times New Roman" w:cs="Times New Roman" w:hAnsi="Times New Roman"/>
          <w:i/>
          <w:iCs/>
        </w:rPr>
        <w:t>35</w:t>
      </w:r>
      <w:r>
        <w:rPr>
          <w:rFonts w:ascii="Times New Roman" w:cs="Times New Roman" w:hAnsi="Times New Roman"/>
        </w:rPr>
        <w:t>(1), pp.150-170.</w:t>
      </w:r>
    </w:p>
    <w:p>
      <w:pPr>
        <w:pStyle w:val="style0"/>
        <w:spacing w:lineRule="auto" w:line="360"/>
        <w:jc w:val="both"/>
        <w:rPr>
          <w:rFonts w:ascii="Times New Roman" w:cs="Times New Roman" w:hAnsi="Times New Roman"/>
        </w:rPr>
      </w:pPr>
      <w:r>
        <w:rPr>
          <w:rFonts w:ascii="Times New Roman" w:cs="Times New Roman" w:hAnsi="Times New Roman"/>
        </w:rPr>
        <w:t xml:space="preserve">Amoo, O.O., </w:t>
      </w:r>
      <w:r>
        <w:rPr>
          <w:rFonts w:ascii="Times New Roman" w:cs="Times New Roman" w:hAnsi="Times New Roman"/>
        </w:rPr>
        <w:t>Atadoga</w:t>
      </w:r>
      <w:r>
        <w:rPr>
          <w:rFonts w:ascii="Times New Roman" w:cs="Times New Roman" w:hAnsi="Times New Roman"/>
        </w:rPr>
        <w:t xml:space="preserve">, A., </w:t>
      </w:r>
      <w:r>
        <w:rPr>
          <w:rFonts w:ascii="Times New Roman" w:cs="Times New Roman" w:hAnsi="Times New Roman"/>
        </w:rPr>
        <w:t>Osasona</w:t>
      </w:r>
      <w:r>
        <w:rPr>
          <w:rFonts w:ascii="Times New Roman" w:cs="Times New Roman" w:hAnsi="Times New Roman"/>
        </w:rPr>
        <w:t xml:space="preserve">, F., Abrahams, T.O., Ayinla, B.S. and </w:t>
      </w:r>
      <w:r>
        <w:rPr>
          <w:rFonts w:ascii="Times New Roman" w:cs="Times New Roman" w:hAnsi="Times New Roman"/>
        </w:rPr>
        <w:t>Farayola</w:t>
      </w:r>
      <w:r>
        <w:rPr>
          <w:rFonts w:ascii="Times New Roman" w:cs="Times New Roman" w:hAnsi="Times New Roman"/>
        </w:rPr>
        <w:t>, O.A., 2024. GDPR's impact on cybersecurity: A review focusing on USA and European practices. </w:t>
      </w:r>
      <w:r>
        <w:rPr>
          <w:rFonts w:ascii="Times New Roman" w:cs="Times New Roman" w:hAnsi="Times New Roman"/>
          <w:i/>
          <w:iCs/>
        </w:rPr>
        <w:t>International Journal of Science and Research Archive</w:t>
      </w:r>
      <w:r>
        <w:rPr>
          <w:rFonts w:ascii="Times New Roman" w:cs="Times New Roman" w:hAnsi="Times New Roman"/>
        </w:rPr>
        <w:t>, </w:t>
      </w:r>
      <w:r>
        <w:rPr>
          <w:rFonts w:ascii="Times New Roman" w:cs="Times New Roman" w:hAnsi="Times New Roman"/>
          <w:i/>
          <w:iCs/>
        </w:rPr>
        <w:t>11</w:t>
      </w:r>
      <w:r>
        <w:rPr>
          <w:rFonts w:ascii="Times New Roman" w:cs="Times New Roman" w:hAnsi="Times New Roman"/>
        </w:rPr>
        <w:t>(1), pp.1338-1347.</w:t>
      </w:r>
    </w:p>
    <w:p>
      <w:pPr>
        <w:pStyle w:val="style0"/>
        <w:spacing w:lineRule="auto" w:line="360"/>
        <w:jc w:val="both"/>
        <w:rPr>
          <w:rFonts w:ascii="Times New Roman" w:cs="Times New Roman" w:hAnsi="Times New Roman"/>
        </w:rPr>
      </w:pPr>
      <w:r>
        <w:rPr>
          <w:rFonts w:ascii="Times New Roman" w:cs="Times New Roman" w:hAnsi="Times New Roman"/>
        </w:rPr>
        <w:t>Ige, A.B., Chukwurah, N., Idemudia, C. and Adebayo, V.I., 2022. Ethical considerations in data governance: Balancing privacy, security, and transparency in data management. </w:t>
      </w:r>
      <w:r>
        <w:rPr>
          <w:rFonts w:ascii="Times New Roman" w:cs="Times New Roman" w:hAnsi="Times New Roman"/>
          <w:i/>
          <w:iCs/>
        </w:rPr>
        <w:t>Journal of Ethical Data Practices.[Year unavailable].[</w:t>
      </w:r>
      <w:r>
        <w:rPr>
          <w:rFonts w:ascii="Times New Roman" w:cs="Times New Roman" w:hAnsi="Times New Roman"/>
          <w:i/>
          <w:iCs/>
        </w:rPr>
        <w:t>Epub</w:t>
      </w:r>
      <w:r>
        <w:rPr>
          <w:rFonts w:ascii="Times New Roman" w:cs="Times New Roman" w:hAnsi="Times New Roman"/>
          <w:i/>
          <w:iCs/>
        </w:rPr>
        <w:t xml:space="preserve"> ahead of print]</w:t>
      </w:r>
      <w:r>
        <w:rPr>
          <w:rFonts w:ascii="Times New Roman" w:cs="Times New Roman" w:hAnsi="Times New Roman"/>
        </w:rPr>
        <w:t>.</w:t>
      </w:r>
    </w:p>
    <w:p>
      <w:pPr>
        <w:pStyle w:val="style0"/>
        <w:spacing w:lineRule="auto" w:line="360"/>
        <w:jc w:val="both"/>
        <w:rPr>
          <w:rFonts w:ascii="Times New Roman" w:cs="Times New Roman" w:hAnsi="Times New Roman"/>
        </w:rPr>
      </w:pPr>
      <w:r>
        <w:rPr>
          <w:rFonts w:ascii="Times New Roman" w:cs="Times New Roman" w:hAnsi="Times New Roman"/>
        </w:rPr>
        <w:t>Alshar'e</w:t>
      </w:r>
      <w:r>
        <w:rPr>
          <w:rFonts w:ascii="Times New Roman" w:cs="Times New Roman" w:hAnsi="Times New Roman"/>
        </w:rPr>
        <w:t xml:space="preserve">, M., 2023. Cyber security framework selection: </w:t>
      </w:r>
      <w:r>
        <w:rPr>
          <w:rFonts w:ascii="Times New Roman" w:cs="Times New Roman" w:hAnsi="Times New Roman"/>
        </w:rPr>
        <w:t>Comparision</w:t>
      </w:r>
      <w:r>
        <w:rPr>
          <w:rFonts w:ascii="Times New Roman" w:cs="Times New Roman" w:hAnsi="Times New Roman"/>
        </w:rPr>
        <w:t xml:space="preserve"> of NIST and ISO27001. </w:t>
      </w:r>
      <w:r>
        <w:rPr>
          <w:rFonts w:ascii="Times New Roman" w:cs="Times New Roman" w:hAnsi="Times New Roman"/>
          <w:i/>
          <w:iCs/>
        </w:rPr>
        <w:t>Applied computing Journal</w:t>
      </w:r>
      <w:r>
        <w:rPr>
          <w:rFonts w:ascii="Times New Roman" w:cs="Times New Roman" w:hAnsi="Times New Roman"/>
        </w:rPr>
        <w:t>, pp.245-255.</w:t>
      </w:r>
    </w:p>
    <w:p>
      <w:pPr>
        <w:pStyle w:val="style0"/>
        <w:spacing w:lineRule="auto" w:line="360"/>
        <w:jc w:val="both"/>
        <w:rPr>
          <w:rFonts w:ascii="Times New Roman" w:cs="Times New Roman" w:hAnsi="Times New Roman"/>
        </w:rPr>
      </w:pPr>
      <w:r>
        <w:rPr>
          <w:rFonts w:ascii="Times New Roman" w:cs="Times New Roman" w:hAnsi="Times New Roman"/>
        </w:rPr>
        <w:t>Singh, A., 2025. </w:t>
      </w:r>
      <w:r>
        <w:rPr>
          <w:rFonts w:ascii="Times New Roman" w:cs="Times New Roman" w:hAnsi="Times New Roman"/>
          <w:i/>
          <w:iCs/>
        </w:rPr>
        <w:t>Evaluating the Effectiveness of Cybersecurity Measures: A Quantitative Analysis of Threat Types and Implementation of NIST and ISO 27001 Frameworks</w:t>
      </w:r>
      <w:r>
        <w:rPr>
          <w:rFonts w:ascii="Times New Roman" w:cs="Times New Roman" w:hAnsi="Times New Roman"/>
        </w:rPr>
        <w:t> (Doctoral dissertation, Dublin, National College of Ireland).</w:t>
      </w:r>
    </w:p>
    <w:p>
      <w:pPr>
        <w:pStyle w:val="style0"/>
        <w:spacing w:lineRule="auto" w:line="360"/>
        <w:jc w:val="both"/>
        <w:rPr>
          <w:rFonts w:ascii="Times New Roman" w:cs="Times New Roman" w:hAnsi="Times New Roman"/>
        </w:rPr>
      </w:pPr>
      <w:r>
        <w:rPr>
          <w:rFonts w:ascii="Times New Roman" w:cs="Times New Roman" w:hAnsi="Times New Roman"/>
        </w:rPr>
        <w:t xml:space="preserve">Khalid, M., Abdullah, H., Haroon, F., Akhtar, E.D.S. and Shahani, S.A., 2025. Zero Trust Architecture in Cloud Security: Designing Adaptive Cyber </w:t>
      </w:r>
      <w:r>
        <w:rPr>
          <w:rFonts w:ascii="Times New Roman" w:cs="Times New Roman" w:hAnsi="Times New Roman"/>
        </w:rPr>
        <w:t>Defense</w:t>
      </w:r>
      <w:r>
        <w:rPr>
          <w:rFonts w:ascii="Times New Roman" w:cs="Times New Roman" w:hAnsi="Times New Roman"/>
        </w:rPr>
        <w:t xml:space="preserve"> for Distributed Systems. </w:t>
      </w:r>
      <w:r>
        <w:rPr>
          <w:rFonts w:ascii="Times New Roman" w:cs="Times New Roman" w:hAnsi="Times New Roman"/>
          <w:i/>
          <w:iCs/>
        </w:rPr>
        <w:t>Global Research Journal of Natural Science and Technology</w:t>
      </w:r>
      <w:r>
        <w:rPr>
          <w:rFonts w:ascii="Times New Roman" w:cs="Times New Roman" w:hAnsi="Times New Roman"/>
        </w:rPr>
        <w:t>.</w:t>
      </w:r>
    </w:p>
    <w:p>
      <w:pPr>
        <w:pStyle w:val="style0"/>
        <w:spacing w:lineRule="auto" w:line="360"/>
        <w:jc w:val="both"/>
        <w:rPr>
          <w:rFonts w:ascii="Times New Roman" w:cs="Times New Roman" w:hAnsi="Times New Roman"/>
        </w:rPr>
      </w:pPr>
      <w:r>
        <w:rPr>
          <w:rFonts w:ascii="Times New Roman" w:cs="Times New Roman" w:hAnsi="Times New Roman"/>
        </w:rPr>
        <w:t>researchgate</w:t>
      </w:r>
      <w:r>
        <w:rPr>
          <w:rFonts w:ascii="Times New Roman" w:cs="Times New Roman" w:hAnsi="Times New Roman"/>
        </w:rPr>
        <w:t>, 2026</w:t>
      </w:r>
      <w:r>
        <w:rPr>
          <w:rFonts w:ascii="Times New Roman" w:cs="Times New Roman" w:hAnsi="Times New Roman"/>
        </w:rPr>
        <w:t xml:space="preserve">. </w:t>
      </w:r>
      <w:r>
        <w:rPr>
          <w:rFonts w:ascii="Times New Roman" w:cs="Times New Roman" w:hAnsi="Times New Roman"/>
        </w:rPr>
        <w:t>ISO 27001 ISMS (PDCA Cycle Diagram)</w:t>
      </w:r>
      <w:r>
        <w:rPr>
          <w:rFonts w:ascii="Times New Roman" w:cs="Times New Roman" w:hAnsi="Times New Roman"/>
        </w:rPr>
        <w:t xml:space="preserve">. </w:t>
      </w:r>
      <w:r>
        <w:rPr/>
        <w:fldChar w:fldCharType="begin"/>
      </w:r>
      <w:r>
        <w:instrText xml:space="preserve"> HYPERLINK "https://www.researchgate.net/profile/Seyed-Mojtaba-Hosseini-Bamakan/publication/289556184/figure/fig1/AS:326122526003200@1454765077757/llustration-of-ISMS-PDCA-process.png" </w:instrText>
      </w:r>
      <w:r>
        <w:rPr/>
        <w:fldChar w:fldCharType="separate"/>
      </w:r>
      <w:r>
        <w:rPr>
          <w:rStyle w:val="style85"/>
          <w:rFonts w:ascii="Times New Roman" w:cs="Times New Roman" w:hAnsi="Times New Roman"/>
        </w:rPr>
        <w:t>https://www.researchgate.net/profile/Seyed-Mojtaba-Hosseini-Bamakan/publication/289556184/figure/fig1/AS:326122526003200@1454765077757/llustration-of-ISMS-PDCA-process.png</w:t>
      </w:r>
      <w:r>
        <w:rPr/>
        <w:fldChar w:fldCharType="end"/>
      </w:r>
    </w:p>
    <w:p>
      <w:pPr>
        <w:pStyle w:val="style0"/>
        <w:spacing w:lineRule="auto" w:line="360"/>
        <w:jc w:val="both"/>
        <w:rPr>
          <w:rFonts w:ascii="Times New Roman" w:cs="Times New Roman" w:hAnsi="Times New Roman"/>
        </w:rPr>
      </w:pPr>
      <w:r>
        <w:rPr>
          <w:rFonts w:ascii="Times New Roman" w:cs="Times New Roman" w:hAnsi="Times New Roman"/>
        </w:rPr>
        <w:t>nvlpubs.nist</w:t>
      </w:r>
      <w:r>
        <w:rPr>
          <w:rFonts w:ascii="Times New Roman" w:cs="Times New Roman" w:hAnsi="Times New Roman"/>
        </w:rPr>
        <w:t>, 2026</w:t>
      </w:r>
      <w:r>
        <w:rPr>
          <w:rFonts w:ascii="Times New Roman" w:cs="Times New Roman" w:hAnsi="Times New Roman"/>
        </w:rPr>
        <w:t xml:space="preserve">. </w:t>
      </w:r>
      <w:r>
        <w:rPr>
          <w:rFonts w:ascii="Times New Roman" w:cs="Times New Roman" w:hAnsi="Times New Roman"/>
        </w:rPr>
        <w:t>NIST Cybersecurity Framework Diagram</w:t>
      </w:r>
      <w:r>
        <w:rPr>
          <w:rFonts w:ascii="Times New Roman" w:cs="Times New Roman" w:hAnsi="Times New Roman"/>
        </w:rPr>
        <w:t xml:space="preserve">. </w:t>
      </w:r>
      <w:r>
        <w:rPr/>
        <w:fldChar w:fldCharType="begin"/>
      </w:r>
      <w:r>
        <w:instrText xml:space="preserve"> HYPERLINK "https://nvlpubs.nist.gov/nistpubs/CSWP/NIST.CSWP.29.pdf" </w:instrText>
      </w:r>
      <w:r>
        <w:rPr/>
        <w:fldChar w:fldCharType="separate"/>
      </w:r>
      <w:r>
        <w:rPr>
          <w:rStyle w:val="style85"/>
          <w:rFonts w:ascii="Times New Roman" w:cs="Times New Roman" w:hAnsi="Times New Roman"/>
        </w:rPr>
        <w:t>https://nvlpubs.nist.gov/nistpubs/CSWP/NIST.CSWP.29.pdf</w:t>
      </w:r>
      <w:r>
        <w:rPr/>
        <w:fldChar w:fldCharType="end"/>
      </w:r>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b/>
          <w:bCs/>
        </w:rPr>
      </w:pPr>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rPr>
      </w:pPr>
    </w:p>
    <w:sectPr>
      <w:footerReference w:type="default" r:id="rId7"/>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Calibri">
    <w:altName w:val="Calibri"/>
    <w:panose1 w:val="020f0502020000030204"/>
    <w:charset w:val="00"/>
    <w:family w:val="swiss"/>
    <w:pitch w:val="variable"/>
    <w:sig w:usb0="E4002EFF" w:usb1="C200247B" w:usb2="00000009" w:usb3="00000000" w:csb0="000001FF" w:csb1="00000000"/>
  </w:font>
  <w:font w:name="Calibri Light">
    <w:altName w:val="Calibri Light"/>
    <w:panose1 w:val="020f0302020000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4DCBC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4"/>
        <w:szCs w:val="24"/>
        <w:lang w:val="en-IN"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lineRule="auto" w:line="360"/>
      <w:jc w:val="both"/>
      <w:outlineLvl w:val="0"/>
    </w:pPr>
    <w:rPr>
      <w:rFonts w:ascii="Times New Roman" w:cs="宋体" w:eastAsia="宋体" w:hAnsi="Times New Roman"/>
      <w:b/>
      <w:sz w:val="28"/>
      <w:szCs w:val="40"/>
    </w:rPr>
  </w:style>
  <w:style w:type="paragraph" w:styleId="style2">
    <w:name w:val="heading 2"/>
    <w:basedOn w:val="style0"/>
    <w:next w:val="style0"/>
    <w:link w:val="style4098"/>
    <w:qFormat/>
    <w:uiPriority w:val="9"/>
    <w:pPr>
      <w:keepNext/>
      <w:keepLines/>
      <w:spacing w:before="160" w:after="80" w:lineRule="auto" w:line="360"/>
      <w:jc w:val="both"/>
      <w:outlineLvl w:val="1"/>
    </w:pPr>
    <w:rPr>
      <w:rFonts w:ascii="Times New Roman" w:cs="宋体" w:eastAsia="宋体" w:hAnsi="Times New Roman"/>
      <w:b/>
      <w:sz w:val="26"/>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67155f22-76f8-47ab-8318-930eb5f68c65"/>
    <w:basedOn w:val="style65"/>
    <w:next w:val="style4097"/>
    <w:link w:val="style1"/>
    <w:uiPriority w:val="9"/>
    <w:rPr>
      <w:rFonts w:ascii="Times New Roman" w:cs="宋体" w:eastAsia="宋体" w:hAnsi="Times New Roman"/>
      <w:b/>
      <w:sz w:val="28"/>
      <w:szCs w:val="40"/>
    </w:rPr>
  </w:style>
  <w:style w:type="character" w:customStyle="1" w:styleId="style4098">
    <w:name w:val="Heading 2 Char_13359001-730a-4a42-96c6-7461f1b62a15"/>
    <w:basedOn w:val="style65"/>
    <w:next w:val="style4098"/>
    <w:link w:val="style2"/>
    <w:uiPriority w:val="9"/>
    <w:rPr>
      <w:rFonts w:ascii="Times New Roman" w:cs="宋体" w:eastAsia="宋体" w:hAnsi="Times New Roman"/>
      <w:b/>
      <w:sz w:val="26"/>
      <w:szCs w:val="32"/>
    </w:rPr>
  </w:style>
  <w:style w:type="character" w:customStyle="1" w:styleId="style4099">
    <w:name w:val="Heading 3 Char_0da54fcb-e1e7-4ce9-9776-b4cd02779d0e"/>
    <w:basedOn w:val="style65"/>
    <w:next w:val="style4099"/>
    <w:link w:val="style3"/>
    <w:uiPriority w:val="9"/>
    <w:rPr>
      <w:rFonts w:cs="宋体" w:eastAsia="宋体"/>
      <w:color w:val="2f5496"/>
      <w:sz w:val="28"/>
      <w:szCs w:val="28"/>
    </w:rPr>
  </w:style>
  <w:style w:type="character" w:customStyle="1" w:styleId="style4100">
    <w:name w:val="Heading 4 Char_702a013d-2a1a-4c8f-9603-38dd6730caca"/>
    <w:basedOn w:val="style65"/>
    <w:next w:val="style4100"/>
    <w:link w:val="style4"/>
    <w:uiPriority w:val="9"/>
    <w:rPr>
      <w:rFonts w:cs="宋体" w:eastAsia="宋体"/>
      <w:i/>
      <w:iCs/>
      <w:color w:val="2f5496"/>
    </w:rPr>
  </w:style>
  <w:style w:type="character" w:customStyle="1" w:styleId="style4101">
    <w:name w:val="Heading 5 Char_e3c65c16-265b-425f-9103-bdcd6269a5af"/>
    <w:basedOn w:val="style65"/>
    <w:next w:val="style4101"/>
    <w:link w:val="style5"/>
    <w:uiPriority w:val="9"/>
    <w:rPr>
      <w:rFonts w:cs="宋体" w:eastAsia="宋体"/>
      <w:color w:val="2f5496"/>
    </w:rPr>
  </w:style>
  <w:style w:type="character" w:customStyle="1" w:styleId="style4102">
    <w:name w:val="Heading 6 Char_66f27510-77a9-424f-b4f7-7789e1218886"/>
    <w:basedOn w:val="style65"/>
    <w:next w:val="style4102"/>
    <w:link w:val="style6"/>
    <w:uiPriority w:val="9"/>
    <w:rPr>
      <w:rFonts w:cs="宋体" w:eastAsia="宋体"/>
      <w:i/>
      <w:iCs/>
      <w:color w:val="595959"/>
    </w:rPr>
  </w:style>
  <w:style w:type="character" w:customStyle="1" w:styleId="style4103">
    <w:name w:val="Heading 7 Char_619315cb-e4cb-4fd1-b3a2-f01511d110e1"/>
    <w:basedOn w:val="style65"/>
    <w:next w:val="style4103"/>
    <w:link w:val="style7"/>
    <w:uiPriority w:val="9"/>
    <w:rPr>
      <w:rFonts w:cs="宋体" w:eastAsia="宋体"/>
      <w:color w:val="595959"/>
    </w:rPr>
  </w:style>
  <w:style w:type="character" w:customStyle="1" w:styleId="style4104">
    <w:name w:val="Heading 8 Char_70b10ffe-966e-43ae-a174-559a7c279c26"/>
    <w:basedOn w:val="style65"/>
    <w:next w:val="style4104"/>
    <w:link w:val="style8"/>
    <w:uiPriority w:val="9"/>
    <w:rPr>
      <w:rFonts w:cs="宋体" w:eastAsia="宋体"/>
      <w:i/>
      <w:iCs/>
      <w:color w:val="272727"/>
    </w:rPr>
  </w:style>
  <w:style w:type="character" w:customStyle="1" w:styleId="style4105">
    <w:name w:val="Heading 9 Char_533ab56e-5bfa-4dc4-aff5-cbbe5c62a752"/>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宋体" w:eastAsia="宋体" w:hAnsi="Calibri Light"/>
      <w:spacing w:val="-10"/>
      <w:kern w:val="28"/>
      <w:sz w:val="56"/>
      <w:szCs w:val="56"/>
    </w:rPr>
  </w:style>
  <w:style w:type="character" w:customStyle="1" w:styleId="style4106">
    <w:name w:val="Title Char_c28d5dfd-c616-450c-a64d-2bd939fca624"/>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564fa91-216a-4a03-b41c-5df0627bc375"/>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a1b316f4-03c8-4fff-935c-805503b5f850"/>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character" w:styleId="style85">
    <w:name w:val="Hyperlink"/>
    <w:basedOn w:val="style65"/>
    <w:next w:val="style85"/>
    <w:uiPriority w:val="99"/>
    <w:rPr>
      <w:color w:val="0563c1"/>
      <w:u w:val="single"/>
    </w:rPr>
  </w:style>
  <w:style w:type="character" w:customStyle="1" w:styleId="style4110">
    <w:name w:val="Unresolved Mention"/>
    <w:basedOn w:val="style65"/>
    <w:next w:val="style4110"/>
    <w:uiPriority w:val="99"/>
    <w:rPr>
      <w:color w:val="605e5c"/>
      <w:shd w:val="clear" w:color="auto" w:fill="e1dfdd"/>
    </w:rPr>
  </w:style>
  <w:style w:type="paragraph" w:styleId="style31">
    <w:name w:val="header"/>
    <w:basedOn w:val="style0"/>
    <w:next w:val="style31"/>
    <w:link w:val="style4111"/>
    <w:uiPriority w:val="99"/>
    <w:pPr>
      <w:tabs>
        <w:tab w:val="center" w:leader="none" w:pos="4513"/>
        <w:tab w:val="right" w:leader="none" w:pos="9026"/>
      </w:tabs>
      <w:spacing w:after="0" w:lineRule="auto" w:line="240"/>
    </w:pPr>
    <w:rPr/>
  </w:style>
  <w:style w:type="character" w:customStyle="1" w:styleId="style4111">
    <w:name w:val="Header Char_46130758-0a8b-4a7e-985d-fd96f51fda5b"/>
    <w:basedOn w:val="style65"/>
    <w:next w:val="style4111"/>
    <w:link w:val="style31"/>
    <w:uiPriority w:val="99"/>
  </w:style>
  <w:style w:type="paragraph" w:styleId="style32">
    <w:name w:val="footer"/>
    <w:basedOn w:val="style0"/>
    <w:next w:val="style32"/>
    <w:link w:val="style4112"/>
    <w:uiPriority w:val="99"/>
    <w:pPr>
      <w:tabs>
        <w:tab w:val="center" w:leader="none" w:pos="4513"/>
        <w:tab w:val="right" w:leader="none" w:pos="9026"/>
      </w:tabs>
      <w:spacing w:after="0" w:lineRule="auto" w:line="240"/>
    </w:pPr>
    <w:rPr/>
  </w:style>
  <w:style w:type="character" w:customStyle="1" w:styleId="style4112">
    <w:name w:val="Footer Char_320b6f98-82f0-4789-9964-d08b7f479a0f"/>
    <w:basedOn w:val="style65"/>
    <w:next w:val="style4112"/>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Calibri Light" w:hAnsi="Calibri Light"/>
      <w:b w:val="false"/>
      <w:color w:val="2f5496"/>
      <w:kern w:val="0"/>
      <w:sz w:val="32"/>
      <w:szCs w:val="32"/>
      <w:lang w:val="en-US"/>
      <w14:ligatures xmlns:w14="http://schemas.microsoft.com/office/word/2010/wordml" w14:val="none"/>
    </w:rPr>
  </w:style>
  <w:style w:type="paragraph" w:styleId="style19">
    <w:name w:val="toc 1"/>
    <w:basedOn w:val="style0"/>
    <w:next w:val="style0"/>
    <w:uiPriority w:val="39"/>
    <w:pPr>
      <w:spacing w:after="10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49E17-43D2-4C89-B5D8-E7109E592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Words>3536</Words>
  <Pages>17</Pages>
  <Characters>21843</Characters>
  <Application>WPS Office</Application>
  <DocSecurity>0</DocSecurity>
  <Paragraphs>106</Paragraphs>
  <ScaleCrop>false</ScaleCrop>
  <LinksUpToDate>false</LinksUpToDate>
  <CharactersWithSpaces>25298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2026-04-26T16:59:00Z</dcterms:created>
  <dc:creator>WPS Office</dc:creator>
  <lastModifiedBy>IV2201</lastModifiedBy>
  <dcterms:modified xsi:type="dcterms:W3CDTF">2026-04-28T13:39:55Z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7f682f4e66e145b48f61ef116d6fdaf6</vt:lpwstr>
  </property>
</Properties>
</file>