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8701144"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MODULE CODE:</w:t>
      </w:r>
      <w:r w:rsidR="095D05C6" w:rsidRPr="00353860">
        <w:rPr>
          <w:rFonts w:ascii="Arial"/>
          <w:b/>
          <w:bCs/>
          <w:sz w:val="48"/>
          <w:szCs w:val="48"/>
          <w:lang w:val="fr-FR"/>
        </w:rPr>
        <w:t xml:space="preserve"> </w:t>
      </w:r>
      <w:r w:rsidR="00545AD7" w:rsidRPr="00353860">
        <w:rPr>
          <w:rFonts w:ascii="Arial"/>
          <w:b/>
          <w:bCs/>
          <w:sz w:val="40"/>
          <w:szCs w:val="40"/>
          <w:lang w:val="fr-FR"/>
        </w:rPr>
        <w:t>EC</w:t>
      </w:r>
      <w:r w:rsidR="00D0262E" w:rsidRPr="00353860">
        <w:rPr>
          <w:rFonts w:ascii="Arial"/>
          <w:b/>
          <w:bCs/>
          <w:sz w:val="40"/>
          <w:szCs w:val="40"/>
          <w:lang w:val="fr-FR"/>
        </w:rPr>
        <w:t>PT600</w:t>
      </w:r>
      <w:r w:rsidR="00353860" w:rsidRPr="00353860">
        <w:rPr>
          <w:rFonts w:ascii="Arial"/>
          <w:b/>
          <w:bCs/>
          <w:sz w:val="40"/>
          <w:szCs w:val="40"/>
          <w:lang w:val="fr-FR"/>
        </w:rPr>
        <w:t>3</w:t>
      </w:r>
      <w:r w:rsidR="00A6013A" w:rsidRPr="00353860">
        <w:rPr>
          <w:rFonts w:ascii="Arial"/>
          <w:b/>
          <w:bCs/>
          <w:sz w:val="40"/>
          <w:szCs w:val="40"/>
          <w:lang w:val="fr-FR"/>
        </w:rPr>
        <w:t xml:space="preserve"> </w:t>
      </w:r>
    </w:p>
    <w:p w14:paraId="5051A2D5" w14:textId="77777777" w:rsidR="00347EA1" w:rsidRPr="00353860" w:rsidRDefault="00347EA1" w:rsidP="00DD5969">
      <w:pPr>
        <w:spacing w:before="212"/>
        <w:rPr>
          <w:rFonts w:ascii="Arial"/>
          <w:b/>
          <w:sz w:val="48"/>
          <w:szCs w:val="48"/>
          <w:lang w:val="fr-FR"/>
        </w:rPr>
      </w:pPr>
    </w:p>
    <w:p w14:paraId="52D012F0" w14:textId="75517ADD" w:rsidR="00347EA1" w:rsidRPr="00FD6F07" w:rsidRDefault="00347EA1" w:rsidP="00307139">
      <w:pPr>
        <w:spacing w:before="212"/>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P</w:t>
      </w:r>
      <w:r w:rsidR="00FD6F07" w:rsidRPr="00FD6F07">
        <w:rPr>
          <w:rFonts w:ascii="Arial"/>
          <w:b/>
          <w:bCs/>
          <w:sz w:val="40"/>
          <w:szCs w:val="40"/>
        </w:rPr>
        <w:t>ractical Teach</w:t>
      </w:r>
      <w:r w:rsidR="00FD6F07">
        <w:rPr>
          <w:rFonts w:ascii="Arial"/>
          <w:b/>
          <w:bCs/>
          <w:sz w:val="40"/>
          <w:szCs w:val="40"/>
        </w:rPr>
        <w:t>ing Session</w:t>
      </w:r>
    </w:p>
    <w:p w14:paraId="6AA1A7DC" w14:textId="77777777" w:rsidR="00DD5969" w:rsidRPr="00FD6F07" w:rsidRDefault="00DD5969" w:rsidP="00DD5969">
      <w:pPr>
        <w:spacing w:before="7"/>
        <w:jc w:val="center"/>
        <w:rPr>
          <w:rFonts w:ascii="Arial"/>
          <w:b/>
          <w:sz w:val="44"/>
        </w:rPr>
      </w:pPr>
    </w:p>
    <w:p w14:paraId="7681432B" w14:textId="72A5B226" w:rsidR="00DD5969" w:rsidRPr="00DD5969" w:rsidRDefault="00DD5969" w:rsidP="00DD5969">
      <w:pPr>
        <w:spacing w:before="3"/>
        <w:rPr>
          <w:rFonts w:ascii="Arial"/>
          <w:b/>
          <w:sz w:val="48"/>
          <w:szCs w:val="48"/>
        </w:rPr>
      </w:pPr>
      <w:r w:rsidRPr="00DD5969">
        <w:rPr>
          <w:rFonts w:ascii="Arial"/>
          <w:b/>
          <w:sz w:val="48"/>
          <w:szCs w:val="48"/>
        </w:rPr>
        <w:t>STUDENT NAME:</w:t>
      </w:r>
      <w:r w:rsidR="00251539">
        <w:rPr>
          <w:rFonts w:ascii="Arial"/>
          <w:b/>
          <w:sz w:val="48"/>
          <w:szCs w:val="48"/>
        </w:rPr>
        <w:t xml:space="preserve"> Joanne Wozencroft</w:t>
      </w:r>
    </w:p>
    <w:p w14:paraId="0D16D138" w14:textId="77777777" w:rsidR="00DD5969" w:rsidRPr="00DD5969" w:rsidRDefault="00DD5969" w:rsidP="00DD5969">
      <w:pPr>
        <w:spacing w:before="3"/>
        <w:rPr>
          <w:rFonts w:ascii="Arial"/>
          <w:b/>
          <w:sz w:val="48"/>
          <w:szCs w:val="48"/>
        </w:rPr>
      </w:pPr>
    </w:p>
    <w:p w14:paraId="18107AFF" w14:textId="6E687CA4"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251539">
        <w:rPr>
          <w:rFonts w:ascii="Arial"/>
          <w:b/>
          <w:sz w:val="48"/>
          <w:szCs w:val="48"/>
        </w:rPr>
        <w:t xml:space="preserve"> 0652449</w:t>
      </w:r>
    </w:p>
    <w:p w14:paraId="5EEB9EDC" w14:textId="77777777" w:rsidR="00251539" w:rsidRDefault="00251539" w:rsidP="00DD5969">
      <w:pPr>
        <w:spacing w:before="3"/>
        <w:rPr>
          <w:rFonts w:ascii="Arial"/>
          <w:b/>
          <w:sz w:val="48"/>
          <w:szCs w:val="48"/>
        </w:rPr>
      </w:pPr>
    </w:p>
    <w:p w14:paraId="253A9CD9" w14:textId="3218AF72" w:rsidR="00251539" w:rsidRPr="00DD5969" w:rsidRDefault="00251539" w:rsidP="00DD5969">
      <w:pPr>
        <w:spacing w:before="3"/>
        <w:rPr>
          <w:rFonts w:ascii="Arial"/>
          <w:b/>
          <w:sz w:val="48"/>
          <w:szCs w:val="48"/>
        </w:rPr>
      </w:pPr>
      <w:r>
        <w:rPr>
          <w:rFonts w:ascii="Arial"/>
          <w:b/>
          <w:sz w:val="48"/>
          <w:szCs w:val="48"/>
        </w:rPr>
        <w:t xml:space="preserve">Word Count: </w:t>
      </w:r>
      <w:r w:rsidR="001D4F37">
        <w:rPr>
          <w:rFonts w:ascii="Arial"/>
          <w:b/>
          <w:sz w:val="48"/>
          <w:szCs w:val="48"/>
        </w:rPr>
        <w:t>1</w:t>
      </w:r>
      <w:r w:rsidR="000C55A1">
        <w:rPr>
          <w:rFonts w:ascii="Arial"/>
          <w:b/>
          <w:sz w:val="48"/>
          <w:szCs w:val="48"/>
        </w:rPr>
        <w:t>08</w:t>
      </w:r>
      <w:r w:rsidR="00152F58">
        <w:rPr>
          <w:rFonts w:ascii="Arial"/>
          <w:b/>
          <w:sz w:val="48"/>
          <w:szCs w:val="48"/>
        </w:rPr>
        <w:t>1</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14B15AC5" w14:textId="77777777" w:rsidR="00CB0670" w:rsidRDefault="00CB0670" w:rsidP="00724112">
      <w:pPr>
        <w:rPr>
          <w:rFonts w:ascii="Arial"/>
          <w:b/>
          <w:sz w:val="47"/>
          <w:szCs w:val="47"/>
        </w:rPr>
      </w:pPr>
    </w:p>
    <w:p w14:paraId="5A38292B" w14:textId="22AE52F6" w:rsidR="00B103B9" w:rsidRPr="004F5848" w:rsidRDefault="00B103B9" w:rsidP="00724112">
      <w:pPr>
        <w:rPr>
          <w:rFonts w:ascii="Arial" w:hAnsi="Arial" w:cs="Arial"/>
          <w:b/>
          <w:bCs/>
          <w:u w:val="single"/>
        </w:rPr>
      </w:pPr>
      <w:r w:rsidRPr="004F5848">
        <w:rPr>
          <w:rFonts w:ascii="Arial" w:hAnsi="Arial" w:cs="Arial"/>
          <w:b/>
          <w:bCs/>
          <w:u w:val="single"/>
        </w:rPr>
        <w:t>AI Acknowledgement</w:t>
      </w:r>
      <w:r w:rsidR="003A4B66" w:rsidRPr="004F5848">
        <w:rPr>
          <w:rFonts w:ascii="Arial" w:hAnsi="Arial" w:cs="Arial"/>
          <w:b/>
          <w:bCs/>
          <w:u w:val="single"/>
        </w:rPr>
        <w:t xml:space="preserve">  </w:t>
      </w:r>
    </w:p>
    <w:p w14:paraId="4EE20A6B" w14:textId="77777777" w:rsidR="00E243A8" w:rsidRPr="004F5848" w:rsidRDefault="00E243A8" w:rsidP="00E243A8">
      <w:pPr>
        <w:rPr>
          <w:rFonts w:ascii="Arial" w:hAnsi="Arial" w:cs="Arial"/>
        </w:rPr>
      </w:pPr>
      <w:r w:rsidRPr="004F5848">
        <w:rPr>
          <w:rFonts w:ascii="Arial" w:hAnsi="Arial" w:cs="Arial"/>
        </w:rPr>
        <w:t xml:space="preserve">I confirm that I have not used any AI tools in the research and creation of this assignment. </w:t>
      </w:r>
    </w:p>
    <w:p w14:paraId="768557CB" w14:textId="77777777" w:rsidR="00C2550A" w:rsidRPr="004F5848" w:rsidRDefault="00E243A8" w:rsidP="00E243A8">
      <w:pPr>
        <w:rPr>
          <w:rFonts w:ascii="Arial" w:hAnsi="Arial" w:cs="Arial"/>
        </w:rPr>
      </w:pPr>
      <w:r w:rsidRPr="004F5848">
        <w:rPr>
          <w:rFonts w:ascii="Arial" w:hAnsi="Arial" w:cs="Arial"/>
        </w:rPr>
        <w:t xml:space="preserve">I confirm that I have not presented any AI generated materials as my own work. </w:t>
      </w:r>
    </w:p>
    <w:p w14:paraId="78B15B94" w14:textId="59458B70" w:rsidR="00E243A8" w:rsidRPr="004F5848" w:rsidRDefault="00E243A8" w:rsidP="00E243A8">
      <w:pPr>
        <w:rPr>
          <w:rFonts w:ascii="Arial" w:hAnsi="Arial" w:cs="Arial"/>
        </w:rPr>
      </w:pPr>
      <w:r w:rsidRPr="004F5848">
        <w:rPr>
          <w:rFonts w:ascii="Arial" w:hAnsi="Arial" w:cs="Arial"/>
        </w:rPr>
        <w:t xml:space="preserve">I confirm </w:t>
      </w:r>
      <w:r w:rsidR="00C2550A" w:rsidRPr="004F5848">
        <w:rPr>
          <w:rFonts w:ascii="Arial" w:hAnsi="Arial" w:cs="Arial"/>
        </w:rPr>
        <w:t xml:space="preserve">that </w:t>
      </w:r>
      <w:r w:rsidRPr="004F5848">
        <w:rPr>
          <w:rFonts w:ascii="Arial" w:hAnsi="Arial" w:cs="Arial"/>
        </w:rPr>
        <w:t>I have copies of my drafts, notes, and other resources I used, which I may be asked to provide in evidence.</w:t>
      </w:r>
    </w:p>
    <w:p w14:paraId="4D0B3579" w14:textId="77777777" w:rsidR="004F5848" w:rsidRPr="004F5848" w:rsidRDefault="004F5848" w:rsidP="004F5848">
      <w:pPr>
        <w:rPr>
          <w:rFonts w:ascii="Arial" w:hAnsi="Arial" w:cs="Arial"/>
          <w:b/>
          <w:bCs/>
        </w:rPr>
      </w:pPr>
      <w:r w:rsidRPr="004F5848">
        <w:rPr>
          <w:rFonts w:ascii="Arial" w:hAnsi="Arial" w:cs="Arial"/>
          <w:b/>
          <w:bCs/>
        </w:rPr>
        <w:t>Reflective Account – Part 2</w:t>
      </w:r>
    </w:p>
    <w:p w14:paraId="420F41AB" w14:textId="77777777" w:rsidR="004F5848" w:rsidRPr="001D358C" w:rsidRDefault="004F5848" w:rsidP="004F5848">
      <w:pPr>
        <w:rPr>
          <w:rFonts w:ascii="Arial" w:hAnsi="Arial" w:cs="Arial"/>
          <w:b/>
          <w:bCs/>
        </w:rPr>
      </w:pPr>
      <w:r w:rsidRPr="001D358C">
        <w:rPr>
          <w:rFonts w:ascii="Arial" w:hAnsi="Arial" w:cs="Arial"/>
          <w:b/>
          <w:bCs/>
        </w:rPr>
        <w:t>Description</w:t>
      </w:r>
    </w:p>
    <w:p w14:paraId="5E570760" w14:textId="77777777" w:rsidR="004F5848" w:rsidRPr="004F5848" w:rsidRDefault="004F5848" w:rsidP="004F5848">
      <w:pPr>
        <w:spacing w:line="360" w:lineRule="auto"/>
        <w:rPr>
          <w:rFonts w:ascii="Arial" w:hAnsi="Arial" w:cs="Arial"/>
        </w:rPr>
      </w:pPr>
      <w:r w:rsidRPr="004F5848">
        <w:rPr>
          <w:rFonts w:ascii="Arial" w:hAnsi="Arial" w:cs="Arial"/>
        </w:rPr>
        <w:t>This account uses Gibbs’ (1988) reflective cycle to critically evaluate my first observed 30-minute microteach with 36 Level 6 Early Years Education and Care learners as a trainee lecturer. The session explored the John Muir Award through questioning, Think-Pair-Share, multisensory discovery boxes and a digital scrapbook. Effective planning requires alignment between learners’ starting points, outcomes, activities and assessment (Thompson et al., 2024; Race and Brown, 2025). My planning therefore considered intended learning alongside my knowledge of this evening cohort.</w:t>
      </w:r>
    </w:p>
    <w:p w14:paraId="4BC2C7F0" w14:textId="2B1EE5BE" w:rsidR="004F5848" w:rsidRPr="004F5848" w:rsidRDefault="004F5848" w:rsidP="004F5848">
      <w:pPr>
        <w:spacing w:line="360" w:lineRule="auto"/>
        <w:rPr>
          <w:rFonts w:ascii="Arial" w:hAnsi="Arial" w:cs="Arial"/>
        </w:rPr>
      </w:pPr>
      <w:r w:rsidRPr="004F5848">
        <w:rPr>
          <w:rFonts w:ascii="Arial" w:hAnsi="Arial" w:cs="Arial"/>
        </w:rPr>
        <w:t xml:space="preserve">The previous session had included </w:t>
      </w:r>
      <w:r w:rsidR="003238A9">
        <w:rPr>
          <w:rFonts w:ascii="Arial" w:hAnsi="Arial" w:cs="Arial"/>
        </w:rPr>
        <w:t xml:space="preserve">learner </w:t>
      </w:r>
      <w:r w:rsidRPr="004F5848">
        <w:rPr>
          <w:rFonts w:ascii="Arial" w:hAnsi="Arial" w:cs="Arial"/>
        </w:rPr>
        <w:t xml:space="preserve">fatigue and reduced concentration, prompting me to consider environment alongside pedagogy. As adult learning is influenced by wider contexts (Avis, Fisher and Thompson, 2019), on a particularly hot evening I increased ventilation, provided </w:t>
      </w:r>
      <w:r w:rsidR="001E6B12">
        <w:rPr>
          <w:rFonts w:ascii="Arial" w:hAnsi="Arial" w:cs="Arial"/>
        </w:rPr>
        <w:t>a hydration station, sweet treats</w:t>
      </w:r>
      <w:r w:rsidRPr="004F5848">
        <w:rPr>
          <w:rFonts w:ascii="Arial" w:hAnsi="Arial" w:cs="Arial"/>
        </w:rPr>
        <w:t xml:space="preserve"> and incorporated natural </w:t>
      </w:r>
      <w:r w:rsidR="001E6B12">
        <w:rPr>
          <w:rFonts w:ascii="Arial" w:hAnsi="Arial" w:cs="Arial"/>
        </w:rPr>
        <w:t xml:space="preserve">fragrant </w:t>
      </w:r>
      <w:r w:rsidRPr="004F5848">
        <w:rPr>
          <w:rFonts w:ascii="Arial" w:hAnsi="Arial" w:cs="Arial"/>
        </w:rPr>
        <w:t>sensory resources. Maslow (1943) offers one lens for considering physiological comfort, although motivation cannot be reduced to physiological factors alone. Learner and mentor feedback suggested these adaptations supported participation. Brookfield (2017) argues that critical reflection requires assumptions to be examined through perspectives beyond one’s own; their feedback therefore helped test my interpretation. This developed my understanding of responsive practice as recognising contextual barriers to participation (Welsh Government, 2023).</w:t>
      </w:r>
    </w:p>
    <w:p w14:paraId="3CF2C34D" w14:textId="77777777" w:rsidR="00842D94" w:rsidRDefault="00842D94" w:rsidP="004F5848">
      <w:pPr>
        <w:rPr>
          <w:rFonts w:ascii="Arial" w:hAnsi="Arial" w:cs="Arial"/>
          <w:b/>
          <w:bCs/>
        </w:rPr>
      </w:pPr>
    </w:p>
    <w:p w14:paraId="2060B0DC" w14:textId="77777777" w:rsidR="00842D94" w:rsidRDefault="00842D94" w:rsidP="004F5848">
      <w:pPr>
        <w:rPr>
          <w:rFonts w:ascii="Arial" w:hAnsi="Arial" w:cs="Arial"/>
          <w:b/>
          <w:bCs/>
        </w:rPr>
      </w:pPr>
    </w:p>
    <w:p w14:paraId="0A7D28C5" w14:textId="483B2755" w:rsidR="004F5848" w:rsidRPr="00842D94" w:rsidRDefault="004F5848" w:rsidP="004F5848">
      <w:pPr>
        <w:rPr>
          <w:rFonts w:ascii="Arial" w:hAnsi="Arial" w:cs="Arial"/>
          <w:b/>
          <w:bCs/>
        </w:rPr>
      </w:pPr>
      <w:r w:rsidRPr="00842D94">
        <w:rPr>
          <w:rFonts w:ascii="Arial" w:hAnsi="Arial" w:cs="Arial"/>
          <w:b/>
          <w:bCs/>
        </w:rPr>
        <w:lastRenderedPageBreak/>
        <w:t>Feelings</w:t>
      </w:r>
    </w:p>
    <w:p w14:paraId="7E91B43A" w14:textId="46BBC2CA" w:rsidR="004F5848" w:rsidRPr="004F5848" w:rsidRDefault="004F5848" w:rsidP="004F5848">
      <w:pPr>
        <w:spacing w:line="360" w:lineRule="auto"/>
        <w:rPr>
          <w:rFonts w:ascii="Arial" w:hAnsi="Arial" w:cs="Arial"/>
        </w:rPr>
      </w:pPr>
      <w:r w:rsidRPr="004F5848">
        <w:rPr>
          <w:rFonts w:ascii="Arial" w:hAnsi="Arial" w:cs="Arial"/>
        </w:rPr>
        <w:t xml:space="preserve">I initially felt excited but apprehensive. An unexpected room change increased my anxiety and required immediate reorganisation; however, preparation enabled me to adapt. Schön’s (1983) reflection-in-action explains professional responses to uncertainty. My observer praised my adaptability and learners </w:t>
      </w:r>
      <w:r w:rsidR="001A56E9">
        <w:rPr>
          <w:rFonts w:ascii="Arial" w:hAnsi="Arial" w:cs="Arial"/>
        </w:rPr>
        <w:t xml:space="preserve">adapted and </w:t>
      </w:r>
      <w:r w:rsidRPr="004F5848">
        <w:rPr>
          <w:rFonts w:ascii="Arial" w:hAnsi="Arial" w:cs="Arial"/>
        </w:rPr>
        <w:t>remained engaged, challenging my assumption that the disruption would negatively affect the session. I therefore recognised that effective planning should enable responsive professional judgement rather than rigid adherence to a plan (Schön, 1983; Thompson et al., 2024).</w:t>
      </w:r>
    </w:p>
    <w:p w14:paraId="36BC0AC9" w14:textId="77777777" w:rsidR="004F5848" w:rsidRPr="004F5848" w:rsidRDefault="004F5848" w:rsidP="004F5848">
      <w:pPr>
        <w:spacing w:line="360" w:lineRule="auto"/>
        <w:rPr>
          <w:rFonts w:ascii="Arial" w:hAnsi="Arial" w:cs="Arial"/>
        </w:rPr>
      </w:pPr>
      <w:r w:rsidRPr="004F5848">
        <w:rPr>
          <w:rFonts w:ascii="Arial" w:hAnsi="Arial" w:cs="Arial"/>
        </w:rPr>
        <w:t>As learners participated, my apprehension was replaced by confidence and enjoyment. By the end, I felt elated. Learners described the session as “excellent”, “informative” and “inspirational”; my mentor stated that learners felt valued; and my observer praised my rapport, questioning and subject knowledge. However, Brookfield (2017) cautions against relying solely on personal interpretations. Triangulating these perspectives validated genuine strengths while requiring me to distinguish between perceived success and evidenced learning. Critically evaluating feedback in this way supports reflective professional learning and continuing improvement (Brookfield, 2017; Welsh Government, 2023).</w:t>
      </w:r>
    </w:p>
    <w:p w14:paraId="66F68248" w14:textId="77777777" w:rsidR="004F5848" w:rsidRPr="00DC75B8" w:rsidRDefault="004F5848" w:rsidP="004F5848">
      <w:pPr>
        <w:rPr>
          <w:rFonts w:ascii="Arial" w:hAnsi="Arial" w:cs="Arial"/>
          <w:b/>
          <w:bCs/>
        </w:rPr>
      </w:pPr>
      <w:r w:rsidRPr="00DC75B8">
        <w:rPr>
          <w:rFonts w:ascii="Arial" w:hAnsi="Arial" w:cs="Arial"/>
          <w:b/>
          <w:bCs/>
        </w:rPr>
        <w:t>Evaluation</w:t>
      </w:r>
    </w:p>
    <w:p w14:paraId="19F0E604" w14:textId="77777777" w:rsidR="004F5848" w:rsidRPr="004F5848" w:rsidRDefault="004F5848" w:rsidP="004F5848">
      <w:pPr>
        <w:spacing w:line="360" w:lineRule="auto"/>
        <w:rPr>
          <w:rFonts w:ascii="Arial" w:hAnsi="Arial" w:cs="Arial"/>
        </w:rPr>
      </w:pPr>
      <w:r w:rsidRPr="004F5848">
        <w:rPr>
          <w:rFonts w:ascii="Arial" w:hAnsi="Arial" w:cs="Arial"/>
        </w:rPr>
        <w:t>Experiential and multisensory teaching was a significant strength. Dewey (1938) associates learning with experience and reflection, while Vygotsky (1978) and Bruner (1966) emphasise active, socially mediated meaning-making. Think-Pair-Share also supported participation (Race, 2020). One learner commented that “the smallest thing took us back to our childhood”, suggesting connections with prior experience; another stated, “I struggle with concentration but found you very engaging”. However, engagement cannot independently demonstrate achievement because assessment requires evidence against intended outcomes (Gravells, 2021; Race and Brown, 2025). I therefore recognised that, while engaging pedagogy can support participation, evidence of learners’ understanding is necessary to establish whether intended learning has been achieved (Gravells, 2021; Race and Brown, 2025).</w:t>
      </w:r>
    </w:p>
    <w:p w14:paraId="49B4E378" w14:textId="77777777" w:rsidR="004F5848" w:rsidRPr="004F5848" w:rsidRDefault="004F5848" w:rsidP="004F5848">
      <w:pPr>
        <w:spacing w:line="360" w:lineRule="auto"/>
        <w:rPr>
          <w:rFonts w:ascii="Arial" w:hAnsi="Arial" w:cs="Arial"/>
        </w:rPr>
      </w:pPr>
      <w:r w:rsidRPr="004F5848">
        <w:rPr>
          <w:rFonts w:ascii="Arial" w:hAnsi="Arial" w:cs="Arial"/>
        </w:rPr>
        <w:t xml:space="preserve">The observation also challenged my understanding of inclusion. I had assumed that sensory resources and varied participation demonstrated inclusive practice. </w:t>
      </w:r>
      <w:r w:rsidRPr="004F5848">
        <w:rPr>
          <w:rFonts w:ascii="Arial" w:hAnsi="Arial" w:cs="Arial"/>
        </w:rPr>
        <w:lastRenderedPageBreak/>
        <w:t>However, my observer identified excessive text, small fonts and decorative PowerPoint backgrounds as potential barriers. This revealed that I had scrutinised teaching strategies more critically than resource accessibility. The Professional Standards emphasise responding to learner needs and promoting equality, diversity and inclusion (Welsh Government, 2023), while Cuevas (2015) challenges matching teaching to fixed learning styles. I now view pedagogical variety as widening access rather than accommodating fixed learner “types” (Cuevas, 2015). Inclusion must therefore be</w:t>
      </w:r>
      <w:r w:rsidRPr="004F5848">
        <w:t xml:space="preserve"> </w:t>
      </w:r>
      <w:r w:rsidRPr="004F5848">
        <w:rPr>
          <w:rFonts w:ascii="Arial" w:hAnsi="Arial" w:cs="Arial"/>
        </w:rPr>
        <w:t>evaluated through learners’ access to the whole learning experience, rather than through inclusive intention alone (Welsh Government, 2023).</w:t>
      </w:r>
    </w:p>
    <w:p w14:paraId="3B875F64" w14:textId="77777777" w:rsidR="004F5848" w:rsidRPr="000B46CD" w:rsidRDefault="004F5848" w:rsidP="004F5848">
      <w:pPr>
        <w:rPr>
          <w:rFonts w:ascii="Arial" w:hAnsi="Arial" w:cs="Arial"/>
          <w:b/>
          <w:bCs/>
        </w:rPr>
      </w:pPr>
      <w:r w:rsidRPr="000B46CD">
        <w:rPr>
          <w:rFonts w:ascii="Arial" w:hAnsi="Arial" w:cs="Arial"/>
          <w:b/>
          <w:bCs/>
        </w:rPr>
        <w:t>Analysis</w:t>
      </w:r>
    </w:p>
    <w:p w14:paraId="53634F47" w14:textId="03D2A15A" w:rsidR="004F5848" w:rsidRPr="004F5848" w:rsidRDefault="004F5848" w:rsidP="004F5848">
      <w:pPr>
        <w:spacing w:line="360" w:lineRule="auto"/>
        <w:rPr>
          <w:rFonts w:ascii="Arial" w:hAnsi="Arial" w:cs="Arial"/>
        </w:rPr>
      </w:pPr>
      <w:r w:rsidRPr="004F5848">
        <w:rPr>
          <w:rFonts w:ascii="Arial" w:hAnsi="Arial" w:cs="Arial"/>
        </w:rPr>
        <w:t>Assessment generated my most significant professional learning. Formative assessment should provide evidence of understanding against intended learning and inform teaching (Gravells, 2021; Race and Brown, 2025). Although I planned questioning, observation, discussion and a final assessment, I ran out of time and did not complete the final activity. Consequently, I could not establish whether all learners achieved the outcomes, demonstrating the importance of aligning outcomes, activities and assessment (Thompson et al., 2024; Race and Brown, 2025). Brookfield’s (2017) critical perspective challenged my assumption that positive engagement represented successful learning. Although I left elated, enjoyment could not substitute for evidence of achievement (Gravells, 2021; Race and Brown, 2025). Future planning will therefore protect assessment time and prioritise demonstrable learning (Thompson et al., 2024).</w:t>
      </w:r>
    </w:p>
    <w:p w14:paraId="23E5295E" w14:textId="77777777" w:rsidR="004F5848" w:rsidRPr="004F5848" w:rsidRDefault="004F5848" w:rsidP="004F5848">
      <w:pPr>
        <w:spacing w:line="360" w:lineRule="auto"/>
        <w:rPr>
          <w:rFonts w:ascii="Arial" w:hAnsi="Arial" w:cs="Arial"/>
        </w:rPr>
      </w:pPr>
      <w:r w:rsidRPr="004F5848">
        <w:rPr>
          <w:rFonts w:ascii="Arial" w:hAnsi="Arial" w:cs="Arial"/>
        </w:rPr>
        <w:t>This also exposed the difference between thorough preparation and effective planning. My observer described my plan as sufficiently detailed for another lecturer to deliver, yet I attempted too much within 30 minutes. Effective planning requires realistic selection and alignment (Thompson et al., 2024). My preparation became counterproductive when activity volume restricted opportunities to evidence learning. I will therefore streamline content and prioritise demonstrable learning over activity completion (Thompson et al., 2024; Race and Brown, 2025).</w:t>
      </w:r>
    </w:p>
    <w:p w14:paraId="2970B512" w14:textId="77777777" w:rsidR="004F5848" w:rsidRPr="004F5848" w:rsidRDefault="004F5848" w:rsidP="004F5848">
      <w:pPr>
        <w:spacing w:line="360" w:lineRule="auto"/>
        <w:rPr>
          <w:rFonts w:ascii="Arial" w:hAnsi="Arial" w:cs="Arial"/>
        </w:rPr>
      </w:pPr>
      <w:r w:rsidRPr="004F5848">
        <w:rPr>
          <w:rFonts w:ascii="Arial" w:hAnsi="Arial" w:cs="Arial"/>
        </w:rPr>
        <w:t xml:space="preserve">Classroom interaction presented another tension. Rogers (1969) emphasises learner-centred relationships, while Skinner (1953) highlights consistent cues and reinforcement. My observer noted continued conversations after collaborative </w:t>
      </w:r>
      <w:r w:rsidRPr="004F5848">
        <w:rPr>
          <w:rFonts w:ascii="Arial" w:hAnsi="Arial" w:cs="Arial"/>
        </w:rPr>
        <w:lastRenderedPageBreak/>
        <w:t>feedback. Considering these perspectives helped me recognise that relational warmth and clear expectations are complementary rather than contradictory (Rogers, 1969; Skinner, 1953). Clearer transitions can therefore protect learning time while maintaining respectful relationships, consistent with creating supportive learning environments (Welsh Government, 2023).</w:t>
      </w:r>
    </w:p>
    <w:p w14:paraId="63DF36AC" w14:textId="77777777" w:rsidR="004F5848" w:rsidRPr="004F5848" w:rsidRDefault="004F5848" w:rsidP="004F5848">
      <w:pPr>
        <w:spacing w:line="360" w:lineRule="auto"/>
        <w:rPr>
          <w:rFonts w:ascii="Arial" w:hAnsi="Arial" w:cs="Arial"/>
        </w:rPr>
      </w:pPr>
      <w:r w:rsidRPr="004F5848">
        <w:rPr>
          <w:rFonts w:ascii="Arial" w:hAnsi="Arial" w:cs="Arial"/>
        </w:rPr>
        <w:t>Finally, my observer questioned whether “identify” and “explain” provided sufficient Level 6 challenge. Bloom (1956) provides a framework for cognitive complexity, while Race and Brown (2025) emphasise alignment between intended learning and assessment. Higher-order verbs alone do not guarantee challenge; learners must demonstrate corresponding depth of thinking (Bloom, 1956; Race and Brown, 2025). I will therefore design opportunities to analyse, apply, evaluate and justify understanding, shifting my focus towards the quality of learning demonstrated.</w:t>
      </w:r>
    </w:p>
    <w:p w14:paraId="05415B1A" w14:textId="77777777" w:rsidR="004F5848" w:rsidRPr="00843DDE" w:rsidRDefault="004F5848" w:rsidP="004F5848">
      <w:pPr>
        <w:rPr>
          <w:rFonts w:ascii="Arial" w:hAnsi="Arial" w:cs="Arial"/>
          <w:b/>
          <w:bCs/>
        </w:rPr>
      </w:pPr>
      <w:r w:rsidRPr="00843DDE">
        <w:rPr>
          <w:rFonts w:ascii="Arial" w:hAnsi="Arial" w:cs="Arial"/>
          <w:b/>
          <w:bCs/>
        </w:rPr>
        <w:t>Conclusion</w:t>
      </w:r>
    </w:p>
    <w:p w14:paraId="3750962A" w14:textId="77777777" w:rsidR="004F5848" w:rsidRPr="004F5848" w:rsidRDefault="004F5848" w:rsidP="004F5848">
      <w:pPr>
        <w:spacing w:line="360" w:lineRule="auto"/>
        <w:rPr>
          <w:rFonts w:ascii="Arial" w:hAnsi="Arial" w:cs="Arial"/>
        </w:rPr>
      </w:pPr>
      <w:r w:rsidRPr="004F5848">
        <w:rPr>
          <w:rFonts w:ascii="Arial" w:hAnsi="Arial" w:cs="Arial"/>
        </w:rPr>
        <w:t>Gibbs’ (1988) cycle enabled me to move beyond judging the microteach as successful because learners enjoyed it. Triangulating learner, mentor and observer perspectives with literature validated strengths while identifying development in accessibility, assessment, timing, transitions and cognitive challenge, consistent with critical reflection through multiple perspectives (Brookfield, 2017).</w:t>
      </w:r>
    </w:p>
    <w:p w14:paraId="299D990F" w14:textId="77777777" w:rsidR="004F5848" w:rsidRPr="004F5848" w:rsidRDefault="004F5848" w:rsidP="004F5848">
      <w:pPr>
        <w:spacing w:line="360" w:lineRule="auto"/>
        <w:rPr>
          <w:rFonts w:ascii="Arial" w:hAnsi="Arial" w:cs="Arial"/>
        </w:rPr>
      </w:pPr>
      <w:r w:rsidRPr="004F5848">
        <w:rPr>
          <w:rFonts w:ascii="Arial" w:hAnsi="Arial" w:cs="Arial"/>
        </w:rPr>
        <w:t>Most significantly, I no longer equate preparation with effective planning (Thompson et al., 2024), engagement with achievement (Gravells, 2021; Race and Brown, 2025), pedagogical variety with fixed learning styles (Cuevas, 2015), or inclusive intention with inclusive impact (Welsh Government, 2023). Although I left elated and more confident, the greater value of the observation was challenging assumptions underlying my practice (Brookfield, 2017). I now understand effective teaching as aligning accessible pedagogy, cognitive challenge, positive relationships and purposeful assessment with demonstrable learning (Race and Brown, 2025; Welsh Government, 2023). This will inform my professional development through accessible resources, protected assessment time, clearer transitions and greater Level 6 challenge (Welsh Government, 2023).</w:t>
      </w:r>
    </w:p>
    <w:p w14:paraId="122D2587" w14:textId="77777777" w:rsidR="006A6127" w:rsidRDefault="006A6127" w:rsidP="004F5848">
      <w:pPr>
        <w:rPr>
          <w:rFonts w:ascii="Arial" w:hAnsi="Arial" w:cs="Arial"/>
          <w:b/>
          <w:bCs/>
        </w:rPr>
      </w:pPr>
    </w:p>
    <w:p w14:paraId="0EA13DD2" w14:textId="77777777" w:rsidR="006A6127" w:rsidRDefault="006A6127" w:rsidP="004F5848">
      <w:pPr>
        <w:rPr>
          <w:rFonts w:ascii="Arial" w:hAnsi="Arial" w:cs="Arial"/>
          <w:b/>
          <w:bCs/>
        </w:rPr>
      </w:pPr>
    </w:p>
    <w:p w14:paraId="10738950" w14:textId="77777777" w:rsidR="006A6127" w:rsidRDefault="006A6127" w:rsidP="004F5848">
      <w:pPr>
        <w:rPr>
          <w:rFonts w:ascii="Arial" w:hAnsi="Arial" w:cs="Arial"/>
          <w:b/>
          <w:bCs/>
        </w:rPr>
      </w:pPr>
    </w:p>
    <w:p w14:paraId="1E059916" w14:textId="5ACD48ED" w:rsidR="004F5848" w:rsidRPr="006A6127" w:rsidRDefault="004F5848" w:rsidP="004F5848">
      <w:pPr>
        <w:rPr>
          <w:rFonts w:ascii="Arial" w:hAnsi="Arial" w:cs="Arial"/>
          <w:b/>
          <w:bCs/>
        </w:rPr>
      </w:pPr>
      <w:r w:rsidRPr="006A6127">
        <w:rPr>
          <w:rFonts w:ascii="Arial" w:hAnsi="Arial" w:cs="Arial"/>
          <w:b/>
          <w:bCs/>
        </w:rPr>
        <w:lastRenderedPageBreak/>
        <w:t>Reference List</w:t>
      </w:r>
    </w:p>
    <w:p w14:paraId="57CEA327" w14:textId="77777777" w:rsidR="004F5848" w:rsidRPr="004F5848" w:rsidRDefault="004F5848" w:rsidP="004F5848">
      <w:pPr>
        <w:rPr>
          <w:rFonts w:ascii="Arial" w:hAnsi="Arial" w:cs="Arial"/>
        </w:rPr>
      </w:pPr>
      <w:r w:rsidRPr="004F5848">
        <w:rPr>
          <w:rFonts w:ascii="Arial" w:hAnsi="Arial" w:cs="Arial"/>
        </w:rPr>
        <w:t xml:space="preserve">Avis, J., Fisher, R. and Thompson, R. (eds.) (2019) </w:t>
      </w:r>
      <w:r w:rsidRPr="004F5848">
        <w:rPr>
          <w:rFonts w:ascii="Arial" w:hAnsi="Arial" w:cs="Arial"/>
          <w:i/>
          <w:iCs/>
        </w:rPr>
        <w:t>Teaching in lifelong learning: A guide to theory and practice</w:t>
      </w:r>
      <w:r w:rsidRPr="004F5848">
        <w:rPr>
          <w:rFonts w:ascii="Arial" w:hAnsi="Arial" w:cs="Arial"/>
        </w:rPr>
        <w:t xml:space="preserve">. 3rd </w:t>
      </w:r>
      <w:proofErr w:type="spellStart"/>
      <w:r w:rsidRPr="004F5848">
        <w:rPr>
          <w:rFonts w:ascii="Arial" w:hAnsi="Arial" w:cs="Arial"/>
        </w:rPr>
        <w:t>edn</w:t>
      </w:r>
      <w:proofErr w:type="spellEnd"/>
      <w:r w:rsidRPr="004F5848">
        <w:rPr>
          <w:rFonts w:ascii="Arial" w:hAnsi="Arial" w:cs="Arial"/>
        </w:rPr>
        <w:t>. Open University Press.</w:t>
      </w:r>
    </w:p>
    <w:p w14:paraId="2D55F7EB" w14:textId="77777777" w:rsidR="004F5848" w:rsidRPr="004F5848" w:rsidRDefault="004F5848" w:rsidP="004F5848">
      <w:pPr>
        <w:rPr>
          <w:rFonts w:ascii="Arial" w:hAnsi="Arial" w:cs="Arial"/>
        </w:rPr>
      </w:pPr>
      <w:r w:rsidRPr="004F5848">
        <w:rPr>
          <w:rFonts w:ascii="Arial" w:hAnsi="Arial" w:cs="Arial"/>
        </w:rPr>
        <w:t xml:space="preserve">Bloom, B.S. (ed.) (1956) </w:t>
      </w:r>
      <w:r w:rsidRPr="004F5848">
        <w:rPr>
          <w:rFonts w:ascii="Arial" w:hAnsi="Arial" w:cs="Arial"/>
          <w:i/>
          <w:iCs/>
        </w:rPr>
        <w:t>Taxonomy of educational objectives: The classification of educational goals. Handbook I: Cognitive domain</w:t>
      </w:r>
      <w:r w:rsidRPr="004F5848">
        <w:rPr>
          <w:rFonts w:ascii="Arial" w:hAnsi="Arial" w:cs="Arial"/>
        </w:rPr>
        <w:t>. David McKay Company.</w:t>
      </w:r>
    </w:p>
    <w:p w14:paraId="5614C9A9" w14:textId="77777777" w:rsidR="004F5848" w:rsidRPr="004F5848" w:rsidRDefault="004F5848" w:rsidP="004F5848">
      <w:pPr>
        <w:rPr>
          <w:rFonts w:ascii="Arial" w:hAnsi="Arial" w:cs="Arial"/>
        </w:rPr>
      </w:pPr>
      <w:r w:rsidRPr="004F5848">
        <w:rPr>
          <w:rFonts w:ascii="Arial" w:hAnsi="Arial" w:cs="Arial"/>
        </w:rPr>
        <w:t xml:space="preserve">Brookfield, S.D. (2017) </w:t>
      </w:r>
      <w:r w:rsidRPr="004F5848">
        <w:rPr>
          <w:rFonts w:ascii="Arial" w:hAnsi="Arial" w:cs="Arial"/>
          <w:i/>
          <w:iCs/>
        </w:rPr>
        <w:t>Becoming a critically reflective teacher</w:t>
      </w:r>
      <w:r w:rsidRPr="004F5848">
        <w:rPr>
          <w:rFonts w:ascii="Arial" w:hAnsi="Arial" w:cs="Arial"/>
        </w:rPr>
        <w:t xml:space="preserve">. 2nd </w:t>
      </w:r>
      <w:proofErr w:type="spellStart"/>
      <w:r w:rsidRPr="004F5848">
        <w:rPr>
          <w:rFonts w:ascii="Arial" w:hAnsi="Arial" w:cs="Arial"/>
        </w:rPr>
        <w:t>edn</w:t>
      </w:r>
      <w:proofErr w:type="spellEnd"/>
      <w:r w:rsidRPr="004F5848">
        <w:rPr>
          <w:rFonts w:ascii="Arial" w:hAnsi="Arial" w:cs="Arial"/>
        </w:rPr>
        <w:t>. Jossey-Bass.</w:t>
      </w:r>
    </w:p>
    <w:p w14:paraId="768949AF" w14:textId="77777777" w:rsidR="004F5848" w:rsidRPr="004F5848" w:rsidRDefault="004F5848" w:rsidP="004F5848">
      <w:pPr>
        <w:rPr>
          <w:rFonts w:ascii="Arial" w:hAnsi="Arial" w:cs="Arial"/>
        </w:rPr>
      </w:pPr>
      <w:r w:rsidRPr="004F5848">
        <w:rPr>
          <w:rFonts w:ascii="Arial" w:hAnsi="Arial" w:cs="Arial"/>
        </w:rPr>
        <w:t xml:space="preserve">Bruner, J.S. (1966) </w:t>
      </w:r>
      <w:r w:rsidRPr="004F5848">
        <w:rPr>
          <w:rFonts w:ascii="Arial" w:hAnsi="Arial" w:cs="Arial"/>
          <w:i/>
          <w:iCs/>
        </w:rPr>
        <w:t>Toward a theory of instruction</w:t>
      </w:r>
      <w:r w:rsidRPr="004F5848">
        <w:rPr>
          <w:rFonts w:ascii="Arial" w:hAnsi="Arial" w:cs="Arial"/>
        </w:rPr>
        <w:t>. Belknap Press of Harvard University Press.</w:t>
      </w:r>
    </w:p>
    <w:p w14:paraId="0BDCB0FE" w14:textId="77777777" w:rsidR="004F5848" w:rsidRPr="004F5848" w:rsidRDefault="004F5848" w:rsidP="004F5848">
      <w:pPr>
        <w:rPr>
          <w:rFonts w:ascii="Arial" w:hAnsi="Arial" w:cs="Arial"/>
        </w:rPr>
      </w:pPr>
      <w:r w:rsidRPr="004F5848">
        <w:rPr>
          <w:rFonts w:ascii="Arial" w:hAnsi="Arial" w:cs="Arial"/>
        </w:rPr>
        <w:t xml:space="preserve">Cuevas, J. (2015) ‘Is learning styles-based instruction effective? A comprehensive analysis of recent research on learning styles’, </w:t>
      </w:r>
      <w:r w:rsidRPr="004F5848">
        <w:rPr>
          <w:rFonts w:ascii="Arial" w:hAnsi="Arial" w:cs="Arial"/>
          <w:i/>
          <w:iCs/>
        </w:rPr>
        <w:t>Theory and Research in Education</w:t>
      </w:r>
      <w:r w:rsidRPr="004F5848">
        <w:rPr>
          <w:rFonts w:ascii="Arial" w:hAnsi="Arial" w:cs="Arial"/>
        </w:rPr>
        <w:t xml:space="preserve">, 13(3), pp. 308–333. Available at: </w:t>
      </w:r>
      <w:hyperlink r:id="rId10" w:history="1">
        <w:r w:rsidRPr="004F5848">
          <w:rPr>
            <w:rStyle w:val="Hyperlink"/>
            <w:rFonts w:ascii="Arial" w:hAnsi="Arial" w:cs="Arial"/>
          </w:rPr>
          <w:t>https://doi.org/10.1177/1477878515606621</w:t>
        </w:r>
      </w:hyperlink>
      <w:r w:rsidRPr="004F5848">
        <w:rPr>
          <w:rFonts w:ascii="Arial" w:hAnsi="Arial" w:cs="Arial"/>
        </w:rPr>
        <w:t>.</w:t>
      </w:r>
    </w:p>
    <w:p w14:paraId="2C7EC1D6" w14:textId="77777777" w:rsidR="004F5848" w:rsidRPr="004F5848" w:rsidRDefault="004F5848" w:rsidP="004F5848">
      <w:pPr>
        <w:rPr>
          <w:rFonts w:ascii="Arial" w:hAnsi="Arial" w:cs="Arial"/>
        </w:rPr>
      </w:pPr>
      <w:r w:rsidRPr="004F5848">
        <w:rPr>
          <w:rFonts w:ascii="Arial" w:hAnsi="Arial" w:cs="Arial"/>
        </w:rPr>
        <w:t xml:space="preserve">Dewey, J. (1938) </w:t>
      </w:r>
      <w:r w:rsidRPr="004F5848">
        <w:rPr>
          <w:rFonts w:ascii="Arial" w:hAnsi="Arial" w:cs="Arial"/>
          <w:i/>
          <w:iCs/>
        </w:rPr>
        <w:t>Experience and education</w:t>
      </w:r>
      <w:r w:rsidRPr="004F5848">
        <w:rPr>
          <w:rFonts w:ascii="Arial" w:hAnsi="Arial" w:cs="Arial"/>
        </w:rPr>
        <w:t>. Macmillan.</w:t>
      </w:r>
    </w:p>
    <w:p w14:paraId="15DF061D" w14:textId="77777777" w:rsidR="004F5848" w:rsidRPr="004F5848" w:rsidRDefault="004F5848" w:rsidP="004F5848">
      <w:pPr>
        <w:rPr>
          <w:rFonts w:ascii="Arial" w:hAnsi="Arial" w:cs="Arial"/>
        </w:rPr>
      </w:pPr>
      <w:r w:rsidRPr="004F5848">
        <w:rPr>
          <w:rFonts w:ascii="Arial" w:hAnsi="Arial" w:cs="Arial"/>
        </w:rPr>
        <w:t xml:space="preserve">Gibbs, G. (1988) </w:t>
      </w:r>
      <w:r w:rsidRPr="004F5848">
        <w:rPr>
          <w:rFonts w:ascii="Arial" w:hAnsi="Arial" w:cs="Arial"/>
          <w:i/>
          <w:iCs/>
        </w:rPr>
        <w:t>Learning by doing: A guide to teaching and learning methods</w:t>
      </w:r>
      <w:r w:rsidRPr="004F5848">
        <w:rPr>
          <w:rFonts w:ascii="Arial" w:hAnsi="Arial" w:cs="Arial"/>
        </w:rPr>
        <w:t>. Further Education Unit, Oxford Polytechnic.</w:t>
      </w:r>
    </w:p>
    <w:p w14:paraId="27FA3212" w14:textId="77777777" w:rsidR="004F5848" w:rsidRPr="004F5848" w:rsidRDefault="004F5848" w:rsidP="004F5848">
      <w:pPr>
        <w:rPr>
          <w:rFonts w:ascii="Arial" w:hAnsi="Arial" w:cs="Arial"/>
        </w:rPr>
      </w:pPr>
      <w:r w:rsidRPr="004F5848">
        <w:rPr>
          <w:rFonts w:ascii="Arial" w:hAnsi="Arial" w:cs="Arial"/>
        </w:rPr>
        <w:t xml:space="preserve">Gravells, A. (2021) </w:t>
      </w:r>
      <w:r w:rsidRPr="004F5848">
        <w:rPr>
          <w:rFonts w:ascii="Arial" w:hAnsi="Arial" w:cs="Arial"/>
          <w:i/>
          <w:iCs/>
        </w:rPr>
        <w:t>Principles and practices of assessment: A guide for assessors in the FE and skills sector</w:t>
      </w:r>
      <w:r w:rsidRPr="004F5848">
        <w:rPr>
          <w:rFonts w:ascii="Arial" w:hAnsi="Arial" w:cs="Arial"/>
        </w:rPr>
        <w:t xml:space="preserve">. 4th </w:t>
      </w:r>
      <w:proofErr w:type="spellStart"/>
      <w:r w:rsidRPr="004F5848">
        <w:rPr>
          <w:rFonts w:ascii="Arial" w:hAnsi="Arial" w:cs="Arial"/>
        </w:rPr>
        <w:t>edn</w:t>
      </w:r>
      <w:proofErr w:type="spellEnd"/>
      <w:r w:rsidRPr="004F5848">
        <w:rPr>
          <w:rFonts w:ascii="Arial" w:hAnsi="Arial" w:cs="Arial"/>
        </w:rPr>
        <w:t>. Learning Matters.</w:t>
      </w:r>
    </w:p>
    <w:p w14:paraId="445FA478" w14:textId="77777777" w:rsidR="004F5848" w:rsidRPr="004F5848" w:rsidRDefault="004F5848" w:rsidP="004F5848">
      <w:pPr>
        <w:rPr>
          <w:rFonts w:ascii="Arial" w:hAnsi="Arial" w:cs="Arial"/>
        </w:rPr>
      </w:pPr>
      <w:r w:rsidRPr="004F5848">
        <w:rPr>
          <w:rFonts w:ascii="Arial" w:hAnsi="Arial" w:cs="Arial"/>
        </w:rPr>
        <w:t xml:space="preserve">Maslow, A.H. (1943) ‘A theory of human motivation’, </w:t>
      </w:r>
      <w:r w:rsidRPr="004F5848">
        <w:rPr>
          <w:rFonts w:ascii="Arial" w:hAnsi="Arial" w:cs="Arial"/>
          <w:i/>
          <w:iCs/>
        </w:rPr>
        <w:t>Psychological Review</w:t>
      </w:r>
      <w:r w:rsidRPr="004F5848">
        <w:rPr>
          <w:rFonts w:ascii="Arial" w:hAnsi="Arial" w:cs="Arial"/>
        </w:rPr>
        <w:t xml:space="preserve">, 50(4), pp. 370–396. Available at: </w:t>
      </w:r>
      <w:hyperlink r:id="rId11" w:history="1">
        <w:r w:rsidRPr="004F5848">
          <w:rPr>
            <w:rStyle w:val="Hyperlink"/>
            <w:rFonts w:ascii="Arial" w:hAnsi="Arial" w:cs="Arial"/>
          </w:rPr>
          <w:t>https://doi.org/10.1037/h0054346</w:t>
        </w:r>
      </w:hyperlink>
      <w:r w:rsidRPr="004F5848">
        <w:rPr>
          <w:rFonts w:ascii="Arial" w:hAnsi="Arial" w:cs="Arial"/>
        </w:rPr>
        <w:t>.</w:t>
      </w:r>
    </w:p>
    <w:p w14:paraId="243577D2" w14:textId="77777777" w:rsidR="004F5848" w:rsidRPr="004F5848" w:rsidRDefault="004F5848" w:rsidP="004F5848">
      <w:pPr>
        <w:rPr>
          <w:rFonts w:ascii="Arial" w:hAnsi="Arial" w:cs="Arial"/>
        </w:rPr>
      </w:pPr>
      <w:r w:rsidRPr="004F5848">
        <w:rPr>
          <w:rFonts w:ascii="Arial" w:hAnsi="Arial" w:cs="Arial"/>
        </w:rPr>
        <w:t xml:space="preserve">Race, P. (2020) </w:t>
      </w:r>
      <w:r w:rsidRPr="004F5848">
        <w:rPr>
          <w:rFonts w:ascii="Arial" w:hAnsi="Arial" w:cs="Arial"/>
          <w:i/>
          <w:iCs/>
        </w:rPr>
        <w:t>The lecturer’s toolkit: A practical guide to assessment, learning and teaching</w:t>
      </w:r>
      <w:r w:rsidRPr="004F5848">
        <w:rPr>
          <w:rFonts w:ascii="Arial" w:hAnsi="Arial" w:cs="Arial"/>
        </w:rPr>
        <w:t xml:space="preserve">. 5th </w:t>
      </w:r>
      <w:proofErr w:type="spellStart"/>
      <w:r w:rsidRPr="004F5848">
        <w:rPr>
          <w:rFonts w:ascii="Arial" w:hAnsi="Arial" w:cs="Arial"/>
        </w:rPr>
        <w:t>edn</w:t>
      </w:r>
      <w:proofErr w:type="spellEnd"/>
      <w:r w:rsidRPr="004F5848">
        <w:rPr>
          <w:rFonts w:ascii="Arial" w:hAnsi="Arial" w:cs="Arial"/>
        </w:rPr>
        <w:t>. Routledge.</w:t>
      </w:r>
    </w:p>
    <w:p w14:paraId="3242802B" w14:textId="77777777" w:rsidR="004F5848" w:rsidRPr="004F5848" w:rsidRDefault="004F5848" w:rsidP="004F5848">
      <w:pPr>
        <w:rPr>
          <w:rFonts w:ascii="Arial" w:hAnsi="Arial" w:cs="Arial"/>
        </w:rPr>
      </w:pPr>
      <w:r w:rsidRPr="004F5848">
        <w:rPr>
          <w:rFonts w:ascii="Arial" w:hAnsi="Arial" w:cs="Arial"/>
        </w:rPr>
        <w:t xml:space="preserve">Race, P. and Brown, S. (2025) </w:t>
      </w:r>
      <w:r w:rsidRPr="004F5848">
        <w:rPr>
          <w:rFonts w:ascii="Arial" w:hAnsi="Arial" w:cs="Arial"/>
          <w:i/>
          <w:iCs/>
        </w:rPr>
        <w:t>The lecturer’s toolkit: A practical guide to assessment, learning and teaching</w:t>
      </w:r>
      <w:r w:rsidRPr="004F5848">
        <w:rPr>
          <w:rFonts w:ascii="Arial" w:hAnsi="Arial" w:cs="Arial"/>
        </w:rPr>
        <w:t xml:space="preserve">. 6th </w:t>
      </w:r>
      <w:proofErr w:type="spellStart"/>
      <w:r w:rsidRPr="004F5848">
        <w:rPr>
          <w:rFonts w:ascii="Arial" w:hAnsi="Arial" w:cs="Arial"/>
        </w:rPr>
        <w:t>edn</w:t>
      </w:r>
      <w:proofErr w:type="spellEnd"/>
      <w:r w:rsidRPr="004F5848">
        <w:rPr>
          <w:rFonts w:ascii="Arial" w:hAnsi="Arial" w:cs="Arial"/>
        </w:rPr>
        <w:t>. Routledge.</w:t>
      </w:r>
    </w:p>
    <w:p w14:paraId="3C3BB309" w14:textId="77777777" w:rsidR="004F5848" w:rsidRPr="004F5848" w:rsidRDefault="004F5848" w:rsidP="004F5848">
      <w:pPr>
        <w:rPr>
          <w:rFonts w:ascii="Arial" w:hAnsi="Arial" w:cs="Arial"/>
        </w:rPr>
      </w:pPr>
      <w:r w:rsidRPr="004F5848">
        <w:rPr>
          <w:rFonts w:ascii="Arial" w:hAnsi="Arial" w:cs="Arial"/>
        </w:rPr>
        <w:t xml:space="preserve">Rogers, C.R. (1969) </w:t>
      </w:r>
      <w:r w:rsidRPr="004F5848">
        <w:rPr>
          <w:rFonts w:ascii="Arial" w:hAnsi="Arial" w:cs="Arial"/>
          <w:i/>
          <w:iCs/>
        </w:rPr>
        <w:t>Freedom to learn: A view of what education might become</w:t>
      </w:r>
      <w:r w:rsidRPr="004F5848">
        <w:rPr>
          <w:rFonts w:ascii="Arial" w:hAnsi="Arial" w:cs="Arial"/>
        </w:rPr>
        <w:t>. Charles E. Merrill Publishing Company.</w:t>
      </w:r>
    </w:p>
    <w:p w14:paraId="595029B3" w14:textId="77777777" w:rsidR="004F5848" w:rsidRPr="004F5848" w:rsidRDefault="004F5848" w:rsidP="004F5848">
      <w:pPr>
        <w:rPr>
          <w:rFonts w:ascii="Arial" w:hAnsi="Arial" w:cs="Arial"/>
        </w:rPr>
      </w:pPr>
      <w:r w:rsidRPr="004F5848">
        <w:rPr>
          <w:rFonts w:ascii="Arial" w:hAnsi="Arial" w:cs="Arial"/>
        </w:rPr>
        <w:t xml:space="preserve">Schön, D.A. (1983) </w:t>
      </w:r>
      <w:r w:rsidRPr="004F5848">
        <w:rPr>
          <w:rFonts w:ascii="Arial" w:hAnsi="Arial" w:cs="Arial"/>
          <w:i/>
          <w:iCs/>
        </w:rPr>
        <w:t>The reflective practitioner: How professionals think in action</w:t>
      </w:r>
      <w:r w:rsidRPr="004F5848">
        <w:rPr>
          <w:rFonts w:ascii="Arial" w:hAnsi="Arial" w:cs="Arial"/>
        </w:rPr>
        <w:t>. Basic Books.</w:t>
      </w:r>
    </w:p>
    <w:p w14:paraId="735C922A" w14:textId="77777777" w:rsidR="004F5848" w:rsidRPr="004F5848" w:rsidRDefault="004F5848" w:rsidP="004F5848">
      <w:pPr>
        <w:rPr>
          <w:rFonts w:ascii="Arial" w:hAnsi="Arial" w:cs="Arial"/>
        </w:rPr>
      </w:pPr>
      <w:r w:rsidRPr="004F5848">
        <w:rPr>
          <w:rFonts w:ascii="Arial" w:hAnsi="Arial" w:cs="Arial"/>
        </w:rPr>
        <w:t xml:space="preserve">Skinner, B.F. (1953) </w:t>
      </w:r>
      <w:r w:rsidRPr="004F5848">
        <w:rPr>
          <w:rFonts w:ascii="Arial" w:hAnsi="Arial" w:cs="Arial"/>
          <w:i/>
          <w:iCs/>
        </w:rPr>
        <w:t xml:space="preserve">Science and human </w:t>
      </w:r>
      <w:proofErr w:type="spellStart"/>
      <w:r w:rsidRPr="004F5848">
        <w:rPr>
          <w:rFonts w:ascii="Arial" w:hAnsi="Arial" w:cs="Arial"/>
          <w:i/>
          <w:iCs/>
        </w:rPr>
        <w:t>behavior</w:t>
      </w:r>
      <w:proofErr w:type="spellEnd"/>
      <w:r w:rsidRPr="004F5848">
        <w:rPr>
          <w:rFonts w:ascii="Arial" w:hAnsi="Arial" w:cs="Arial"/>
        </w:rPr>
        <w:t>. Macmillan.</w:t>
      </w:r>
    </w:p>
    <w:p w14:paraId="416042CE" w14:textId="77777777" w:rsidR="004F5848" w:rsidRPr="004F5848" w:rsidRDefault="004F5848" w:rsidP="004F5848">
      <w:pPr>
        <w:rPr>
          <w:rFonts w:ascii="Arial" w:hAnsi="Arial" w:cs="Arial"/>
        </w:rPr>
      </w:pPr>
      <w:r w:rsidRPr="004F5848">
        <w:rPr>
          <w:rFonts w:ascii="Arial" w:hAnsi="Arial" w:cs="Arial"/>
        </w:rPr>
        <w:t xml:space="preserve">Thompson, C., Spenceley, L., Tinney, M., </w:t>
      </w:r>
      <w:proofErr w:type="spellStart"/>
      <w:r w:rsidRPr="004F5848">
        <w:rPr>
          <w:rFonts w:ascii="Arial" w:hAnsi="Arial" w:cs="Arial"/>
        </w:rPr>
        <w:t>Battams</w:t>
      </w:r>
      <w:proofErr w:type="spellEnd"/>
      <w:r w:rsidRPr="004F5848">
        <w:rPr>
          <w:rFonts w:ascii="Arial" w:hAnsi="Arial" w:cs="Arial"/>
        </w:rPr>
        <w:t xml:space="preserve">, E. and Solomon, A. (2024) </w:t>
      </w:r>
      <w:r w:rsidRPr="004F5848">
        <w:rPr>
          <w:rFonts w:ascii="Arial" w:hAnsi="Arial" w:cs="Arial"/>
          <w:i/>
          <w:iCs/>
        </w:rPr>
        <w:t>The ultimate guide to lesson planning: Practical planning for everyday teaching</w:t>
      </w:r>
      <w:r w:rsidRPr="004F5848">
        <w:rPr>
          <w:rFonts w:ascii="Arial" w:hAnsi="Arial" w:cs="Arial"/>
        </w:rPr>
        <w:t>. Routledge.</w:t>
      </w:r>
    </w:p>
    <w:p w14:paraId="24EFA1E5" w14:textId="77777777" w:rsidR="004F5848" w:rsidRPr="004F5848" w:rsidRDefault="004F5848" w:rsidP="004F5848">
      <w:pPr>
        <w:rPr>
          <w:rFonts w:ascii="Arial" w:hAnsi="Arial" w:cs="Arial"/>
        </w:rPr>
      </w:pPr>
      <w:r w:rsidRPr="004F5848">
        <w:rPr>
          <w:rFonts w:ascii="Arial" w:hAnsi="Arial" w:cs="Arial"/>
        </w:rPr>
        <w:t xml:space="preserve">Vygotsky, L.S. (1978) </w:t>
      </w:r>
      <w:r w:rsidRPr="004F5848">
        <w:rPr>
          <w:rFonts w:ascii="Arial" w:hAnsi="Arial" w:cs="Arial"/>
          <w:i/>
          <w:iCs/>
        </w:rPr>
        <w:t>Mind in society: The development of higher psychological processes</w:t>
      </w:r>
      <w:r w:rsidRPr="004F5848">
        <w:rPr>
          <w:rFonts w:ascii="Arial" w:hAnsi="Arial" w:cs="Arial"/>
        </w:rPr>
        <w:t xml:space="preserve">. Edited by M. Cole, V. John-Steiner, S. Scribner and E. </w:t>
      </w:r>
      <w:proofErr w:type="spellStart"/>
      <w:r w:rsidRPr="004F5848">
        <w:rPr>
          <w:rFonts w:ascii="Arial" w:hAnsi="Arial" w:cs="Arial"/>
        </w:rPr>
        <w:t>Souberman</w:t>
      </w:r>
      <w:proofErr w:type="spellEnd"/>
      <w:r w:rsidRPr="004F5848">
        <w:rPr>
          <w:rFonts w:ascii="Arial" w:hAnsi="Arial" w:cs="Arial"/>
        </w:rPr>
        <w:t>. Harvard University Press.</w:t>
      </w:r>
    </w:p>
    <w:p w14:paraId="4A9D8AE0" w14:textId="105827E6" w:rsidR="00734531" w:rsidRPr="004F5848" w:rsidRDefault="00734531" w:rsidP="00734531">
      <w:pPr>
        <w:spacing w:line="360" w:lineRule="auto"/>
        <w:rPr>
          <w:rFonts w:ascii="Arial" w:hAnsi="Arial" w:cs="Arial"/>
        </w:rPr>
      </w:pPr>
      <w:r w:rsidRPr="004F5848">
        <w:rPr>
          <w:rFonts w:ascii="Arial" w:hAnsi="Arial" w:cs="Arial"/>
        </w:rPr>
        <w:lastRenderedPageBreak/>
        <w:t xml:space="preserve">Welsh Government (2023) </w:t>
      </w:r>
      <w:r w:rsidRPr="004F5848">
        <w:rPr>
          <w:rFonts w:ascii="Arial" w:hAnsi="Arial" w:cs="Arial"/>
          <w:i/>
          <w:iCs/>
        </w:rPr>
        <w:t>Professional standards for further education teachers, work-based learning and adult learning practitioners</w:t>
      </w:r>
      <w:r w:rsidRPr="004F5848">
        <w:rPr>
          <w:rFonts w:ascii="Arial" w:hAnsi="Arial" w:cs="Arial"/>
        </w:rPr>
        <w:t xml:space="preserve">. Available at: </w:t>
      </w:r>
      <w:hyperlink r:id="rId12" w:history="1">
        <w:r w:rsidRPr="004F5848">
          <w:rPr>
            <w:rStyle w:val="Hyperlink"/>
            <w:rFonts w:ascii="Arial" w:hAnsi="Arial" w:cs="Arial"/>
          </w:rPr>
          <w:t>https://hwb.gov.wales/keeping-safe-online/repository/resource/101a7600-c001-4aaa-9e22-6fd4be70052f/overview</w:t>
        </w:r>
      </w:hyperlink>
      <w:r w:rsidRPr="004F5848">
        <w:rPr>
          <w:rFonts w:ascii="Arial" w:hAnsi="Arial" w:cs="Arial"/>
        </w:rPr>
        <w:t xml:space="preserve"> (Accessed: 27 July 2026).</w:t>
      </w:r>
    </w:p>
    <w:p w14:paraId="512A7848" w14:textId="77777777" w:rsidR="00F32F87" w:rsidRPr="004F5848" w:rsidRDefault="00F32F87" w:rsidP="00364749">
      <w:pPr>
        <w:spacing w:line="360" w:lineRule="auto"/>
        <w:rPr>
          <w:rFonts w:ascii="Arial" w:hAnsi="Arial" w:cs="Arial"/>
        </w:rPr>
      </w:pPr>
    </w:p>
    <w:sectPr w:rsidR="00F32F87" w:rsidRPr="004F5848" w:rsidSect="00D50D38">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E02D4" w14:textId="77777777" w:rsidR="0045621C" w:rsidRDefault="0045621C" w:rsidP="00011AB6">
      <w:pPr>
        <w:spacing w:after="0" w:line="240" w:lineRule="auto"/>
      </w:pPr>
      <w:r>
        <w:separator/>
      </w:r>
    </w:p>
  </w:endnote>
  <w:endnote w:type="continuationSeparator" w:id="0">
    <w:p w14:paraId="1E699A2D" w14:textId="77777777" w:rsidR="0045621C" w:rsidRDefault="0045621C"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8316916"/>
      <w:docPartObj>
        <w:docPartGallery w:val="Page Numbers (Bottom of Page)"/>
        <w:docPartUnique/>
      </w:docPartObj>
    </w:sdtPr>
    <w:sdtEndPr/>
    <w:sdtContent>
      <w:p w14:paraId="31DEC90A" w14:textId="2538EF0B" w:rsidR="00550112" w:rsidRDefault="00550112">
        <w:pPr>
          <w:pStyle w:val="Footer"/>
        </w:pPr>
        <w:r>
          <w:fldChar w:fldCharType="begin"/>
        </w:r>
        <w:r>
          <w:instrText>PAGE   \* MERGEFORMAT</w:instrText>
        </w:r>
        <w:r>
          <w:fldChar w:fldCharType="separate"/>
        </w:r>
        <w:r>
          <w:t>2</w:t>
        </w:r>
        <w:r>
          <w:fldChar w:fldCharType="end"/>
        </w:r>
      </w:p>
    </w:sdtContent>
  </w:sdt>
  <w:p w14:paraId="1A627FAB" w14:textId="77777777" w:rsidR="00550112" w:rsidRDefault="00550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7652F" w14:textId="77777777" w:rsidR="0045621C" w:rsidRDefault="0045621C" w:rsidP="00011AB6">
      <w:pPr>
        <w:spacing w:after="0" w:line="240" w:lineRule="auto"/>
      </w:pPr>
      <w:r>
        <w:separator/>
      </w:r>
    </w:p>
  </w:footnote>
  <w:footnote w:type="continuationSeparator" w:id="0">
    <w:p w14:paraId="2E5EA657" w14:textId="77777777" w:rsidR="0045621C" w:rsidRDefault="0045621C" w:rsidP="00011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4457E"/>
    <w:rsid w:val="00051C6A"/>
    <w:rsid w:val="00061BBC"/>
    <w:rsid w:val="00063ADC"/>
    <w:rsid w:val="000A2E17"/>
    <w:rsid w:val="000A470F"/>
    <w:rsid w:val="000B46CD"/>
    <w:rsid w:val="000C144A"/>
    <w:rsid w:val="000C49A4"/>
    <w:rsid w:val="000C541C"/>
    <w:rsid w:val="000C55A1"/>
    <w:rsid w:val="000C68CB"/>
    <w:rsid w:val="000D5B34"/>
    <w:rsid w:val="000E0710"/>
    <w:rsid w:val="0010406A"/>
    <w:rsid w:val="00110DEC"/>
    <w:rsid w:val="001118FB"/>
    <w:rsid w:val="00115538"/>
    <w:rsid w:val="0012352C"/>
    <w:rsid w:val="00135DD1"/>
    <w:rsid w:val="00147924"/>
    <w:rsid w:val="00152F58"/>
    <w:rsid w:val="00162C2D"/>
    <w:rsid w:val="00163904"/>
    <w:rsid w:val="00164156"/>
    <w:rsid w:val="001819DF"/>
    <w:rsid w:val="001A1AEA"/>
    <w:rsid w:val="001A56E9"/>
    <w:rsid w:val="001B086C"/>
    <w:rsid w:val="001C6E70"/>
    <w:rsid w:val="001D358C"/>
    <w:rsid w:val="001D4F37"/>
    <w:rsid w:val="001E6B12"/>
    <w:rsid w:val="001E6B44"/>
    <w:rsid w:val="001F5DFD"/>
    <w:rsid w:val="002424D0"/>
    <w:rsid w:val="00251539"/>
    <w:rsid w:val="0025334D"/>
    <w:rsid w:val="00253749"/>
    <w:rsid w:val="00262DC1"/>
    <w:rsid w:val="00281D4A"/>
    <w:rsid w:val="002F243A"/>
    <w:rsid w:val="00301906"/>
    <w:rsid w:val="00302BB1"/>
    <w:rsid w:val="00307139"/>
    <w:rsid w:val="003238A9"/>
    <w:rsid w:val="003341DF"/>
    <w:rsid w:val="00347EA1"/>
    <w:rsid w:val="00353860"/>
    <w:rsid w:val="00355DC6"/>
    <w:rsid w:val="00364749"/>
    <w:rsid w:val="00382546"/>
    <w:rsid w:val="003A4B66"/>
    <w:rsid w:val="003A709B"/>
    <w:rsid w:val="003D223A"/>
    <w:rsid w:val="00417AB6"/>
    <w:rsid w:val="00431C2C"/>
    <w:rsid w:val="0045621C"/>
    <w:rsid w:val="004D474C"/>
    <w:rsid w:val="004F5848"/>
    <w:rsid w:val="00520B16"/>
    <w:rsid w:val="0053246E"/>
    <w:rsid w:val="00535252"/>
    <w:rsid w:val="00536CFB"/>
    <w:rsid w:val="00543F5E"/>
    <w:rsid w:val="00545AD7"/>
    <w:rsid w:val="00550112"/>
    <w:rsid w:val="00557139"/>
    <w:rsid w:val="00557DB0"/>
    <w:rsid w:val="00566C95"/>
    <w:rsid w:val="0057298A"/>
    <w:rsid w:val="00584970"/>
    <w:rsid w:val="005A71D9"/>
    <w:rsid w:val="005B4971"/>
    <w:rsid w:val="005B783A"/>
    <w:rsid w:val="005C41E5"/>
    <w:rsid w:val="005F42D0"/>
    <w:rsid w:val="005F7C42"/>
    <w:rsid w:val="00602F0E"/>
    <w:rsid w:val="0060731F"/>
    <w:rsid w:val="0062310A"/>
    <w:rsid w:val="0062783B"/>
    <w:rsid w:val="006319CB"/>
    <w:rsid w:val="00652521"/>
    <w:rsid w:val="00664B16"/>
    <w:rsid w:val="0066657F"/>
    <w:rsid w:val="00673F55"/>
    <w:rsid w:val="006A6127"/>
    <w:rsid w:val="006B52C3"/>
    <w:rsid w:val="006C5D13"/>
    <w:rsid w:val="007147FD"/>
    <w:rsid w:val="007203C3"/>
    <w:rsid w:val="00724112"/>
    <w:rsid w:val="007306ED"/>
    <w:rsid w:val="00734531"/>
    <w:rsid w:val="007352C0"/>
    <w:rsid w:val="00743752"/>
    <w:rsid w:val="007535AD"/>
    <w:rsid w:val="00767FA2"/>
    <w:rsid w:val="00793327"/>
    <w:rsid w:val="00793FE7"/>
    <w:rsid w:val="00794C99"/>
    <w:rsid w:val="00797897"/>
    <w:rsid w:val="007A1742"/>
    <w:rsid w:val="007D3AE1"/>
    <w:rsid w:val="007D777F"/>
    <w:rsid w:val="007E01E0"/>
    <w:rsid w:val="007F701E"/>
    <w:rsid w:val="00803155"/>
    <w:rsid w:val="00814F92"/>
    <w:rsid w:val="00840BEE"/>
    <w:rsid w:val="00842D94"/>
    <w:rsid w:val="00843DDE"/>
    <w:rsid w:val="00850BCC"/>
    <w:rsid w:val="00851EDB"/>
    <w:rsid w:val="00885945"/>
    <w:rsid w:val="00887A61"/>
    <w:rsid w:val="008A248D"/>
    <w:rsid w:val="008B1E38"/>
    <w:rsid w:val="008C1C01"/>
    <w:rsid w:val="008D7180"/>
    <w:rsid w:val="008F1086"/>
    <w:rsid w:val="009060A0"/>
    <w:rsid w:val="0091355A"/>
    <w:rsid w:val="009163BB"/>
    <w:rsid w:val="00917008"/>
    <w:rsid w:val="00922743"/>
    <w:rsid w:val="00935B8D"/>
    <w:rsid w:val="009957A1"/>
    <w:rsid w:val="009B02E5"/>
    <w:rsid w:val="009B164A"/>
    <w:rsid w:val="009E0F27"/>
    <w:rsid w:val="00A23D6E"/>
    <w:rsid w:val="00A476E3"/>
    <w:rsid w:val="00A50D42"/>
    <w:rsid w:val="00A6013A"/>
    <w:rsid w:val="00AC4E01"/>
    <w:rsid w:val="00AD34D5"/>
    <w:rsid w:val="00AD7313"/>
    <w:rsid w:val="00AE2AA9"/>
    <w:rsid w:val="00AE3307"/>
    <w:rsid w:val="00B028A8"/>
    <w:rsid w:val="00B053E6"/>
    <w:rsid w:val="00B103B9"/>
    <w:rsid w:val="00B42784"/>
    <w:rsid w:val="00B51B61"/>
    <w:rsid w:val="00B724BB"/>
    <w:rsid w:val="00BD10A9"/>
    <w:rsid w:val="00BE2A35"/>
    <w:rsid w:val="00BE3554"/>
    <w:rsid w:val="00C129B8"/>
    <w:rsid w:val="00C24461"/>
    <w:rsid w:val="00C2550A"/>
    <w:rsid w:val="00C31A82"/>
    <w:rsid w:val="00C4699D"/>
    <w:rsid w:val="00C63B71"/>
    <w:rsid w:val="00CB0670"/>
    <w:rsid w:val="00CF32AC"/>
    <w:rsid w:val="00D0262E"/>
    <w:rsid w:val="00D02772"/>
    <w:rsid w:val="00D17DBB"/>
    <w:rsid w:val="00D24ADF"/>
    <w:rsid w:val="00D26517"/>
    <w:rsid w:val="00D33868"/>
    <w:rsid w:val="00D50D38"/>
    <w:rsid w:val="00DA3E5A"/>
    <w:rsid w:val="00DC55F3"/>
    <w:rsid w:val="00DC75B8"/>
    <w:rsid w:val="00DD30C4"/>
    <w:rsid w:val="00DD5969"/>
    <w:rsid w:val="00DE6D6A"/>
    <w:rsid w:val="00DE7F9E"/>
    <w:rsid w:val="00E01B92"/>
    <w:rsid w:val="00E10797"/>
    <w:rsid w:val="00E12EA7"/>
    <w:rsid w:val="00E17361"/>
    <w:rsid w:val="00E243A8"/>
    <w:rsid w:val="00E6747C"/>
    <w:rsid w:val="00E909AF"/>
    <w:rsid w:val="00EA0B9A"/>
    <w:rsid w:val="00EA15D1"/>
    <w:rsid w:val="00EA6220"/>
    <w:rsid w:val="00EA7933"/>
    <w:rsid w:val="00EB4E81"/>
    <w:rsid w:val="00EC1771"/>
    <w:rsid w:val="00EC34F3"/>
    <w:rsid w:val="00EC3AD1"/>
    <w:rsid w:val="00ED4DA2"/>
    <w:rsid w:val="00F244F1"/>
    <w:rsid w:val="00F2633B"/>
    <w:rsid w:val="00F32F87"/>
    <w:rsid w:val="00F8089C"/>
    <w:rsid w:val="00F859F2"/>
    <w:rsid w:val="00F96C0B"/>
    <w:rsid w:val="00FA7C20"/>
    <w:rsid w:val="00FC3A5C"/>
    <w:rsid w:val="00FC5EAB"/>
    <w:rsid w:val="00FD6F07"/>
    <w:rsid w:val="00FF24E3"/>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566C95"/>
    <w:rPr>
      <w:color w:val="467886" w:themeColor="hyperlink"/>
      <w:u w:val="single"/>
    </w:rPr>
  </w:style>
  <w:style w:type="character" w:styleId="UnresolvedMention">
    <w:name w:val="Unresolved Mention"/>
    <w:basedOn w:val="DefaultParagraphFont"/>
    <w:uiPriority w:val="99"/>
    <w:semiHidden/>
    <w:unhideWhenUsed/>
    <w:rsid w:val="00566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hwb.gov.wales/keeping-safe-online/repository/resource/101a7600-c001-4aaa-9e22-6fd4be70052f/overview"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37/h0054346"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177/147787851560662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1659</Words>
  <Characters>9877</Characters>
  <Application>Microsoft Office Word</Application>
  <DocSecurity>0</DocSecurity>
  <Lines>519</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Joanne Wozencroft</cp:lastModifiedBy>
  <cp:revision>2</cp:revision>
  <dcterms:created xsi:type="dcterms:W3CDTF">2026-07-27T19:31:00Z</dcterms:created>
  <dcterms:modified xsi:type="dcterms:W3CDTF">2026-07-27T19:31:00Z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