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43D" w:rsidRPr="0092043D" w:rsidRDefault="0092043D" w:rsidP="0092043D">
      <w:pPr>
        <w:shd w:val="clear" w:color="auto" w:fill="FFFFFF"/>
        <w:spacing w:after="0" w:line="240" w:lineRule="auto"/>
        <w:jc w:val="center"/>
        <w:rPr>
          <w:rFonts w:ascii="Segoe UI" w:eastAsia="Times New Roman" w:hAnsi="Segoe UI" w:cs="Segoe UI"/>
          <w:b/>
          <w:color w:val="000000"/>
          <w:sz w:val="28"/>
          <w:szCs w:val="23"/>
          <w:u w:val="single"/>
          <w:bdr w:val="none" w:sz="0" w:space="0" w:color="auto" w:frame="1"/>
          <w:lang w:eastAsia="en-GB"/>
        </w:rPr>
      </w:pPr>
      <w:r w:rsidRPr="0092043D">
        <w:rPr>
          <w:rFonts w:ascii="Segoe UI" w:eastAsia="Times New Roman" w:hAnsi="Segoe UI" w:cs="Segoe UI"/>
          <w:b/>
          <w:color w:val="000000"/>
          <w:sz w:val="28"/>
          <w:szCs w:val="23"/>
          <w:u w:val="single"/>
          <w:bdr w:val="none" w:sz="0" w:space="0" w:color="auto" w:frame="1"/>
          <w:lang w:eastAsia="en-GB"/>
        </w:rPr>
        <w:t>The offences against the Person act 1861</w:t>
      </w:r>
    </w:p>
    <w:p w:rsidR="0092043D" w:rsidRDefault="0092043D" w:rsidP="0092043D">
      <w:pPr>
        <w:shd w:val="clear" w:color="auto" w:fill="FFFFFF"/>
        <w:spacing w:after="0" w:line="240" w:lineRule="auto"/>
        <w:rPr>
          <w:rFonts w:ascii="Segoe UI" w:eastAsia="Times New Roman" w:hAnsi="Segoe UI" w:cs="Segoe UI"/>
          <w:color w:val="000000"/>
          <w:sz w:val="23"/>
          <w:szCs w:val="23"/>
          <w:bdr w:val="none" w:sz="0" w:space="0" w:color="auto" w:frame="1"/>
          <w:lang w:eastAsia="en-GB"/>
        </w:rPr>
      </w:pP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The offences against the Person act 1861 has been widely criticised for being very outdated with the need for urgent attention and reform. The main talking point behind this act is the current law on non -fatal offences. Some people like Sir John Cyril Smith have deeply criticised it and have asked for a reform. Some of the major criticism which this law has attracted are that the offences are not clearly classified in order of the seriousness, the mental element of some offences are not clearly stated and does not reflect the external element</w:t>
      </w:r>
      <w:bookmarkStart w:id="0" w:name="_GoBack"/>
      <w:bookmarkEnd w:id="0"/>
      <w:r w:rsidRPr="0092043D">
        <w:rPr>
          <w:rFonts w:ascii="Segoe UI" w:eastAsia="Times New Roman" w:hAnsi="Segoe UI" w:cs="Segoe UI"/>
          <w:color w:val="000000"/>
          <w:sz w:val="23"/>
          <w:szCs w:val="23"/>
          <w:bdr w:val="none" w:sz="0" w:space="0" w:color="auto" w:frame="1"/>
          <w:lang w:eastAsia="en-GB"/>
        </w:rPr>
        <w:t>s of some cases. Such unnecessary difficulties can make the law hard to apply and reduces accessibility and unfair labelling therefore it is at odds with the rule of law. The law commission (Reforming the law) has published a consultation paper in November 2014 where they examined the current law and analysed the problem with it and tentatively suggested some options for further reforms. They made a proposal utilising the Home Office in 1998 and made a draft bill with some amendments. John Atherton of the Nationa</w:t>
      </w:r>
      <w:r>
        <w:rPr>
          <w:rFonts w:ascii="Segoe UI" w:eastAsia="Times New Roman" w:hAnsi="Segoe UI" w:cs="Segoe UI"/>
          <w:color w:val="000000"/>
          <w:sz w:val="23"/>
          <w:szCs w:val="23"/>
          <w:bdr w:val="none" w:sz="0" w:space="0" w:color="auto" w:frame="1"/>
          <w:lang w:eastAsia="en-GB"/>
        </w:rPr>
        <w:t>l bench Chairman’s forum said, “</w:t>
      </w:r>
      <w:r w:rsidRPr="0092043D">
        <w:rPr>
          <w:rFonts w:ascii="Segoe UI" w:eastAsia="Times New Roman" w:hAnsi="Segoe UI" w:cs="Segoe UI"/>
          <w:color w:val="000000"/>
          <w:sz w:val="23"/>
          <w:szCs w:val="23"/>
          <w:bdr w:val="none" w:sz="0" w:space="0" w:color="auto" w:frame="1"/>
          <w:lang w:eastAsia="en-GB"/>
        </w:rPr>
        <w:t>Having started by trying to read and understand the 1861 act I was struck by the outdated use of words and phrases reading it was akin to plaiting fog”. However, on the other hand there are people who have said it should be left as it was made. In my essay I will try to outline the current Law on non-fatal offences in line with assault, battery as they are the least serious of the five offences which are known as common-law(assault and battery) and which are relatively new (in comparison with the other three).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Assault is the least serious out of the offences and is mostly described as non-touching so just apprehension or expectation is enough to cause assault. A case study showing this is R v </w:t>
      </w:r>
      <w:proofErr w:type="spellStart"/>
      <w:r w:rsidRPr="0092043D">
        <w:rPr>
          <w:rFonts w:ascii="Segoe UI" w:eastAsia="Times New Roman" w:hAnsi="Segoe UI" w:cs="Segoe UI"/>
          <w:color w:val="000000"/>
          <w:sz w:val="23"/>
          <w:szCs w:val="23"/>
          <w:bdr w:val="none" w:sz="0" w:space="0" w:color="auto" w:frame="1"/>
          <w:lang w:eastAsia="en-GB"/>
        </w:rPr>
        <w:t>Logdon</w:t>
      </w:r>
      <w:proofErr w:type="spellEnd"/>
      <w:r w:rsidRPr="0092043D">
        <w:rPr>
          <w:rFonts w:ascii="Segoe UI" w:eastAsia="Times New Roman" w:hAnsi="Segoe UI" w:cs="Segoe UI"/>
          <w:color w:val="000000"/>
          <w:sz w:val="23"/>
          <w:szCs w:val="23"/>
          <w:bdr w:val="none" w:sz="0" w:space="0" w:color="auto" w:frame="1"/>
          <w:lang w:eastAsia="en-GB"/>
        </w:rPr>
        <w:t xml:space="preserve">. The defendant showed the victim a replicate gun, as we know a replicate gun itself cannot harm anybody. The gun itself was in a drawer so the defendant told the customs officer that he would take her prisoner and use the gun if she did not pay him the money that he was owed. In this case the customs officer she had reasonable grounds to expect force from the defendant although the gun was not real nor did he have the intention to hurt her but just the expectation of force is enough for the customs officer to press charges for assault. Thereafter, </w:t>
      </w:r>
      <w:proofErr w:type="spellStart"/>
      <w:r w:rsidRPr="0092043D">
        <w:rPr>
          <w:rFonts w:ascii="Segoe UI" w:eastAsia="Times New Roman" w:hAnsi="Segoe UI" w:cs="Segoe UI"/>
          <w:color w:val="000000"/>
          <w:sz w:val="23"/>
          <w:szCs w:val="23"/>
          <w:bdr w:val="none" w:sz="0" w:space="0" w:color="auto" w:frame="1"/>
          <w:lang w:eastAsia="en-GB"/>
        </w:rPr>
        <w:t>Logdon</w:t>
      </w:r>
      <w:proofErr w:type="spellEnd"/>
      <w:r w:rsidRPr="0092043D">
        <w:rPr>
          <w:rFonts w:ascii="Segoe UI" w:eastAsia="Times New Roman" w:hAnsi="Segoe UI" w:cs="Segoe UI"/>
          <w:color w:val="000000"/>
          <w:sz w:val="23"/>
          <w:szCs w:val="23"/>
          <w:bdr w:val="none" w:sz="0" w:space="0" w:color="auto" w:frame="1"/>
          <w:lang w:eastAsia="en-GB"/>
        </w:rPr>
        <w:t xml:space="preserve"> was convicted guilty. The Second non-fatal offences against the person is battery, battery is a little different from assault and a little more serious. (As I mentioned the punishment is exactly the same for both Six months imprisonment) because of the touching which is best defined in the </w:t>
      </w:r>
      <w:proofErr w:type="spellStart"/>
      <w:proofErr w:type="gramStart"/>
      <w:r w:rsidRPr="0092043D">
        <w:rPr>
          <w:rFonts w:ascii="Segoe UI" w:eastAsia="Times New Roman" w:hAnsi="Segoe UI" w:cs="Segoe UI"/>
          <w:color w:val="000000"/>
          <w:sz w:val="23"/>
          <w:szCs w:val="23"/>
          <w:bdr w:val="none" w:sz="0" w:space="0" w:color="auto" w:frame="1"/>
          <w:lang w:eastAsia="en-GB"/>
        </w:rPr>
        <w:t>Rv</w:t>
      </w:r>
      <w:proofErr w:type="spellEnd"/>
      <w:proofErr w:type="gramEnd"/>
      <w:r w:rsidRPr="0092043D">
        <w:rPr>
          <w:rFonts w:ascii="Segoe UI" w:eastAsia="Times New Roman" w:hAnsi="Segoe UI" w:cs="Segoe UI"/>
          <w:color w:val="000000"/>
          <w:sz w:val="23"/>
          <w:szCs w:val="23"/>
          <w:bdr w:val="none" w:sz="0" w:space="0" w:color="auto" w:frame="1"/>
          <w:lang w:eastAsia="en-GB"/>
        </w:rPr>
        <w:t xml:space="preserve"> Ireland and </w:t>
      </w:r>
      <w:proofErr w:type="spellStart"/>
      <w:r w:rsidRPr="0092043D">
        <w:rPr>
          <w:rFonts w:ascii="Segoe UI" w:eastAsia="Times New Roman" w:hAnsi="Segoe UI" w:cs="Segoe UI"/>
          <w:color w:val="000000"/>
          <w:sz w:val="23"/>
          <w:szCs w:val="23"/>
          <w:bdr w:val="none" w:sz="0" w:space="0" w:color="auto" w:frame="1"/>
          <w:lang w:eastAsia="en-GB"/>
        </w:rPr>
        <w:t>burstow</w:t>
      </w:r>
      <w:proofErr w:type="spellEnd"/>
      <w:r w:rsidRPr="0092043D">
        <w:rPr>
          <w:rFonts w:ascii="Segoe UI" w:eastAsia="Times New Roman" w:hAnsi="Segoe UI" w:cs="Segoe UI"/>
          <w:color w:val="000000"/>
          <w:sz w:val="23"/>
          <w:szCs w:val="23"/>
          <w:bdr w:val="none" w:sz="0" w:space="0" w:color="auto" w:frame="1"/>
          <w:lang w:eastAsia="en-GB"/>
        </w:rPr>
        <w:t xml:space="preserve"> (1997). Battery is an act by which a person intentionally or recklessly inflicts unlawful personal violence towards another person so to prove criminal liability with battery we have to prove intentionally or recklessly which is known as (</w:t>
      </w:r>
      <w:proofErr w:type="spellStart"/>
      <w:r w:rsidRPr="0092043D">
        <w:rPr>
          <w:rFonts w:ascii="Segoe UI" w:eastAsia="Times New Roman" w:hAnsi="Segoe UI" w:cs="Segoe UI"/>
          <w:color w:val="000000"/>
          <w:sz w:val="23"/>
          <w:szCs w:val="23"/>
          <w:bdr w:val="none" w:sz="0" w:space="0" w:color="auto" w:frame="1"/>
          <w:lang w:eastAsia="en-GB"/>
        </w:rPr>
        <w:t>Mens</w:t>
      </w:r>
      <w:proofErr w:type="spellEnd"/>
      <w:r w:rsidRPr="0092043D">
        <w:rPr>
          <w:rFonts w:ascii="Segoe UI" w:eastAsia="Times New Roman" w:hAnsi="Segoe UI" w:cs="Segoe UI"/>
          <w:color w:val="000000"/>
          <w:sz w:val="23"/>
          <w:szCs w:val="23"/>
          <w:bdr w:val="none" w:sz="0" w:space="0" w:color="auto" w:frame="1"/>
          <w:lang w:eastAsia="en-GB"/>
        </w:rPr>
        <w:t xml:space="preserve"> res) or Inflection of unlawful violence on another person. If we have both of them then we have a strong criminal liability. To back this up we have the case study of Collins V Wilcock and </w:t>
      </w:r>
      <w:proofErr w:type="spellStart"/>
      <w:r w:rsidRPr="0092043D">
        <w:rPr>
          <w:rFonts w:ascii="Segoe UI" w:eastAsia="Times New Roman" w:hAnsi="Segoe UI" w:cs="Segoe UI"/>
          <w:color w:val="000000"/>
          <w:sz w:val="23"/>
          <w:szCs w:val="23"/>
          <w:bdr w:val="none" w:sz="0" w:space="0" w:color="auto" w:frame="1"/>
          <w:lang w:eastAsia="en-GB"/>
        </w:rPr>
        <w:t>Heystead</w:t>
      </w:r>
      <w:proofErr w:type="spellEnd"/>
      <w:r w:rsidRPr="0092043D">
        <w:rPr>
          <w:rFonts w:ascii="Segoe UI" w:eastAsia="Times New Roman" w:hAnsi="Segoe UI" w:cs="Segoe UI"/>
          <w:color w:val="000000"/>
          <w:sz w:val="23"/>
          <w:szCs w:val="23"/>
          <w:bdr w:val="none" w:sz="0" w:space="0" w:color="auto" w:frame="1"/>
          <w:lang w:eastAsia="en-GB"/>
        </w:rPr>
        <w:t xml:space="preserve"> v DPP. In Collins V Wilcock, we have a direct matter when a police officer wanted to speak to a prostitute and the prostitute refused to speak to the officer so he grabbed her by the arm. The whole matter is about the officer grabbing the prostitute by her arm is it lawful or not. The officer grabbing the prostitute by her arm was not lawful because he was not going to arrest her so he had no right to grab her by the arm, which is the nature of the case. Our interest here is </w:t>
      </w:r>
      <w:r w:rsidRPr="0092043D">
        <w:rPr>
          <w:rFonts w:ascii="Segoe UI" w:eastAsia="Times New Roman" w:hAnsi="Segoe UI" w:cs="Segoe UI"/>
          <w:color w:val="000000"/>
          <w:sz w:val="23"/>
          <w:szCs w:val="23"/>
          <w:bdr w:val="none" w:sz="0" w:space="0" w:color="auto" w:frame="1"/>
          <w:lang w:eastAsia="en-GB"/>
        </w:rPr>
        <w:lastRenderedPageBreak/>
        <w:t>touching the person by the arm which is direct matter where the defendant touches the victim.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The second situation is when a defendant touches the third person indirectly, in which case the defendant is still guilty (so the defendant is guilty in both cases directly or in directly). We can learn this from the </w:t>
      </w:r>
      <w:proofErr w:type="spellStart"/>
      <w:r w:rsidRPr="0092043D">
        <w:rPr>
          <w:rFonts w:ascii="Segoe UI" w:eastAsia="Times New Roman" w:hAnsi="Segoe UI" w:cs="Segoe UI"/>
          <w:color w:val="000000"/>
          <w:sz w:val="23"/>
          <w:szCs w:val="23"/>
          <w:bdr w:val="none" w:sz="0" w:space="0" w:color="auto" w:frame="1"/>
          <w:lang w:eastAsia="en-GB"/>
        </w:rPr>
        <w:t>Haystead</w:t>
      </w:r>
      <w:proofErr w:type="spellEnd"/>
      <w:r w:rsidRPr="0092043D">
        <w:rPr>
          <w:rFonts w:ascii="Segoe UI" w:eastAsia="Times New Roman" w:hAnsi="Segoe UI" w:cs="Segoe UI"/>
          <w:color w:val="000000"/>
          <w:sz w:val="23"/>
          <w:szCs w:val="23"/>
          <w:bdr w:val="none" w:sz="0" w:space="0" w:color="auto" w:frame="1"/>
          <w:lang w:eastAsia="en-GB"/>
        </w:rPr>
        <w:t xml:space="preserve"> v DPP case. In this case the defendant hits a mum who is carrying the child. As a result of the hit the mum drops the child and the child fell and hit his/her head.  So the defendant has argued that the child was not dropped or hurt by him but the court has said battery does not require direct infliction of violence and </w:t>
      </w:r>
      <w:proofErr w:type="spellStart"/>
      <w:r w:rsidRPr="0092043D">
        <w:rPr>
          <w:rFonts w:ascii="Segoe UI" w:eastAsia="Times New Roman" w:hAnsi="Segoe UI" w:cs="Segoe UI"/>
          <w:color w:val="000000"/>
          <w:sz w:val="23"/>
          <w:szCs w:val="23"/>
          <w:bdr w:val="none" w:sz="0" w:space="0" w:color="auto" w:frame="1"/>
          <w:lang w:eastAsia="en-GB"/>
        </w:rPr>
        <w:t>Haysteads</w:t>
      </w:r>
      <w:proofErr w:type="spellEnd"/>
      <w:r w:rsidRPr="0092043D">
        <w:rPr>
          <w:rFonts w:ascii="Segoe UI" w:eastAsia="Times New Roman" w:hAnsi="Segoe UI" w:cs="Segoe UI"/>
          <w:color w:val="000000"/>
          <w:sz w:val="23"/>
          <w:szCs w:val="23"/>
          <w:bdr w:val="none" w:sz="0" w:space="0" w:color="auto" w:frame="1"/>
          <w:lang w:eastAsia="en-GB"/>
        </w:rPr>
        <w:t xml:space="preserve"> act has been compared to using a weapon to hurt the baby. Although </w:t>
      </w:r>
      <w:proofErr w:type="spellStart"/>
      <w:r w:rsidRPr="0092043D">
        <w:rPr>
          <w:rFonts w:ascii="Segoe UI" w:eastAsia="Times New Roman" w:hAnsi="Segoe UI" w:cs="Segoe UI"/>
          <w:color w:val="000000"/>
          <w:sz w:val="23"/>
          <w:szCs w:val="23"/>
          <w:bdr w:val="none" w:sz="0" w:space="0" w:color="auto" w:frame="1"/>
          <w:lang w:eastAsia="en-GB"/>
        </w:rPr>
        <w:t>Haystead</w:t>
      </w:r>
      <w:proofErr w:type="spellEnd"/>
      <w:r w:rsidRPr="0092043D">
        <w:rPr>
          <w:rFonts w:ascii="Segoe UI" w:eastAsia="Times New Roman" w:hAnsi="Segoe UI" w:cs="Segoe UI"/>
          <w:color w:val="000000"/>
          <w:sz w:val="23"/>
          <w:szCs w:val="23"/>
          <w:bdr w:val="none" w:sz="0" w:space="0" w:color="auto" w:frame="1"/>
          <w:lang w:eastAsia="en-GB"/>
        </w:rPr>
        <w:t xml:space="preserve"> punched the mother and not the baby, the court said he hit the baby indirectly and was guilty of battery.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The next offence which I will be elaborating on is assault occasioning Actual bodily harm which is widely known as (ABH) under section 47.OAPA 1861.</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ABH is the first out of three which I will be discussing known as statutory law offences against the Person act 1861.</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The law states s47 whosoever shall be convicted on indictment of any assault occasioning bodily harm shall be liable to imprisonments for any term not exceeding five years.</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In ABH you must have actus </w:t>
      </w:r>
      <w:proofErr w:type="spellStart"/>
      <w:proofErr w:type="gramStart"/>
      <w:r w:rsidRPr="0092043D">
        <w:rPr>
          <w:rFonts w:ascii="Segoe UI" w:eastAsia="Times New Roman" w:hAnsi="Segoe UI" w:cs="Segoe UI"/>
          <w:color w:val="000000"/>
          <w:sz w:val="23"/>
          <w:szCs w:val="23"/>
          <w:bdr w:val="none" w:sz="0" w:space="0" w:color="auto" w:frame="1"/>
          <w:lang w:eastAsia="en-GB"/>
        </w:rPr>
        <w:t>reus</w:t>
      </w:r>
      <w:proofErr w:type="spellEnd"/>
      <w:proofErr w:type="gramEnd"/>
      <w:r w:rsidRPr="0092043D">
        <w:rPr>
          <w:rFonts w:ascii="Segoe UI" w:eastAsia="Times New Roman" w:hAnsi="Segoe UI" w:cs="Segoe UI"/>
          <w:color w:val="000000"/>
          <w:sz w:val="23"/>
          <w:szCs w:val="23"/>
          <w:bdr w:val="none" w:sz="0" w:space="0" w:color="auto" w:frame="1"/>
          <w:lang w:eastAsia="en-GB"/>
        </w:rPr>
        <w:t xml:space="preserve"> of assault OR actus </w:t>
      </w:r>
      <w:proofErr w:type="spellStart"/>
      <w:r w:rsidRPr="0092043D">
        <w:rPr>
          <w:rFonts w:ascii="Segoe UI" w:eastAsia="Times New Roman" w:hAnsi="Segoe UI" w:cs="Segoe UI"/>
          <w:color w:val="000000"/>
          <w:sz w:val="23"/>
          <w:szCs w:val="23"/>
          <w:bdr w:val="none" w:sz="0" w:space="0" w:color="auto" w:frame="1"/>
          <w:lang w:eastAsia="en-GB"/>
        </w:rPr>
        <w:t>reus</w:t>
      </w:r>
      <w:proofErr w:type="spellEnd"/>
      <w:r w:rsidRPr="0092043D">
        <w:rPr>
          <w:rFonts w:ascii="Segoe UI" w:eastAsia="Times New Roman" w:hAnsi="Segoe UI" w:cs="Segoe UI"/>
          <w:color w:val="000000"/>
          <w:sz w:val="23"/>
          <w:szCs w:val="23"/>
          <w:bdr w:val="none" w:sz="0" w:space="0" w:color="auto" w:frame="1"/>
          <w:lang w:eastAsia="en-GB"/>
        </w:rPr>
        <w:t xml:space="preserve"> of battery (one or the other) which is leading to occasioning actual bodily harm. The best way to describe Occasion is with cause said by Robots (1971); assault or battery causing bodily harm. Now we need to define bodily harm. How serious does the harm need to be. For that we will have to look at the case study and the first one which springs in to the mind is R v Miller (1954) this happened in 1952. When the defendant’s wife left him a year later she filed for divorce. Before the hearing the defendant had sexual intercourse without her consent, she was struggling and was pushed down three times and she was in a very nervous condition because of the situation he created. The defendant was charged with rape and occasioning actual bodily harm. The defendant argued (at that time) if you are married you couldn’t rape your wife (In other words it wouldn’t be called rape) and her being nervous is not sufficient enough bodily harm. The judge Lord Justices </w:t>
      </w:r>
      <w:proofErr w:type="spellStart"/>
      <w:r w:rsidRPr="0092043D">
        <w:rPr>
          <w:rFonts w:ascii="Segoe UI" w:eastAsia="Times New Roman" w:hAnsi="Segoe UI" w:cs="Segoe UI"/>
          <w:color w:val="000000"/>
          <w:sz w:val="23"/>
          <w:szCs w:val="23"/>
          <w:bdr w:val="none" w:sz="0" w:space="0" w:color="auto" w:frame="1"/>
          <w:lang w:eastAsia="en-GB"/>
        </w:rPr>
        <w:t>Lynsky</w:t>
      </w:r>
      <w:proofErr w:type="spellEnd"/>
      <w:r w:rsidRPr="0092043D">
        <w:rPr>
          <w:rFonts w:ascii="Segoe UI" w:eastAsia="Times New Roman" w:hAnsi="Segoe UI" w:cs="Segoe UI"/>
          <w:color w:val="000000"/>
          <w:sz w:val="23"/>
          <w:szCs w:val="23"/>
          <w:bdr w:val="none" w:sz="0" w:space="0" w:color="auto" w:frame="1"/>
          <w:lang w:eastAsia="en-GB"/>
        </w:rPr>
        <w:t xml:space="preserve"> gave a beautiful answer and described ABH “such hurt or injury calculated to interfere with the health and comfort of the victim. Such hurt or injury need not to be permanent but must, no doubt, be more than merely transient and trifling”. So the meaning of transit and trifling is for instance if someone was to slap another person the reddening on the face and stinging is describing transit and trifling (the Uncomforted). The seriousness of the injury has to amount up to interference with the persons health and comfort.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The fourth part of the non-fatal offences against the  person which is widely known as (GBH) Grievous bodily harm under s20 offences against the Person act 1861, which holds maximum sentence of five years imprisonment, similar to ABH. When I mentioned about grey areas this is one of the grey areas. Grievous bodily harm is a far more serious offence then actual bodily harm but the punishment is exactly the same; which does </w:t>
      </w:r>
      <w:r w:rsidRPr="0092043D">
        <w:rPr>
          <w:rFonts w:ascii="Segoe UI" w:eastAsia="Times New Roman" w:hAnsi="Segoe UI" w:cs="Segoe UI"/>
          <w:color w:val="000000"/>
          <w:sz w:val="23"/>
          <w:szCs w:val="23"/>
          <w:bdr w:val="none" w:sz="0" w:space="0" w:color="auto" w:frame="1"/>
          <w:lang w:eastAsia="en-GB"/>
        </w:rPr>
        <w:lastRenderedPageBreak/>
        <w:t xml:space="preserve">cause some difficulty in sentencing. GBH is known as </w:t>
      </w:r>
      <w:r>
        <w:rPr>
          <w:rFonts w:ascii="Segoe UI" w:eastAsia="Times New Roman" w:hAnsi="Segoe UI" w:cs="Segoe UI"/>
          <w:color w:val="000000"/>
          <w:sz w:val="23"/>
          <w:szCs w:val="23"/>
          <w:bdr w:val="none" w:sz="0" w:space="0" w:color="auto" w:frame="1"/>
          <w:lang w:eastAsia="en-GB"/>
        </w:rPr>
        <w:t>either way offence so</w:t>
      </w:r>
      <w:r w:rsidRPr="0092043D">
        <w:rPr>
          <w:rFonts w:ascii="Segoe UI" w:eastAsia="Times New Roman" w:hAnsi="Segoe UI" w:cs="Segoe UI"/>
          <w:color w:val="000000"/>
          <w:sz w:val="23"/>
          <w:szCs w:val="23"/>
          <w:bdr w:val="none" w:sz="0" w:space="0" w:color="auto" w:frame="1"/>
          <w:lang w:eastAsia="en-GB"/>
        </w:rPr>
        <w:t xml:space="preserve"> it can be tried in both courts Crown Court or in the Magistrate’s Court (so it can be tried for indictment as well). The definition for section 20 OAPA 1861 whoever so shall unlawfully and maliciously wound or inflict any grievous bodily harm upon any person either with or without a weapon or instrument, shall be liable to five years imprisonment. Here in the description we have the word unlawfully so if it’s lawful as self-defence and done with consent it will not count and maliciously indicating towards the </w:t>
      </w:r>
      <w:proofErr w:type="spellStart"/>
      <w:r w:rsidRPr="0092043D">
        <w:rPr>
          <w:rFonts w:ascii="Segoe UI" w:eastAsia="Times New Roman" w:hAnsi="Segoe UI" w:cs="Segoe UI"/>
          <w:color w:val="000000"/>
          <w:sz w:val="23"/>
          <w:szCs w:val="23"/>
          <w:bdr w:val="none" w:sz="0" w:space="0" w:color="auto" w:frame="1"/>
          <w:lang w:eastAsia="en-GB"/>
        </w:rPr>
        <w:t>Mens</w:t>
      </w:r>
      <w:proofErr w:type="spellEnd"/>
      <w:r w:rsidRPr="0092043D">
        <w:rPr>
          <w:rFonts w:ascii="Segoe UI" w:eastAsia="Times New Roman" w:hAnsi="Segoe UI" w:cs="Segoe UI"/>
          <w:color w:val="000000"/>
          <w:sz w:val="23"/>
          <w:szCs w:val="23"/>
          <w:bdr w:val="none" w:sz="0" w:space="0" w:color="auto" w:frame="1"/>
          <w:lang w:eastAsia="en-GB"/>
        </w:rPr>
        <w:t xml:space="preserve"> res intentionally or recklessly. GBH can be inflicted in two ways, physically or psychologically and to understand both of them we will have to look into case studies 1.psychological is R v </w:t>
      </w:r>
      <w:proofErr w:type="spellStart"/>
      <w:r w:rsidRPr="0092043D">
        <w:rPr>
          <w:rFonts w:ascii="Segoe UI" w:eastAsia="Times New Roman" w:hAnsi="Segoe UI" w:cs="Segoe UI"/>
          <w:color w:val="000000"/>
          <w:sz w:val="23"/>
          <w:szCs w:val="23"/>
          <w:bdr w:val="none" w:sz="0" w:space="0" w:color="auto" w:frame="1"/>
          <w:lang w:eastAsia="en-GB"/>
        </w:rPr>
        <w:t>burstow</w:t>
      </w:r>
      <w:proofErr w:type="spellEnd"/>
      <w:r w:rsidRPr="0092043D">
        <w:rPr>
          <w:rFonts w:ascii="Segoe UI" w:eastAsia="Times New Roman" w:hAnsi="Segoe UI" w:cs="Segoe UI"/>
          <w:color w:val="000000"/>
          <w:sz w:val="23"/>
          <w:szCs w:val="23"/>
          <w:bdr w:val="none" w:sz="0" w:space="0" w:color="auto" w:frame="1"/>
          <w:lang w:eastAsia="en-GB"/>
        </w:rPr>
        <w:t xml:space="preserve"> in which the defendant and the victim were in a relationship for a short time which ended. The defendant was unhappy with the decision and started to harass the victim for several months making repeated phone calls and delivering hate mails and appearing at her door unexpectedly as well as harassing her neighbours. The harassment mounted to physical injury and there after she developed severe depression. 2. Physical is R v </w:t>
      </w:r>
      <w:proofErr w:type="spellStart"/>
      <w:r w:rsidRPr="0092043D">
        <w:rPr>
          <w:rFonts w:ascii="Segoe UI" w:eastAsia="Times New Roman" w:hAnsi="Segoe UI" w:cs="Segoe UI"/>
          <w:color w:val="000000"/>
          <w:sz w:val="23"/>
          <w:szCs w:val="23"/>
          <w:bdr w:val="none" w:sz="0" w:space="0" w:color="auto" w:frame="1"/>
          <w:lang w:eastAsia="en-GB"/>
        </w:rPr>
        <w:t>Dica</w:t>
      </w:r>
      <w:proofErr w:type="spellEnd"/>
      <w:r w:rsidRPr="0092043D">
        <w:rPr>
          <w:rFonts w:ascii="Segoe UI" w:eastAsia="Times New Roman" w:hAnsi="Segoe UI" w:cs="Segoe UI"/>
          <w:color w:val="000000"/>
          <w:sz w:val="23"/>
          <w:szCs w:val="23"/>
          <w:bdr w:val="none" w:sz="0" w:space="0" w:color="auto" w:frame="1"/>
          <w:lang w:eastAsia="en-GB"/>
        </w:rPr>
        <w:t xml:space="preserve"> where the defendant was diagnosed with HIV positive knowingly he persuaded both women to have sexual intercourse without protection. So in that case he is Guilty of grievous bodily harm under s20. In the description for GBH we mentioned the word infliction. The judge in both cases interpreted infliction with cause so the cause of action mounted to GBH. Similarly in this case it can be direct infliction or indirect. The best case to describe that is the </w:t>
      </w:r>
      <w:proofErr w:type="spellStart"/>
      <w:r w:rsidRPr="0092043D">
        <w:rPr>
          <w:rFonts w:ascii="Segoe UI" w:eastAsia="Times New Roman" w:hAnsi="Segoe UI" w:cs="Segoe UI"/>
          <w:color w:val="000000"/>
          <w:sz w:val="23"/>
          <w:szCs w:val="23"/>
          <w:bdr w:val="none" w:sz="0" w:space="0" w:color="auto" w:frame="1"/>
          <w:lang w:eastAsia="en-GB"/>
        </w:rPr>
        <w:t>Haystead</w:t>
      </w:r>
      <w:proofErr w:type="spellEnd"/>
      <w:r w:rsidRPr="0092043D">
        <w:rPr>
          <w:rFonts w:ascii="Segoe UI" w:eastAsia="Times New Roman" w:hAnsi="Segoe UI" w:cs="Segoe UI"/>
          <w:color w:val="000000"/>
          <w:sz w:val="23"/>
          <w:szCs w:val="23"/>
          <w:bdr w:val="none" w:sz="0" w:space="0" w:color="auto" w:frame="1"/>
          <w:lang w:eastAsia="en-GB"/>
        </w:rPr>
        <w:t xml:space="preserve"> case with the baby. The other issue in GBH is the harm and how severe should that be. To understand that we need to look at R v </w:t>
      </w:r>
      <w:proofErr w:type="spellStart"/>
      <w:r w:rsidRPr="0092043D">
        <w:rPr>
          <w:rFonts w:ascii="Segoe UI" w:eastAsia="Times New Roman" w:hAnsi="Segoe UI" w:cs="Segoe UI"/>
          <w:color w:val="000000"/>
          <w:sz w:val="23"/>
          <w:szCs w:val="23"/>
          <w:bdr w:val="none" w:sz="0" w:space="0" w:color="auto" w:frame="1"/>
          <w:lang w:eastAsia="en-GB"/>
        </w:rPr>
        <w:t>Bollom</w:t>
      </w:r>
      <w:proofErr w:type="spellEnd"/>
      <w:r w:rsidRPr="0092043D">
        <w:rPr>
          <w:rFonts w:ascii="Segoe UI" w:eastAsia="Times New Roman" w:hAnsi="Segoe UI" w:cs="Segoe UI"/>
          <w:color w:val="000000"/>
          <w:sz w:val="23"/>
          <w:szCs w:val="23"/>
          <w:bdr w:val="none" w:sz="0" w:space="0" w:color="auto" w:frame="1"/>
          <w:lang w:eastAsia="en-GB"/>
        </w:rPr>
        <w:t xml:space="preserve"> where the defendant was convicted of GBH for inflicting injuries on his Partners 17 months old daughter where she had multiple bruises on her body. The defendant appeared against his conviction by saying the judge should have directed the jury when Assessing and if the injuries were sufficient enough for GBH or should they have been ABH. The original trial judge said that when making a decision one must consider the char</w:t>
      </w:r>
      <w:r>
        <w:rPr>
          <w:rFonts w:ascii="Segoe UI" w:eastAsia="Times New Roman" w:hAnsi="Segoe UI" w:cs="Segoe UI"/>
          <w:color w:val="000000"/>
          <w:sz w:val="23"/>
          <w:szCs w:val="23"/>
          <w:bdr w:val="none" w:sz="0" w:space="0" w:color="auto" w:frame="1"/>
          <w:lang w:eastAsia="en-GB"/>
        </w:rPr>
        <w:t>acteristics of the victim, and t</w:t>
      </w:r>
      <w:r w:rsidRPr="0092043D">
        <w:rPr>
          <w:rFonts w:ascii="Segoe UI" w:eastAsia="Times New Roman" w:hAnsi="Segoe UI" w:cs="Segoe UI"/>
          <w:color w:val="000000"/>
          <w:sz w:val="23"/>
          <w:szCs w:val="23"/>
          <w:bdr w:val="none" w:sz="0" w:space="0" w:color="auto" w:frame="1"/>
          <w:lang w:eastAsia="en-GB"/>
        </w:rPr>
        <w:t>he age of the victim should be taken in to consideration. The case went on appeal and the judge acknowledged the original trial judge and said he was spot on and said when making a decision one must consider the age of the victim. The level of harm is not the same in an adult as in a baby or an old person as in a young person, in short the vulnerability of a person should be assessed.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The fifth and final one is malicious wounding or causing grievous bodily harm with intent section 18 of the offence against the Person act 1861. Which is the strongest out of all five and is </w:t>
      </w:r>
      <w:proofErr w:type="gramStart"/>
      <w:r w:rsidRPr="0092043D">
        <w:rPr>
          <w:rFonts w:ascii="Segoe UI" w:eastAsia="Times New Roman" w:hAnsi="Segoe UI" w:cs="Segoe UI"/>
          <w:color w:val="000000"/>
          <w:sz w:val="23"/>
          <w:szCs w:val="23"/>
          <w:bdr w:val="none" w:sz="0" w:space="0" w:color="auto" w:frame="1"/>
          <w:lang w:eastAsia="en-GB"/>
        </w:rPr>
        <w:t>a</w:t>
      </w:r>
      <w:proofErr w:type="gramEnd"/>
      <w:r w:rsidRPr="0092043D">
        <w:rPr>
          <w:rFonts w:ascii="Segoe UI" w:eastAsia="Times New Roman" w:hAnsi="Segoe UI" w:cs="Segoe UI"/>
          <w:color w:val="000000"/>
          <w:sz w:val="23"/>
          <w:szCs w:val="23"/>
          <w:bdr w:val="none" w:sz="0" w:space="0" w:color="auto" w:frame="1"/>
          <w:lang w:eastAsia="en-GB"/>
        </w:rPr>
        <w:t xml:space="preserve"> indictable only offence which carries a maximum sentence of life imprisonment which means it can only be tried in the Crown Court. The description for s18 OAPA 1861 whoever shall unlawfully and maliciously wound or cause any grievous bodily harm with intent to do some grievous bodily harm to any person or with intent to resist or prevent the lawful apprehension or detainer of any person shall (be liable) to imprisonment for life.</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Here are some of the main reasons of the severe punishment. </w:t>
      </w:r>
      <w:proofErr w:type="gramStart"/>
      <w:r w:rsidRPr="0092043D">
        <w:rPr>
          <w:rFonts w:ascii="Segoe UI" w:eastAsia="Times New Roman" w:hAnsi="Segoe UI" w:cs="Segoe UI"/>
          <w:color w:val="000000"/>
          <w:sz w:val="23"/>
          <w:szCs w:val="23"/>
          <w:bdr w:val="none" w:sz="0" w:space="0" w:color="auto" w:frame="1"/>
          <w:lang w:eastAsia="en-GB"/>
        </w:rPr>
        <w:t>s18</w:t>
      </w:r>
      <w:proofErr w:type="gramEnd"/>
      <w:r w:rsidRPr="0092043D">
        <w:rPr>
          <w:rFonts w:ascii="Segoe UI" w:eastAsia="Times New Roman" w:hAnsi="Segoe UI" w:cs="Segoe UI"/>
          <w:color w:val="000000"/>
          <w:sz w:val="23"/>
          <w:szCs w:val="23"/>
          <w:bdr w:val="none" w:sz="0" w:space="0" w:color="auto" w:frame="1"/>
          <w:lang w:eastAsia="en-GB"/>
        </w:rPr>
        <w:t xml:space="preserve"> is a specifically intended crime, directly or indirectly the intent has to be there, as well as malicious and wound being apparent. We can find in the case study of JJC v Eisenhower. The definition for wounded is breaking all layers of the skin and blood flows freely.</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lastRenderedPageBreak/>
        <w:t xml:space="preserve">The </w:t>
      </w:r>
      <w:proofErr w:type="spellStart"/>
      <w:r w:rsidRPr="0092043D">
        <w:rPr>
          <w:rFonts w:ascii="Segoe UI" w:eastAsia="Times New Roman" w:hAnsi="Segoe UI" w:cs="Segoe UI"/>
          <w:color w:val="000000"/>
          <w:sz w:val="23"/>
          <w:szCs w:val="23"/>
          <w:bdr w:val="none" w:sz="0" w:space="0" w:color="auto" w:frame="1"/>
          <w:lang w:eastAsia="en-GB"/>
        </w:rPr>
        <w:t>Mens</w:t>
      </w:r>
      <w:proofErr w:type="spellEnd"/>
      <w:r w:rsidRPr="0092043D">
        <w:rPr>
          <w:rFonts w:ascii="Segoe UI" w:eastAsia="Times New Roman" w:hAnsi="Segoe UI" w:cs="Segoe UI"/>
          <w:color w:val="000000"/>
          <w:sz w:val="23"/>
          <w:szCs w:val="23"/>
          <w:bdr w:val="none" w:sz="0" w:space="0" w:color="auto" w:frame="1"/>
          <w:lang w:eastAsia="en-GB"/>
        </w:rPr>
        <w:t xml:space="preserve"> res is the main difference that distinguishes s20 from s18.</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The last three offences are called statutes offence, which are very old acts dating back to 1861 so the language which is used is very outdated which is a little hard to work with at times . Today’s criminal lawyers are rudely disappointed what is the crimes against the individual act 1861 the court of appeal has described it requirements as “Impenetrable”. The House of Lords was not able to hide it’s frustration with what is called “irrational outcome of this piecemeal law “. Andrew Ashworth wrote of the antiquated and illogical structure of the law commissar’s act.</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ind w:left="540"/>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Bibliography</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tbl>
      <w:tblPr>
        <w:tblW w:w="0" w:type="auto"/>
        <w:shd w:val="clear" w:color="auto" w:fill="FFFFFF"/>
        <w:tblCellMar>
          <w:left w:w="0" w:type="dxa"/>
          <w:right w:w="0" w:type="dxa"/>
        </w:tblCellMar>
        <w:tblLook w:val="04A0" w:firstRow="1" w:lastRow="0" w:firstColumn="1" w:lastColumn="0" w:noHBand="0" w:noVBand="1"/>
      </w:tblPr>
      <w:tblGrid>
        <w:gridCol w:w="9010"/>
      </w:tblGrid>
      <w:tr w:rsidR="0092043D" w:rsidRPr="0092043D" w:rsidTr="0092043D">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rsidR="0092043D" w:rsidRPr="0092043D" w:rsidRDefault="0092043D" w:rsidP="0092043D">
            <w:pPr>
              <w:spacing w:after="0" w:line="240" w:lineRule="auto"/>
              <w:rPr>
                <w:rFonts w:ascii="Segoe UI" w:eastAsia="Times New Roman" w:hAnsi="Segoe UI" w:cs="Segoe UI"/>
                <w:color w:val="000000"/>
                <w:sz w:val="26"/>
                <w:szCs w:val="26"/>
                <w:lang w:eastAsia="en-GB"/>
              </w:rPr>
            </w:pPr>
            <w:r w:rsidRPr="0092043D">
              <w:rPr>
                <w:rFonts w:ascii="Segoe UI" w:eastAsia="Times New Roman" w:hAnsi="Segoe UI" w:cs="Segoe UI"/>
                <w:color w:val="000000"/>
                <w:sz w:val="26"/>
                <w:szCs w:val="26"/>
                <w:bdr w:val="none" w:sz="0" w:space="0" w:color="auto" w:frame="1"/>
                <w:lang w:eastAsia="en-GB"/>
              </w:rPr>
              <w:t xml:space="preserve">Alexandra-Maria </w:t>
            </w:r>
            <w:proofErr w:type="spellStart"/>
            <w:r w:rsidRPr="0092043D">
              <w:rPr>
                <w:rFonts w:ascii="Segoe UI" w:eastAsia="Times New Roman" w:hAnsi="Segoe UI" w:cs="Segoe UI"/>
                <w:color w:val="000000"/>
                <w:sz w:val="26"/>
                <w:szCs w:val="26"/>
                <w:bdr w:val="none" w:sz="0" w:space="0" w:color="auto" w:frame="1"/>
                <w:lang w:eastAsia="en-GB"/>
              </w:rPr>
              <w:t>Eugenios</w:t>
            </w:r>
            <w:proofErr w:type="spellEnd"/>
            <w:r w:rsidRPr="0092043D">
              <w:rPr>
                <w:rFonts w:ascii="Segoe UI" w:eastAsia="Times New Roman" w:hAnsi="Segoe UI" w:cs="Segoe UI"/>
                <w:color w:val="000000"/>
                <w:sz w:val="26"/>
                <w:szCs w:val="26"/>
                <w:bdr w:val="none" w:sz="0" w:space="0" w:color="auto" w:frame="1"/>
                <w:lang w:eastAsia="en-GB"/>
              </w:rPr>
              <w:t>, The Journal of criminal law, issue 1, volume 81, pages 26-3.</w:t>
            </w:r>
          </w:p>
        </w:tc>
      </w:tr>
    </w:tbl>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r w:rsidRPr="0092043D">
        <w:rPr>
          <w:rFonts w:ascii="inherit" w:eastAsia="Times New Roman" w:hAnsi="inherit" w:cs="Segoe UI"/>
          <w:b/>
          <w:bCs/>
          <w:color w:val="000000"/>
          <w:sz w:val="23"/>
          <w:szCs w:val="23"/>
          <w:bdr w:val="none" w:sz="0" w:space="0" w:color="auto" w:frame="1"/>
          <w:lang w:eastAsia="en-GB"/>
        </w:rPr>
        <w:t xml:space="preserve">Chisholm, N., 2021. English Law of the Offences </w:t>
      </w:r>
      <w:proofErr w:type="gramStart"/>
      <w:r w:rsidRPr="0092043D">
        <w:rPr>
          <w:rFonts w:ascii="inherit" w:eastAsia="Times New Roman" w:hAnsi="inherit" w:cs="Segoe UI"/>
          <w:b/>
          <w:bCs/>
          <w:color w:val="000000"/>
          <w:sz w:val="23"/>
          <w:szCs w:val="23"/>
          <w:bdr w:val="none" w:sz="0" w:space="0" w:color="auto" w:frame="1"/>
          <w:lang w:eastAsia="en-GB"/>
        </w:rPr>
        <w:t>Against</w:t>
      </w:r>
      <w:proofErr w:type="gramEnd"/>
      <w:r w:rsidRPr="0092043D">
        <w:rPr>
          <w:rFonts w:ascii="inherit" w:eastAsia="Times New Roman" w:hAnsi="inherit" w:cs="Segoe UI"/>
          <w:b/>
          <w:bCs/>
          <w:color w:val="000000"/>
          <w:sz w:val="23"/>
          <w:szCs w:val="23"/>
          <w:bdr w:val="none" w:sz="0" w:space="0" w:color="auto" w:frame="1"/>
          <w:lang w:eastAsia="en-GB"/>
        </w:rPr>
        <w:t xml:space="preserve"> the Person Act 1861: Outline and Case Summaries. </w:t>
      </w:r>
      <w:r w:rsidRPr="0092043D">
        <w:rPr>
          <w:rFonts w:ascii="inherit" w:eastAsia="Times New Roman" w:hAnsi="inherit" w:cs="Segoe UI"/>
          <w:b/>
          <w:bCs/>
          <w:i/>
          <w:iCs/>
          <w:color w:val="000000"/>
          <w:sz w:val="23"/>
          <w:szCs w:val="23"/>
          <w:bdr w:val="none" w:sz="0" w:space="0" w:color="auto" w:frame="1"/>
          <w:lang w:eastAsia="en-GB"/>
        </w:rPr>
        <w:t>SSRN Electronic Journal</w:t>
      </w:r>
      <w:r w:rsidRPr="0092043D">
        <w:rPr>
          <w:rFonts w:ascii="inherit" w:eastAsia="Times New Roman" w:hAnsi="inherit" w:cs="Segoe UI"/>
          <w:b/>
          <w:bCs/>
          <w:color w:val="000000"/>
          <w:sz w:val="23"/>
          <w:szCs w:val="23"/>
          <w:bdr w:val="none" w:sz="0" w:space="0" w:color="auto" w:frame="1"/>
          <w:lang w:eastAsia="en-GB"/>
        </w:rPr>
        <w:t>,</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Virgo, G., 1991. Assault Occasioning Actual Bodily Harm—</w:t>
      </w:r>
      <w:proofErr w:type="gramStart"/>
      <w:r w:rsidRPr="0092043D">
        <w:rPr>
          <w:rFonts w:ascii="Segoe UI" w:eastAsia="Times New Roman" w:hAnsi="Segoe UI" w:cs="Segoe UI"/>
          <w:color w:val="000000"/>
          <w:sz w:val="23"/>
          <w:szCs w:val="23"/>
          <w:bdr w:val="none" w:sz="0" w:space="0" w:color="auto" w:frame="1"/>
          <w:lang w:eastAsia="en-GB"/>
        </w:rPr>
        <w:t>A</w:t>
      </w:r>
      <w:proofErr w:type="gramEnd"/>
      <w:r w:rsidRPr="0092043D">
        <w:rPr>
          <w:rFonts w:ascii="Segoe UI" w:eastAsia="Times New Roman" w:hAnsi="Segoe UI" w:cs="Segoe UI"/>
          <w:color w:val="000000"/>
          <w:sz w:val="23"/>
          <w:szCs w:val="23"/>
          <w:bdr w:val="none" w:sz="0" w:space="0" w:color="auto" w:frame="1"/>
          <w:lang w:eastAsia="en-GB"/>
        </w:rPr>
        <w:t xml:space="preserve"> Legal Assault Course. </w:t>
      </w:r>
      <w:r w:rsidRPr="0092043D">
        <w:rPr>
          <w:rFonts w:ascii="inherit" w:eastAsia="Times New Roman" w:hAnsi="inherit" w:cs="Segoe UI"/>
          <w:b/>
          <w:bCs/>
          <w:i/>
          <w:iCs/>
          <w:color w:val="000000"/>
          <w:sz w:val="23"/>
          <w:szCs w:val="23"/>
          <w:bdr w:val="none" w:sz="0" w:space="0" w:color="auto" w:frame="1"/>
          <w:lang w:eastAsia="en-GB"/>
        </w:rPr>
        <w:t>The Cambridge Law Journal</w:t>
      </w:r>
      <w:r w:rsidRPr="0092043D">
        <w:rPr>
          <w:rFonts w:ascii="inherit" w:eastAsia="Times New Roman" w:hAnsi="inherit" w:cs="Segoe UI"/>
          <w:b/>
          <w:bCs/>
          <w:color w:val="000000"/>
          <w:sz w:val="23"/>
          <w:szCs w:val="23"/>
          <w:bdr w:val="none" w:sz="0" w:space="0" w:color="auto" w:frame="1"/>
          <w:lang w:eastAsia="en-GB"/>
        </w:rPr>
        <w:t>, 50(2), pp.226-229.</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inherit" w:eastAsia="Times New Roman" w:hAnsi="inherit" w:cs="Segoe UI"/>
          <w:b/>
          <w:bCs/>
          <w:color w:val="000000"/>
          <w:sz w:val="23"/>
          <w:szCs w:val="23"/>
          <w:bdr w:val="none" w:sz="0" w:space="0" w:color="auto" w:frame="1"/>
          <w:lang w:eastAsia="en-GB"/>
        </w:rPr>
        <w:t> </w:t>
      </w:r>
      <w:proofErr w:type="spellStart"/>
      <w:r w:rsidRPr="0092043D">
        <w:rPr>
          <w:rFonts w:ascii="inherit" w:eastAsia="Times New Roman" w:hAnsi="inherit" w:cs="Segoe UI"/>
          <w:b/>
          <w:bCs/>
          <w:color w:val="000000"/>
          <w:sz w:val="23"/>
          <w:szCs w:val="23"/>
          <w:bdr w:val="none" w:sz="0" w:space="0" w:color="auto" w:frame="1"/>
          <w:lang w:eastAsia="en-GB"/>
        </w:rPr>
        <w:t>Carrazana</w:t>
      </w:r>
      <w:proofErr w:type="spellEnd"/>
      <w:r w:rsidRPr="0092043D">
        <w:rPr>
          <w:rFonts w:ascii="inherit" w:eastAsia="Times New Roman" w:hAnsi="inherit" w:cs="Segoe UI"/>
          <w:b/>
          <w:bCs/>
          <w:color w:val="000000"/>
          <w:sz w:val="23"/>
          <w:szCs w:val="23"/>
          <w:bdr w:val="none" w:sz="0" w:space="0" w:color="auto" w:frame="1"/>
          <w:lang w:eastAsia="en-GB"/>
        </w:rPr>
        <w:t>, E., 1996. Grievous bodily harm. </w:t>
      </w:r>
      <w:r w:rsidRPr="0092043D">
        <w:rPr>
          <w:rFonts w:ascii="inherit" w:eastAsia="Times New Roman" w:hAnsi="inherit" w:cs="Segoe UI"/>
          <w:b/>
          <w:bCs/>
          <w:i/>
          <w:iCs/>
          <w:color w:val="000000"/>
          <w:sz w:val="23"/>
          <w:szCs w:val="23"/>
          <w:bdr w:val="none" w:sz="0" w:space="0" w:color="auto" w:frame="1"/>
          <w:lang w:eastAsia="en-GB"/>
        </w:rPr>
        <w:t>Neurology</w:t>
      </w:r>
      <w:r w:rsidRPr="0092043D">
        <w:rPr>
          <w:rFonts w:ascii="inherit" w:eastAsia="Times New Roman" w:hAnsi="inherit" w:cs="Segoe UI"/>
          <w:b/>
          <w:bCs/>
          <w:color w:val="000000"/>
          <w:sz w:val="23"/>
          <w:szCs w:val="23"/>
          <w:bdr w:val="none" w:sz="0" w:space="0" w:color="auto" w:frame="1"/>
          <w:lang w:eastAsia="en-GB"/>
        </w:rPr>
        <w:t>, 47(5), pp.1351-1351</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inherit" w:eastAsia="Times New Roman" w:hAnsi="inherit" w:cs="Segoe UI"/>
          <w:b/>
          <w:bCs/>
          <w:color w:val="000000"/>
          <w:sz w:val="23"/>
          <w:szCs w:val="23"/>
          <w:bdr w:val="none" w:sz="0" w:space="0" w:color="auto" w:frame="1"/>
          <w:lang w:eastAsia="en-GB"/>
        </w:rPr>
        <w:t> </w:t>
      </w:r>
      <w:proofErr w:type="spellStart"/>
      <w:r w:rsidRPr="0092043D">
        <w:rPr>
          <w:rFonts w:ascii="inherit" w:eastAsia="Times New Roman" w:hAnsi="inherit" w:cs="Segoe UI"/>
          <w:b/>
          <w:bCs/>
          <w:color w:val="000000"/>
          <w:sz w:val="23"/>
          <w:szCs w:val="23"/>
          <w:bdr w:val="none" w:sz="0" w:space="0" w:color="auto" w:frame="1"/>
          <w:lang w:eastAsia="en-GB"/>
        </w:rPr>
        <w:t>Bollom</w:t>
      </w:r>
      <w:proofErr w:type="spellEnd"/>
      <w:r w:rsidRPr="0092043D">
        <w:rPr>
          <w:rFonts w:ascii="inherit" w:eastAsia="Times New Roman" w:hAnsi="inherit" w:cs="Segoe UI"/>
          <w:b/>
          <w:bCs/>
          <w:color w:val="000000"/>
          <w:sz w:val="23"/>
          <w:szCs w:val="23"/>
          <w:bdr w:val="none" w:sz="0" w:space="0" w:color="auto" w:frame="1"/>
          <w:lang w:eastAsia="en-GB"/>
        </w:rPr>
        <w:t>, M., 1996. Book Reviews. </w:t>
      </w:r>
      <w:r w:rsidRPr="0092043D">
        <w:rPr>
          <w:rFonts w:ascii="inherit" w:eastAsia="Times New Roman" w:hAnsi="inherit" w:cs="Segoe UI"/>
          <w:b/>
          <w:bCs/>
          <w:i/>
          <w:iCs/>
          <w:color w:val="000000"/>
          <w:sz w:val="23"/>
          <w:szCs w:val="23"/>
          <w:bdr w:val="none" w:sz="0" w:space="0" w:color="auto" w:frame="1"/>
          <w:lang w:eastAsia="en-GB"/>
        </w:rPr>
        <w:t>Comparative Political Studies</w:t>
      </w:r>
      <w:r w:rsidRPr="0092043D">
        <w:rPr>
          <w:rFonts w:ascii="inherit" w:eastAsia="Times New Roman" w:hAnsi="inherit" w:cs="Segoe UI"/>
          <w:b/>
          <w:bCs/>
          <w:color w:val="000000"/>
          <w:sz w:val="23"/>
          <w:szCs w:val="23"/>
          <w:bdr w:val="none" w:sz="0" w:space="0" w:color="auto" w:frame="1"/>
          <w:lang w:eastAsia="en-GB"/>
        </w:rPr>
        <w:t>, 29(1)</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Choi, H., 2019. </w:t>
      </w:r>
      <w:proofErr w:type="spellStart"/>
      <w:r w:rsidRPr="0092043D">
        <w:rPr>
          <w:rFonts w:ascii="Segoe UI" w:eastAsia="Times New Roman" w:hAnsi="Segoe UI" w:cs="Segoe UI"/>
          <w:color w:val="000000"/>
          <w:sz w:val="23"/>
          <w:szCs w:val="23"/>
          <w:bdr w:val="none" w:sz="0" w:space="0" w:color="auto" w:frame="1"/>
          <w:lang w:eastAsia="en-GB"/>
        </w:rPr>
        <w:t>Dica</w:t>
      </w:r>
      <w:proofErr w:type="spellEnd"/>
      <w:r w:rsidRPr="0092043D">
        <w:rPr>
          <w:rFonts w:ascii="Segoe UI" w:eastAsia="Times New Roman" w:hAnsi="Segoe UI" w:cs="Segoe UI"/>
          <w:color w:val="000000"/>
          <w:sz w:val="23"/>
          <w:szCs w:val="23"/>
          <w:bdr w:val="none" w:sz="0" w:space="0" w:color="auto" w:frame="1"/>
          <w:lang w:eastAsia="en-GB"/>
        </w:rPr>
        <w:t>-poem’s Image Implementation Method and Literary Space in the New Media Age. </w:t>
      </w:r>
      <w:proofErr w:type="spellStart"/>
      <w:r w:rsidRPr="0092043D">
        <w:rPr>
          <w:rFonts w:ascii="inherit" w:eastAsia="Times New Roman" w:hAnsi="inherit" w:cs="Segoe UI"/>
          <w:b/>
          <w:bCs/>
          <w:i/>
          <w:iCs/>
          <w:color w:val="000000"/>
          <w:sz w:val="23"/>
          <w:szCs w:val="23"/>
          <w:bdr w:val="none" w:sz="0" w:space="0" w:color="auto" w:frame="1"/>
          <w:lang w:eastAsia="en-GB"/>
        </w:rPr>
        <w:t>Hanminjok</w:t>
      </w:r>
      <w:proofErr w:type="spellEnd"/>
      <w:r w:rsidRPr="0092043D">
        <w:rPr>
          <w:rFonts w:ascii="inherit" w:eastAsia="Times New Roman" w:hAnsi="inherit" w:cs="Segoe UI"/>
          <w:b/>
          <w:bCs/>
          <w:i/>
          <w:iCs/>
          <w:color w:val="000000"/>
          <w:sz w:val="23"/>
          <w:szCs w:val="23"/>
          <w:bdr w:val="none" w:sz="0" w:space="0" w:color="auto" w:frame="1"/>
          <w:lang w:eastAsia="en-GB"/>
        </w:rPr>
        <w:t xml:space="preserve"> </w:t>
      </w:r>
      <w:proofErr w:type="spellStart"/>
      <w:r w:rsidRPr="0092043D">
        <w:rPr>
          <w:rFonts w:ascii="inherit" w:eastAsia="Times New Roman" w:hAnsi="inherit" w:cs="Segoe UI"/>
          <w:b/>
          <w:bCs/>
          <w:i/>
          <w:iCs/>
          <w:color w:val="000000"/>
          <w:sz w:val="23"/>
          <w:szCs w:val="23"/>
          <w:bdr w:val="none" w:sz="0" w:space="0" w:color="auto" w:frame="1"/>
          <w:lang w:eastAsia="en-GB"/>
        </w:rPr>
        <w:t>Emunhak</w:t>
      </w:r>
      <w:proofErr w:type="spellEnd"/>
      <w:r w:rsidRPr="0092043D">
        <w:rPr>
          <w:rFonts w:ascii="inherit" w:eastAsia="Times New Roman" w:hAnsi="inherit" w:cs="Segoe UI"/>
          <w:b/>
          <w:bCs/>
          <w:color w:val="000000"/>
          <w:sz w:val="23"/>
          <w:szCs w:val="23"/>
          <w:bdr w:val="none" w:sz="0" w:space="0" w:color="auto" w:frame="1"/>
          <w:lang w:eastAsia="en-GB"/>
        </w:rPr>
        <w:t>, 85, pp.209-242.</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inherit" w:eastAsia="Times New Roman" w:hAnsi="inherit" w:cs="Segoe UI"/>
          <w:b/>
          <w:bCs/>
          <w:color w:val="000000"/>
          <w:sz w:val="23"/>
          <w:szCs w:val="23"/>
          <w:bdr w:val="none" w:sz="0" w:space="0" w:color="auto" w:frame="1"/>
          <w:lang w:eastAsia="en-GB"/>
        </w:rPr>
        <w:t> </w:t>
      </w:r>
      <w:proofErr w:type="spellStart"/>
      <w:r w:rsidRPr="0092043D">
        <w:rPr>
          <w:rFonts w:ascii="inherit" w:eastAsia="Times New Roman" w:hAnsi="inherit" w:cs="Segoe UI"/>
          <w:b/>
          <w:bCs/>
          <w:color w:val="000000"/>
          <w:sz w:val="23"/>
          <w:szCs w:val="23"/>
          <w:bdr w:val="none" w:sz="0" w:space="0" w:color="auto" w:frame="1"/>
          <w:lang w:eastAsia="en-GB"/>
        </w:rPr>
        <w:t>Carrazana</w:t>
      </w:r>
      <w:proofErr w:type="spellEnd"/>
      <w:r w:rsidRPr="0092043D">
        <w:rPr>
          <w:rFonts w:ascii="inherit" w:eastAsia="Times New Roman" w:hAnsi="inherit" w:cs="Segoe UI"/>
          <w:b/>
          <w:bCs/>
          <w:color w:val="000000"/>
          <w:sz w:val="23"/>
          <w:szCs w:val="23"/>
          <w:bdr w:val="none" w:sz="0" w:space="0" w:color="auto" w:frame="1"/>
          <w:lang w:eastAsia="en-GB"/>
        </w:rPr>
        <w:t>, E., 1996. Grievous bodily harm. </w:t>
      </w:r>
      <w:r w:rsidRPr="0092043D">
        <w:rPr>
          <w:rFonts w:ascii="inherit" w:eastAsia="Times New Roman" w:hAnsi="inherit" w:cs="Segoe UI"/>
          <w:b/>
          <w:bCs/>
          <w:i/>
          <w:iCs/>
          <w:color w:val="000000"/>
          <w:sz w:val="23"/>
          <w:szCs w:val="23"/>
          <w:bdr w:val="none" w:sz="0" w:space="0" w:color="auto" w:frame="1"/>
          <w:lang w:eastAsia="en-GB"/>
        </w:rPr>
        <w:t>Neurology</w:t>
      </w:r>
      <w:r w:rsidRPr="0092043D">
        <w:rPr>
          <w:rFonts w:ascii="inherit" w:eastAsia="Times New Roman" w:hAnsi="inherit" w:cs="Segoe UI"/>
          <w:b/>
          <w:bCs/>
          <w:color w:val="000000"/>
          <w:sz w:val="23"/>
          <w:szCs w:val="23"/>
          <w:bdr w:val="none" w:sz="0" w:space="0" w:color="auto" w:frame="1"/>
          <w:lang w:eastAsia="en-GB"/>
        </w:rPr>
        <w:t>, 47(5), pp.1351-1351</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https://www.lawreform.ie/_fileupload/Reports/rNonFatalOffences.htm</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[1976] Crim LR 121 https://ipsaloquitur.com/criminal-law/cases/logdon-v-dpp/</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xml:space="preserve">Graham Virgo </w:t>
      </w:r>
      <w:proofErr w:type="gramStart"/>
      <w:r w:rsidRPr="0092043D">
        <w:rPr>
          <w:rFonts w:ascii="Segoe UI" w:eastAsia="Times New Roman" w:hAnsi="Segoe UI" w:cs="Segoe UI"/>
          <w:color w:val="000000"/>
          <w:sz w:val="23"/>
          <w:szCs w:val="23"/>
          <w:bdr w:val="none" w:sz="0" w:space="0" w:color="auto" w:frame="1"/>
          <w:lang w:eastAsia="en-GB"/>
        </w:rPr>
        <w:t>The</w:t>
      </w:r>
      <w:proofErr w:type="gramEnd"/>
      <w:r w:rsidRPr="0092043D">
        <w:rPr>
          <w:rFonts w:ascii="Segoe UI" w:eastAsia="Times New Roman" w:hAnsi="Segoe UI" w:cs="Segoe UI"/>
          <w:color w:val="000000"/>
          <w:sz w:val="23"/>
          <w:szCs w:val="23"/>
          <w:bdr w:val="none" w:sz="0" w:space="0" w:color="auto" w:frame="1"/>
          <w:lang w:eastAsia="en-GB"/>
        </w:rPr>
        <w:t xml:space="preserve"> Cambridge law journal issue 2 volume 50 page 226-229</w:t>
      </w:r>
    </w:p>
    <w:tbl>
      <w:tblPr>
        <w:tblW w:w="0" w:type="auto"/>
        <w:shd w:val="clear" w:color="auto" w:fill="FFFFFF"/>
        <w:tblCellMar>
          <w:left w:w="0" w:type="dxa"/>
          <w:right w:w="0" w:type="dxa"/>
        </w:tblCellMar>
        <w:tblLook w:val="04A0" w:firstRow="1" w:lastRow="0" w:firstColumn="1" w:lastColumn="0" w:noHBand="0" w:noVBand="1"/>
      </w:tblPr>
      <w:tblGrid>
        <w:gridCol w:w="156"/>
      </w:tblGrid>
      <w:tr w:rsidR="0092043D" w:rsidRPr="0092043D" w:rsidTr="0092043D">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rsidR="0092043D" w:rsidRPr="0092043D" w:rsidRDefault="0092043D" w:rsidP="0092043D">
            <w:pPr>
              <w:spacing w:after="0" w:line="240" w:lineRule="auto"/>
              <w:rPr>
                <w:rFonts w:ascii="Helvetica" w:eastAsia="Times New Roman" w:hAnsi="Helvetica" w:cs="Helvetica"/>
                <w:color w:val="000000"/>
                <w:sz w:val="18"/>
                <w:szCs w:val="18"/>
                <w:lang w:eastAsia="en-GB"/>
              </w:rPr>
            </w:pPr>
          </w:p>
        </w:tc>
      </w:tr>
    </w:tbl>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r w:rsidRPr="0092043D">
        <w:rPr>
          <w:rFonts w:ascii="Segoe UI" w:eastAsia="Times New Roman" w:hAnsi="Segoe UI" w:cs="Segoe UI"/>
          <w:color w:val="000000"/>
          <w:sz w:val="23"/>
          <w:szCs w:val="23"/>
          <w:bdr w:val="none" w:sz="0" w:space="0" w:color="auto" w:frame="1"/>
          <w:lang w:eastAsia="en-GB"/>
        </w:rPr>
        <w:t> </w:t>
      </w:r>
    </w:p>
    <w:p w:rsidR="0092043D" w:rsidRPr="0092043D" w:rsidRDefault="0092043D" w:rsidP="0092043D">
      <w:pPr>
        <w:shd w:val="clear" w:color="auto" w:fill="FFFFFF"/>
        <w:spacing w:after="0" w:line="240" w:lineRule="auto"/>
        <w:rPr>
          <w:rFonts w:ascii="Segoe UI" w:eastAsia="Times New Roman" w:hAnsi="Segoe UI" w:cs="Segoe UI"/>
          <w:color w:val="000000"/>
          <w:sz w:val="23"/>
          <w:szCs w:val="23"/>
          <w:lang w:eastAsia="en-GB"/>
        </w:rPr>
      </w:pPr>
      <w:hyperlink r:id="rId4" w:tgtFrame="_blank" w:history="1">
        <w:r w:rsidRPr="0092043D">
          <w:rPr>
            <w:rFonts w:ascii="Segoe UI" w:eastAsia="Times New Roman" w:hAnsi="Segoe UI" w:cs="Segoe UI"/>
            <w:sz w:val="23"/>
            <w:szCs w:val="23"/>
            <w:u w:val="single"/>
            <w:bdr w:val="none" w:sz="0" w:space="0" w:color="auto" w:frame="1"/>
            <w:lang w:eastAsia="en-GB"/>
          </w:rPr>
          <w:t>The Cambridge Law Journal</w:t>
        </w:r>
      </w:hyperlink>
      <w:r w:rsidRPr="0092043D">
        <w:rPr>
          <w:rFonts w:ascii="inherit" w:eastAsia="Times New Roman" w:hAnsi="inherit" w:cs="Segoe UI"/>
          <w:b/>
          <w:bCs/>
          <w:sz w:val="23"/>
          <w:szCs w:val="23"/>
          <w:bdr w:val="none" w:sz="0" w:space="0" w:color="auto" w:frame="1"/>
          <w:lang w:eastAsia="en-GB"/>
        </w:rPr>
        <w:t> , </w:t>
      </w:r>
      <w:hyperlink r:id="rId5" w:tgtFrame="_blank" w:history="1">
        <w:r w:rsidRPr="0092043D">
          <w:rPr>
            <w:rFonts w:ascii="inherit" w:eastAsia="Times New Roman" w:hAnsi="inherit" w:cs="Segoe UI"/>
            <w:b/>
            <w:bCs/>
            <w:sz w:val="23"/>
            <w:szCs w:val="23"/>
            <w:u w:val="single"/>
            <w:bdr w:val="none" w:sz="0" w:space="0" w:color="auto" w:frame="1"/>
            <w:lang w:eastAsia="en-GB"/>
          </w:rPr>
          <w:t>Volume 53</w:t>
        </w:r>
      </w:hyperlink>
      <w:r w:rsidRPr="0092043D">
        <w:rPr>
          <w:rFonts w:ascii="inherit" w:eastAsia="Times New Roman" w:hAnsi="inherit" w:cs="Segoe UI"/>
          <w:b/>
          <w:bCs/>
          <w:sz w:val="23"/>
          <w:szCs w:val="23"/>
          <w:bdr w:val="none" w:sz="0" w:space="0" w:color="auto" w:frame="1"/>
          <w:lang w:eastAsia="en-GB"/>
        </w:rPr>
        <w:t> , </w:t>
      </w:r>
      <w:hyperlink r:id="rId6" w:tgtFrame="_blank" w:history="1">
        <w:r w:rsidRPr="0092043D">
          <w:rPr>
            <w:rFonts w:ascii="inherit" w:eastAsia="Times New Roman" w:hAnsi="inherit" w:cs="Segoe UI"/>
            <w:b/>
            <w:bCs/>
            <w:sz w:val="23"/>
            <w:szCs w:val="23"/>
            <w:u w:val="single"/>
            <w:bdr w:val="none" w:sz="0" w:space="0" w:color="auto" w:frame="1"/>
            <w:lang w:eastAsia="en-GB"/>
          </w:rPr>
          <w:t>Issue 3</w:t>
        </w:r>
      </w:hyperlink>
      <w:r w:rsidRPr="0092043D">
        <w:rPr>
          <w:rFonts w:ascii="inherit" w:eastAsia="Times New Roman" w:hAnsi="inherit" w:cs="Segoe UI"/>
          <w:b/>
          <w:bCs/>
          <w:sz w:val="23"/>
          <w:szCs w:val="23"/>
          <w:bdr w:val="none" w:sz="0" w:space="0" w:color="auto" w:frame="1"/>
          <w:lang w:eastAsia="en-GB"/>
        </w:rPr>
        <w:t> , Novemb</w:t>
      </w:r>
      <w:r w:rsidRPr="0092043D">
        <w:rPr>
          <w:rFonts w:ascii="inherit" w:eastAsia="Times New Roman" w:hAnsi="inherit" w:cs="Segoe UI"/>
          <w:b/>
          <w:bCs/>
          <w:color w:val="000000"/>
          <w:sz w:val="23"/>
          <w:szCs w:val="23"/>
          <w:bdr w:val="none" w:sz="0" w:space="0" w:color="auto" w:frame="1"/>
          <w:lang w:eastAsia="en-GB"/>
        </w:rPr>
        <w:t xml:space="preserve">er </w:t>
      </w:r>
      <w:proofErr w:type="gramStart"/>
      <w:r w:rsidRPr="0092043D">
        <w:rPr>
          <w:rFonts w:ascii="inherit" w:eastAsia="Times New Roman" w:hAnsi="inherit" w:cs="Segoe UI"/>
          <w:b/>
          <w:bCs/>
          <w:color w:val="000000"/>
          <w:sz w:val="23"/>
          <w:szCs w:val="23"/>
          <w:bdr w:val="none" w:sz="0" w:space="0" w:color="auto" w:frame="1"/>
          <w:lang w:eastAsia="en-GB"/>
        </w:rPr>
        <w:t>1994 ,</w:t>
      </w:r>
      <w:proofErr w:type="gramEnd"/>
      <w:r w:rsidRPr="0092043D">
        <w:rPr>
          <w:rFonts w:ascii="inherit" w:eastAsia="Times New Roman" w:hAnsi="inherit" w:cs="Segoe UI"/>
          <w:b/>
          <w:bCs/>
          <w:color w:val="000000"/>
          <w:sz w:val="23"/>
          <w:szCs w:val="23"/>
          <w:bdr w:val="none" w:sz="0" w:space="0" w:color="auto" w:frame="1"/>
          <w:lang w:eastAsia="en-GB"/>
        </w:rPr>
        <w:t xml:space="preserve"> pp. 502 - 523</w:t>
      </w:r>
    </w:p>
    <w:p w:rsidR="00A51DA0" w:rsidRDefault="0092043D"/>
    <w:sectPr w:rsidR="00A51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43D"/>
    <w:rsid w:val="006B7972"/>
    <w:rsid w:val="008B7A82"/>
    <w:rsid w:val="00920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62B099-D26D-41F6-8756-0DDDD7ED8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1">
    <w:name w:val="x_p1"/>
    <w:basedOn w:val="Normal"/>
    <w:rsid w:val="00920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92043D"/>
  </w:style>
  <w:style w:type="paragraph" w:customStyle="1" w:styleId="xp2">
    <w:name w:val="x_p2"/>
    <w:basedOn w:val="Normal"/>
    <w:rsid w:val="00920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apple-converted-space">
    <w:name w:val="x_apple-converted-space"/>
    <w:basedOn w:val="DefaultParagraphFont"/>
    <w:rsid w:val="0092043D"/>
  </w:style>
  <w:style w:type="paragraph" w:customStyle="1" w:styleId="xp3">
    <w:name w:val="x_p3"/>
    <w:basedOn w:val="Normal"/>
    <w:rsid w:val="00920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2">
    <w:name w:val="x_s2"/>
    <w:basedOn w:val="DefaultParagraphFont"/>
    <w:rsid w:val="0092043D"/>
  </w:style>
  <w:style w:type="character" w:customStyle="1" w:styleId="xs3">
    <w:name w:val="x_s3"/>
    <w:basedOn w:val="DefaultParagraphFont"/>
    <w:rsid w:val="0092043D"/>
  </w:style>
  <w:style w:type="paragraph" w:customStyle="1" w:styleId="xp4">
    <w:name w:val="x_p4"/>
    <w:basedOn w:val="Normal"/>
    <w:rsid w:val="00920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5">
    <w:name w:val="x_s5"/>
    <w:basedOn w:val="DefaultParagraphFont"/>
    <w:rsid w:val="0092043D"/>
  </w:style>
  <w:style w:type="character" w:styleId="Hyperlink">
    <w:name w:val="Hyperlink"/>
    <w:basedOn w:val="DefaultParagraphFont"/>
    <w:uiPriority w:val="99"/>
    <w:semiHidden/>
    <w:unhideWhenUsed/>
    <w:rsid w:val="0092043D"/>
    <w:rPr>
      <w:color w:val="0000FF"/>
      <w:u w:val="single"/>
    </w:rPr>
  </w:style>
  <w:style w:type="character" w:customStyle="1" w:styleId="xs6">
    <w:name w:val="x_s6"/>
    <w:basedOn w:val="DefaultParagraphFont"/>
    <w:rsid w:val="00920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888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bridge.org/core/journals/cambridge-law-journal/issue/C51B47D2B715D8DFC01FB6D9EB59EBF7" TargetMode="External"/><Relationship Id="rId5" Type="http://schemas.openxmlformats.org/officeDocument/2006/relationships/hyperlink" Target="https://www.cambridge.org/core/journals/cambridge-law-journal/volume/684A29D7A0E352BED3E04534D949BE64" TargetMode="External"/><Relationship Id="rId4" Type="http://schemas.openxmlformats.org/officeDocument/2006/relationships/hyperlink" Target="https://www.cambridge.org/core/journals/cambridge-law-jour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1879</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Standard User</dc:creator>
  <cp:keywords/>
  <dc:description/>
  <cp:lastModifiedBy>Standard User</cp:lastModifiedBy>
  <cp:revision>1</cp:revision>
  <dcterms:created xsi:type="dcterms:W3CDTF">2021-03-04T21:35:00Z</dcterms:created>
  <dcterms:modified xsi:type="dcterms:W3CDTF">2021-03-04T21:41:00Z</dcterms:modified>
</cp:coreProperties>
</file>