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F7AF73" w14:textId="4EA99B6E" w:rsidR="00234A5A" w:rsidRPr="00666910" w:rsidRDefault="001B1A3F" w:rsidP="00666910">
      <w:pPr>
        <w:spacing w:before="120" w:after="120" w:line="360" w:lineRule="auto"/>
        <w:jc w:val="both"/>
        <w:rPr>
          <w:rFonts w:ascii="Arial" w:eastAsia="Arial" w:hAnsi="Arial" w:cs="Arial"/>
          <w:b/>
          <w:bCs/>
          <w:sz w:val="22"/>
          <w:szCs w:val="22"/>
        </w:rPr>
      </w:pPr>
      <w:r w:rsidRPr="00666910">
        <w:rPr>
          <w:rFonts w:ascii="Arial" w:eastAsia="Arial" w:hAnsi="Arial" w:cs="Arial"/>
          <w:b/>
          <w:bCs/>
          <w:sz w:val="22"/>
          <w:szCs w:val="22"/>
        </w:rPr>
        <w:t xml:space="preserve">                                      </w:t>
      </w:r>
      <w:r w:rsidR="00234A5A" w:rsidRPr="00666910">
        <w:rPr>
          <w:rFonts w:ascii="Arial" w:eastAsia="Arial" w:hAnsi="Arial" w:cs="Arial"/>
          <w:b/>
          <w:bCs/>
          <w:sz w:val="22"/>
          <w:szCs w:val="22"/>
        </w:rPr>
        <w:t xml:space="preserve"> Name: Naomi Lubanza Kihani</w:t>
      </w:r>
    </w:p>
    <w:p w14:paraId="1411D38F" w14:textId="2F71CB1A" w:rsidR="00234A5A" w:rsidRPr="00666910" w:rsidRDefault="00234A5A" w:rsidP="00666910">
      <w:pPr>
        <w:spacing w:before="120" w:after="120" w:line="360" w:lineRule="auto"/>
        <w:ind w:firstLine="360"/>
        <w:jc w:val="both"/>
        <w:rPr>
          <w:rFonts w:ascii="Arial" w:eastAsia="Arial" w:hAnsi="Arial" w:cs="Arial"/>
          <w:b/>
          <w:bCs/>
          <w:sz w:val="22"/>
          <w:szCs w:val="22"/>
        </w:rPr>
      </w:pPr>
      <w:r w:rsidRPr="00666910">
        <w:rPr>
          <w:rFonts w:ascii="Arial" w:eastAsia="Arial" w:hAnsi="Arial" w:cs="Arial"/>
          <w:b/>
          <w:bCs/>
          <w:sz w:val="22"/>
          <w:szCs w:val="22"/>
        </w:rPr>
        <w:t xml:space="preserve">                                 </w:t>
      </w:r>
      <w:r w:rsidR="000D065E" w:rsidRPr="00666910">
        <w:rPr>
          <w:rFonts w:ascii="Arial" w:eastAsia="Arial" w:hAnsi="Arial" w:cs="Arial"/>
          <w:b/>
          <w:bCs/>
          <w:sz w:val="22"/>
          <w:szCs w:val="22"/>
        </w:rPr>
        <w:t xml:space="preserve"> </w:t>
      </w:r>
      <w:r w:rsidR="001B1A3F" w:rsidRPr="00666910">
        <w:rPr>
          <w:rFonts w:ascii="Arial" w:eastAsia="Arial" w:hAnsi="Arial" w:cs="Arial"/>
          <w:b/>
          <w:bCs/>
          <w:sz w:val="22"/>
          <w:szCs w:val="22"/>
        </w:rPr>
        <w:t xml:space="preserve">  </w:t>
      </w:r>
      <w:r w:rsidRPr="00666910">
        <w:rPr>
          <w:rFonts w:ascii="Arial" w:eastAsia="Arial" w:hAnsi="Arial" w:cs="Arial"/>
          <w:b/>
          <w:bCs/>
          <w:sz w:val="22"/>
          <w:szCs w:val="22"/>
        </w:rPr>
        <w:t xml:space="preserve"> Student Number: 2424519</w:t>
      </w:r>
    </w:p>
    <w:p w14:paraId="1FD15DAC" w14:textId="73DC3881" w:rsidR="000D065E" w:rsidRPr="00666910" w:rsidRDefault="000D065E" w:rsidP="00666910">
      <w:pPr>
        <w:spacing w:before="120" w:after="120" w:line="360" w:lineRule="auto"/>
        <w:ind w:firstLine="360"/>
        <w:jc w:val="both"/>
        <w:rPr>
          <w:rFonts w:ascii="Arial" w:eastAsia="Arial" w:hAnsi="Arial" w:cs="Arial"/>
          <w:b/>
          <w:bCs/>
          <w:sz w:val="22"/>
          <w:szCs w:val="22"/>
        </w:rPr>
      </w:pPr>
      <w:r w:rsidRPr="00666910">
        <w:rPr>
          <w:rFonts w:ascii="Arial" w:eastAsia="Arial" w:hAnsi="Arial" w:cs="Arial"/>
          <w:b/>
          <w:bCs/>
          <w:sz w:val="22"/>
          <w:szCs w:val="22"/>
        </w:rPr>
        <w:t xml:space="preserve">                             Module: Introduction to Physiology </w:t>
      </w:r>
    </w:p>
    <w:p w14:paraId="7362F1D5" w14:textId="17D260B2" w:rsidR="000D065E" w:rsidRPr="00666910" w:rsidRDefault="000D065E" w:rsidP="00666910">
      <w:pPr>
        <w:spacing w:before="120" w:after="120" w:line="360" w:lineRule="auto"/>
        <w:ind w:firstLine="360"/>
        <w:jc w:val="both"/>
        <w:rPr>
          <w:rFonts w:ascii="Arial" w:eastAsia="Arial" w:hAnsi="Arial" w:cs="Arial"/>
          <w:b/>
          <w:bCs/>
          <w:sz w:val="22"/>
          <w:szCs w:val="22"/>
        </w:rPr>
      </w:pPr>
      <w:r w:rsidRPr="00666910">
        <w:rPr>
          <w:rFonts w:ascii="Arial" w:eastAsia="Arial" w:hAnsi="Arial" w:cs="Arial"/>
          <w:b/>
          <w:bCs/>
          <w:sz w:val="22"/>
          <w:szCs w:val="22"/>
        </w:rPr>
        <w:t xml:space="preserve">                                     Module Code: BMHP5023</w:t>
      </w:r>
    </w:p>
    <w:p w14:paraId="6193C6E9" w14:textId="3631F785" w:rsidR="000D065E" w:rsidRPr="00666910" w:rsidRDefault="000D065E" w:rsidP="00666910">
      <w:pPr>
        <w:spacing w:before="120" w:after="120" w:line="360" w:lineRule="auto"/>
        <w:ind w:firstLine="360"/>
        <w:jc w:val="both"/>
        <w:rPr>
          <w:rFonts w:ascii="Arial" w:eastAsia="Arial" w:hAnsi="Arial" w:cs="Arial"/>
          <w:b/>
          <w:bCs/>
          <w:sz w:val="22"/>
          <w:szCs w:val="22"/>
        </w:rPr>
      </w:pPr>
      <w:r w:rsidRPr="00666910">
        <w:rPr>
          <w:rFonts w:ascii="Arial" w:eastAsia="Arial" w:hAnsi="Arial" w:cs="Arial"/>
          <w:b/>
          <w:bCs/>
          <w:sz w:val="22"/>
          <w:szCs w:val="22"/>
        </w:rPr>
        <w:t xml:space="preserve">                            Module Lecturer: Dr. Robert Nartowski</w:t>
      </w:r>
    </w:p>
    <w:p w14:paraId="46C1FCCF" w14:textId="4E098C41" w:rsidR="000D065E" w:rsidRPr="00666910" w:rsidRDefault="000D065E" w:rsidP="00666910">
      <w:pPr>
        <w:spacing w:before="120" w:after="120" w:line="360" w:lineRule="auto"/>
        <w:ind w:firstLine="360"/>
        <w:jc w:val="both"/>
        <w:rPr>
          <w:rFonts w:ascii="Arial" w:eastAsia="Arial" w:hAnsi="Arial" w:cs="Arial"/>
          <w:b/>
          <w:bCs/>
          <w:sz w:val="22"/>
          <w:szCs w:val="22"/>
        </w:rPr>
      </w:pPr>
      <w:r w:rsidRPr="00666910">
        <w:rPr>
          <w:rFonts w:ascii="Arial" w:eastAsia="Arial" w:hAnsi="Arial" w:cs="Arial"/>
          <w:b/>
          <w:bCs/>
          <w:sz w:val="22"/>
          <w:szCs w:val="22"/>
        </w:rPr>
        <w:t xml:space="preserve">                              Assignment Title: Case Study Report </w:t>
      </w:r>
    </w:p>
    <w:p w14:paraId="33243985" w14:textId="77777777" w:rsidR="00234A5A" w:rsidRPr="00666910" w:rsidRDefault="00234A5A" w:rsidP="00666910">
      <w:pPr>
        <w:spacing w:before="120" w:after="120" w:line="360" w:lineRule="auto"/>
        <w:ind w:firstLine="360"/>
        <w:jc w:val="both"/>
        <w:rPr>
          <w:rFonts w:ascii="Arial" w:eastAsia="Arial" w:hAnsi="Arial" w:cs="Arial"/>
          <w:b/>
          <w:bCs/>
          <w:sz w:val="22"/>
          <w:szCs w:val="22"/>
        </w:rPr>
      </w:pPr>
    </w:p>
    <w:p w14:paraId="5C8F8F15" w14:textId="77777777" w:rsidR="00234A5A" w:rsidRPr="00666910" w:rsidRDefault="00234A5A" w:rsidP="00666910">
      <w:pPr>
        <w:spacing w:line="360" w:lineRule="auto"/>
        <w:rPr>
          <w:rFonts w:ascii="Arial" w:eastAsia="Arial" w:hAnsi="Arial" w:cs="Arial"/>
          <w:b/>
          <w:bCs/>
          <w:sz w:val="22"/>
          <w:szCs w:val="22"/>
        </w:rPr>
      </w:pPr>
      <w:r w:rsidRPr="00666910">
        <w:rPr>
          <w:rFonts w:ascii="Arial" w:eastAsia="Arial" w:hAnsi="Arial" w:cs="Arial"/>
          <w:b/>
          <w:bCs/>
          <w:sz w:val="22"/>
          <w:szCs w:val="22"/>
        </w:rPr>
        <w:br w:type="page"/>
      </w:r>
    </w:p>
    <w:p w14:paraId="4694FDEE" w14:textId="67C88FE0" w:rsidR="0EA9B28C" w:rsidRPr="00666910" w:rsidRDefault="00234A5A" w:rsidP="00666910">
      <w:pPr>
        <w:spacing w:before="120" w:after="120" w:line="360" w:lineRule="auto"/>
        <w:ind w:firstLine="360"/>
        <w:jc w:val="both"/>
        <w:rPr>
          <w:rFonts w:ascii="Arial" w:eastAsia="Arial" w:hAnsi="Arial" w:cs="Arial"/>
          <w:b/>
          <w:bCs/>
          <w:sz w:val="22"/>
          <w:szCs w:val="22"/>
        </w:rPr>
      </w:pPr>
      <w:r w:rsidRPr="00666910">
        <w:rPr>
          <w:rFonts w:ascii="Arial" w:eastAsia="Arial" w:hAnsi="Arial" w:cs="Arial"/>
          <w:b/>
          <w:bCs/>
          <w:sz w:val="22"/>
          <w:szCs w:val="22"/>
        </w:rPr>
        <w:lastRenderedPageBreak/>
        <w:t xml:space="preserve">Table of </w:t>
      </w:r>
      <w:r w:rsidR="001B1A3F" w:rsidRPr="00666910">
        <w:rPr>
          <w:rFonts w:ascii="Arial" w:eastAsia="Arial" w:hAnsi="Arial" w:cs="Arial"/>
          <w:b/>
          <w:bCs/>
          <w:sz w:val="22"/>
          <w:szCs w:val="22"/>
        </w:rPr>
        <w:t>Contents</w:t>
      </w:r>
    </w:p>
    <w:p w14:paraId="03927D19" w14:textId="0D874CA5" w:rsidR="0066762F" w:rsidRPr="00666910" w:rsidRDefault="0066762F" w:rsidP="00666910">
      <w:pPr>
        <w:pStyle w:val="ListParagraph"/>
        <w:numPr>
          <w:ilvl w:val="0"/>
          <w:numId w:val="21"/>
        </w:numPr>
        <w:spacing w:before="120" w:after="120" w:line="360" w:lineRule="auto"/>
        <w:jc w:val="both"/>
        <w:rPr>
          <w:rFonts w:ascii="Arial" w:eastAsia="Arial" w:hAnsi="Arial" w:cs="Arial"/>
          <w:b/>
          <w:bCs/>
          <w:sz w:val="22"/>
          <w:szCs w:val="22"/>
        </w:rPr>
      </w:pPr>
      <w:r w:rsidRPr="00666910">
        <w:rPr>
          <w:rFonts w:ascii="Arial" w:eastAsia="Arial" w:hAnsi="Arial" w:cs="Arial"/>
          <w:b/>
          <w:bCs/>
          <w:sz w:val="22"/>
          <w:szCs w:val="22"/>
        </w:rPr>
        <w:t>Introduction</w:t>
      </w:r>
      <w:r w:rsidR="00234A5A" w:rsidRPr="00666910">
        <w:rPr>
          <w:rFonts w:ascii="Arial" w:eastAsia="Arial" w:hAnsi="Arial" w:cs="Arial"/>
          <w:b/>
          <w:bCs/>
          <w:sz w:val="22"/>
          <w:szCs w:val="22"/>
        </w:rPr>
        <w:t>………………………………………………………………………………</w:t>
      </w:r>
    </w:p>
    <w:p w14:paraId="7033FA5D" w14:textId="1A940513" w:rsidR="0066762F" w:rsidRPr="00666910" w:rsidRDefault="0066762F" w:rsidP="00666910">
      <w:pPr>
        <w:pStyle w:val="ListParagraph"/>
        <w:numPr>
          <w:ilvl w:val="0"/>
          <w:numId w:val="21"/>
        </w:numPr>
        <w:spacing w:before="120" w:after="120" w:line="360" w:lineRule="auto"/>
        <w:jc w:val="both"/>
        <w:rPr>
          <w:rFonts w:ascii="Arial" w:eastAsia="Arial" w:hAnsi="Arial" w:cs="Arial"/>
          <w:b/>
          <w:bCs/>
          <w:sz w:val="22"/>
          <w:szCs w:val="22"/>
        </w:rPr>
      </w:pPr>
      <w:r w:rsidRPr="00666910">
        <w:rPr>
          <w:rFonts w:ascii="Arial" w:eastAsia="Arial" w:hAnsi="Arial" w:cs="Arial"/>
          <w:b/>
          <w:bCs/>
          <w:sz w:val="22"/>
          <w:szCs w:val="22"/>
        </w:rPr>
        <w:t>Context</w:t>
      </w:r>
      <w:r w:rsidR="00234A5A" w:rsidRPr="00666910">
        <w:rPr>
          <w:rFonts w:ascii="Arial" w:eastAsia="Arial" w:hAnsi="Arial" w:cs="Arial"/>
          <w:b/>
          <w:bCs/>
          <w:sz w:val="22"/>
          <w:szCs w:val="22"/>
        </w:rPr>
        <w:t>…………………………………………………………………………………….</w:t>
      </w:r>
    </w:p>
    <w:p w14:paraId="66DDCC2D" w14:textId="390B2259" w:rsidR="0066762F" w:rsidRPr="00666910" w:rsidRDefault="0066762F" w:rsidP="00666910">
      <w:pPr>
        <w:pStyle w:val="ListParagraph"/>
        <w:numPr>
          <w:ilvl w:val="0"/>
          <w:numId w:val="22"/>
        </w:numPr>
        <w:spacing w:before="120" w:after="120" w:line="360" w:lineRule="auto"/>
        <w:jc w:val="both"/>
        <w:rPr>
          <w:rFonts w:ascii="Arial" w:eastAsia="Arial" w:hAnsi="Arial" w:cs="Arial"/>
          <w:b/>
          <w:bCs/>
          <w:sz w:val="22"/>
          <w:szCs w:val="22"/>
        </w:rPr>
      </w:pPr>
      <w:r w:rsidRPr="00666910">
        <w:rPr>
          <w:rFonts w:ascii="Arial" w:eastAsia="Arial" w:hAnsi="Arial" w:cs="Arial"/>
          <w:b/>
          <w:bCs/>
          <w:sz w:val="22"/>
          <w:szCs w:val="22"/>
        </w:rPr>
        <w:t>Insulin Resistance</w:t>
      </w:r>
      <w:r w:rsidR="00234A5A" w:rsidRPr="00666910">
        <w:rPr>
          <w:rFonts w:ascii="Arial" w:eastAsia="Arial" w:hAnsi="Arial" w:cs="Arial"/>
          <w:b/>
          <w:bCs/>
          <w:sz w:val="22"/>
          <w:szCs w:val="22"/>
        </w:rPr>
        <w:t>………………………………………………………………….</w:t>
      </w:r>
    </w:p>
    <w:p w14:paraId="104020FC" w14:textId="479831C8" w:rsidR="0066762F" w:rsidRPr="00666910" w:rsidRDefault="0066762F" w:rsidP="00666910">
      <w:pPr>
        <w:pStyle w:val="ListParagraph"/>
        <w:numPr>
          <w:ilvl w:val="0"/>
          <w:numId w:val="22"/>
        </w:numPr>
        <w:spacing w:before="120" w:after="120" w:line="360" w:lineRule="auto"/>
        <w:jc w:val="both"/>
        <w:rPr>
          <w:rFonts w:ascii="Arial" w:eastAsia="Arial" w:hAnsi="Arial" w:cs="Arial"/>
          <w:b/>
          <w:bCs/>
          <w:sz w:val="22"/>
          <w:szCs w:val="22"/>
        </w:rPr>
      </w:pPr>
      <w:r w:rsidRPr="00666910">
        <w:rPr>
          <w:rFonts w:ascii="Arial" w:eastAsia="Arial" w:hAnsi="Arial" w:cs="Arial"/>
          <w:b/>
          <w:bCs/>
          <w:sz w:val="22"/>
          <w:szCs w:val="22"/>
        </w:rPr>
        <w:t>Modifiable Risk Factors</w:t>
      </w:r>
      <w:r w:rsidR="00234A5A" w:rsidRPr="00666910">
        <w:rPr>
          <w:rFonts w:ascii="Arial" w:eastAsia="Arial" w:hAnsi="Arial" w:cs="Arial"/>
          <w:b/>
          <w:bCs/>
          <w:sz w:val="22"/>
          <w:szCs w:val="22"/>
        </w:rPr>
        <w:t>…………………………………………………………….</w:t>
      </w:r>
    </w:p>
    <w:p w14:paraId="696B9BA4" w14:textId="3A72026F" w:rsidR="0066762F" w:rsidRPr="00666910" w:rsidRDefault="0066762F" w:rsidP="00666910">
      <w:pPr>
        <w:pStyle w:val="ListParagraph"/>
        <w:numPr>
          <w:ilvl w:val="0"/>
          <w:numId w:val="21"/>
        </w:numPr>
        <w:spacing w:before="120" w:after="120" w:line="360" w:lineRule="auto"/>
        <w:jc w:val="both"/>
        <w:rPr>
          <w:rFonts w:ascii="Arial" w:eastAsia="Arial" w:hAnsi="Arial" w:cs="Arial"/>
          <w:b/>
          <w:bCs/>
          <w:sz w:val="22"/>
          <w:szCs w:val="22"/>
        </w:rPr>
      </w:pPr>
      <w:r w:rsidRPr="00666910">
        <w:rPr>
          <w:rFonts w:ascii="Arial" w:eastAsia="Arial" w:hAnsi="Arial" w:cs="Arial"/>
          <w:b/>
          <w:bCs/>
          <w:sz w:val="22"/>
          <w:szCs w:val="22"/>
        </w:rPr>
        <w:t>Blood Glucose Homeostasis</w:t>
      </w:r>
      <w:r w:rsidR="00234A5A" w:rsidRPr="00666910">
        <w:rPr>
          <w:rFonts w:ascii="Arial" w:eastAsia="Arial" w:hAnsi="Arial" w:cs="Arial"/>
          <w:b/>
          <w:bCs/>
          <w:sz w:val="22"/>
          <w:szCs w:val="22"/>
        </w:rPr>
        <w:t>…………………………………………………………...</w:t>
      </w:r>
    </w:p>
    <w:p w14:paraId="1EF64768" w14:textId="4F708510" w:rsidR="0066762F" w:rsidRPr="00666910" w:rsidRDefault="0066762F" w:rsidP="00666910">
      <w:pPr>
        <w:pStyle w:val="ListParagraph"/>
        <w:numPr>
          <w:ilvl w:val="0"/>
          <w:numId w:val="23"/>
        </w:numPr>
        <w:spacing w:before="120" w:after="120" w:line="360" w:lineRule="auto"/>
        <w:jc w:val="both"/>
        <w:rPr>
          <w:rFonts w:ascii="Arial" w:eastAsia="Arial" w:hAnsi="Arial" w:cs="Arial"/>
          <w:b/>
          <w:bCs/>
          <w:sz w:val="22"/>
          <w:szCs w:val="22"/>
        </w:rPr>
      </w:pPr>
      <w:r w:rsidRPr="00666910">
        <w:rPr>
          <w:rFonts w:ascii="Arial" w:eastAsia="Arial" w:hAnsi="Arial" w:cs="Arial"/>
          <w:b/>
          <w:bCs/>
          <w:sz w:val="22"/>
          <w:szCs w:val="22"/>
        </w:rPr>
        <w:t>Insulin- Glucagon Axis</w:t>
      </w:r>
      <w:r w:rsidR="00234A5A" w:rsidRPr="00666910">
        <w:rPr>
          <w:rFonts w:ascii="Arial" w:eastAsia="Arial" w:hAnsi="Arial" w:cs="Arial"/>
          <w:b/>
          <w:bCs/>
          <w:sz w:val="22"/>
          <w:szCs w:val="22"/>
        </w:rPr>
        <w:t>………………………………………………………………</w:t>
      </w:r>
    </w:p>
    <w:p w14:paraId="6B33869B" w14:textId="2AAD99B8" w:rsidR="0066762F" w:rsidRPr="00666910" w:rsidRDefault="0066762F" w:rsidP="00666910">
      <w:pPr>
        <w:pStyle w:val="ListParagraph"/>
        <w:numPr>
          <w:ilvl w:val="0"/>
          <w:numId w:val="23"/>
        </w:numPr>
        <w:spacing w:before="120" w:after="120" w:line="360" w:lineRule="auto"/>
        <w:jc w:val="both"/>
        <w:rPr>
          <w:rFonts w:ascii="Arial" w:eastAsia="Arial" w:hAnsi="Arial" w:cs="Arial"/>
          <w:b/>
          <w:bCs/>
          <w:sz w:val="22"/>
          <w:szCs w:val="22"/>
        </w:rPr>
      </w:pPr>
      <w:r w:rsidRPr="00666910">
        <w:rPr>
          <w:rFonts w:ascii="Arial" w:eastAsia="Arial" w:hAnsi="Arial" w:cs="Arial"/>
          <w:b/>
          <w:bCs/>
          <w:sz w:val="22"/>
          <w:szCs w:val="22"/>
        </w:rPr>
        <w:t>Insulin Resistance and Beta-cell Dysfunction</w:t>
      </w:r>
      <w:r w:rsidR="00234A5A" w:rsidRPr="00666910">
        <w:rPr>
          <w:rFonts w:ascii="Arial" w:eastAsia="Arial" w:hAnsi="Arial" w:cs="Arial"/>
          <w:b/>
          <w:bCs/>
          <w:sz w:val="22"/>
          <w:szCs w:val="22"/>
        </w:rPr>
        <w:t>………………………………….</w:t>
      </w:r>
    </w:p>
    <w:p w14:paraId="3939CDD2" w14:textId="66A3CCAD" w:rsidR="0066762F" w:rsidRPr="00666910" w:rsidRDefault="0066762F" w:rsidP="00666910">
      <w:pPr>
        <w:pStyle w:val="ListParagraph"/>
        <w:numPr>
          <w:ilvl w:val="0"/>
          <w:numId w:val="21"/>
        </w:numPr>
        <w:spacing w:before="120" w:after="120" w:line="360" w:lineRule="auto"/>
        <w:jc w:val="both"/>
        <w:rPr>
          <w:rFonts w:ascii="Arial" w:eastAsia="Arial" w:hAnsi="Arial" w:cs="Arial"/>
          <w:b/>
          <w:bCs/>
          <w:sz w:val="22"/>
          <w:szCs w:val="22"/>
        </w:rPr>
      </w:pPr>
      <w:r w:rsidRPr="00666910">
        <w:rPr>
          <w:rFonts w:ascii="Arial" w:eastAsia="Arial" w:hAnsi="Arial" w:cs="Arial"/>
          <w:b/>
          <w:bCs/>
          <w:sz w:val="22"/>
          <w:szCs w:val="22"/>
        </w:rPr>
        <w:t>Cellular Energy Production: The Role of Oxygen and Glucose</w:t>
      </w:r>
      <w:r w:rsidR="00234A5A" w:rsidRPr="00666910">
        <w:rPr>
          <w:rFonts w:ascii="Arial" w:eastAsia="Arial" w:hAnsi="Arial" w:cs="Arial"/>
          <w:b/>
          <w:bCs/>
          <w:sz w:val="22"/>
          <w:szCs w:val="22"/>
        </w:rPr>
        <w:t>………………….</w:t>
      </w:r>
    </w:p>
    <w:p w14:paraId="68AA014B" w14:textId="2F993AC8" w:rsidR="0066762F" w:rsidRPr="00666910" w:rsidRDefault="0066762F" w:rsidP="00666910">
      <w:pPr>
        <w:pStyle w:val="ListParagraph"/>
        <w:numPr>
          <w:ilvl w:val="0"/>
          <w:numId w:val="21"/>
        </w:numPr>
        <w:spacing w:before="120" w:after="120" w:line="360" w:lineRule="auto"/>
        <w:jc w:val="both"/>
        <w:rPr>
          <w:rFonts w:ascii="Arial" w:eastAsia="Arial" w:hAnsi="Arial" w:cs="Arial"/>
          <w:b/>
          <w:bCs/>
          <w:sz w:val="22"/>
          <w:szCs w:val="22"/>
        </w:rPr>
      </w:pPr>
      <w:r w:rsidRPr="00666910">
        <w:rPr>
          <w:rFonts w:ascii="Arial" w:eastAsia="Arial" w:hAnsi="Arial" w:cs="Arial"/>
          <w:b/>
          <w:bCs/>
          <w:sz w:val="22"/>
          <w:szCs w:val="22"/>
        </w:rPr>
        <w:t>Significance of Monitoring</w:t>
      </w:r>
      <w:r w:rsidR="00234A5A" w:rsidRPr="00666910">
        <w:rPr>
          <w:rFonts w:ascii="Arial" w:eastAsia="Arial" w:hAnsi="Arial" w:cs="Arial"/>
          <w:b/>
          <w:bCs/>
          <w:sz w:val="22"/>
          <w:szCs w:val="22"/>
        </w:rPr>
        <w:t>………………………………………………………………</w:t>
      </w:r>
    </w:p>
    <w:p w14:paraId="61056D4A" w14:textId="4EFCBE10" w:rsidR="0066762F" w:rsidRPr="00666910" w:rsidRDefault="0066762F" w:rsidP="00666910">
      <w:pPr>
        <w:pStyle w:val="ListParagraph"/>
        <w:numPr>
          <w:ilvl w:val="0"/>
          <w:numId w:val="21"/>
        </w:numPr>
        <w:spacing w:before="120" w:after="120" w:line="360" w:lineRule="auto"/>
        <w:jc w:val="both"/>
        <w:rPr>
          <w:rFonts w:ascii="Arial" w:eastAsia="Arial" w:hAnsi="Arial" w:cs="Arial"/>
          <w:b/>
          <w:bCs/>
          <w:sz w:val="22"/>
          <w:szCs w:val="22"/>
        </w:rPr>
      </w:pPr>
      <w:r w:rsidRPr="00666910">
        <w:rPr>
          <w:rFonts w:ascii="Arial" w:eastAsia="Arial" w:hAnsi="Arial" w:cs="Arial"/>
          <w:b/>
          <w:bCs/>
          <w:sz w:val="22"/>
          <w:szCs w:val="22"/>
        </w:rPr>
        <w:t>Lifestyle Management and Recommendations</w:t>
      </w:r>
      <w:r w:rsidR="00234A5A" w:rsidRPr="00666910">
        <w:rPr>
          <w:rFonts w:ascii="Arial" w:eastAsia="Arial" w:hAnsi="Arial" w:cs="Arial"/>
          <w:b/>
          <w:bCs/>
          <w:sz w:val="22"/>
          <w:szCs w:val="22"/>
        </w:rPr>
        <w:t>……………………………………...</w:t>
      </w:r>
    </w:p>
    <w:p w14:paraId="7DAD93CA" w14:textId="7D0E22B5" w:rsidR="0066762F" w:rsidRPr="00666910" w:rsidRDefault="0066762F" w:rsidP="00666910">
      <w:pPr>
        <w:pStyle w:val="ListParagraph"/>
        <w:numPr>
          <w:ilvl w:val="0"/>
          <w:numId w:val="24"/>
        </w:numPr>
        <w:spacing w:before="120" w:after="120" w:line="360" w:lineRule="auto"/>
        <w:jc w:val="both"/>
        <w:rPr>
          <w:rFonts w:ascii="Arial" w:eastAsia="Arial" w:hAnsi="Arial" w:cs="Arial"/>
          <w:b/>
          <w:bCs/>
          <w:sz w:val="22"/>
          <w:szCs w:val="22"/>
        </w:rPr>
      </w:pPr>
      <w:r w:rsidRPr="00666910">
        <w:rPr>
          <w:rFonts w:ascii="Arial" w:eastAsia="Arial" w:hAnsi="Arial" w:cs="Arial"/>
          <w:b/>
          <w:bCs/>
          <w:sz w:val="22"/>
          <w:szCs w:val="22"/>
        </w:rPr>
        <w:t>Modification of Diet and Nutrition</w:t>
      </w:r>
      <w:r w:rsidR="00234A5A" w:rsidRPr="00666910">
        <w:rPr>
          <w:rFonts w:ascii="Arial" w:eastAsia="Arial" w:hAnsi="Arial" w:cs="Arial"/>
          <w:b/>
          <w:bCs/>
          <w:sz w:val="22"/>
          <w:szCs w:val="22"/>
        </w:rPr>
        <w:t>…………………………………………………</w:t>
      </w:r>
    </w:p>
    <w:p w14:paraId="4CA21CD0" w14:textId="5373145F" w:rsidR="0066762F" w:rsidRPr="00666910" w:rsidRDefault="0066762F" w:rsidP="00666910">
      <w:pPr>
        <w:pStyle w:val="ListParagraph"/>
        <w:numPr>
          <w:ilvl w:val="0"/>
          <w:numId w:val="24"/>
        </w:numPr>
        <w:spacing w:before="120" w:after="120" w:line="360" w:lineRule="auto"/>
        <w:jc w:val="both"/>
        <w:rPr>
          <w:rFonts w:ascii="Arial" w:eastAsia="Arial" w:hAnsi="Arial" w:cs="Arial"/>
          <w:b/>
          <w:bCs/>
          <w:sz w:val="22"/>
          <w:szCs w:val="22"/>
        </w:rPr>
      </w:pPr>
      <w:r w:rsidRPr="00666910">
        <w:rPr>
          <w:rFonts w:ascii="Arial" w:eastAsia="Arial" w:hAnsi="Arial" w:cs="Arial"/>
          <w:b/>
          <w:bCs/>
          <w:sz w:val="22"/>
          <w:szCs w:val="22"/>
        </w:rPr>
        <w:t>Set Goals</w:t>
      </w:r>
      <w:r w:rsidR="00234A5A" w:rsidRPr="00666910">
        <w:rPr>
          <w:rFonts w:ascii="Arial" w:eastAsia="Arial" w:hAnsi="Arial" w:cs="Arial"/>
          <w:b/>
          <w:bCs/>
          <w:sz w:val="22"/>
          <w:szCs w:val="22"/>
        </w:rPr>
        <w:t>……………………………………………………………………………….</w:t>
      </w:r>
    </w:p>
    <w:p w14:paraId="167A2318" w14:textId="5F116E5E" w:rsidR="0066762F" w:rsidRPr="00666910" w:rsidRDefault="0066762F" w:rsidP="00666910">
      <w:pPr>
        <w:pStyle w:val="ListParagraph"/>
        <w:numPr>
          <w:ilvl w:val="0"/>
          <w:numId w:val="24"/>
        </w:numPr>
        <w:spacing w:before="120" w:after="120" w:line="360" w:lineRule="auto"/>
        <w:jc w:val="both"/>
        <w:rPr>
          <w:rFonts w:ascii="Arial" w:eastAsia="Arial" w:hAnsi="Arial" w:cs="Arial"/>
          <w:b/>
          <w:bCs/>
          <w:sz w:val="22"/>
          <w:szCs w:val="22"/>
        </w:rPr>
      </w:pPr>
      <w:r w:rsidRPr="00666910">
        <w:rPr>
          <w:rFonts w:ascii="Arial" w:eastAsia="Arial" w:hAnsi="Arial" w:cs="Arial"/>
          <w:b/>
          <w:bCs/>
          <w:sz w:val="22"/>
          <w:szCs w:val="22"/>
        </w:rPr>
        <w:t>Exercise Regularly</w:t>
      </w:r>
      <w:r w:rsidR="00234A5A" w:rsidRPr="00666910">
        <w:rPr>
          <w:rFonts w:ascii="Arial" w:eastAsia="Arial" w:hAnsi="Arial" w:cs="Arial"/>
          <w:b/>
          <w:bCs/>
          <w:sz w:val="22"/>
          <w:szCs w:val="22"/>
        </w:rPr>
        <w:t>……………………………………………………………………</w:t>
      </w:r>
    </w:p>
    <w:p w14:paraId="42B7176F" w14:textId="0A467679" w:rsidR="0066762F" w:rsidRPr="00666910" w:rsidRDefault="0066762F" w:rsidP="00666910">
      <w:pPr>
        <w:pStyle w:val="ListParagraph"/>
        <w:numPr>
          <w:ilvl w:val="0"/>
          <w:numId w:val="24"/>
        </w:numPr>
        <w:spacing w:before="120" w:after="120" w:line="360" w:lineRule="auto"/>
        <w:jc w:val="both"/>
        <w:rPr>
          <w:rFonts w:ascii="Arial" w:eastAsia="Arial" w:hAnsi="Arial" w:cs="Arial"/>
          <w:b/>
          <w:bCs/>
          <w:sz w:val="22"/>
          <w:szCs w:val="22"/>
        </w:rPr>
      </w:pPr>
      <w:r w:rsidRPr="00666910">
        <w:rPr>
          <w:rFonts w:ascii="Arial" w:eastAsia="Arial" w:hAnsi="Arial" w:cs="Arial"/>
          <w:b/>
          <w:bCs/>
          <w:sz w:val="22"/>
          <w:szCs w:val="22"/>
        </w:rPr>
        <w:t>Provide Lifestyle</w:t>
      </w:r>
      <w:r w:rsidR="00234A5A" w:rsidRPr="00666910">
        <w:rPr>
          <w:rFonts w:ascii="Arial" w:eastAsia="Arial" w:hAnsi="Arial" w:cs="Arial"/>
          <w:b/>
          <w:bCs/>
          <w:sz w:val="22"/>
          <w:szCs w:val="22"/>
        </w:rPr>
        <w:t>………………………………………………………………………</w:t>
      </w:r>
    </w:p>
    <w:p w14:paraId="1B997976" w14:textId="7B318E5D" w:rsidR="0066762F" w:rsidRPr="00666910" w:rsidRDefault="0066762F" w:rsidP="00666910">
      <w:pPr>
        <w:pStyle w:val="ListParagraph"/>
        <w:numPr>
          <w:ilvl w:val="0"/>
          <w:numId w:val="24"/>
        </w:numPr>
        <w:spacing w:before="120" w:after="120" w:line="360" w:lineRule="auto"/>
        <w:jc w:val="both"/>
        <w:rPr>
          <w:rFonts w:ascii="Arial" w:eastAsia="Arial" w:hAnsi="Arial" w:cs="Arial"/>
          <w:b/>
          <w:bCs/>
          <w:sz w:val="22"/>
          <w:szCs w:val="22"/>
        </w:rPr>
      </w:pPr>
      <w:r w:rsidRPr="00666910">
        <w:rPr>
          <w:rFonts w:ascii="Arial" w:eastAsia="Arial" w:hAnsi="Arial" w:cs="Arial"/>
          <w:b/>
          <w:bCs/>
          <w:sz w:val="22"/>
          <w:szCs w:val="22"/>
        </w:rPr>
        <w:t>Complication</w:t>
      </w:r>
      <w:r w:rsidR="00234A5A" w:rsidRPr="00666910">
        <w:rPr>
          <w:rFonts w:ascii="Arial" w:eastAsia="Arial" w:hAnsi="Arial" w:cs="Arial"/>
          <w:b/>
          <w:bCs/>
          <w:sz w:val="22"/>
          <w:szCs w:val="22"/>
        </w:rPr>
        <w:t>………………………………………………………………………….</w:t>
      </w:r>
    </w:p>
    <w:p w14:paraId="7462C294" w14:textId="59E2187D" w:rsidR="0066762F" w:rsidRPr="00666910" w:rsidRDefault="0066762F" w:rsidP="00666910">
      <w:pPr>
        <w:pStyle w:val="ListParagraph"/>
        <w:numPr>
          <w:ilvl w:val="0"/>
          <w:numId w:val="21"/>
        </w:numPr>
        <w:spacing w:before="120" w:after="120" w:line="360" w:lineRule="auto"/>
        <w:jc w:val="both"/>
        <w:rPr>
          <w:rFonts w:ascii="Arial" w:eastAsia="Arial" w:hAnsi="Arial" w:cs="Arial"/>
          <w:b/>
          <w:bCs/>
          <w:sz w:val="22"/>
          <w:szCs w:val="22"/>
        </w:rPr>
      </w:pPr>
      <w:r w:rsidRPr="00666910">
        <w:rPr>
          <w:rFonts w:ascii="Arial" w:eastAsia="Arial" w:hAnsi="Arial" w:cs="Arial"/>
          <w:b/>
          <w:bCs/>
          <w:sz w:val="22"/>
          <w:szCs w:val="22"/>
        </w:rPr>
        <w:t>Conclusion</w:t>
      </w:r>
      <w:r w:rsidR="00234A5A" w:rsidRPr="00666910">
        <w:rPr>
          <w:rFonts w:ascii="Arial" w:eastAsia="Arial" w:hAnsi="Arial" w:cs="Arial"/>
          <w:b/>
          <w:bCs/>
          <w:sz w:val="22"/>
          <w:szCs w:val="22"/>
        </w:rPr>
        <w:t>…………………………………………………………………………………</w:t>
      </w:r>
    </w:p>
    <w:p w14:paraId="376DAFEB" w14:textId="0DEFCAA6" w:rsidR="0066762F" w:rsidRPr="00666910" w:rsidRDefault="0066762F" w:rsidP="00666910">
      <w:pPr>
        <w:pStyle w:val="ListParagraph"/>
        <w:numPr>
          <w:ilvl w:val="0"/>
          <w:numId w:val="21"/>
        </w:numPr>
        <w:spacing w:before="120" w:after="120" w:line="360" w:lineRule="auto"/>
        <w:jc w:val="both"/>
        <w:rPr>
          <w:rFonts w:ascii="Arial" w:eastAsia="Arial" w:hAnsi="Arial" w:cs="Arial"/>
          <w:b/>
          <w:bCs/>
          <w:sz w:val="22"/>
          <w:szCs w:val="22"/>
        </w:rPr>
      </w:pPr>
      <w:r w:rsidRPr="00666910">
        <w:rPr>
          <w:rFonts w:ascii="Arial" w:eastAsia="Arial" w:hAnsi="Arial" w:cs="Arial"/>
          <w:b/>
          <w:bCs/>
          <w:sz w:val="22"/>
          <w:szCs w:val="22"/>
        </w:rPr>
        <w:t>References…………………………………………………………………………………</w:t>
      </w:r>
    </w:p>
    <w:p w14:paraId="5FCEAF0D" w14:textId="77777777" w:rsidR="0066762F" w:rsidRPr="00666910" w:rsidRDefault="0066762F" w:rsidP="00666910">
      <w:pPr>
        <w:spacing w:before="120" w:after="120" w:line="360" w:lineRule="auto"/>
        <w:jc w:val="both"/>
        <w:rPr>
          <w:rFonts w:ascii="Arial" w:eastAsia="Arial" w:hAnsi="Arial" w:cs="Arial"/>
          <w:b/>
          <w:bCs/>
          <w:sz w:val="22"/>
          <w:szCs w:val="22"/>
        </w:rPr>
      </w:pPr>
    </w:p>
    <w:p w14:paraId="2FD213E1" w14:textId="77777777" w:rsidR="0066762F" w:rsidRPr="00666910" w:rsidRDefault="0066762F" w:rsidP="00666910">
      <w:pPr>
        <w:spacing w:before="120" w:after="120" w:line="360" w:lineRule="auto"/>
        <w:jc w:val="both"/>
        <w:rPr>
          <w:rFonts w:ascii="Arial" w:eastAsia="Arial" w:hAnsi="Arial" w:cs="Arial"/>
          <w:b/>
          <w:bCs/>
          <w:sz w:val="22"/>
          <w:szCs w:val="22"/>
        </w:rPr>
      </w:pPr>
    </w:p>
    <w:p w14:paraId="32E815D5" w14:textId="77777777" w:rsidR="0066762F" w:rsidRPr="00666910" w:rsidRDefault="0066762F" w:rsidP="00666910">
      <w:pPr>
        <w:spacing w:before="120" w:after="120" w:line="360" w:lineRule="auto"/>
        <w:jc w:val="both"/>
        <w:rPr>
          <w:rFonts w:ascii="Arial" w:eastAsia="Arial" w:hAnsi="Arial" w:cs="Arial"/>
          <w:b/>
          <w:bCs/>
          <w:sz w:val="22"/>
          <w:szCs w:val="22"/>
        </w:rPr>
      </w:pPr>
    </w:p>
    <w:p w14:paraId="15E696D8" w14:textId="77777777" w:rsidR="0066762F" w:rsidRPr="00666910" w:rsidRDefault="0066762F" w:rsidP="00666910">
      <w:pPr>
        <w:spacing w:before="120" w:after="120" w:line="360" w:lineRule="auto"/>
        <w:jc w:val="both"/>
        <w:rPr>
          <w:rFonts w:ascii="Arial" w:eastAsia="Arial" w:hAnsi="Arial" w:cs="Arial"/>
          <w:b/>
          <w:bCs/>
          <w:sz w:val="22"/>
          <w:szCs w:val="22"/>
        </w:rPr>
      </w:pPr>
    </w:p>
    <w:p w14:paraId="050DDB03" w14:textId="77777777" w:rsidR="0066762F" w:rsidRPr="00666910" w:rsidRDefault="0066762F" w:rsidP="00666910">
      <w:pPr>
        <w:spacing w:before="120" w:after="120" w:line="360" w:lineRule="auto"/>
        <w:jc w:val="both"/>
        <w:rPr>
          <w:rFonts w:ascii="Arial" w:eastAsia="Arial" w:hAnsi="Arial" w:cs="Arial"/>
          <w:b/>
          <w:bCs/>
          <w:sz w:val="22"/>
          <w:szCs w:val="22"/>
        </w:rPr>
      </w:pPr>
    </w:p>
    <w:p w14:paraId="7871009D" w14:textId="77777777" w:rsidR="0066762F" w:rsidRPr="00666910" w:rsidRDefault="0066762F" w:rsidP="00666910">
      <w:pPr>
        <w:spacing w:before="120" w:after="120" w:line="360" w:lineRule="auto"/>
        <w:jc w:val="both"/>
        <w:rPr>
          <w:rFonts w:ascii="Arial" w:eastAsia="Arial" w:hAnsi="Arial" w:cs="Arial"/>
          <w:b/>
          <w:bCs/>
          <w:sz w:val="22"/>
          <w:szCs w:val="22"/>
        </w:rPr>
      </w:pPr>
    </w:p>
    <w:p w14:paraId="6118412A" w14:textId="77777777" w:rsidR="0066762F" w:rsidRPr="00666910" w:rsidRDefault="0066762F" w:rsidP="00666910">
      <w:pPr>
        <w:spacing w:before="120" w:after="120" w:line="360" w:lineRule="auto"/>
        <w:jc w:val="both"/>
        <w:rPr>
          <w:rFonts w:ascii="Arial" w:eastAsia="Arial" w:hAnsi="Arial" w:cs="Arial"/>
          <w:b/>
          <w:bCs/>
          <w:sz w:val="22"/>
          <w:szCs w:val="22"/>
        </w:rPr>
      </w:pPr>
    </w:p>
    <w:p w14:paraId="6DC15146" w14:textId="77777777" w:rsidR="0066762F" w:rsidRPr="00666910" w:rsidRDefault="0066762F" w:rsidP="00666910">
      <w:pPr>
        <w:spacing w:before="120" w:after="120" w:line="360" w:lineRule="auto"/>
        <w:jc w:val="both"/>
        <w:rPr>
          <w:rFonts w:ascii="Arial" w:eastAsia="Arial" w:hAnsi="Arial" w:cs="Arial"/>
          <w:b/>
          <w:bCs/>
          <w:sz w:val="22"/>
          <w:szCs w:val="22"/>
        </w:rPr>
      </w:pPr>
    </w:p>
    <w:p w14:paraId="42D425FB" w14:textId="77777777" w:rsidR="0066762F" w:rsidRPr="00666910" w:rsidRDefault="0066762F" w:rsidP="00666910">
      <w:pPr>
        <w:spacing w:before="120" w:after="120" w:line="360" w:lineRule="auto"/>
        <w:jc w:val="both"/>
        <w:rPr>
          <w:rFonts w:ascii="Arial" w:eastAsia="Arial" w:hAnsi="Arial" w:cs="Arial"/>
          <w:b/>
          <w:bCs/>
          <w:sz w:val="22"/>
          <w:szCs w:val="22"/>
        </w:rPr>
      </w:pPr>
    </w:p>
    <w:p w14:paraId="2AC438D0" w14:textId="77777777" w:rsidR="0066762F" w:rsidRPr="00666910" w:rsidRDefault="0066762F" w:rsidP="00666910">
      <w:pPr>
        <w:spacing w:before="120" w:after="120" w:line="360" w:lineRule="auto"/>
        <w:jc w:val="both"/>
        <w:rPr>
          <w:rFonts w:ascii="Arial" w:eastAsia="Arial" w:hAnsi="Arial" w:cs="Arial"/>
          <w:b/>
          <w:bCs/>
          <w:sz w:val="22"/>
          <w:szCs w:val="22"/>
        </w:rPr>
      </w:pPr>
    </w:p>
    <w:p w14:paraId="3AA4FC96" w14:textId="77777777" w:rsidR="0066762F" w:rsidRPr="00666910" w:rsidRDefault="0066762F" w:rsidP="00666910">
      <w:pPr>
        <w:spacing w:before="120" w:after="120" w:line="360" w:lineRule="auto"/>
        <w:jc w:val="both"/>
        <w:rPr>
          <w:rFonts w:ascii="Arial" w:eastAsia="Arial" w:hAnsi="Arial" w:cs="Arial"/>
          <w:b/>
          <w:bCs/>
          <w:sz w:val="22"/>
          <w:szCs w:val="22"/>
        </w:rPr>
      </w:pPr>
    </w:p>
    <w:p w14:paraId="0F3FB99F" w14:textId="77777777" w:rsidR="0066762F" w:rsidRPr="00666910" w:rsidRDefault="0066762F" w:rsidP="00666910">
      <w:pPr>
        <w:spacing w:before="120" w:after="120" w:line="360" w:lineRule="auto"/>
        <w:jc w:val="both"/>
        <w:rPr>
          <w:rFonts w:ascii="Arial" w:eastAsia="Arial" w:hAnsi="Arial" w:cs="Arial"/>
          <w:b/>
          <w:bCs/>
          <w:sz w:val="22"/>
          <w:szCs w:val="22"/>
        </w:rPr>
      </w:pPr>
    </w:p>
    <w:p w14:paraId="6DA0B1BD" w14:textId="77777777" w:rsidR="0066762F" w:rsidRPr="00666910" w:rsidRDefault="0066762F" w:rsidP="00666910">
      <w:pPr>
        <w:spacing w:before="120" w:after="120" w:line="360" w:lineRule="auto"/>
        <w:jc w:val="both"/>
        <w:rPr>
          <w:rFonts w:ascii="Arial" w:eastAsia="Arial" w:hAnsi="Arial" w:cs="Arial"/>
          <w:b/>
          <w:bCs/>
          <w:sz w:val="22"/>
          <w:szCs w:val="22"/>
        </w:rPr>
      </w:pPr>
    </w:p>
    <w:p w14:paraId="7FFD9DF3" w14:textId="4BD52BDE" w:rsidR="3A21C3F8" w:rsidRPr="00666910" w:rsidRDefault="3A21C3F8" w:rsidP="00666910">
      <w:pPr>
        <w:spacing w:line="360" w:lineRule="auto"/>
        <w:jc w:val="both"/>
        <w:rPr>
          <w:rFonts w:ascii="Arial" w:eastAsia="Arial" w:hAnsi="Arial" w:cs="Arial"/>
          <w:sz w:val="22"/>
          <w:szCs w:val="22"/>
        </w:rPr>
      </w:pPr>
    </w:p>
    <w:p w14:paraId="64D64551" w14:textId="7D231F8A" w:rsidR="3A21C3F8" w:rsidRPr="00666910" w:rsidRDefault="3A21C3F8" w:rsidP="00666910">
      <w:pPr>
        <w:pStyle w:val="ListParagraph"/>
        <w:numPr>
          <w:ilvl w:val="0"/>
          <w:numId w:val="9"/>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t xml:space="preserve">Introduction </w:t>
      </w:r>
    </w:p>
    <w:p w14:paraId="1E5D072F" w14:textId="2754D992" w:rsidR="3A21C3F8" w:rsidRPr="00666910" w:rsidRDefault="3A21C3F8"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t>You see patients with diabetes every day as part of the primary care team. I’ll be honest, it can still be hard. Patients are continuously flooding the department, management can become complex, and it negatively impacts patients’ everyday lives. Making sure they are recognised early on, building rapport and providing education in a non-threatening way is key to safe practice. Patients who receive education early are less likely to experience complications and will work toward improving long-term outcomes.</w:t>
      </w:r>
    </w:p>
    <w:p w14:paraId="50A73132" w14:textId="5BCBC48D" w:rsidR="3A21C3F8" w:rsidRPr="00666910" w:rsidRDefault="3A21C3F8"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t xml:space="preserve">Diabetes mellitus refers to a group of metabolic disorders characterised by chronic hyperglycaemia due to the body’s inability to maintain blood glucose homeostasis. Type 1 diabetes results from little to no insulin production by pancreatic beta-cells (due to autoimmune destruction), Type 2 diabetes results from impaired insulin utilisation and progressive β-cell dysfunction, while gestational diabetes </w:t>
      </w:r>
      <w:r w:rsidR="00666910" w:rsidRPr="00666910">
        <w:rPr>
          <w:rFonts w:ascii="Arial" w:eastAsia="Arial" w:hAnsi="Arial" w:cs="Arial"/>
          <w:sz w:val="22"/>
          <w:szCs w:val="22"/>
        </w:rPr>
        <w:t>occur</w:t>
      </w:r>
      <w:r w:rsidRPr="00666910">
        <w:rPr>
          <w:rFonts w:ascii="Arial" w:eastAsia="Arial" w:hAnsi="Arial" w:cs="Arial"/>
          <w:sz w:val="22"/>
          <w:szCs w:val="22"/>
        </w:rPr>
        <w:t xml:space="preserve"> during pregnancy. Polyuria, polydipsia, fatigue and blurred vision are common presenting symptoms. Complications from poor management include cardiovascular disease, nephropathy, neuropathy and retinopathy.</w:t>
      </w:r>
    </w:p>
    <w:p w14:paraId="552F6E4C" w14:textId="3A447845" w:rsidR="3A21C3F8" w:rsidRPr="00666910" w:rsidRDefault="3A21C3F8"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t>Obesity, physical inactivity, unhealthy diet, smoking, advancing age, ethnicity, family history and stress have been shown to increase risk of Type 2 diabetes. Many of these risk factors are preventable which reinforces the need for timely intervention as part of primary care.</w:t>
      </w:r>
    </w:p>
    <w:p w14:paraId="5C6ED650" w14:textId="2891C624" w:rsidR="3A21C3F8" w:rsidRPr="00666910" w:rsidRDefault="3A21C3F8"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t>Diabetes management includes lifestyle modification, structured self-monitoring of blood glucose (SMBG), and pharmacological intervention if indicated. The focus of this paper will be primary care management of Type 2 diabetes within the UK. Self-management of diabetes and patient education will be emphasised. The theories and concepts mentioned below will be applied to a specific case</w:t>
      </w:r>
      <w:r w:rsidR="5BD71132" w:rsidRPr="00666910">
        <w:rPr>
          <w:rFonts w:ascii="Arial" w:eastAsia="Arial" w:hAnsi="Arial" w:cs="Arial"/>
          <w:sz w:val="22"/>
          <w:szCs w:val="22"/>
        </w:rPr>
        <w:t xml:space="preserve"> of my own father Mr Kihani.</w:t>
      </w:r>
    </w:p>
    <w:p w14:paraId="559AF49D" w14:textId="78FC1027" w:rsidR="0EA9B28C" w:rsidRPr="00666910" w:rsidRDefault="0EA9B28C" w:rsidP="00666910">
      <w:pPr>
        <w:spacing w:line="360" w:lineRule="auto"/>
        <w:rPr>
          <w:rFonts w:ascii="Arial" w:hAnsi="Arial" w:cs="Arial"/>
          <w:sz w:val="22"/>
          <w:szCs w:val="22"/>
        </w:rPr>
      </w:pPr>
      <w:r w:rsidRPr="00666910">
        <w:rPr>
          <w:rFonts w:ascii="Arial" w:hAnsi="Arial" w:cs="Arial"/>
          <w:sz w:val="22"/>
          <w:szCs w:val="22"/>
        </w:rPr>
        <w:br w:type="page"/>
      </w:r>
    </w:p>
    <w:p w14:paraId="232E27D2" w14:textId="41C31E07" w:rsidR="3A21C3F8" w:rsidRPr="00666910" w:rsidRDefault="3A21C3F8" w:rsidP="00666910">
      <w:pPr>
        <w:pStyle w:val="ListParagraph"/>
        <w:numPr>
          <w:ilvl w:val="0"/>
          <w:numId w:val="9"/>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lastRenderedPageBreak/>
        <w:t xml:space="preserve">Context </w:t>
      </w:r>
    </w:p>
    <w:p w14:paraId="08052D5F" w14:textId="779A49A8" w:rsidR="3A21C3F8" w:rsidRPr="00666910" w:rsidRDefault="3A21C3F8"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t>Mr Kihani attended his GP surgery today for a review. During your consultation he mentioned increased fatigue, thirst, and frequency of urination. His fasting blood glucose was 8.4 mmol/L and HbA1c 7.8%, both above diagnostic cutoffs for T2DM. Both are indicative of chronic hyperglycaemia.</w:t>
      </w:r>
      <w:r w:rsidR="2A5471BB" w:rsidRPr="00666910">
        <w:rPr>
          <w:rFonts w:ascii="Arial" w:eastAsia="Arial" w:hAnsi="Arial" w:cs="Arial"/>
          <w:sz w:val="22"/>
          <w:szCs w:val="22"/>
        </w:rPr>
        <w:t xml:space="preserve"> </w:t>
      </w:r>
      <w:r w:rsidRPr="00666910">
        <w:rPr>
          <w:rFonts w:ascii="Arial" w:eastAsia="Arial" w:hAnsi="Arial" w:cs="Arial"/>
          <w:sz w:val="22"/>
          <w:szCs w:val="22"/>
        </w:rPr>
        <w:t>Patient goals moving forward include understanding the pathological processes at play and identifying lifestyle modifications that will lower his risk of complications. This case is perfect to demonstrate the knowledge gap many patients face upon diagnosis and reaffirms the need for responsive, structured education (Jarvis et al., 2010).</w:t>
      </w:r>
    </w:p>
    <w:p w14:paraId="5F618B53" w14:textId="397D6BCB" w:rsidR="3A21C3F8" w:rsidRPr="00666910" w:rsidRDefault="3A21C3F8"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t>Diabetes mellitus occurs when blood glucose levels are elevated above normal ranges. The mechanism by which this occurs is insulin deficiency or inadequate insulin action. Insulin facilitates cellular uptake of glucose derived from digested carbohydrates. Without insulin, glucose cannot enter circulation. Normal fasting blood sugar values range from 3.5–5.5 mmol/L (Nichols, Hillier and Brown, 2008). With Type 2 diabetes, this process is hindered by insulin resistance in adipose and skeletal muscle tissue as well as progressive β-cell failure.</w:t>
      </w:r>
    </w:p>
    <w:p w14:paraId="2BFEF8C5" w14:textId="6622F404" w:rsidR="0EA9B28C" w:rsidRPr="00666910" w:rsidRDefault="0EA9B28C" w:rsidP="00666910">
      <w:pPr>
        <w:spacing w:before="120" w:after="120" w:line="360" w:lineRule="auto"/>
        <w:jc w:val="both"/>
        <w:rPr>
          <w:rFonts w:ascii="Arial" w:eastAsia="Arial" w:hAnsi="Arial" w:cs="Arial"/>
          <w:sz w:val="22"/>
          <w:szCs w:val="22"/>
        </w:rPr>
      </w:pPr>
    </w:p>
    <w:p w14:paraId="65468B9D" w14:textId="0776F3AA" w:rsidR="3A21C3F8" w:rsidRPr="00666910" w:rsidRDefault="3A21C3F8" w:rsidP="00666910">
      <w:pPr>
        <w:pStyle w:val="ListParagraph"/>
        <w:numPr>
          <w:ilvl w:val="0"/>
          <w:numId w:val="7"/>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t xml:space="preserve">Insulin Resistance </w:t>
      </w:r>
    </w:p>
    <w:p w14:paraId="4A2A861F" w14:textId="327160E6" w:rsidR="3A21C3F8" w:rsidRPr="00666910" w:rsidRDefault="3A21C3F8"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t>Insulin resistance is a condition characterised by impaired glucose uptake despite adequate insulin levels. Muscle and adipose tissue fail to recognise and respond to insulin signalling. Without stimulated uptake by peripheral tissues, the pancreas compensates by producing excess insulin; over time this pancreatic stress can lead to β-cell dysfunction (Gar et al., 2021).</w:t>
      </w:r>
      <w:r w:rsidR="27A62291" w:rsidRPr="00666910">
        <w:rPr>
          <w:rFonts w:ascii="Arial" w:eastAsia="Arial" w:hAnsi="Arial" w:cs="Arial"/>
          <w:sz w:val="22"/>
          <w:szCs w:val="22"/>
        </w:rPr>
        <w:t xml:space="preserve"> </w:t>
      </w:r>
      <w:r w:rsidRPr="00666910">
        <w:rPr>
          <w:rFonts w:ascii="Arial" w:eastAsia="Arial" w:hAnsi="Arial" w:cs="Arial"/>
          <w:sz w:val="22"/>
          <w:szCs w:val="22"/>
        </w:rPr>
        <w:t xml:space="preserve">Longstanding hyperglycaemia promotes insulin resistance and microvascular damage which can lead to microvascular and macrovascular complications. β-cell apoptosis induced by oxidative stress exacerbates insulin deficiency (CNOP et al., 2005; Newsholme et al., 2007). Diabetes education and early identification aim to reduce this impact by controlling blood </w:t>
      </w:r>
      <w:proofErr w:type="gramStart"/>
      <w:r w:rsidRPr="00666910">
        <w:rPr>
          <w:rFonts w:ascii="Arial" w:eastAsia="Arial" w:hAnsi="Arial" w:cs="Arial"/>
          <w:sz w:val="22"/>
          <w:szCs w:val="22"/>
        </w:rPr>
        <w:t>sugars</w:t>
      </w:r>
      <w:proofErr w:type="gramEnd"/>
      <w:r w:rsidRPr="00666910">
        <w:rPr>
          <w:rFonts w:ascii="Arial" w:eastAsia="Arial" w:hAnsi="Arial" w:cs="Arial"/>
          <w:sz w:val="22"/>
          <w:szCs w:val="22"/>
        </w:rPr>
        <w:t xml:space="preserve"> and promoting metabolic stability.</w:t>
      </w:r>
      <w:r w:rsidR="5F2AEB4C" w:rsidRPr="00666910">
        <w:rPr>
          <w:rFonts w:ascii="Arial" w:eastAsia="Arial" w:hAnsi="Arial" w:cs="Arial"/>
          <w:sz w:val="22"/>
          <w:szCs w:val="22"/>
        </w:rPr>
        <w:t xml:space="preserve"> </w:t>
      </w:r>
      <w:r w:rsidRPr="00666910">
        <w:rPr>
          <w:rFonts w:ascii="Arial" w:eastAsia="Arial" w:hAnsi="Arial" w:cs="Arial"/>
          <w:sz w:val="22"/>
          <w:szCs w:val="22"/>
        </w:rPr>
        <w:t xml:space="preserve">Mr Kihani’s family history of diabetes, stressful occupation, and dietary habits likely played a factor in the development of his disease. Psychological stressors, inadequate support systems and anxiety surrounding diagnosis may impact his ability to self-manage. Studies suggest work-induced psychosocial stress can increase incidence of metabolic disorders and prevent individuals from practicing healthy behaviours (van der Molen et al., 2020). Diabetes education should take this into consideration. </w:t>
      </w:r>
    </w:p>
    <w:p w14:paraId="0D6EE4E6" w14:textId="593CAD72" w:rsidR="0EA9B28C" w:rsidRPr="00666910" w:rsidRDefault="0EA9B28C" w:rsidP="00666910">
      <w:pPr>
        <w:spacing w:before="120" w:after="120" w:line="360" w:lineRule="auto"/>
        <w:jc w:val="both"/>
        <w:rPr>
          <w:rFonts w:ascii="Arial" w:eastAsia="Arial" w:hAnsi="Arial" w:cs="Arial"/>
          <w:sz w:val="22"/>
          <w:szCs w:val="22"/>
        </w:rPr>
      </w:pPr>
    </w:p>
    <w:p w14:paraId="72351EE7" w14:textId="29225A4E" w:rsidR="3A21C3F8" w:rsidRPr="00666910" w:rsidRDefault="3A21C3F8" w:rsidP="00666910">
      <w:pPr>
        <w:pStyle w:val="ListParagraph"/>
        <w:numPr>
          <w:ilvl w:val="0"/>
          <w:numId w:val="7"/>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t xml:space="preserve">Modifiable Risk Factors </w:t>
      </w:r>
    </w:p>
    <w:p w14:paraId="741B31F0" w14:textId="3073BA25" w:rsidR="3A21C3F8" w:rsidRPr="00666910" w:rsidRDefault="3A21C3F8"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lastRenderedPageBreak/>
        <w:t>The strongest risk factor for developing type 2 diabetes is obesity. Increased adipose tissue releases free fatty acids and pro-inflammatory cytokines which inhibit insulin activity in hepatic and muscular tissue (Schuster, 2010). Studies show that losing 5-10% of body weight can reduce risk of diabetes by 58% in high-risk individuals (Knowler et al., 2009).</w:t>
      </w:r>
    </w:p>
    <w:p w14:paraId="47C23439" w14:textId="2A70B0D9" w:rsidR="3A21C3F8" w:rsidRPr="00666910" w:rsidRDefault="3A21C3F8"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t>Physical inactivity can exacerbate insulin resistance. Regular exercise promotes skeletal muscle glucose utilisation independent of weight loss (Patja et al., 2005).</w:t>
      </w:r>
    </w:p>
    <w:p w14:paraId="2214F025" w14:textId="567F270D" w:rsidR="3A21C3F8" w:rsidRPr="00666910" w:rsidRDefault="3A21C3F8"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t>Diets high in refined carbohydrates, saturated fat, and ultra-processed foods can increase risk. Adherence to Mediterranean or DASH-style diets have been shown to promote healthy metabolic functioning and lower incidence of cardiovascular disease (Mozaffarian, 2016).</w:t>
      </w:r>
    </w:p>
    <w:p w14:paraId="735F7EDE" w14:textId="07A4A7E6" w:rsidR="3A21C3F8" w:rsidRPr="00666910" w:rsidRDefault="3A21C3F8"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t>Smoking has been shown to increase risk of diabetes by 44% and promotes insulin resistance and endothelial dysfunction (Patja et al., 2005). Chronic heavy drinking has also shown to cause metabolic dysregulation and pancreatic stress (Kim et al., 2013).</w:t>
      </w:r>
    </w:p>
    <w:p w14:paraId="07B206BF" w14:textId="7CDE5F39" w:rsidR="3A21C3F8" w:rsidRPr="00666910" w:rsidRDefault="3A21C3F8"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t xml:space="preserve">Age is an established risk factor after the age of 40; </w:t>
      </w:r>
      <w:r w:rsidR="00666910" w:rsidRPr="00666910">
        <w:rPr>
          <w:rFonts w:ascii="Arial" w:eastAsia="Arial" w:hAnsi="Arial" w:cs="Arial"/>
          <w:sz w:val="22"/>
          <w:szCs w:val="22"/>
        </w:rPr>
        <w:t>however,</w:t>
      </w:r>
      <w:r w:rsidRPr="00666910">
        <w:rPr>
          <w:rFonts w:ascii="Arial" w:eastAsia="Arial" w:hAnsi="Arial" w:cs="Arial"/>
          <w:sz w:val="22"/>
          <w:szCs w:val="22"/>
        </w:rPr>
        <w:t xml:space="preserve"> cases in young adults have been increasing (Diabetes UK, 2023; Diabetes UK, 2024). Prevalence is also higher among specific ethnic groups and family history of diabetes.</w:t>
      </w:r>
    </w:p>
    <w:p w14:paraId="138C362C" w14:textId="634C79C0" w:rsidR="3A21C3F8" w:rsidRPr="00666910" w:rsidRDefault="3A21C3F8"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t xml:space="preserve">When providing dietary education using person-centred approaches can help meet patients where they are. Mr Kihani mentions enjoying rice with most meals. White rice can be substituted with brown </w:t>
      </w:r>
      <w:r w:rsidR="00666910" w:rsidRPr="00666910">
        <w:rPr>
          <w:rFonts w:ascii="Arial" w:eastAsia="Arial" w:hAnsi="Arial" w:cs="Arial"/>
          <w:sz w:val="22"/>
          <w:szCs w:val="22"/>
        </w:rPr>
        <w:t>rice,</w:t>
      </w:r>
      <w:r w:rsidRPr="00666910">
        <w:rPr>
          <w:rFonts w:ascii="Arial" w:eastAsia="Arial" w:hAnsi="Arial" w:cs="Arial"/>
          <w:sz w:val="22"/>
          <w:szCs w:val="22"/>
        </w:rPr>
        <w:t xml:space="preserve"> or you can educate him on pairing refined grains with higher fibre options to improve his glycaemic response. Asking who prepares meals in the household and if he has support to make these changes can help you gauge how realistic goals should be.</w:t>
      </w:r>
    </w:p>
    <w:p w14:paraId="010B7B3D" w14:textId="270E40CE" w:rsidR="0EA9B28C" w:rsidRPr="00666910" w:rsidRDefault="0EA9B28C" w:rsidP="00666910">
      <w:pPr>
        <w:spacing w:before="120" w:after="120" w:line="360" w:lineRule="auto"/>
        <w:jc w:val="both"/>
        <w:rPr>
          <w:rFonts w:ascii="Arial" w:eastAsia="Arial" w:hAnsi="Arial" w:cs="Arial"/>
          <w:sz w:val="22"/>
          <w:szCs w:val="22"/>
        </w:rPr>
      </w:pPr>
    </w:p>
    <w:p w14:paraId="5D19993C" w14:textId="3A5B50C4" w:rsidR="3A21C3F8" w:rsidRPr="00666910" w:rsidRDefault="3A21C3F8" w:rsidP="00666910">
      <w:pPr>
        <w:pStyle w:val="ListParagraph"/>
        <w:numPr>
          <w:ilvl w:val="0"/>
          <w:numId w:val="9"/>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t xml:space="preserve">Blood Glucose Homeostasis </w:t>
      </w:r>
    </w:p>
    <w:p w14:paraId="010943AF" w14:textId="300F8020" w:rsidR="3A21C3F8" w:rsidRPr="00666910" w:rsidRDefault="3A21C3F8"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t>Blood glucose homeostasis refers to the maintenance of blood glucose levels needed to support metabolic processes. Tight regulation of blood sugar levels is coordinated by hormonal, neural, and hepatic input (Bano, 2013).</w:t>
      </w:r>
    </w:p>
    <w:p w14:paraId="00BDE587" w14:textId="4120C54B" w:rsidR="3A21C3F8" w:rsidRPr="00666910" w:rsidRDefault="3A21C3F8"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t>The brain and red blood cells rely on glucose as their main energy source and cannot store excess glucose. For this reason, regulation is especially important to prevent complications associated with hypoglycaemia and hyperglycaemia.</w:t>
      </w:r>
    </w:p>
    <w:p w14:paraId="2CD35122" w14:textId="7D2880EC" w:rsidR="0EA9B28C" w:rsidRPr="00666910" w:rsidRDefault="0EA9B28C" w:rsidP="00666910">
      <w:pPr>
        <w:spacing w:before="120" w:after="120" w:line="360" w:lineRule="auto"/>
        <w:jc w:val="both"/>
        <w:rPr>
          <w:rFonts w:ascii="Arial" w:eastAsia="Arial" w:hAnsi="Arial" w:cs="Arial"/>
          <w:sz w:val="22"/>
          <w:szCs w:val="22"/>
        </w:rPr>
      </w:pPr>
    </w:p>
    <w:p w14:paraId="18179D39" w14:textId="640D23D0" w:rsidR="3A21C3F8" w:rsidRPr="00666910" w:rsidRDefault="3A21C3F8" w:rsidP="00666910">
      <w:pPr>
        <w:pStyle w:val="ListParagraph"/>
        <w:numPr>
          <w:ilvl w:val="0"/>
          <w:numId w:val="3"/>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t xml:space="preserve">Insulin–Glucagon Axis </w:t>
      </w:r>
    </w:p>
    <w:p w14:paraId="294ECE68" w14:textId="40ADA6BC" w:rsidR="3A21C3F8" w:rsidRPr="00666910" w:rsidRDefault="00666910"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lastRenderedPageBreak/>
        <w:t>Hormones</w:t>
      </w:r>
      <w:r w:rsidR="3A21C3F8" w:rsidRPr="00666910">
        <w:rPr>
          <w:rFonts w:ascii="Arial" w:eastAsia="Arial" w:hAnsi="Arial" w:cs="Arial"/>
          <w:sz w:val="22"/>
          <w:szCs w:val="22"/>
        </w:rPr>
        <w:t xml:space="preserve"> insulin and glucagon are produced by </w:t>
      </w:r>
      <w:r w:rsidRPr="00666910">
        <w:rPr>
          <w:rFonts w:ascii="Arial" w:eastAsia="Arial" w:hAnsi="Arial" w:cs="Arial"/>
          <w:sz w:val="22"/>
          <w:szCs w:val="22"/>
        </w:rPr>
        <w:t>pancreatic</w:t>
      </w:r>
      <w:r w:rsidR="3A21C3F8" w:rsidRPr="00666910">
        <w:rPr>
          <w:rFonts w:ascii="Arial" w:eastAsia="Arial" w:hAnsi="Arial" w:cs="Arial"/>
          <w:sz w:val="22"/>
          <w:szCs w:val="22"/>
        </w:rPr>
        <w:t xml:space="preserve"> islet cells. Beta cells release insulin while alpha cells release glucagon (Briant et al., 2016).</w:t>
      </w:r>
    </w:p>
    <w:p w14:paraId="2DE56F45" w14:textId="2D7A0334" w:rsidR="3A21C3F8" w:rsidRPr="00666910" w:rsidRDefault="3A21C3F8"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t xml:space="preserve">Low blood glucose promotes glucagon secretion while high blood glucose stimulates insulin release. Insulin facilitates glucose uptake by cells, glycogenesis, lipogenesis and protein synthesis. Insulin also suppresses hepatic gluconeogenesis and glycogenolysis. </w:t>
      </w:r>
    </w:p>
    <w:p w14:paraId="0009EBDB" w14:textId="51475639" w:rsidR="3A21C3F8" w:rsidRPr="00666910" w:rsidRDefault="3A21C3F8"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t>Glucagon has the opposite effect as insulin. When blood glucose levels fall too low, glucagon acts on hepatocytes to break down stored glycogen and release glucose into circulation via gluconeogenesis.</w:t>
      </w:r>
    </w:p>
    <w:p w14:paraId="389FB8E7" w14:textId="0A6ECD0D" w:rsidR="3A21C3F8" w:rsidRPr="00666910" w:rsidRDefault="3A21C3F8"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t xml:space="preserve">Type 2 diabetes is characterised by insulin resistance and inadequate suppression of hepatic glucose production. Patients should understand how eating regular meals, spreading out carbohydrates throughout the day and exercising </w:t>
      </w:r>
      <w:proofErr w:type="gramStart"/>
      <w:r w:rsidRPr="00666910">
        <w:rPr>
          <w:rFonts w:ascii="Arial" w:eastAsia="Arial" w:hAnsi="Arial" w:cs="Arial"/>
          <w:sz w:val="22"/>
          <w:szCs w:val="22"/>
        </w:rPr>
        <w:t>help</w:t>
      </w:r>
      <w:proofErr w:type="gramEnd"/>
      <w:r w:rsidRPr="00666910">
        <w:rPr>
          <w:rFonts w:ascii="Arial" w:eastAsia="Arial" w:hAnsi="Arial" w:cs="Arial"/>
          <w:sz w:val="22"/>
          <w:szCs w:val="22"/>
        </w:rPr>
        <w:t xml:space="preserve"> their blood sugars.</w:t>
      </w:r>
    </w:p>
    <w:p w14:paraId="54B4ED9F" w14:textId="17ED82FC" w:rsidR="0EA9B28C" w:rsidRPr="00666910" w:rsidRDefault="0EA9B28C" w:rsidP="00666910">
      <w:pPr>
        <w:spacing w:before="120" w:after="120" w:line="360" w:lineRule="auto"/>
        <w:jc w:val="both"/>
        <w:rPr>
          <w:rFonts w:ascii="Arial" w:eastAsia="Arial" w:hAnsi="Arial" w:cs="Arial"/>
          <w:sz w:val="22"/>
          <w:szCs w:val="22"/>
        </w:rPr>
      </w:pPr>
    </w:p>
    <w:p w14:paraId="02990BE8" w14:textId="7D703E16" w:rsidR="3A21C3F8" w:rsidRPr="00666910" w:rsidRDefault="3A21C3F8" w:rsidP="00666910">
      <w:pPr>
        <w:pStyle w:val="ListParagraph"/>
        <w:numPr>
          <w:ilvl w:val="0"/>
          <w:numId w:val="3"/>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t xml:space="preserve">Insulin Resistance and Beta-Cell Dysfunction </w:t>
      </w:r>
    </w:p>
    <w:p w14:paraId="5D608377" w14:textId="1CCCC44A" w:rsidR="3A21C3F8" w:rsidRPr="00666910" w:rsidRDefault="3A21C3F8"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t>Chronic hyperglycaemia promotes increased inflammatory signalling and insulin resistance (CNOP et al., 2005). The liver becomes resistant to insulin and continues to release glucose into circulation despite hyperglycaemia.</w:t>
      </w:r>
    </w:p>
    <w:p w14:paraId="1834A28C" w14:textId="6507BCCA" w:rsidR="3A21C3F8" w:rsidRPr="00666910" w:rsidRDefault="3A21C3F8"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t xml:space="preserve">High blood glucose and elevated free fatty acids </w:t>
      </w:r>
      <w:r w:rsidR="00666910" w:rsidRPr="00666910">
        <w:rPr>
          <w:rFonts w:ascii="Arial" w:eastAsia="Arial" w:hAnsi="Arial" w:cs="Arial"/>
          <w:sz w:val="22"/>
          <w:szCs w:val="22"/>
        </w:rPr>
        <w:t>cause</w:t>
      </w:r>
      <w:r w:rsidRPr="00666910">
        <w:rPr>
          <w:rFonts w:ascii="Arial" w:eastAsia="Arial" w:hAnsi="Arial" w:cs="Arial"/>
          <w:sz w:val="22"/>
          <w:szCs w:val="22"/>
        </w:rPr>
        <w:t xml:space="preserve"> β-cell stress and apoptosis through induction of oxidative stress. As β-cell mass declines, insulin production decreases leading to worse glycaemic control.</w:t>
      </w:r>
    </w:p>
    <w:p w14:paraId="47B51037" w14:textId="4DB07DB7" w:rsidR="3A21C3F8" w:rsidRPr="00666910" w:rsidRDefault="3A21C3F8"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t>Educating patients on this progressive nature of diabetes can empower them to make lifestyle changes that can preserve β-cell function.</w:t>
      </w:r>
    </w:p>
    <w:p w14:paraId="48BA62DC" w14:textId="1085F083" w:rsidR="0EA9B28C" w:rsidRPr="00666910" w:rsidRDefault="0EA9B28C" w:rsidP="00666910">
      <w:pPr>
        <w:spacing w:before="120" w:after="120" w:line="360" w:lineRule="auto"/>
        <w:jc w:val="both"/>
        <w:rPr>
          <w:rFonts w:ascii="Arial" w:eastAsia="Arial" w:hAnsi="Arial" w:cs="Arial"/>
          <w:sz w:val="22"/>
          <w:szCs w:val="22"/>
        </w:rPr>
      </w:pPr>
    </w:p>
    <w:p w14:paraId="60E1756A" w14:textId="55DB0AC0" w:rsidR="3A21C3F8" w:rsidRPr="00666910" w:rsidRDefault="3A21C3F8" w:rsidP="00666910">
      <w:pPr>
        <w:pStyle w:val="ListParagraph"/>
        <w:numPr>
          <w:ilvl w:val="0"/>
          <w:numId w:val="9"/>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t xml:space="preserve">Cellular Energy Production: The Role of Oxygen and Glucose </w:t>
      </w:r>
    </w:p>
    <w:p w14:paraId="452792A4" w14:textId="32CCDB1B" w:rsidR="3A21C3F8" w:rsidRPr="00666910" w:rsidRDefault="3A21C3F8"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t>Cells require oxygen and glucose for efficient energy production. Glucose enters the cell via insulin-regulated transporters and undergoes glycolysis in the cytoplasm. During glycolysis, glucose is broken down into pyruvate. While glycolysis does not require oxygen, it only produces small amounts of ATP. Pyruvate must enter the mitochondria and go through aerobic metabolism to produce large amounts of ATP.</w:t>
      </w:r>
      <w:r w:rsidR="1912C114" w:rsidRPr="00666910">
        <w:rPr>
          <w:rFonts w:ascii="Arial" w:eastAsia="Arial" w:hAnsi="Arial" w:cs="Arial"/>
          <w:sz w:val="22"/>
          <w:szCs w:val="22"/>
        </w:rPr>
        <w:t xml:space="preserve"> </w:t>
      </w:r>
      <w:r w:rsidRPr="00666910">
        <w:rPr>
          <w:rFonts w:ascii="Arial" w:eastAsia="Arial" w:hAnsi="Arial" w:cs="Arial"/>
          <w:sz w:val="22"/>
          <w:szCs w:val="22"/>
        </w:rPr>
        <w:t xml:space="preserve">During aerobic metabolism, pyruvate is converted into acetyl-CoA and enters the Krebs cycle. This produces high energy molecules that pass electrons through the electron transport chain. Oxygen is required for oxidative phosphorylation. Oxygen accepts electrons which </w:t>
      </w:r>
      <w:r w:rsidR="00666910" w:rsidRPr="00666910">
        <w:rPr>
          <w:rFonts w:ascii="Arial" w:eastAsia="Arial" w:hAnsi="Arial" w:cs="Arial"/>
          <w:sz w:val="22"/>
          <w:szCs w:val="22"/>
        </w:rPr>
        <w:t>allow</w:t>
      </w:r>
      <w:r w:rsidRPr="00666910">
        <w:rPr>
          <w:rFonts w:ascii="Arial" w:eastAsia="Arial" w:hAnsi="Arial" w:cs="Arial"/>
          <w:sz w:val="22"/>
          <w:szCs w:val="22"/>
        </w:rPr>
        <w:t xml:space="preserve"> for production of ATP.</w:t>
      </w:r>
      <w:r w:rsidR="67AAC5F8" w:rsidRPr="00666910">
        <w:rPr>
          <w:rFonts w:ascii="Arial" w:eastAsia="Arial" w:hAnsi="Arial" w:cs="Arial"/>
          <w:sz w:val="22"/>
          <w:szCs w:val="22"/>
        </w:rPr>
        <w:t xml:space="preserve"> </w:t>
      </w:r>
      <w:r w:rsidRPr="00666910">
        <w:rPr>
          <w:rFonts w:ascii="Arial" w:eastAsia="Arial" w:hAnsi="Arial" w:cs="Arial"/>
          <w:sz w:val="22"/>
          <w:szCs w:val="22"/>
        </w:rPr>
        <w:t xml:space="preserve">ATP is the energy currency of cells and </w:t>
      </w:r>
      <w:r w:rsidRPr="00666910">
        <w:rPr>
          <w:rFonts w:ascii="Arial" w:eastAsia="Arial" w:hAnsi="Arial" w:cs="Arial"/>
          <w:sz w:val="22"/>
          <w:szCs w:val="22"/>
        </w:rPr>
        <w:lastRenderedPageBreak/>
        <w:t>allows for muscles to contract, neurons to communicate, and cells to repair and perform metabolic functions. In summary, oxygen is critical for cellular metabolism.</w:t>
      </w:r>
    </w:p>
    <w:p w14:paraId="46E5EF10" w14:textId="542C76AF" w:rsidR="3A21C3F8" w:rsidRPr="00666910" w:rsidRDefault="3A21C3F8"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t>Hyperglycaemia caused by insulin resistance and inadequate insulin production alters this process. Excess intracellular glucose forces mitochondria to produce more ATP, leading to an accumulation of free radicals.</w:t>
      </w:r>
      <w:r w:rsidR="4251EEBE" w:rsidRPr="00666910">
        <w:rPr>
          <w:rFonts w:ascii="Arial" w:eastAsia="Arial" w:hAnsi="Arial" w:cs="Arial"/>
          <w:sz w:val="22"/>
          <w:szCs w:val="22"/>
        </w:rPr>
        <w:t xml:space="preserve"> </w:t>
      </w:r>
      <w:r w:rsidRPr="00666910">
        <w:rPr>
          <w:rFonts w:ascii="Arial" w:eastAsia="Arial" w:hAnsi="Arial" w:cs="Arial"/>
          <w:sz w:val="22"/>
          <w:szCs w:val="22"/>
        </w:rPr>
        <w:t>Free radicals are oxygen molecules with an uneven number of electrons. The build-up of free radicals causes oxidative stress.</w:t>
      </w:r>
      <w:r w:rsidR="5B7E1201" w:rsidRPr="00666910">
        <w:rPr>
          <w:rFonts w:ascii="Arial" w:eastAsia="Arial" w:hAnsi="Arial" w:cs="Arial"/>
          <w:sz w:val="22"/>
          <w:szCs w:val="22"/>
        </w:rPr>
        <w:t xml:space="preserve"> </w:t>
      </w:r>
      <w:r w:rsidRPr="00666910">
        <w:rPr>
          <w:rFonts w:ascii="Arial" w:eastAsia="Arial" w:hAnsi="Arial" w:cs="Arial"/>
          <w:sz w:val="22"/>
          <w:szCs w:val="22"/>
        </w:rPr>
        <w:t xml:space="preserve">β-cells are particularly sensitive to oxidative stress and </w:t>
      </w:r>
      <w:proofErr w:type="gramStart"/>
      <w:r w:rsidRPr="00666910">
        <w:rPr>
          <w:rFonts w:ascii="Arial" w:eastAsia="Arial" w:hAnsi="Arial" w:cs="Arial"/>
          <w:sz w:val="22"/>
          <w:szCs w:val="22"/>
        </w:rPr>
        <w:t>plays</w:t>
      </w:r>
      <w:proofErr w:type="gramEnd"/>
      <w:r w:rsidRPr="00666910">
        <w:rPr>
          <w:rFonts w:ascii="Arial" w:eastAsia="Arial" w:hAnsi="Arial" w:cs="Arial"/>
          <w:sz w:val="22"/>
          <w:szCs w:val="22"/>
        </w:rPr>
        <w:t xml:space="preserve"> a role in β-cell dysfunction (Newsholme et al., 2007). Chronic exposure to hyperglycaemia causes oxidative stress and β-cell death.</w:t>
      </w:r>
      <w:r w:rsidR="61C80BA4" w:rsidRPr="00666910">
        <w:rPr>
          <w:rFonts w:ascii="Arial" w:eastAsia="Arial" w:hAnsi="Arial" w:cs="Arial"/>
          <w:sz w:val="22"/>
          <w:szCs w:val="22"/>
        </w:rPr>
        <w:t xml:space="preserve"> </w:t>
      </w:r>
      <w:r w:rsidRPr="00666910">
        <w:rPr>
          <w:rFonts w:ascii="Arial" w:eastAsia="Arial" w:hAnsi="Arial" w:cs="Arial"/>
          <w:sz w:val="22"/>
          <w:szCs w:val="22"/>
        </w:rPr>
        <w:t>Fatigue is a common symptom of high blood sugars. Mr Kihani’s cells have access to glucose but lack the ability to metabolise it efficiently. The excessive glucose in his blood also causes microvascular damage and disrupts oxygen delivery to tissues.</w:t>
      </w:r>
    </w:p>
    <w:p w14:paraId="0290F9ED" w14:textId="5B4129D7" w:rsidR="3A21C3F8" w:rsidRPr="00666910" w:rsidRDefault="3A21C3F8"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t>Exercise increases glucose uptake and oxygen delivery. Contractions promote glucose transport into cells without the need for insulin. Regular exercise improves mitochondrial function and efficiency of energy production (Patja et al., 2005). Exercise induces production of new blood vessels which increases oxygen delivery and limits oxidative stress.</w:t>
      </w:r>
    </w:p>
    <w:p w14:paraId="3EEEB049" w14:textId="35B58272" w:rsidR="3A21C3F8" w:rsidRPr="00666910" w:rsidRDefault="3A21C3F8"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t xml:space="preserve">The </w:t>
      </w:r>
      <w:proofErr w:type="gramStart"/>
      <w:r w:rsidRPr="00666910">
        <w:rPr>
          <w:rFonts w:ascii="Arial" w:eastAsia="Arial" w:hAnsi="Arial" w:cs="Arial"/>
          <w:sz w:val="22"/>
          <w:szCs w:val="22"/>
        </w:rPr>
        <w:t>notion</w:t>
      </w:r>
      <w:proofErr w:type="gramEnd"/>
      <w:r w:rsidRPr="00666910">
        <w:rPr>
          <w:rFonts w:ascii="Arial" w:eastAsia="Arial" w:hAnsi="Arial" w:cs="Arial"/>
          <w:sz w:val="22"/>
          <w:szCs w:val="22"/>
        </w:rPr>
        <w:t xml:space="preserve"> oxygen helps carry glucose into cells can help patients understand the importance of exercise. Not only does exercise promote glucose uptake, but it increases oxygen delivery to help his cells metabolise glucose.</w:t>
      </w:r>
    </w:p>
    <w:p w14:paraId="6E867551" w14:textId="5FDC3F10" w:rsidR="0EA9B28C" w:rsidRPr="00666910" w:rsidRDefault="0EA9B28C" w:rsidP="00666910">
      <w:pPr>
        <w:spacing w:before="120" w:after="120" w:line="360" w:lineRule="auto"/>
        <w:jc w:val="both"/>
        <w:rPr>
          <w:rFonts w:ascii="Arial" w:eastAsia="Arial" w:hAnsi="Arial" w:cs="Arial"/>
          <w:sz w:val="22"/>
          <w:szCs w:val="22"/>
        </w:rPr>
      </w:pPr>
    </w:p>
    <w:p w14:paraId="01960BDE" w14:textId="1A52CDDB" w:rsidR="3A21C3F8" w:rsidRPr="00666910" w:rsidRDefault="3A21C3F8" w:rsidP="00666910">
      <w:pPr>
        <w:pStyle w:val="ListParagraph"/>
        <w:numPr>
          <w:ilvl w:val="0"/>
          <w:numId w:val="9"/>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t xml:space="preserve">Significance of Monitoring </w:t>
      </w:r>
    </w:p>
    <w:p w14:paraId="05F40EAB" w14:textId="2AA8539D" w:rsidR="3A21C3F8" w:rsidRPr="00666910" w:rsidRDefault="3A21C3F8"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t>Recommend that Mr Kihani checks his blood glucose once daily at minimum. Patients should check more frequently if they are changing medications or experiencing illness. Frequent checks allow patients to recognise symptoms of hypo and hyperglycaemia and intervene quickly (Schnell et al., 2013).</w:t>
      </w:r>
      <w:r w:rsidR="175A1296" w:rsidRPr="00666910">
        <w:rPr>
          <w:rFonts w:ascii="Arial" w:eastAsia="Arial" w:hAnsi="Arial" w:cs="Arial"/>
          <w:sz w:val="22"/>
          <w:szCs w:val="22"/>
        </w:rPr>
        <w:t xml:space="preserve"> </w:t>
      </w:r>
      <w:r w:rsidRPr="00666910">
        <w:rPr>
          <w:rFonts w:ascii="Arial" w:eastAsia="Arial" w:hAnsi="Arial" w:cs="Arial"/>
          <w:sz w:val="22"/>
          <w:szCs w:val="22"/>
        </w:rPr>
        <w:t>Keeping HbA1c levels below 7% has been shown to reduce microvascular complications (UK Prospective Diabetes Study Group, 1998). Self-monitoring of blood glucose levels can help patients understand how their behaviours affect their blood sugar. Setting up patients with diabetes for success includes providing structured education on self-management (Jarvis et al., 2010).</w:t>
      </w:r>
      <w:r w:rsidR="11FC564B" w:rsidRPr="00666910">
        <w:rPr>
          <w:rFonts w:ascii="Arial" w:eastAsia="Arial" w:hAnsi="Arial" w:cs="Arial"/>
          <w:sz w:val="22"/>
          <w:szCs w:val="22"/>
        </w:rPr>
        <w:t xml:space="preserve"> </w:t>
      </w:r>
      <w:r w:rsidRPr="00666910">
        <w:rPr>
          <w:rFonts w:ascii="Arial" w:eastAsia="Arial" w:hAnsi="Arial" w:cs="Arial"/>
          <w:sz w:val="22"/>
          <w:szCs w:val="22"/>
        </w:rPr>
        <w:t xml:space="preserve">Writing down readings can help you and Mr Kihani notice trends and identify opportunities for diabetes education. Many patients can relate highs and lows to what they eat, but they may not understand how exercise and stress </w:t>
      </w:r>
      <w:proofErr w:type="gramStart"/>
      <w:r w:rsidRPr="00666910">
        <w:rPr>
          <w:rFonts w:ascii="Arial" w:eastAsia="Arial" w:hAnsi="Arial" w:cs="Arial"/>
          <w:sz w:val="22"/>
          <w:szCs w:val="22"/>
        </w:rPr>
        <w:t>affects</w:t>
      </w:r>
      <w:proofErr w:type="gramEnd"/>
      <w:r w:rsidRPr="00666910">
        <w:rPr>
          <w:rFonts w:ascii="Arial" w:eastAsia="Arial" w:hAnsi="Arial" w:cs="Arial"/>
          <w:sz w:val="22"/>
          <w:szCs w:val="22"/>
        </w:rPr>
        <w:t xml:space="preserve"> their blood sugars. Reviewing blood glucose logs can empower your patients to make healthy changes.</w:t>
      </w:r>
    </w:p>
    <w:p w14:paraId="21B951F3" w14:textId="096AC379" w:rsidR="0EA9B28C" w:rsidRPr="00666910" w:rsidRDefault="0EA9B28C" w:rsidP="00666910">
      <w:pPr>
        <w:spacing w:before="120" w:after="120" w:line="360" w:lineRule="auto"/>
        <w:jc w:val="both"/>
        <w:rPr>
          <w:rFonts w:ascii="Arial" w:eastAsia="Arial" w:hAnsi="Arial" w:cs="Arial"/>
          <w:sz w:val="22"/>
          <w:szCs w:val="22"/>
        </w:rPr>
      </w:pPr>
    </w:p>
    <w:p w14:paraId="6AE9CA54" w14:textId="6E74A07B" w:rsidR="3A21C3F8" w:rsidRPr="00666910" w:rsidRDefault="3A21C3F8" w:rsidP="00666910">
      <w:pPr>
        <w:pStyle w:val="ListParagraph"/>
        <w:numPr>
          <w:ilvl w:val="0"/>
          <w:numId w:val="9"/>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lastRenderedPageBreak/>
        <w:t xml:space="preserve">Lifestyle Management </w:t>
      </w:r>
      <w:r w:rsidR="36498F2A" w:rsidRPr="00666910">
        <w:rPr>
          <w:rFonts w:ascii="Arial" w:eastAsia="Arial" w:hAnsi="Arial" w:cs="Arial"/>
          <w:sz w:val="22"/>
          <w:szCs w:val="22"/>
        </w:rPr>
        <w:t xml:space="preserve">amd </w:t>
      </w:r>
      <w:r w:rsidRPr="00666910">
        <w:rPr>
          <w:rFonts w:ascii="Arial" w:eastAsia="Arial" w:hAnsi="Arial" w:cs="Arial"/>
          <w:sz w:val="22"/>
          <w:szCs w:val="22"/>
        </w:rPr>
        <w:t xml:space="preserve">Recommendations </w:t>
      </w:r>
    </w:p>
    <w:p w14:paraId="09BF7260" w14:textId="3BDFEEA1" w:rsidR="3A21C3F8" w:rsidRPr="00666910" w:rsidRDefault="3A21C3F8" w:rsidP="00666910">
      <w:pPr>
        <w:pStyle w:val="ListParagraph"/>
        <w:numPr>
          <w:ilvl w:val="0"/>
          <w:numId w:val="2"/>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t>Modif</w:t>
      </w:r>
      <w:r w:rsidR="65A9DDEB" w:rsidRPr="00666910">
        <w:rPr>
          <w:rFonts w:ascii="Arial" w:eastAsia="Arial" w:hAnsi="Arial" w:cs="Arial"/>
          <w:sz w:val="22"/>
          <w:szCs w:val="22"/>
        </w:rPr>
        <w:t>ication of</w:t>
      </w:r>
      <w:r w:rsidRPr="00666910">
        <w:rPr>
          <w:rFonts w:ascii="Arial" w:eastAsia="Arial" w:hAnsi="Arial" w:cs="Arial"/>
          <w:sz w:val="22"/>
          <w:szCs w:val="22"/>
        </w:rPr>
        <w:t xml:space="preserve"> Diet and Nutrition </w:t>
      </w:r>
    </w:p>
    <w:p w14:paraId="0D5047E4" w14:textId="1811D3F5" w:rsidR="3A21C3F8" w:rsidRPr="00666910" w:rsidRDefault="3A21C3F8"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t>Recommend a Mediterranean-style diet or DASH diet. Following one of these diets can lower metabolic and cardiovascular risk (Mozaffarian, 2016). Increasing fibre intake can slow digestion of glucose and improve insulin sensitivity.</w:t>
      </w:r>
    </w:p>
    <w:p w14:paraId="12C6EC56" w14:textId="29A2D309" w:rsidR="0EA9B28C" w:rsidRPr="00666910" w:rsidRDefault="0EA9B28C" w:rsidP="00666910">
      <w:pPr>
        <w:spacing w:before="120" w:after="120" w:line="360" w:lineRule="auto"/>
        <w:jc w:val="both"/>
        <w:rPr>
          <w:rFonts w:ascii="Arial" w:eastAsia="Arial" w:hAnsi="Arial" w:cs="Arial"/>
          <w:sz w:val="22"/>
          <w:szCs w:val="22"/>
        </w:rPr>
      </w:pPr>
    </w:p>
    <w:p w14:paraId="1E3C9826" w14:textId="5D2E0ECC" w:rsidR="3A21C3F8" w:rsidRPr="00666910" w:rsidRDefault="3A21C3F8" w:rsidP="00666910">
      <w:pPr>
        <w:pStyle w:val="ListParagraph"/>
        <w:numPr>
          <w:ilvl w:val="0"/>
          <w:numId w:val="2"/>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t xml:space="preserve">Set Goals </w:t>
      </w:r>
    </w:p>
    <w:p w14:paraId="3529AA04" w14:textId="5870F2E1" w:rsidR="3A21C3F8" w:rsidRPr="00666910" w:rsidRDefault="3A21C3F8"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t>Encourage patients to set realistic goals and work toward them. Patients who lose 5-10% of their body weight improve their glycaemic control (Knowler et al., 2009). Some patients benefit from enrolling in structured weight loss programmes or using motivational interviewing to enhance change.</w:t>
      </w:r>
    </w:p>
    <w:p w14:paraId="53401B23" w14:textId="4F4FC178" w:rsidR="0EA9B28C" w:rsidRPr="00666910" w:rsidRDefault="0EA9B28C" w:rsidP="00666910">
      <w:pPr>
        <w:spacing w:before="120" w:after="120" w:line="360" w:lineRule="auto"/>
        <w:jc w:val="both"/>
        <w:rPr>
          <w:rFonts w:ascii="Arial" w:eastAsia="Arial" w:hAnsi="Arial" w:cs="Arial"/>
          <w:sz w:val="22"/>
          <w:szCs w:val="22"/>
        </w:rPr>
      </w:pPr>
    </w:p>
    <w:p w14:paraId="48F8FF49" w14:textId="053066AF" w:rsidR="3A21C3F8" w:rsidRPr="00666910" w:rsidRDefault="3A21C3F8" w:rsidP="00666910">
      <w:pPr>
        <w:pStyle w:val="ListParagraph"/>
        <w:numPr>
          <w:ilvl w:val="0"/>
          <w:numId w:val="2"/>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t xml:space="preserve">Exercise Regularly </w:t>
      </w:r>
    </w:p>
    <w:p w14:paraId="7AE6018E" w14:textId="0EB3202E" w:rsidR="3A21C3F8" w:rsidRPr="00666910" w:rsidRDefault="3A21C3F8"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t>Diabetes patients should exercise a minimum of 150 minutes per week to improve insulin sensitivity and increase glucose utilisation (Patja et al., 2005).</w:t>
      </w:r>
    </w:p>
    <w:p w14:paraId="2C6EF192" w14:textId="35474EF2" w:rsidR="0EA9B28C" w:rsidRPr="00666910" w:rsidRDefault="0EA9B28C" w:rsidP="00666910">
      <w:pPr>
        <w:spacing w:before="120" w:after="120" w:line="360" w:lineRule="auto"/>
        <w:jc w:val="both"/>
        <w:rPr>
          <w:rFonts w:ascii="Arial" w:eastAsia="Arial" w:hAnsi="Arial" w:cs="Arial"/>
          <w:sz w:val="22"/>
          <w:szCs w:val="22"/>
        </w:rPr>
      </w:pPr>
    </w:p>
    <w:p w14:paraId="58676079" w14:textId="29E35A8B" w:rsidR="3A21C3F8" w:rsidRPr="00666910" w:rsidRDefault="3A21C3F8" w:rsidP="00666910">
      <w:pPr>
        <w:pStyle w:val="ListParagraph"/>
        <w:numPr>
          <w:ilvl w:val="0"/>
          <w:numId w:val="2"/>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t xml:space="preserve">Provide Lifestyle Support </w:t>
      </w:r>
    </w:p>
    <w:p w14:paraId="05133284" w14:textId="2C025374" w:rsidR="3A21C3F8" w:rsidRPr="00666910" w:rsidRDefault="3A21C3F8"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t>Encourage patients to quit smoking and limit alcohol intake. Smoking doubles metabolic risk while excessive drinking promotes pancreatic stress (Patja et al., 2005; Kim et al., 2013). Stress also contributes to poor glycemic control. Diabetes patients should be educated on stress management techniques and healthy coping mechanisms. Chronically high stress increases cortisol levels which increase blood glucose. Poor sleep habits have also been linked with poor metabolic control (Cappuccio et al., 2010).</w:t>
      </w:r>
    </w:p>
    <w:p w14:paraId="0CD93B54" w14:textId="169AB374" w:rsidR="0EA9B28C" w:rsidRPr="00666910" w:rsidRDefault="0EA9B28C" w:rsidP="00666910">
      <w:pPr>
        <w:spacing w:before="120" w:after="120" w:line="360" w:lineRule="auto"/>
        <w:jc w:val="both"/>
        <w:rPr>
          <w:rFonts w:ascii="Arial" w:eastAsia="Arial" w:hAnsi="Arial" w:cs="Arial"/>
          <w:sz w:val="22"/>
          <w:szCs w:val="22"/>
        </w:rPr>
      </w:pPr>
    </w:p>
    <w:p w14:paraId="12F72349" w14:textId="7F1261D6" w:rsidR="3A21C3F8" w:rsidRPr="00666910" w:rsidRDefault="3A21C3F8" w:rsidP="00666910">
      <w:pPr>
        <w:pStyle w:val="ListParagraph"/>
        <w:numPr>
          <w:ilvl w:val="0"/>
          <w:numId w:val="3"/>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t xml:space="preserve">Complications </w:t>
      </w:r>
    </w:p>
    <w:p w14:paraId="77B0ED09" w14:textId="062685C8" w:rsidR="3A21C3F8" w:rsidRPr="00666910" w:rsidRDefault="3A21C3F8"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t xml:space="preserve">Diabetes that </w:t>
      </w:r>
      <w:proofErr w:type="gramStart"/>
      <w:r w:rsidRPr="00666910">
        <w:rPr>
          <w:rFonts w:ascii="Arial" w:eastAsia="Arial" w:hAnsi="Arial" w:cs="Arial"/>
          <w:sz w:val="22"/>
          <w:szCs w:val="22"/>
        </w:rPr>
        <w:t>is</w:t>
      </w:r>
      <w:proofErr w:type="gramEnd"/>
      <w:r w:rsidRPr="00666910">
        <w:rPr>
          <w:rFonts w:ascii="Arial" w:eastAsia="Arial" w:hAnsi="Arial" w:cs="Arial"/>
          <w:sz w:val="22"/>
          <w:szCs w:val="22"/>
        </w:rPr>
        <w:t xml:space="preserve"> not well controlled can lead to lifelong vascular damage. Microvascular complications include retinopathy, nephropathy, and neuropathy. Macrovascular complications include coronary artery disease and stroke (Diabetes UK, 2024). Patients with diabetes are at higher risk for adverse health outcomes and have an increased risk of loss of independence.</w:t>
      </w:r>
    </w:p>
    <w:p w14:paraId="7B273630" w14:textId="4C4EB4AE" w:rsidR="3A21C3F8" w:rsidRPr="00666910" w:rsidRDefault="3A21C3F8"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lastRenderedPageBreak/>
        <w:t>Mr Kihani may find it difficult to balance his work and family life with recommendations you have provided. He may feel tired or overwhelmed trying to complete everything. Studies show patient understanding of diabetes and rationale for treatment increases self-care activities (Cruz-Cobo and Santi-Cano, 2020). Diabetes education should be provided with empathy and support to enhance your patient’s ability to manage diabetes.</w:t>
      </w:r>
    </w:p>
    <w:p w14:paraId="1A75625A" w14:textId="783794EE" w:rsidR="0EA9B28C" w:rsidRPr="00666910" w:rsidRDefault="0EA9B28C" w:rsidP="00666910">
      <w:pPr>
        <w:spacing w:before="120" w:after="120" w:line="360" w:lineRule="auto"/>
        <w:jc w:val="both"/>
        <w:rPr>
          <w:rFonts w:ascii="Arial" w:eastAsia="Arial" w:hAnsi="Arial" w:cs="Arial"/>
          <w:sz w:val="22"/>
          <w:szCs w:val="22"/>
        </w:rPr>
      </w:pPr>
    </w:p>
    <w:p w14:paraId="1324A994" w14:textId="0AF3D261" w:rsidR="0EA9B28C" w:rsidRPr="00666910" w:rsidRDefault="0EA9B28C" w:rsidP="00666910">
      <w:pPr>
        <w:spacing w:line="360" w:lineRule="auto"/>
        <w:jc w:val="both"/>
        <w:rPr>
          <w:rFonts w:ascii="Arial" w:eastAsia="Arial" w:hAnsi="Arial" w:cs="Arial"/>
          <w:sz w:val="22"/>
          <w:szCs w:val="22"/>
        </w:rPr>
      </w:pPr>
      <w:r w:rsidRPr="00666910">
        <w:rPr>
          <w:rFonts w:ascii="Arial" w:eastAsia="Arial" w:hAnsi="Arial" w:cs="Arial"/>
          <w:sz w:val="22"/>
          <w:szCs w:val="22"/>
        </w:rPr>
        <w:br w:type="page"/>
      </w:r>
    </w:p>
    <w:p w14:paraId="31A5A26E" w14:textId="6EF5D7C8" w:rsidR="3A21C3F8" w:rsidRPr="00666910" w:rsidRDefault="3A21C3F8" w:rsidP="00666910">
      <w:pPr>
        <w:pStyle w:val="ListParagraph"/>
        <w:numPr>
          <w:ilvl w:val="0"/>
          <w:numId w:val="9"/>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lastRenderedPageBreak/>
        <w:t xml:space="preserve">Conclusion </w:t>
      </w:r>
    </w:p>
    <w:p w14:paraId="2A770D7D" w14:textId="3895C4A6" w:rsidR="3A21C3F8" w:rsidRPr="00666910" w:rsidRDefault="3A21C3F8" w:rsidP="00666910">
      <w:pPr>
        <w:spacing w:before="120" w:after="120" w:line="360" w:lineRule="auto"/>
        <w:jc w:val="both"/>
        <w:rPr>
          <w:rFonts w:ascii="Arial" w:eastAsia="Arial" w:hAnsi="Arial" w:cs="Arial"/>
          <w:sz w:val="22"/>
          <w:szCs w:val="22"/>
        </w:rPr>
      </w:pPr>
      <w:r w:rsidRPr="00666910">
        <w:rPr>
          <w:rFonts w:ascii="Arial" w:eastAsia="Arial" w:hAnsi="Arial" w:cs="Arial"/>
          <w:sz w:val="22"/>
          <w:szCs w:val="22"/>
        </w:rPr>
        <w:t>Diabetes Mellitus type 2 is a progressive metabolic disease caused by insulin resistance, β-cell dysfunction and persistent hyperglycaemia. Proper regulation of blood sugar is dependent on insulin, glucagon, oxygen delivery, and mitochondrial metabolism. When these processes become impaired cellular metabolism becomes less efficient and peripheral oxygen delivery is limited.</w:t>
      </w:r>
      <w:r w:rsidR="0859A003" w:rsidRPr="00666910">
        <w:rPr>
          <w:rFonts w:ascii="Arial" w:eastAsia="Arial" w:hAnsi="Arial" w:cs="Arial"/>
          <w:sz w:val="22"/>
          <w:szCs w:val="22"/>
        </w:rPr>
        <w:t xml:space="preserve"> </w:t>
      </w:r>
      <w:r w:rsidRPr="00666910">
        <w:rPr>
          <w:rFonts w:ascii="Arial" w:eastAsia="Arial" w:hAnsi="Arial" w:cs="Arial"/>
          <w:sz w:val="22"/>
          <w:szCs w:val="22"/>
        </w:rPr>
        <w:t xml:space="preserve">Providing patients with simplified pathophysiology can help them understand why it is important to monitor their blood sugars and maintain a healthy lifestyle. Self-monitoring allows for early identification of hyperglycaemia and can prevent long-term complications. Addressing modifiable risk factors not only lowers blood </w:t>
      </w:r>
      <w:proofErr w:type="gramStart"/>
      <w:r w:rsidRPr="00666910">
        <w:rPr>
          <w:rFonts w:ascii="Arial" w:eastAsia="Arial" w:hAnsi="Arial" w:cs="Arial"/>
          <w:sz w:val="22"/>
          <w:szCs w:val="22"/>
        </w:rPr>
        <w:t>sugars</w:t>
      </w:r>
      <w:proofErr w:type="gramEnd"/>
      <w:r w:rsidRPr="00666910">
        <w:rPr>
          <w:rFonts w:ascii="Arial" w:eastAsia="Arial" w:hAnsi="Arial" w:cs="Arial"/>
          <w:sz w:val="22"/>
          <w:szCs w:val="22"/>
        </w:rPr>
        <w:t xml:space="preserve"> but allows for less metabolic stress and increases oxygen delivery.</w:t>
      </w:r>
      <w:r w:rsidR="5448CCE0" w:rsidRPr="00666910">
        <w:rPr>
          <w:rFonts w:ascii="Arial" w:eastAsia="Arial" w:hAnsi="Arial" w:cs="Arial"/>
          <w:sz w:val="22"/>
          <w:szCs w:val="22"/>
        </w:rPr>
        <w:t xml:space="preserve"> </w:t>
      </w:r>
      <w:r w:rsidRPr="00666910">
        <w:rPr>
          <w:rFonts w:ascii="Arial" w:eastAsia="Arial" w:hAnsi="Arial" w:cs="Arial"/>
          <w:sz w:val="22"/>
          <w:szCs w:val="22"/>
        </w:rPr>
        <w:t>Practice nurses play a crucial role in bridging the gap between physiology and patient understanding. By sitting down with patients and providing structured education, patients can better manage diabetes safely.</w:t>
      </w:r>
    </w:p>
    <w:p w14:paraId="0E4301D7" w14:textId="6CCB2353" w:rsidR="0EA9B28C" w:rsidRPr="00666910" w:rsidRDefault="0EA9B28C" w:rsidP="00666910">
      <w:pPr>
        <w:spacing w:before="120" w:after="120" w:line="360" w:lineRule="auto"/>
        <w:jc w:val="both"/>
        <w:rPr>
          <w:rFonts w:ascii="Arial" w:eastAsia="Arial" w:hAnsi="Arial" w:cs="Arial"/>
          <w:sz w:val="22"/>
          <w:szCs w:val="22"/>
        </w:rPr>
      </w:pPr>
    </w:p>
    <w:p w14:paraId="7560A4A2" w14:textId="18FED1A9" w:rsidR="0EA9B28C" w:rsidRPr="00666910" w:rsidRDefault="0EA9B28C" w:rsidP="00666910">
      <w:pPr>
        <w:spacing w:line="360" w:lineRule="auto"/>
        <w:jc w:val="both"/>
        <w:rPr>
          <w:rFonts w:ascii="Arial" w:eastAsia="Arial" w:hAnsi="Arial" w:cs="Arial"/>
          <w:sz w:val="22"/>
          <w:szCs w:val="22"/>
        </w:rPr>
      </w:pPr>
      <w:r w:rsidRPr="00666910">
        <w:rPr>
          <w:rFonts w:ascii="Arial" w:eastAsia="Arial" w:hAnsi="Arial" w:cs="Arial"/>
          <w:sz w:val="22"/>
          <w:szCs w:val="22"/>
        </w:rPr>
        <w:br w:type="page"/>
      </w:r>
    </w:p>
    <w:p w14:paraId="1DCF3F8E" w14:textId="4017F8C9" w:rsidR="3A21C3F8" w:rsidRPr="00666910" w:rsidRDefault="3A21C3F8" w:rsidP="00666910">
      <w:pPr>
        <w:pStyle w:val="ListParagraph"/>
        <w:numPr>
          <w:ilvl w:val="0"/>
          <w:numId w:val="9"/>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lastRenderedPageBreak/>
        <w:t xml:space="preserve">References </w:t>
      </w:r>
    </w:p>
    <w:p w14:paraId="30D2491D" w14:textId="26E210C9" w:rsidR="3A21C3F8" w:rsidRPr="00666910" w:rsidRDefault="3A21C3F8" w:rsidP="00666910">
      <w:pPr>
        <w:pStyle w:val="ListParagraph"/>
        <w:numPr>
          <w:ilvl w:val="0"/>
          <w:numId w:val="1"/>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t xml:space="preserve">Bano, G. (2013) “Glucose homeostasis, obesity and diabetes,” Best practice &amp; research. Clinical obstetrics &amp; </w:t>
      </w:r>
      <w:proofErr w:type="gramStart"/>
      <w:r w:rsidRPr="00666910">
        <w:rPr>
          <w:rFonts w:ascii="Arial" w:eastAsia="Arial" w:hAnsi="Arial" w:cs="Arial"/>
          <w:sz w:val="22"/>
          <w:szCs w:val="22"/>
        </w:rPr>
        <w:t>gynaecology ,</w:t>
      </w:r>
      <w:proofErr w:type="gramEnd"/>
      <w:r w:rsidRPr="00666910">
        <w:rPr>
          <w:rFonts w:ascii="Arial" w:eastAsia="Arial" w:hAnsi="Arial" w:cs="Arial"/>
          <w:sz w:val="22"/>
          <w:szCs w:val="22"/>
        </w:rPr>
        <w:t xml:space="preserve"> 27(5), pp. 715–726. Available at: </w:t>
      </w:r>
      <w:hyperlink r:id="rId5">
        <w:r w:rsidRPr="00666910">
          <w:rPr>
            <w:rStyle w:val="Hyperlink"/>
            <w:rFonts w:ascii="Arial" w:eastAsia="Arial" w:hAnsi="Arial" w:cs="Arial"/>
            <w:sz w:val="22"/>
            <w:szCs w:val="22"/>
          </w:rPr>
          <w:t>https://doi.org/10.1016/j.bpobgyn.2013.02.007</w:t>
        </w:r>
      </w:hyperlink>
      <w:r w:rsidRPr="00666910">
        <w:rPr>
          <w:rFonts w:ascii="Arial" w:eastAsia="Arial" w:hAnsi="Arial" w:cs="Arial"/>
          <w:sz w:val="22"/>
          <w:szCs w:val="22"/>
        </w:rPr>
        <w:t xml:space="preserve">. (Accessed 08/02/2026) </w:t>
      </w:r>
    </w:p>
    <w:p w14:paraId="055041D2" w14:textId="22FA85C1" w:rsidR="3A21C3F8" w:rsidRPr="00666910" w:rsidRDefault="3A21C3F8" w:rsidP="00666910">
      <w:pPr>
        <w:pStyle w:val="ListParagraph"/>
        <w:numPr>
          <w:ilvl w:val="0"/>
          <w:numId w:val="1"/>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t xml:space="preserve">Briant, L. et al. (2016) “Glucagon secretion from pancreatic α-cells,” Upsala journal of medical </w:t>
      </w:r>
      <w:proofErr w:type="gramStart"/>
      <w:r w:rsidRPr="00666910">
        <w:rPr>
          <w:rFonts w:ascii="Arial" w:eastAsia="Arial" w:hAnsi="Arial" w:cs="Arial"/>
          <w:sz w:val="22"/>
          <w:szCs w:val="22"/>
        </w:rPr>
        <w:t>sciences ,</w:t>
      </w:r>
      <w:proofErr w:type="gramEnd"/>
      <w:r w:rsidRPr="00666910">
        <w:rPr>
          <w:rFonts w:ascii="Arial" w:eastAsia="Arial" w:hAnsi="Arial" w:cs="Arial"/>
          <w:sz w:val="22"/>
          <w:szCs w:val="22"/>
        </w:rPr>
        <w:t xml:space="preserve"> 121 (2), pp. 113–119. Available at: </w:t>
      </w:r>
      <w:hyperlink r:id="rId6">
        <w:r w:rsidRPr="00666910">
          <w:rPr>
            <w:rStyle w:val="Hyperlink"/>
            <w:rFonts w:ascii="Arial" w:eastAsia="Arial" w:hAnsi="Arial" w:cs="Arial"/>
            <w:sz w:val="22"/>
            <w:szCs w:val="22"/>
          </w:rPr>
          <w:t>https://doi.org/10.3109/03009734.2016.1156789</w:t>
        </w:r>
      </w:hyperlink>
      <w:r w:rsidRPr="00666910">
        <w:rPr>
          <w:rFonts w:ascii="Arial" w:eastAsia="Arial" w:hAnsi="Arial" w:cs="Arial"/>
          <w:sz w:val="22"/>
          <w:szCs w:val="22"/>
        </w:rPr>
        <w:t xml:space="preserve">. (Accessed 08/02/2026) </w:t>
      </w:r>
    </w:p>
    <w:p w14:paraId="11D75DE5" w14:textId="48C41DDB" w:rsidR="3A21C3F8" w:rsidRPr="00666910" w:rsidRDefault="3A21C3F8" w:rsidP="00666910">
      <w:pPr>
        <w:pStyle w:val="ListParagraph"/>
        <w:numPr>
          <w:ilvl w:val="0"/>
          <w:numId w:val="1"/>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t>Cappuccio, F.P. et al. (2010) “Sleep Duration and All-cause Mortality: A Systematic Review and Meta-Analysis of Prospective Studies,” Sleep (New York, N.Y.</w:t>
      </w:r>
      <w:proofErr w:type="gramStart"/>
      <w:r w:rsidRPr="00666910">
        <w:rPr>
          <w:rFonts w:ascii="Arial" w:eastAsia="Arial" w:hAnsi="Arial" w:cs="Arial"/>
          <w:sz w:val="22"/>
          <w:szCs w:val="22"/>
        </w:rPr>
        <w:t>) ,</w:t>
      </w:r>
      <w:proofErr w:type="gramEnd"/>
      <w:r w:rsidRPr="00666910">
        <w:rPr>
          <w:rFonts w:ascii="Arial" w:eastAsia="Arial" w:hAnsi="Arial" w:cs="Arial"/>
          <w:sz w:val="22"/>
          <w:szCs w:val="22"/>
        </w:rPr>
        <w:t xml:space="preserve"> 33(5), pp. 585–592. Available at: </w:t>
      </w:r>
      <w:hyperlink r:id="rId7">
        <w:r w:rsidRPr="00666910">
          <w:rPr>
            <w:rStyle w:val="Hyperlink"/>
            <w:rFonts w:ascii="Arial" w:eastAsia="Arial" w:hAnsi="Arial" w:cs="Arial"/>
            <w:sz w:val="22"/>
            <w:szCs w:val="22"/>
          </w:rPr>
          <w:t>https://doi.org/10.1093/sleep/33.5.585</w:t>
        </w:r>
      </w:hyperlink>
      <w:r w:rsidRPr="00666910">
        <w:rPr>
          <w:rFonts w:ascii="Arial" w:eastAsia="Arial" w:hAnsi="Arial" w:cs="Arial"/>
          <w:sz w:val="22"/>
          <w:szCs w:val="22"/>
        </w:rPr>
        <w:t xml:space="preserve">. (Accessed 09/02/2026) </w:t>
      </w:r>
    </w:p>
    <w:p w14:paraId="53F630F9" w14:textId="7AAD158D" w:rsidR="3A21C3F8" w:rsidRPr="00666910" w:rsidRDefault="3A21C3F8" w:rsidP="00666910">
      <w:pPr>
        <w:pStyle w:val="ListParagraph"/>
        <w:numPr>
          <w:ilvl w:val="0"/>
          <w:numId w:val="1"/>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t>CNOP, M. et al. (2005) “Mechanisms of pancreatic β-cell death in type 1 and type 2 diabetes: Many differences, few similarities,” Diabetes (New York, N.Y.</w:t>
      </w:r>
      <w:proofErr w:type="gramStart"/>
      <w:r w:rsidRPr="00666910">
        <w:rPr>
          <w:rFonts w:ascii="Arial" w:eastAsia="Arial" w:hAnsi="Arial" w:cs="Arial"/>
          <w:sz w:val="22"/>
          <w:szCs w:val="22"/>
        </w:rPr>
        <w:t>) ,</w:t>
      </w:r>
      <w:proofErr w:type="gramEnd"/>
      <w:r w:rsidRPr="00666910">
        <w:rPr>
          <w:rFonts w:ascii="Arial" w:eastAsia="Arial" w:hAnsi="Arial" w:cs="Arial"/>
          <w:sz w:val="22"/>
          <w:szCs w:val="22"/>
        </w:rPr>
        <w:t xml:space="preserve"> 54(12), pp. S97–S107. Available at: </w:t>
      </w:r>
      <w:hyperlink r:id="rId8">
        <w:r w:rsidRPr="00666910">
          <w:rPr>
            <w:rStyle w:val="Hyperlink"/>
            <w:rFonts w:ascii="Arial" w:eastAsia="Arial" w:hAnsi="Arial" w:cs="Arial"/>
            <w:sz w:val="22"/>
            <w:szCs w:val="22"/>
          </w:rPr>
          <w:t>https://doi.org/10.2337/diabetes.54.suppl_2.S97</w:t>
        </w:r>
      </w:hyperlink>
      <w:r w:rsidRPr="00666910">
        <w:rPr>
          <w:rFonts w:ascii="Arial" w:eastAsia="Arial" w:hAnsi="Arial" w:cs="Arial"/>
          <w:sz w:val="22"/>
          <w:szCs w:val="22"/>
        </w:rPr>
        <w:t xml:space="preserve">. (Accessed 06/02/2026) </w:t>
      </w:r>
    </w:p>
    <w:p w14:paraId="69D1FE2F" w14:textId="2324A9E0" w:rsidR="3A21C3F8" w:rsidRPr="00666910" w:rsidRDefault="3A21C3F8" w:rsidP="00666910">
      <w:pPr>
        <w:pStyle w:val="ListParagraph"/>
        <w:numPr>
          <w:ilvl w:val="0"/>
          <w:numId w:val="1"/>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t xml:space="preserve">Gar, C. et al. (2021) “The liver–alpha cell axis associates with liver fat and insulin resistance: a validation study in women with non-steatotic liver fat levels,” </w:t>
      </w:r>
      <w:proofErr w:type="gramStart"/>
      <w:r w:rsidRPr="00666910">
        <w:rPr>
          <w:rFonts w:ascii="Arial" w:eastAsia="Arial" w:hAnsi="Arial" w:cs="Arial"/>
          <w:sz w:val="22"/>
          <w:szCs w:val="22"/>
        </w:rPr>
        <w:t>Diabetologia ,</w:t>
      </w:r>
      <w:proofErr w:type="gramEnd"/>
      <w:r w:rsidRPr="00666910">
        <w:rPr>
          <w:rFonts w:ascii="Arial" w:eastAsia="Arial" w:hAnsi="Arial" w:cs="Arial"/>
          <w:sz w:val="22"/>
          <w:szCs w:val="22"/>
        </w:rPr>
        <w:t xml:space="preserve"> 64 (3), pp. 512–520. Available at: </w:t>
      </w:r>
      <w:hyperlink r:id="rId9">
        <w:r w:rsidRPr="00666910">
          <w:rPr>
            <w:rStyle w:val="Hyperlink"/>
            <w:rFonts w:ascii="Arial" w:eastAsia="Arial" w:hAnsi="Arial" w:cs="Arial"/>
            <w:sz w:val="22"/>
            <w:szCs w:val="22"/>
          </w:rPr>
          <w:t>https://doi.org/10.1007/s00125-020-05334-x</w:t>
        </w:r>
      </w:hyperlink>
      <w:r w:rsidRPr="00666910">
        <w:rPr>
          <w:rFonts w:ascii="Arial" w:eastAsia="Arial" w:hAnsi="Arial" w:cs="Arial"/>
          <w:sz w:val="22"/>
          <w:szCs w:val="22"/>
        </w:rPr>
        <w:t xml:space="preserve">. (Accessed 08/02/2026) </w:t>
      </w:r>
    </w:p>
    <w:p w14:paraId="5C09AAA9" w14:textId="1CEFD513" w:rsidR="3A21C3F8" w:rsidRPr="00666910" w:rsidRDefault="3A21C3F8" w:rsidP="00666910">
      <w:pPr>
        <w:pStyle w:val="ListParagraph"/>
        <w:numPr>
          <w:ilvl w:val="0"/>
          <w:numId w:val="1"/>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t>Gabbay, R.A. et al. (2013) “Diabetes nurse case management and motivational interviewing for change (DYNAMIC): Results of a 2-year randomized controlled pragmatic trial (</w:t>
      </w:r>
      <w:r w:rsidRPr="00666910">
        <w:rPr>
          <w:rFonts w:ascii="MS Gothic" w:eastAsia="MS Gothic" w:hAnsi="MS Gothic" w:cs="MS Gothic" w:hint="eastAsia"/>
          <w:sz w:val="22"/>
          <w:szCs w:val="22"/>
        </w:rPr>
        <w:t>糖尿病</w:t>
      </w:r>
      <w:r w:rsidRPr="00666910">
        <w:rPr>
          <w:rFonts w:ascii="Microsoft JhengHei" w:eastAsia="Microsoft JhengHei" w:hAnsi="Microsoft JhengHei" w:cs="Microsoft JhengHei" w:hint="eastAsia"/>
          <w:sz w:val="22"/>
          <w:szCs w:val="22"/>
        </w:rPr>
        <w:t>护士病例管理以及促进改变的动机性会谈（</w:t>
      </w:r>
      <w:r w:rsidRPr="00666910">
        <w:rPr>
          <w:rFonts w:ascii="Arial" w:eastAsia="Arial" w:hAnsi="Arial" w:cs="Arial"/>
          <w:sz w:val="22"/>
          <w:szCs w:val="22"/>
        </w:rPr>
        <w:t>DYNAMIC</w:t>
      </w:r>
      <w:r w:rsidRPr="00666910">
        <w:rPr>
          <w:rFonts w:ascii="MS Gothic" w:eastAsia="MS Gothic" w:hAnsi="MS Gothic" w:cs="MS Gothic" w:hint="eastAsia"/>
          <w:sz w:val="22"/>
          <w:szCs w:val="22"/>
        </w:rPr>
        <w:t>）：一</w:t>
      </w:r>
      <w:r w:rsidRPr="00666910">
        <w:rPr>
          <w:rFonts w:ascii="Microsoft JhengHei" w:eastAsia="Microsoft JhengHei" w:hAnsi="Microsoft JhengHei" w:cs="Microsoft JhengHei" w:hint="eastAsia"/>
          <w:sz w:val="22"/>
          <w:szCs w:val="22"/>
        </w:rPr>
        <w:t>项为期</w:t>
      </w:r>
      <w:r w:rsidRPr="00666910">
        <w:rPr>
          <w:rFonts w:ascii="Arial" w:eastAsia="Arial" w:hAnsi="Arial" w:cs="Arial"/>
          <w:sz w:val="22"/>
          <w:szCs w:val="22"/>
        </w:rPr>
        <w:t>2</w:t>
      </w:r>
      <w:r w:rsidRPr="00666910">
        <w:rPr>
          <w:rFonts w:ascii="MS Gothic" w:eastAsia="MS Gothic" w:hAnsi="MS Gothic" w:cs="MS Gothic" w:hint="eastAsia"/>
          <w:sz w:val="22"/>
          <w:szCs w:val="22"/>
        </w:rPr>
        <w:t>年的</w:t>
      </w:r>
      <w:r w:rsidRPr="00666910">
        <w:rPr>
          <w:rFonts w:ascii="Microsoft JhengHei" w:eastAsia="Microsoft JhengHei" w:hAnsi="Microsoft JhengHei" w:cs="Microsoft JhengHei" w:hint="eastAsia"/>
          <w:sz w:val="22"/>
          <w:szCs w:val="22"/>
        </w:rPr>
        <w:t>实用随机对照研究</w:t>
      </w:r>
      <w:r w:rsidRPr="00666910">
        <w:rPr>
          <w:rFonts w:ascii="Arial" w:eastAsia="Arial" w:hAnsi="Arial" w:cs="Arial"/>
          <w:sz w:val="22"/>
          <w:szCs w:val="22"/>
        </w:rPr>
        <w:t xml:space="preserve">),” Journal of </w:t>
      </w:r>
      <w:proofErr w:type="gramStart"/>
      <w:r w:rsidRPr="00666910">
        <w:rPr>
          <w:rFonts w:ascii="Arial" w:eastAsia="Arial" w:hAnsi="Arial" w:cs="Arial"/>
          <w:sz w:val="22"/>
          <w:szCs w:val="22"/>
        </w:rPr>
        <w:t>diabetes ,</w:t>
      </w:r>
      <w:proofErr w:type="gramEnd"/>
      <w:r w:rsidRPr="00666910">
        <w:rPr>
          <w:rFonts w:ascii="Arial" w:eastAsia="Arial" w:hAnsi="Arial" w:cs="Arial"/>
          <w:sz w:val="22"/>
          <w:szCs w:val="22"/>
        </w:rPr>
        <w:t xml:space="preserve"> 5 (3), pp. 349–357. Available at: </w:t>
      </w:r>
      <w:hyperlink r:id="rId10">
        <w:r w:rsidRPr="00666910">
          <w:rPr>
            <w:rStyle w:val="Hyperlink"/>
            <w:rFonts w:ascii="Arial" w:eastAsia="Arial" w:hAnsi="Arial" w:cs="Arial"/>
            <w:sz w:val="22"/>
            <w:szCs w:val="22"/>
          </w:rPr>
          <w:t>https://doi.org/10.1111/1753-0407.12030</w:t>
        </w:r>
      </w:hyperlink>
      <w:r w:rsidRPr="00666910">
        <w:rPr>
          <w:rFonts w:ascii="Arial" w:eastAsia="Arial" w:hAnsi="Arial" w:cs="Arial"/>
          <w:sz w:val="22"/>
          <w:szCs w:val="22"/>
        </w:rPr>
        <w:t xml:space="preserve">. (Accessed 10/02/2026) </w:t>
      </w:r>
    </w:p>
    <w:p w14:paraId="3B02D0B4" w14:textId="2C21833D" w:rsidR="3A21C3F8" w:rsidRPr="00666910" w:rsidRDefault="3A21C3F8" w:rsidP="00666910">
      <w:pPr>
        <w:pStyle w:val="ListParagraph"/>
        <w:numPr>
          <w:ilvl w:val="0"/>
          <w:numId w:val="1"/>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t>Knowler, W.C. et al. (2009) “10-year follow-up of diabetes incidence and weight loss in the Diabetes Prevention Program Outcomes Study,” The Lancet (British edition</w:t>
      </w:r>
      <w:proofErr w:type="gramStart"/>
      <w:r w:rsidRPr="00666910">
        <w:rPr>
          <w:rFonts w:ascii="Arial" w:eastAsia="Arial" w:hAnsi="Arial" w:cs="Arial"/>
          <w:sz w:val="22"/>
          <w:szCs w:val="22"/>
        </w:rPr>
        <w:t>) ,</w:t>
      </w:r>
      <w:proofErr w:type="gramEnd"/>
      <w:r w:rsidRPr="00666910">
        <w:rPr>
          <w:rFonts w:ascii="Arial" w:eastAsia="Arial" w:hAnsi="Arial" w:cs="Arial"/>
          <w:sz w:val="22"/>
          <w:szCs w:val="22"/>
        </w:rPr>
        <w:t xml:space="preserve"> 374 (9702), pp. 1677–1686. Available at: </w:t>
      </w:r>
      <w:hyperlink r:id="rId11">
        <w:r w:rsidRPr="00666910">
          <w:rPr>
            <w:rStyle w:val="Hyperlink"/>
            <w:rFonts w:ascii="Arial" w:eastAsia="Arial" w:hAnsi="Arial" w:cs="Arial"/>
            <w:sz w:val="22"/>
            <w:szCs w:val="22"/>
          </w:rPr>
          <w:t>https://doi.org/10.1016/S0140-6736(09)61457-4</w:t>
        </w:r>
      </w:hyperlink>
      <w:r w:rsidRPr="00666910">
        <w:rPr>
          <w:rFonts w:ascii="Arial" w:eastAsia="Arial" w:hAnsi="Arial" w:cs="Arial"/>
          <w:sz w:val="22"/>
          <w:szCs w:val="22"/>
        </w:rPr>
        <w:t xml:space="preserve">. (Accessed: 10 February 2026) </w:t>
      </w:r>
    </w:p>
    <w:p w14:paraId="1FEC0A4F" w14:textId="046799C7" w:rsidR="3A21C3F8" w:rsidRPr="00666910" w:rsidRDefault="3A21C3F8" w:rsidP="00666910">
      <w:pPr>
        <w:pStyle w:val="ListParagraph"/>
        <w:numPr>
          <w:ilvl w:val="0"/>
          <w:numId w:val="1"/>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t xml:space="preserve">Diabetes UK (2023) Diabetes risk factors. Available at: </w:t>
      </w:r>
      <w:hyperlink r:id="rId12">
        <w:r w:rsidRPr="00666910">
          <w:rPr>
            <w:rStyle w:val="Hyperlink"/>
            <w:rFonts w:ascii="Arial" w:eastAsia="Arial" w:hAnsi="Arial" w:cs="Arial"/>
            <w:sz w:val="22"/>
            <w:szCs w:val="22"/>
          </w:rPr>
          <w:t>https://www.diabetes.org.uk/about-diabetes/type-2-diabetes/diabetes-risk-factors</w:t>
        </w:r>
      </w:hyperlink>
      <w:r w:rsidRPr="00666910">
        <w:rPr>
          <w:rFonts w:ascii="Arial" w:eastAsia="Arial" w:hAnsi="Arial" w:cs="Arial"/>
          <w:sz w:val="22"/>
          <w:szCs w:val="22"/>
        </w:rPr>
        <w:t xml:space="preserve"> . (Accessed: 09 February 2026) </w:t>
      </w:r>
    </w:p>
    <w:p w14:paraId="3759EB3D" w14:textId="775707CC" w:rsidR="3A21C3F8" w:rsidRPr="00666910" w:rsidRDefault="3A21C3F8" w:rsidP="00666910">
      <w:pPr>
        <w:pStyle w:val="ListParagraph"/>
        <w:numPr>
          <w:ilvl w:val="0"/>
          <w:numId w:val="1"/>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t xml:space="preserve">Diabetes UK (2024) Complications of </w:t>
      </w:r>
      <w:proofErr w:type="gramStart"/>
      <w:r w:rsidRPr="00666910">
        <w:rPr>
          <w:rFonts w:ascii="Arial" w:eastAsia="Arial" w:hAnsi="Arial" w:cs="Arial"/>
          <w:sz w:val="22"/>
          <w:szCs w:val="22"/>
        </w:rPr>
        <w:t>diabetes .</w:t>
      </w:r>
      <w:proofErr w:type="gramEnd"/>
      <w:r w:rsidRPr="00666910">
        <w:rPr>
          <w:rFonts w:ascii="Arial" w:eastAsia="Arial" w:hAnsi="Arial" w:cs="Arial"/>
          <w:sz w:val="22"/>
          <w:szCs w:val="22"/>
        </w:rPr>
        <w:t xml:space="preserve"> Available at: </w:t>
      </w:r>
      <w:hyperlink r:id="rId13">
        <w:r w:rsidRPr="00666910">
          <w:rPr>
            <w:rStyle w:val="Hyperlink"/>
            <w:rFonts w:ascii="Arial" w:eastAsia="Arial" w:hAnsi="Arial" w:cs="Arial"/>
            <w:sz w:val="22"/>
            <w:szCs w:val="22"/>
          </w:rPr>
          <w:t>https://www.diabetes.org.uk/about-diabetes/looking-after-diabetes/complications</w:t>
        </w:r>
      </w:hyperlink>
      <w:r w:rsidRPr="00666910">
        <w:rPr>
          <w:rFonts w:ascii="Arial" w:eastAsia="Arial" w:hAnsi="Arial" w:cs="Arial"/>
          <w:sz w:val="22"/>
          <w:szCs w:val="22"/>
        </w:rPr>
        <w:t xml:space="preserve">. (Accessed: 10 February 2026). </w:t>
      </w:r>
    </w:p>
    <w:p w14:paraId="562A3283" w14:textId="472F0F1D" w:rsidR="3A21C3F8" w:rsidRPr="00666910" w:rsidRDefault="3A21C3F8" w:rsidP="00666910">
      <w:pPr>
        <w:pStyle w:val="ListParagraph"/>
        <w:numPr>
          <w:ilvl w:val="0"/>
          <w:numId w:val="1"/>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lastRenderedPageBreak/>
        <w:t xml:space="preserve">Hackett, R.A. and Steptoe, A. (2017) “Type 2 diabetes mellitus and psychological stress — a modifiable risk factor,” Nature reviews. </w:t>
      </w:r>
      <w:proofErr w:type="gramStart"/>
      <w:r w:rsidRPr="00666910">
        <w:rPr>
          <w:rFonts w:ascii="Arial" w:eastAsia="Arial" w:hAnsi="Arial" w:cs="Arial"/>
          <w:sz w:val="22"/>
          <w:szCs w:val="22"/>
        </w:rPr>
        <w:t>Endocrinology ,</w:t>
      </w:r>
      <w:proofErr w:type="gramEnd"/>
      <w:r w:rsidRPr="00666910">
        <w:rPr>
          <w:rFonts w:ascii="Arial" w:eastAsia="Arial" w:hAnsi="Arial" w:cs="Arial"/>
          <w:sz w:val="22"/>
          <w:szCs w:val="22"/>
        </w:rPr>
        <w:t xml:space="preserve"> 13 (9), pp. 547–560. Available at: </w:t>
      </w:r>
      <w:hyperlink r:id="rId14">
        <w:r w:rsidRPr="00666910">
          <w:rPr>
            <w:rStyle w:val="Hyperlink"/>
            <w:rFonts w:ascii="Arial" w:eastAsia="Arial" w:hAnsi="Arial" w:cs="Arial"/>
            <w:sz w:val="22"/>
            <w:szCs w:val="22"/>
          </w:rPr>
          <w:t>https://doi.org/10.1038/nrendo.2017.64</w:t>
        </w:r>
      </w:hyperlink>
      <w:r w:rsidRPr="00666910">
        <w:rPr>
          <w:rFonts w:ascii="Arial" w:eastAsia="Arial" w:hAnsi="Arial" w:cs="Arial"/>
          <w:sz w:val="22"/>
          <w:szCs w:val="22"/>
        </w:rPr>
        <w:t xml:space="preserve">. (Accessed 10/02/2026) </w:t>
      </w:r>
    </w:p>
    <w:p w14:paraId="587AFE6A" w14:textId="1D3023A4" w:rsidR="3A21C3F8" w:rsidRPr="00666910" w:rsidRDefault="3A21C3F8" w:rsidP="00666910">
      <w:pPr>
        <w:pStyle w:val="ListParagraph"/>
        <w:numPr>
          <w:ilvl w:val="0"/>
          <w:numId w:val="1"/>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t xml:space="preserve">Jarvis, J. et al. (2010) “How can structured self-management patient education improve outcomes in people with type 2 diabetes,” Diabetes, obesity &amp; </w:t>
      </w:r>
      <w:proofErr w:type="gramStart"/>
      <w:r w:rsidRPr="00666910">
        <w:rPr>
          <w:rFonts w:ascii="Arial" w:eastAsia="Arial" w:hAnsi="Arial" w:cs="Arial"/>
          <w:sz w:val="22"/>
          <w:szCs w:val="22"/>
        </w:rPr>
        <w:t>metabolism ,</w:t>
      </w:r>
      <w:proofErr w:type="gramEnd"/>
      <w:r w:rsidRPr="00666910">
        <w:rPr>
          <w:rFonts w:ascii="Arial" w:eastAsia="Arial" w:hAnsi="Arial" w:cs="Arial"/>
          <w:sz w:val="22"/>
          <w:szCs w:val="22"/>
        </w:rPr>
        <w:t xml:space="preserve"> 12 (1), pp. 12–19. Available at: </w:t>
      </w:r>
      <w:hyperlink r:id="rId15">
        <w:r w:rsidRPr="00666910">
          <w:rPr>
            <w:rStyle w:val="Hyperlink"/>
            <w:rFonts w:ascii="Arial" w:eastAsia="Arial" w:hAnsi="Arial" w:cs="Arial"/>
            <w:sz w:val="22"/>
            <w:szCs w:val="22"/>
          </w:rPr>
          <w:t>https://doi.org/10.1111/j.1463-1326.2009.01098.x</w:t>
        </w:r>
      </w:hyperlink>
      <w:r w:rsidRPr="00666910">
        <w:rPr>
          <w:rFonts w:ascii="Arial" w:eastAsia="Arial" w:hAnsi="Arial" w:cs="Arial"/>
          <w:sz w:val="22"/>
          <w:szCs w:val="22"/>
        </w:rPr>
        <w:t xml:space="preserve">. (Accessed 09/02/2026) </w:t>
      </w:r>
    </w:p>
    <w:p w14:paraId="4926B7F1" w14:textId="1B80AF6B" w:rsidR="3A21C3F8" w:rsidRPr="00666910" w:rsidRDefault="3A21C3F8" w:rsidP="00666910">
      <w:pPr>
        <w:pStyle w:val="ListParagraph"/>
        <w:numPr>
          <w:ilvl w:val="0"/>
          <w:numId w:val="1"/>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t>Kim, S.-J. et al. (2013) “Chronic alcohol consumption, type 2 diabetes mellitus, insulin-like growth factor-I (IGF-I), and growth hormone (GH) in ethanol-treated diabetic rats,” Life sciences (1973</w:t>
      </w:r>
      <w:proofErr w:type="gramStart"/>
      <w:r w:rsidRPr="00666910">
        <w:rPr>
          <w:rFonts w:ascii="Arial" w:eastAsia="Arial" w:hAnsi="Arial" w:cs="Arial"/>
          <w:sz w:val="22"/>
          <w:szCs w:val="22"/>
        </w:rPr>
        <w:t>) ,</w:t>
      </w:r>
      <w:proofErr w:type="gramEnd"/>
      <w:r w:rsidRPr="00666910">
        <w:rPr>
          <w:rFonts w:ascii="Arial" w:eastAsia="Arial" w:hAnsi="Arial" w:cs="Arial"/>
          <w:sz w:val="22"/>
          <w:szCs w:val="22"/>
        </w:rPr>
        <w:t xml:space="preserve"> 93 (21), pp. 778–782. Available at: </w:t>
      </w:r>
      <w:hyperlink r:id="rId16">
        <w:r w:rsidRPr="00666910">
          <w:rPr>
            <w:rStyle w:val="Hyperlink"/>
            <w:rFonts w:ascii="Arial" w:eastAsia="Arial" w:hAnsi="Arial" w:cs="Arial"/>
            <w:sz w:val="22"/>
            <w:szCs w:val="22"/>
          </w:rPr>
          <w:t>https://doi.org/10.1016/j.lfs.2013.09.018</w:t>
        </w:r>
      </w:hyperlink>
      <w:r w:rsidRPr="00666910">
        <w:rPr>
          <w:rFonts w:ascii="Arial" w:eastAsia="Arial" w:hAnsi="Arial" w:cs="Arial"/>
          <w:sz w:val="22"/>
          <w:szCs w:val="22"/>
        </w:rPr>
        <w:t xml:space="preserve">. (Accessed 10/02/2026) </w:t>
      </w:r>
    </w:p>
    <w:p w14:paraId="781D289C" w14:textId="3C79F2C4" w:rsidR="3A21C3F8" w:rsidRPr="00666910" w:rsidRDefault="3A21C3F8" w:rsidP="00666910">
      <w:pPr>
        <w:pStyle w:val="ListParagraph"/>
        <w:numPr>
          <w:ilvl w:val="0"/>
          <w:numId w:val="1"/>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t xml:space="preserve">Samols, E., Marri, G. and Marks, V., 1966. Interrelationship of glucagon, insulin and glucose: the insulinogenic effect of glucagon. </w:t>
      </w:r>
      <w:proofErr w:type="gramStart"/>
      <w:r w:rsidRPr="00666910">
        <w:rPr>
          <w:rFonts w:ascii="Arial" w:eastAsia="Arial" w:hAnsi="Arial" w:cs="Arial"/>
          <w:sz w:val="22"/>
          <w:szCs w:val="22"/>
        </w:rPr>
        <w:t>Diabetes ,</w:t>
      </w:r>
      <w:proofErr w:type="gramEnd"/>
      <w:r w:rsidRPr="00666910">
        <w:rPr>
          <w:rFonts w:ascii="Arial" w:eastAsia="Arial" w:hAnsi="Arial" w:cs="Arial"/>
          <w:sz w:val="22"/>
          <w:szCs w:val="22"/>
        </w:rPr>
        <w:t xml:space="preserve"> 15 (12), pp.855-866. PDF Available at: </w:t>
      </w:r>
      <w:hyperlink r:id="rId17">
        <w:r w:rsidRPr="00666910">
          <w:rPr>
            <w:rStyle w:val="Hyperlink"/>
            <w:rFonts w:ascii="Arial" w:eastAsia="Arial" w:hAnsi="Arial" w:cs="Arial"/>
            <w:sz w:val="22"/>
            <w:szCs w:val="22"/>
          </w:rPr>
          <w:t>http://citeseerx.ist.psu.edu/viewdoc/download?doi=10.1.1.889.1296&amp;rep=rep1&amp;type=pdf</w:t>
        </w:r>
      </w:hyperlink>
      <w:r w:rsidRPr="00666910">
        <w:rPr>
          <w:rFonts w:ascii="Arial" w:eastAsia="Arial" w:hAnsi="Arial" w:cs="Arial"/>
          <w:sz w:val="22"/>
          <w:szCs w:val="22"/>
        </w:rPr>
        <w:t xml:space="preserve">. (Accessed 10/02/2026) </w:t>
      </w:r>
    </w:p>
    <w:p w14:paraId="5BD2B02B" w14:textId="038B11BD" w:rsidR="3A21C3F8" w:rsidRPr="00666910" w:rsidRDefault="3A21C3F8" w:rsidP="00666910">
      <w:pPr>
        <w:pStyle w:val="ListParagraph"/>
        <w:numPr>
          <w:ilvl w:val="0"/>
          <w:numId w:val="1"/>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t xml:space="preserve">Mozaffarian, D., 2016. Dietary and policy priorities for cardiovascular disease, diabetes, and obesity: a comprehensive review. </w:t>
      </w:r>
      <w:proofErr w:type="gramStart"/>
      <w:r w:rsidRPr="00666910">
        <w:rPr>
          <w:rFonts w:ascii="Arial" w:eastAsia="Arial" w:hAnsi="Arial" w:cs="Arial"/>
          <w:sz w:val="22"/>
          <w:szCs w:val="22"/>
        </w:rPr>
        <w:t>Circulation ,</w:t>
      </w:r>
      <w:proofErr w:type="gramEnd"/>
      <w:r w:rsidRPr="00666910">
        <w:rPr>
          <w:rFonts w:ascii="Arial" w:eastAsia="Arial" w:hAnsi="Arial" w:cs="Arial"/>
          <w:sz w:val="22"/>
          <w:szCs w:val="22"/>
        </w:rPr>
        <w:t xml:space="preserve"> 133 (2), pp.187-225. PDF available at: </w:t>
      </w:r>
      <w:hyperlink r:id="rId18">
        <w:r w:rsidRPr="00666910">
          <w:rPr>
            <w:rStyle w:val="Hyperlink"/>
            <w:rFonts w:ascii="Arial" w:eastAsia="Arial" w:hAnsi="Arial" w:cs="Arial"/>
            <w:sz w:val="22"/>
            <w:szCs w:val="22"/>
          </w:rPr>
          <w:t>https://www.ahajournals.org/doi/pdf/10.1161/CIRCULATIONAHA.115.018845</w:t>
        </w:r>
      </w:hyperlink>
      <w:r w:rsidRPr="00666910">
        <w:rPr>
          <w:rFonts w:ascii="Arial" w:eastAsia="Arial" w:hAnsi="Arial" w:cs="Arial"/>
          <w:sz w:val="22"/>
          <w:szCs w:val="22"/>
        </w:rPr>
        <w:t xml:space="preserve">. </w:t>
      </w:r>
    </w:p>
    <w:p w14:paraId="203E451F" w14:textId="75C77382" w:rsidR="3A21C3F8" w:rsidRPr="00666910" w:rsidRDefault="3A21C3F8" w:rsidP="00666910">
      <w:pPr>
        <w:pStyle w:val="ListParagraph"/>
        <w:numPr>
          <w:ilvl w:val="0"/>
          <w:numId w:val="1"/>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t xml:space="preserve">Newsholme, P., Keane, D., Welters, H.J. and Morgan, N.G., 2007. Life and death decisions of the pancreatic β-cell: the role of fatty acids. Clinical </w:t>
      </w:r>
      <w:proofErr w:type="gramStart"/>
      <w:r w:rsidRPr="00666910">
        <w:rPr>
          <w:rFonts w:ascii="Arial" w:eastAsia="Arial" w:hAnsi="Arial" w:cs="Arial"/>
          <w:sz w:val="22"/>
          <w:szCs w:val="22"/>
        </w:rPr>
        <w:t>science ,</w:t>
      </w:r>
      <w:proofErr w:type="gramEnd"/>
      <w:r w:rsidRPr="00666910">
        <w:rPr>
          <w:rFonts w:ascii="Arial" w:eastAsia="Arial" w:hAnsi="Arial" w:cs="Arial"/>
          <w:sz w:val="22"/>
          <w:szCs w:val="22"/>
        </w:rPr>
        <w:t xml:space="preserve"> 112 (1), pp.27-42. (Accessed 09/02/2026) </w:t>
      </w:r>
    </w:p>
    <w:p w14:paraId="5EFA43EF" w14:textId="62C61A72" w:rsidR="3A21C3F8" w:rsidRPr="00666910" w:rsidRDefault="3A21C3F8" w:rsidP="00666910">
      <w:pPr>
        <w:pStyle w:val="ListParagraph"/>
        <w:numPr>
          <w:ilvl w:val="0"/>
          <w:numId w:val="1"/>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t xml:space="preserve">Nichols, G.A., Hillier, T.A. and Brown, J.B., 2008. Normal fasting plasma glucose and risk of type 2 diabetes diagnosis. The American journal of </w:t>
      </w:r>
      <w:proofErr w:type="gramStart"/>
      <w:r w:rsidRPr="00666910">
        <w:rPr>
          <w:rFonts w:ascii="Arial" w:eastAsia="Arial" w:hAnsi="Arial" w:cs="Arial"/>
          <w:sz w:val="22"/>
          <w:szCs w:val="22"/>
        </w:rPr>
        <w:t>medicine ,</w:t>
      </w:r>
      <w:proofErr w:type="gramEnd"/>
      <w:r w:rsidRPr="00666910">
        <w:rPr>
          <w:rFonts w:ascii="Arial" w:eastAsia="Arial" w:hAnsi="Arial" w:cs="Arial"/>
          <w:sz w:val="22"/>
          <w:szCs w:val="22"/>
        </w:rPr>
        <w:t xml:space="preserve"> 121 (6), pp.519-524.</w:t>
      </w:r>
    </w:p>
    <w:p w14:paraId="01144921" w14:textId="540FF69F" w:rsidR="3A21C3F8" w:rsidRPr="00666910" w:rsidRDefault="3A21C3F8" w:rsidP="00666910">
      <w:pPr>
        <w:pStyle w:val="ListParagraph"/>
        <w:numPr>
          <w:ilvl w:val="0"/>
          <w:numId w:val="1"/>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t>PATJA, K. et al. (2005) “Effects of smoking, obesity and physical activity on the risk of type 2 diabetes in middle</w:t>
      </w:r>
      <w:r w:rsidRPr="00666910">
        <w:rPr>
          <w:rFonts w:ascii="Cambria Math" w:eastAsia="Arial" w:hAnsi="Cambria Math" w:cs="Cambria Math"/>
          <w:sz w:val="22"/>
          <w:szCs w:val="22"/>
        </w:rPr>
        <w:t>‐</w:t>
      </w:r>
      <w:r w:rsidRPr="00666910">
        <w:rPr>
          <w:rFonts w:ascii="Arial" w:eastAsia="Arial" w:hAnsi="Arial" w:cs="Arial"/>
          <w:sz w:val="22"/>
          <w:szCs w:val="22"/>
        </w:rPr>
        <w:t xml:space="preserve">aged Finnish men and women,” Journal of internal </w:t>
      </w:r>
      <w:proofErr w:type="gramStart"/>
      <w:r w:rsidRPr="00666910">
        <w:rPr>
          <w:rFonts w:ascii="Arial" w:eastAsia="Arial" w:hAnsi="Arial" w:cs="Arial"/>
          <w:sz w:val="22"/>
          <w:szCs w:val="22"/>
        </w:rPr>
        <w:t>medicine ,</w:t>
      </w:r>
      <w:proofErr w:type="gramEnd"/>
      <w:r w:rsidRPr="00666910">
        <w:rPr>
          <w:rFonts w:ascii="Arial" w:eastAsia="Arial" w:hAnsi="Arial" w:cs="Arial"/>
          <w:sz w:val="22"/>
          <w:szCs w:val="22"/>
        </w:rPr>
        <w:t xml:space="preserve"> 258 (4), pp. 356–362. Available at: </w:t>
      </w:r>
      <w:hyperlink r:id="rId19">
        <w:r w:rsidRPr="00666910">
          <w:rPr>
            <w:rStyle w:val="Hyperlink"/>
            <w:rFonts w:ascii="Arial" w:eastAsia="Arial" w:hAnsi="Arial" w:cs="Arial"/>
            <w:sz w:val="22"/>
            <w:szCs w:val="22"/>
          </w:rPr>
          <w:t>https://doi.org/10.1111/j.1365-2796.2005.01545.x</w:t>
        </w:r>
      </w:hyperlink>
      <w:r w:rsidRPr="00666910">
        <w:rPr>
          <w:rFonts w:ascii="Arial" w:eastAsia="Arial" w:hAnsi="Arial" w:cs="Arial"/>
          <w:sz w:val="22"/>
          <w:szCs w:val="22"/>
        </w:rPr>
        <w:t xml:space="preserve">. (Accessed 10/02/2026) </w:t>
      </w:r>
    </w:p>
    <w:p w14:paraId="2C810548" w14:textId="068E274A" w:rsidR="3A21C3F8" w:rsidRPr="00666910" w:rsidRDefault="3A21C3F8" w:rsidP="00666910">
      <w:pPr>
        <w:pStyle w:val="ListParagraph"/>
        <w:numPr>
          <w:ilvl w:val="0"/>
          <w:numId w:val="1"/>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t xml:space="preserve">Schuster, D. (2010) “Obesity and the development of type 2 diabetes: the effects of fatty tissue inflammation,” Diabetes, metabolic syndrome and </w:t>
      </w:r>
      <w:proofErr w:type="gramStart"/>
      <w:r w:rsidRPr="00666910">
        <w:rPr>
          <w:rFonts w:ascii="Arial" w:eastAsia="Arial" w:hAnsi="Arial" w:cs="Arial"/>
          <w:sz w:val="22"/>
          <w:szCs w:val="22"/>
        </w:rPr>
        <w:t>obesity ,</w:t>
      </w:r>
      <w:proofErr w:type="gramEnd"/>
      <w:r w:rsidRPr="00666910">
        <w:rPr>
          <w:rFonts w:ascii="Arial" w:eastAsia="Arial" w:hAnsi="Arial" w:cs="Arial"/>
          <w:sz w:val="22"/>
          <w:szCs w:val="22"/>
        </w:rPr>
        <w:t xml:space="preserve"> </w:t>
      </w:r>
      <w:proofErr w:type="gramStart"/>
      <w:r w:rsidRPr="00666910">
        <w:rPr>
          <w:rFonts w:ascii="Arial" w:eastAsia="Arial" w:hAnsi="Arial" w:cs="Arial"/>
          <w:sz w:val="22"/>
          <w:szCs w:val="22"/>
        </w:rPr>
        <w:t>3 ,</w:t>
      </w:r>
      <w:proofErr w:type="gramEnd"/>
      <w:r w:rsidRPr="00666910">
        <w:rPr>
          <w:rFonts w:ascii="Arial" w:eastAsia="Arial" w:hAnsi="Arial" w:cs="Arial"/>
          <w:sz w:val="22"/>
          <w:szCs w:val="22"/>
        </w:rPr>
        <w:t xml:space="preserve"> pp. 253–262. Available at: </w:t>
      </w:r>
      <w:hyperlink r:id="rId20">
        <w:r w:rsidRPr="00666910">
          <w:rPr>
            <w:rStyle w:val="Hyperlink"/>
            <w:rFonts w:ascii="Arial" w:eastAsia="Arial" w:hAnsi="Arial" w:cs="Arial"/>
            <w:sz w:val="22"/>
            <w:szCs w:val="22"/>
          </w:rPr>
          <w:t>https://doi.org/10.2147/DMSOTT.S7354</w:t>
        </w:r>
      </w:hyperlink>
      <w:r w:rsidRPr="00666910">
        <w:rPr>
          <w:rFonts w:ascii="Arial" w:eastAsia="Arial" w:hAnsi="Arial" w:cs="Arial"/>
          <w:sz w:val="22"/>
          <w:szCs w:val="22"/>
        </w:rPr>
        <w:t xml:space="preserve">. (Accessed 08/02/2026) </w:t>
      </w:r>
    </w:p>
    <w:p w14:paraId="15C907BD" w14:textId="270E962F" w:rsidR="3A21C3F8" w:rsidRPr="00666910" w:rsidRDefault="3A21C3F8" w:rsidP="00666910">
      <w:pPr>
        <w:pStyle w:val="ListParagraph"/>
        <w:numPr>
          <w:ilvl w:val="0"/>
          <w:numId w:val="1"/>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t xml:space="preserve">Schnell, O. et al. (2013) “Self-Monitoring of Blood Glucose in Type 2 Diabetes: Recent Studies,” Journal of diabetes science and </w:t>
      </w:r>
      <w:proofErr w:type="gramStart"/>
      <w:r w:rsidRPr="00666910">
        <w:rPr>
          <w:rFonts w:ascii="Arial" w:eastAsia="Arial" w:hAnsi="Arial" w:cs="Arial"/>
          <w:sz w:val="22"/>
          <w:szCs w:val="22"/>
        </w:rPr>
        <w:t>technology ,</w:t>
      </w:r>
      <w:proofErr w:type="gramEnd"/>
      <w:r w:rsidRPr="00666910">
        <w:rPr>
          <w:rFonts w:ascii="Arial" w:eastAsia="Arial" w:hAnsi="Arial" w:cs="Arial"/>
          <w:sz w:val="22"/>
          <w:szCs w:val="22"/>
        </w:rPr>
        <w:t xml:space="preserve"> 7 (2), pp. 478–488. Available at: </w:t>
      </w:r>
      <w:hyperlink r:id="rId21">
        <w:r w:rsidRPr="00666910">
          <w:rPr>
            <w:rStyle w:val="Hyperlink"/>
            <w:rFonts w:ascii="Arial" w:eastAsia="Arial" w:hAnsi="Arial" w:cs="Arial"/>
            <w:sz w:val="22"/>
            <w:szCs w:val="22"/>
          </w:rPr>
          <w:t>https://doi.org/10.1177/193229681300700225</w:t>
        </w:r>
      </w:hyperlink>
      <w:r w:rsidRPr="00666910">
        <w:rPr>
          <w:rFonts w:ascii="Arial" w:eastAsia="Arial" w:hAnsi="Arial" w:cs="Arial"/>
          <w:sz w:val="22"/>
          <w:szCs w:val="22"/>
        </w:rPr>
        <w:t xml:space="preserve">. </w:t>
      </w:r>
    </w:p>
    <w:p w14:paraId="4833E857" w14:textId="7241AABE" w:rsidR="3A21C3F8" w:rsidRPr="00666910" w:rsidRDefault="3A21C3F8" w:rsidP="00666910">
      <w:pPr>
        <w:pStyle w:val="ListParagraph"/>
        <w:numPr>
          <w:ilvl w:val="0"/>
          <w:numId w:val="1"/>
        </w:numPr>
        <w:spacing w:before="120" w:after="120" w:line="360" w:lineRule="auto"/>
        <w:jc w:val="both"/>
        <w:rPr>
          <w:rFonts w:ascii="Arial" w:eastAsia="Arial" w:hAnsi="Arial" w:cs="Arial"/>
          <w:sz w:val="22"/>
          <w:szCs w:val="22"/>
        </w:rPr>
      </w:pPr>
      <w:r w:rsidRPr="00666910">
        <w:rPr>
          <w:rFonts w:ascii="Arial" w:eastAsia="Arial" w:hAnsi="Arial" w:cs="Arial"/>
          <w:sz w:val="22"/>
          <w:szCs w:val="22"/>
        </w:rPr>
        <w:lastRenderedPageBreak/>
        <w:t xml:space="preserve">van der Molen, H.F. et al. (2020) “Work-related psychosocial risk factors for stress-related mental disorders: an updated systematic review and meta-analysis,” BMJ </w:t>
      </w:r>
      <w:proofErr w:type="gramStart"/>
      <w:r w:rsidRPr="00666910">
        <w:rPr>
          <w:rFonts w:ascii="Arial" w:eastAsia="Arial" w:hAnsi="Arial" w:cs="Arial"/>
          <w:sz w:val="22"/>
          <w:szCs w:val="22"/>
        </w:rPr>
        <w:t>open ,</w:t>
      </w:r>
      <w:proofErr w:type="gramEnd"/>
      <w:r w:rsidRPr="00666910">
        <w:rPr>
          <w:rFonts w:ascii="Arial" w:eastAsia="Arial" w:hAnsi="Arial" w:cs="Arial"/>
          <w:sz w:val="22"/>
          <w:szCs w:val="22"/>
        </w:rPr>
        <w:t xml:space="preserve"> 10 (7), p. e034849. Available at: </w:t>
      </w:r>
      <w:hyperlink r:id="rId22">
        <w:r w:rsidRPr="00666910">
          <w:rPr>
            <w:rStyle w:val="Hyperlink"/>
            <w:rFonts w:ascii="Arial" w:eastAsia="Arial" w:hAnsi="Arial" w:cs="Arial"/>
            <w:sz w:val="22"/>
            <w:szCs w:val="22"/>
          </w:rPr>
          <w:t>https://doi.org/10.1136/bmjopen-2019-034849</w:t>
        </w:r>
      </w:hyperlink>
      <w:r w:rsidRPr="00666910">
        <w:rPr>
          <w:rFonts w:ascii="Arial" w:eastAsia="Arial" w:hAnsi="Arial" w:cs="Arial"/>
          <w:sz w:val="22"/>
          <w:szCs w:val="22"/>
        </w:rPr>
        <w:t>.</w:t>
      </w:r>
    </w:p>
    <w:p w14:paraId="0F9CA067" w14:textId="1DD944FA" w:rsidR="0EA9B28C" w:rsidRPr="00666910" w:rsidRDefault="0EA9B28C" w:rsidP="00666910">
      <w:pPr>
        <w:spacing w:line="360" w:lineRule="auto"/>
        <w:jc w:val="both"/>
        <w:rPr>
          <w:rFonts w:ascii="Arial" w:eastAsia="Arial" w:hAnsi="Arial" w:cs="Arial"/>
          <w:sz w:val="22"/>
          <w:szCs w:val="22"/>
        </w:rPr>
      </w:pPr>
    </w:p>
    <w:sectPr w:rsidR="0EA9B28C" w:rsidRPr="0066691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2A7" w:usb1="28CF4400" w:usb2="00000016" w:usb3="00000000" w:csb0="00100009"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B86EA"/>
    <w:multiLevelType w:val="hybridMultilevel"/>
    <w:tmpl w:val="96CE06E2"/>
    <w:lvl w:ilvl="0" w:tplc="8928517C">
      <w:start w:val="1"/>
      <w:numFmt w:val="lowerLetter"/>
      <w:lvlText w:val="(%1)"/>
      <w:lvlJc w:val="left"/>
      <w:pPr>
        <w:ind w:left="720" w:hanging="360"/>
      </w:pPr>
    </w:lvl>
    <w:lvl w:ilvl="1" w:tplc="7CF89BF0">
      <w:start w:val="1"/>
      <w:numFmt w:val="lowerLetter"/>
      <w:lvlText w:val="%2."/>
      <w:lvlJc w:val="left"/>
      <w:pPr>
        <w:ind w:left="1440" w:hanging="360"/>
      </w:pPr>
    </w:lvl>
    <w:lvl w:ilvl="2" w:tplc="B5865048">
      <w:start w:val="1"/>
      <w:numFmt w:val="lowerRoman"/>
      <w:lvlText w:val="%3."/>
      <w:lvlJc w:val="right"/>
      <w:pPr>
        <w:ind w:left="2160" w:hanging="180"/>
      </w:pPr>
    </w:lvl>
    <w:lvl w:ilvl="3" w:tplc="4470EF2A">
      <w:start w:val="1"/>
      <w:numFmt w:val="decimal"/>
      <w:lvlText w:val="%4."/>
      <w:lvlJc w:val="left"/>
      <w:pPr>
        <w:ind w:left="2880" w:hanging="360"/>
      </w:pPr>
    </w:lvl>
    <w:lvl w:ilvl="4" w:tplc="BA88988E">
      <w:start w:val="1"/>
      <w:numFmt w:val="lowerLetter"/>
      <w:lvlText w:val="%5."/>
      <w:lvlJc w:val="left"/>
      <w:pPr>
        <w:ind w:left="3600" w:hanging="360"/>
      </w:pPr>
    </w:lvl>
    <w:lvl w:ilvl="5" w:tplc="194A7AE6">
      <w:start w:val="1"/>
      <w:numFmt w:val="lowerRoman"/>
      <w:lvlText w:val="%6."/>
      <w:lvlJc w:val="right"/>
      <w:pPr>
        <w:ind w:left="4320" w:hanging="180"/>
      </w:pPr>
    </w:lvl>
    <w:lvl w:ilvl="6" w:tplc="5CB64D84">
      <w:start w:val="1"/>
      <w:numFmt w:val="decimal"/>
      <w:lvlText w:val="%7."/>
      <w:lvlJc w:val="left"/>
      <w:pPr>
        <w:ind w:left="5040" w:hanging="360"/>
      </w:pPr>
    </w:lvl>
    <w:lvl w:ilvl="7" w:tplc="274C1324">
      <w:start w:val="1"/>
      <w:numFmt w:val="lowerLetter"/>
      <w:lvlText w:val="%8."/>
      <w:lvlJc w:val="left"/>
      <w:pPr>
        <w:ind w:left="5760" w:hanging="360"/>
      </w:pPr>
    </w:lvl>
    <w:lvl w:ilvl="8" w:tplc="91B44F4E">
      <w:start w:val="1"/>
      <w:numFmt w:val="lowerRoman"/>
      <w:lvlText w:val="%9."/>
      <w:lvlJc w:val="right"/>
      <w:pPr>
        <w:ind w:left="6480" w:hanging="180"/>
      </w:pPr>
    </w:lvl>
  </w:abstractNum>
  <w:abstractNum w:abstractNumId="1" w15:restartNumberingAfterBreak="0">
    <w:nsid w:val="0EC5FEB0"/>
    <w:multiLevelType w:val="hybridMultilevel"/>
    <w:tmpl w:val="36AA5F66"/>
    <w:lvl w:ilvl="0" w:tplc="4C98C5B8">
      <w:start w:val="1"/>
      <w:numFmt w:val="lowerLetter"/>
      <w:lvlText w:val="%1)"/>
      <w:lvlJc w:val="left"/>
      <w:pPr>
        <w:ind w:left="720" w:hanging="360"/>
      </w:pPr>
    </w:lvl>
    <w:lvl w:ilvl="1" w:tplc="C99C1058">
      <w:start w:val="1"/>
      <w:numFmt w:val="lowerLetter"/>
      <w:lvlText w:val="%2."/>
      <w:lvlJc w:val="left"/>
      <w:pPr>
        <w:ind w:left="1440" w:hanging="360"/>
      </w:pPr>
    </w:lvl>
    <w:lvl w:ilvl="2" w:tplc="4686EBEA">
      <w:start w:val="1"/>
      <w:numFmt w:val="lowerRoman"/>
      <w:lvlText w:val="%3."/>
      <w:lvlJc w:val="right"/>
      <w:pPr>
        <w:ind w:left="2160" w:hanging="180"/>
      </w:pPr>
    </w:lvl>
    <w:lvl w:ilvl="3" w:tplc="FDAA1F68">
      <w:start w:val="1"/>
      <w:numFmt w:val="decimal"/>
      <w:lvlText w:val="%4."/>
      <w:lvlJc w:val="left"/>
      <w:pPr>
        <w:ind w:left="2880" w:hanging="360"/>
      </w:pPr>
    </w:lvl>
    <w:lvl w:ilvl="4" w:tplc="47028812">
      <w:start w:val="1"/>
      <w:numFmt w:val="lowerLetter"/>
      <w:lvlText w:val="%5."/>
      <w:lvlJc w:val="left"/>
      <w:pPr>
        <w:ind w:left="3600" w:hanging="360"/>
      </w:pPr>
    </w:lvl>
    <w:lvl w:ilvl="5" w:tplc="8A5A063E">
      <w:start w:val="1"/>
      <w:numFmt w:val="lowerRoman"/>
      <w:lvlText w:val="%6."/>
      <w:lvlJc w:val="right"/>
      <w:pPr>
        <w:ind w:left="4320" w:hanging="180"/>
      </w:pPr>
    </w:lvl>
    <w:lvl w:ilvl="6" w:tplc="C7689214">
      <w:start w:val="1"/>
      <w:numFmt w:val="decimal"/>
      <w:lvlText w:val="%7."/>
      <w:lvlJc w:val="left"/>
      <w:pPr>
        <w:ind w:left="5040" w:hanging="360"/>
      </w:pPr>
    </w:lvl>
    <w:lvl w:ilvl="7" w:tplc="B13CD124">
      <w:start w:val="1"/>
      <w:numFmt w:val="lowerLetter"/>
      <w:lvlText w:val="%8."/>
      <w:lvlJc w:val="left"/>
      <w:pPr>
        <w:ind w:left="5760" w:hanging="360"/>
      </w:pPr>
    </w:lvl>
    <w:lvl w:ilvl="8" w:tplc="EBFA8C06">
      <w:start w:val="1"/>
      <w:numFmt w:val="lowerRoman"/>
      <w:lvlText w:val="%9."/>
      <w:lvlJc w:val="right"/>
      <w:pPr>
        <w:ind w:left="6480" w:hanging="180"/>
      </w:pPr>
    </w:lvl>
  </w:abstractNum>
  <w:abstractNum w:abstractNumId="2" w15:restartNumberingAfterBreak="0">
    <w:nsid w:val="11378891"/>
    <w:multiLevelType w:val="hybridMultilevel"/>
    <w:tmpl w:val="48346756"/>
    <w:lvl w:ilvl="0" w:tplc="CB46CE8E">
      <w:start w:val="1"/>
      <w:numFmt w:val="decimal"/>
      <w:lvlText w:val="%1."/>
      <w:lvlJc w:val="left"/>
      <w:pPr>
        <w:ind w:left="720" w:hanging="360"/>
      </w:pPr>
    </w:lvl>
    <w:lvl w:ilvl="1" w:tplc="9EF6B682">
      <w:start w:val="1"/>
      <w:numFmt w:val="lowerLetter"/>
      <w:lvlText w:val="%2."/>
      <w:lvlJc w:val="left"/>
      <w:pPr>
        <w:ind w:left="1440" w:hanging="360"/>
      </w:pPr>
    </w:lvl>
    <w:lvl w:ilvl="2" w:tplc="0AC6934E">
      <w:start w:val="1"/>
      <w:numFmt w:val="lowerRoman"/>
      <w:lvlText w:val="%3."/>
      <w:lvlJc w:val="right"/>
      <w:pPr>
        <w:ind w:left="2160" w:hanging="180"/>
      </w:pPr>
    </w:lvl>
    <w:lvl w:ilvl="3" w:tplc="BA6EC7A2">
      <w:start w:val="1"/>
      <w:numFmt w:val="decimal"/>
      <w:lvlText w:val="%4."/>
      <w:lvlJc w:val="left"/>
      <w:pPr>
        <w:ind w:left="2880" w:hanging="360"/>
      </w:pPr>
    </w:lvl>
    <w:lvl w:ilvl="4" w:tplc="2B1AE274">
      <w:start w:val="1"/>
      <w:numFmt w:val="lowerLetter"/>
      <w:lvlText w:val="%5."/>
      <w:lvlJc w:val="left"/>
      <w:pPr>
        <w:ind w:left="3600" w:hanging="360"/>
      </w:pPr>
    </w:lvl>
    <w:lvl w:ilvl="5" w:tplc="40D20CCC">
      <w:start w:val="1"/>
      <w:numFmt w:val="lowerRoman"/>
      <w:lvlText w:val="%6."/>
      <w:lvlJc w:val="right"/>
      <w:pPr>
        <w:ind w:left="4320" w:hanging="180"/>
      </w:pPr>
    </w:lvl>
    <w:lvl w:ilvl="6" w:tplc="720A8290">
      <w:start w:val="1"/>
      <w:numFmt w:val="decimal"/>
      <w:lvlText w:val="%7."/>
      <w:lvlJc w:val="left"/>
      <w:pPr>
        <w:ind w:left="5040" w:hanging="360"/>
      </w:pPr>
    </w:lvl>
    <w:lvl w:ilvl="7" w:tplc="363AA3F8">
      <w:start w:val="1"/>
      <w:numFmt w:val="lowerLetter"/>
      <w:lvlText w:val="%8."/>
      <w:lvlJc w:val="left"/>
      <w:pPr>
        <w:ind w:left="5760" w:hanging="360"/>
      </w:pPr>
    </w:lvl>
    <w:lvl w:ilvl="8" w:tplc="FEAA8882">
      <w:start w:val="1"/>
      <w:numFmt w:val="lowerRoman"/>
      <w:lvlText w:val="%9."/>
      <w:lvlJc w:val="right"/>
      <w:pPr>
        <w:ind w:left="6480" w:hanging="180"/>
      </w:pPr>
    </w:lvl>
  </w:abstractNum>
  <w:abstractNum w:abstractNumId="3" w15:restartNumberingAfterBreak="0">
    <w:nsid w:val="158F85F9"/>
    <w:multiLevelType w:val="hybridMultilevel"/>
    <w:tmpl w:val="D71E59A0"/>
    <w:lvl w:ilvl="0" w:tplc="DA98B08C">
      <w:start w:val="1"/>
      <w:numFmt w:val="decimal"/>
      <w:lvlText w:val="%1."/>
      <w:lvlJc w:val="left"/>
      <w:pPr>
        <w:ind w:left="720" w:hanging="360"/>
      </w:pPr>
    </w:lvl>
    <w:lvl w:ilvl="1" w:tplc="5AE0D924">
      <w:start w:val="1"/>
      <w:numFmt w:val="lowerLetter"/>
      <w:lvlText w:val="%2."/>
      <w:lvlJc w:val="left"/>
      <w:pPr>
        <w:ind w:left="1440" w:hanging="360"/>
      </w:pPr>
    </w:lvl>
    <w:lvl w:ilvl="2" w:tplc="C8FA9C14">
      <w:start w:val="1"/>
      <w:numFmt w:val="lowerRoman"/>
      <w:lvlText w:val="%3."/>
      <w:lvlJc w:val="right"/>
      <w:pPr>
        <w:ind w:left="2160" w:hanging="180"/>
      </w:pPr>
    </w:lvl>
    <w:lvl w:ilvl="3" w:tplc="5C140044">
      <w:start w:val="1"/>
      <w:numFmt w:val="decimal"/>
      <w:lvlText w:val="%4."/>
      <w:lvlJc w:val="left"/>
      <w:pPr>
        <w:ind w:left="2880" w:hanging="360"/>
      </w:pPr>
    </w:lvl>
    <w:lvl w:ilvl="4" w:tplc="98406BCC">
      <w:start w:val="1"/>
      <w:numFmt w:val="lowerLetter"/>
      <w:lvlText w:val="%5."/>
      <w:lvlJc w:val="left"/>
      <w:pPr>
        <w:ind w:left="3600" w:hanging="360"/>
      </w:pPr>
    </w:lvl>
    <w:lvl w:ilvl="5" w:tplc="D5EC393C">
      <w:start w:val="1"/>
      <w:numFmt w:val="lowerRoman"/>
      <w:lvlText w:val="%6."/>
      <w:lvlJc w:val="right"/>
      <w:pPr>
        <w:ind w:left="4320" w:hanging="180"/>
      </w:pPr>
    </w:lvl>
    <w:lvl w:ilvl="6" w:tplc="46BCF018">
      <w:start w:val="1"/>
      <w:numFmt w:val="decimal"/>
      <w:lvlText w:val="%7."/>
      <w:lvlJc w:val="left"/>
      <w:pPr>
        <w:ind w:left="5040" w:hanging="360"/>
      </w:pPr>
    </w:lvl>
    <w:lvl w:ilvl="7" w:tplc="6F98909A">
      <w:start w:val="1"/>
      <w:numFmt w:val="lowerLetter"/>
      <w:lvlText w:val="%8."/>
      <w:lvlJc w:val="left"/>
      <w:pPr>
        <w:ind w:left="5760" w:hanging="360"/>
      </w:pPr>
    </w:lvl>
    <w:lvl w:ilvl="8" w:tplc="CDCCC454">
      <w:start w:val="1"/>
      <w:numFmt w:val="lowerRoman"/>
      <w:lvlText w:val="%9."/>
      <w:lvlJc w:val="right"/>
      <w:pPr>
        <w:ind w:left="6480" w:hanging="180"/>
      </w:pPr>
    </w:lvl>
  </w:abstractNum>
  <w:abstractNum w:abstractNumId="4" w15:restartNumberingAfterBreak="0">
    <w:nsid w:val="1749AFBA"/>
    <w:multiLevelType w:val="hybridMultilevel"/>
    <w:tmpl w:val="14E4C8DE"/>
    <w:lvl w:ilvl="0" w:tplc="947C005E">
      <w:start w:val="1"/>
      <w:numFmt w:val="lowerLetter"/>
      <w:lvlText w:val="(%1)"/>
      <w:lvlJc w:val="left"/>
      <w:pPr>
        <w:ind w:left="720" w:hanging="360"/>
      </w:pPr>
    </w:lvl>
    <w:lvl w:ilvl="1" w:tplc="7E32CFCE">
      <w:start w:val="1"/>
      <w:numFmt w:val="lowerLetter"/>
      <w:lvlText w:val="%2."/>
      <w:lvlJc w:val="left"/>
      <w:pPr>
        <w:ind w:left="1440" w:hanging="360"/>
      </w:pPr>
    </w:lvl>
    <w:lvl w:ilvl="2" w:tplc="D02485E2">
      <w:start w:val="1"/>
      <w:numFmt w:val="lowerRoman"/>
      <w:lvlText w:val="%3."/>
      <w:lvlJc w:val="right"/>
      <w:pPr>
        <w:ind w:left="2160" w:hanging="180"/>
      </w:pPr>
    </w:lvl>
    <w:lvl w:ilvl="3" w:tplc="9A867E94">
      <w:start w:val="1"/>
      <w:numFmt w:val="decimal"/>
      <w:lvlText w:val="%4."/>
      <w:lvlJc w:val="left"/>
      <w:pPr>
        <w:ind w:left="2880" w:hanging="360"/>
      </w:pPr>
    </w:lvl>
    <w:lvl w:ilvl="4" w:tplc="7D746CA2">
      <w:start w:val="1"/>
      <w:numFmt w:val="lowerLetter"/>
      <w:lvlText w:val="%5."/>
      <w:lvlJc w:val="left"/>
      <w:pPr>
        <w:ind w:left="3600" w:hanging="360"/>
      </w:pPr>
    </w:lvl>
    <w:lvl w:ilvl="5" w:tplc="243681D0">
      <w:start w:val="1"/>
      <w:numFmt w:val="lowerRoman"/>
      <w:lvlText w:val="%6."/>
      <w:lvlJc w:val="right"/>
      <w:pPr>
        <w:ind w:left="4320" w:hanging="180"/>
      </w:pPr>
    </w:lvl>
    <w:lvl w:ilvl="6" w:tplc="913889F4">
      <w:start w:val="1"/>
      <w:numFmt w:val="decimal"/>
      <w:lvlText w:val="%7."/>
      <w:lvlJc w:val="left"/>
      <w:pPr>
        <w:ind w:left="5040" w:hanging="360"/>
      </w:pPr>
    </w:lvl>
    <w:lvl w:ilvl="7" w:tplc="BD8AF45E">
      <w:start w:val="1"/>
      <w:numFmt w:val="lowerLetter"/>
      <w:lvlText w:val="%8."/>
      <w:lvlJc w:val="left"/>
      <w:pPr>
        <w:ind w:left="5760" w:hanging="360"/>
      </w:pPr>
    </w:lvl>
    <w:lvl w:ilvl="8" w:tplc="70A4BBB0">
      <w:start w:val="1"/>
      <w:numFmt w:val="lowerRoman"/>
      <w:lvlText w:val="%9."/>
      <w:lvlJc w:val="right"/>
      <w:pPr>
        <w:ind w:left="6480" w:hanging="180"/>
      </w:pPr>
    </w:lvl>
  </w:abstractNum>
  <w:abstractNum w:abstractNumId="5" w15:restartNumberingAfterBreak="0">
    <w:nsid w:val="1F2327B5"/>
    <w:multiLevelType w:val="hybridMultilevel"/>
    <w:tmpl w:val="5A4C8BC0"/>
    <w:lvl w:ilvl="0" w:tplc="DAD0047A">
      <w:start w:val="1"/>
      <w:numFmt w:val="bullet"/>
      <w:lvlText w:val=""/>
      <w:lvlJc w:val="left"/>
      <w:pPr>
        <w:ind w:left="720" w:hanging="360"/>
      </w:pPr>
      <w:rPr>
        <w:rFonts w:ascii="Symbol" w:hAnsi="Symbol" w:hint="default"/>
      </w:rPr>
    </w:lvl>
    <w:lvl w:ilvl="1" w:tplc="09683538">
      <w:start w:val="1"/>
      <w:numFmt w:val="bullet"/>
      <w:lvlText w:val="o"/>
      <w:lvlJc w:val="left"/>
      <w:pPr>
        <w:ind w:left="1440" w:hanging="360"/>
      </w:pPr>
      <w:rPr>
        <w:rFonts w:ascii="Courier New" w:hAnsi="Courier New" w:hint="default"/>
      </w:rPr>
    </w:lvl>
    <w:lvl w:ilvl="2" w:tplc="34FC273C">
      <w:start w:val="1"/>
      <w:numFmt w:val="bullet"/>
      <w:lvlText w:val=""/>
      <w:lvlJc w:val="left"/>
      <w:pPr>
        <w:ind w:left="2160" w:hanging="360"/>
      </w:pPr>
      <w:rPr>
        <w:rFonts w:ascii="Wingdings" w:hAnsi="Wingdings" w:hint="default"/>
      </w:rPr>
    </w:lvl>
    <w:lvl w:ilvl="3" w:tplc="8C38CD32">
      <w:start w:val="1"/>
      <w:numFmt w:val="bullet"/>
      <w:lvlText w:val=""/>
      <w:lvlJc w:val="left"/>
      <w:pPr>
        <w:ind w:left="2880" w:hanging="360"/>
      </w:pPr>
      <w:rPr>
        <w:rFonts w:ascii="Symbol" w:hAnsi="Symbol" w:hint="default"/>
      </w:rPr>
    </w:lvl>
    <w:lvl w:ilvl="4" w:tplc="B198A058">
      <w:start w:val="1"/>
      <w:numFmt w:val="bullet"/>
      <w:lvlText w:val="o"/>
      <w:lvlJc w:val="left"/>
      <w:pPr>
        <w:ind w:left="3600" w:hanging="360"/>
      </w:pPr>
      <w:rPr>
        <w:rFonts w:ascii="Courier New" w:hAnsi="Courier New" w:hint="default"/>
      </w:rPr>
    </w:lvl>
    <w:lvl w:ilvl="5" w:tplc="DDD4A07E">
      <w:start w:val="1"/>
      <w:numFmt w:val="bullet"/>
      <w:lvlText w:val=""/>
      <w:lvlJc w:val="left"/>
      <w:pPr>
        <w:ind w:left="4320" w:hanging="360"/>
      </w:pPr>
      <w:rPr>
        <w:rFonts w:ascii="Wingdings" w:hAnsi="Wingdings" w:hint="default"/>
      </w:rPr>
    </w:lvl>
    <w:lvl w:ilvl="6" w:tplc="AF1E95A4">
      <w:start w:val="1"/>
      <w:numFmt w:val="bullet"/>
      <w:lvlText w:val=""/>
      <w:lvlJc w:val="left"/>
      <w:pPr>
        <w:ind w:left="5040" w:hanging="360"/>
      </w:pPr>
      <w:rPr>
        <w:rFonts w:ascii="Symbol" w:hAnsi="Symbol" w:hint="default"/>
      </w:rPr>
    </w:lvl>
    <w:lvl w:ilvl="7" w:tplc="24320200">
      <w:start w:val="1"/>
      <w:numFmt w:val="bullet"/>
      <w:lvlText w:val="o"/>
      <w:lvlJc w:val="left"/>
      <w:pPr>
        <w:ind w:left="5760" w:hanging="360"/>
      </w:pPr>
      <w:rPr>
        <w:rFonts w:ascii="Courier New" w:hAnsi="Courier New" w:hint="default"/>
      </w:rPr>
    </w:lvl>
    <w:lvl w:ilvl="8" w:tplc="F2E61010">
      <w:start w:val="1"/>
      <w:numFmt w:val="bullet"/>
      <w:lvlText w:val=""/>
      <w:lvlJc w:val="left"/>
      <w:pPr>
        <w:ind w:left="6480" w:hanging="360"/>
      </w:pPr>
      <w:rPr>
        <w:rFonts w:ascii="Wingdings" w:hAnsi="Wingdings" w:hint="default"/>
      </w:rPr>
    </w:lvl>
  </w:abstractNum>
  <w:abstractNum w:abstractNumId="6" w15:restartNumberingAfterBreak="0">
    <w:nsid w:val="21C8744C"/>
    <w:multiLevelType w:val="hybridMultilevel"/>
    <w:tmpl w:val="41B407BA"/>
    <w:lvl w:ilvl="0" w:tplc="C194F404">
      <w:start w:val="1"/>
      <w:numFmt w:val="decimal"/>
      <w:lvlText w:val="%1."/>
      <w:lvlJc w:val="left"/>
      <w:pPr>
        <w:ind w:left="720" w:hanging="360"/>
      </w:pPr>
    </w:lvl>
    <w:lvl w:ilvl="1" w:tplc="DD6E7A7E">
      <w:start w:val="1"/>
      <w:numFmt w:val="lowerLetter"/>
      <w:lvlText w:val="%2."/>
      <w:lvlJc w:val="left"/>
      <w:pPr>
        <w:ind w:left="1440" w:hanging="360"/>
      </w:pPr>
    </w:lvl>
    <w:lvl w:ilvl="2" w:tplc="BB08D10C">
      <w:start w:val="1"/>
      <w:numFmt w:val="lowerRoman"/>
      <w:lvlText w:val="%3."/>
      <w:lvlJc w:val="right"/>
      <w:pPr>
        <w:ind w:left="2160" w:hanging="180"/>
      </w:pPr>
    </w:lvl>
    <w:lvl w:ilvl="3" w:tplc="4F6690D6">
      <w:start w:val="1"/>
      <w:numFmt w:val="decimal"/>
      <w:lvlText w:val="%4."/>
      <w:lvlJc w:val="left"/>
      <w:pPr>
        <w:ind w:left="2880" w:hanging="360"/>
      </w:pPr>
    </w:lvl>
    <w:lvl w:ilvl="4" w:tplc="E55C7616">
      <w:start w:val="1"/>
      <w:numFmt w:val="lowerLetter"/>
      <w:lvlText w:val="%5."/>
      <w:lvlJc w:val="left"/>
      <w:pPr>
        <w:ind w:left="3600" w:hanging="360"/>
      </w:pPr>
    </w:lvl>
    <w:lvl w:ilvl="5" w:tplc="BDDE8C96">
      <w:start w:val="1"/>
      <w:numFmt w:val="lowerRoman"/>
      <w:lvlText w:val="%6."/>
      <w:lvlJc w:val="right"/>
      <w:pPr>
        <w:ind w:left="4320" w:hanging="180"/>
      </w:pPr>
    </w:lvl>
    <w:lvl w:ilvl="6" w:tplc="E37C9A86">
      <w:start w:val="1"/>
      <w:numFmt w:val="decimal"/>
      <w:lvlText w:val="%7."/>
      <w:lvlJc w:val="left"/>
      <w:pPr>
        <w:ind w:left="5040" w:hanging="360"/>
      </w:pPr>
    </w:lvl>
    <w:lvl w:ilvl="7" w:tplc="7E5C165A">
      <w:start w:val="1"/>
      <w:numFmt w:val="lowerLetter"/>
      <w:lvlText w:val="%8."/>
      <w:lvlJc w:val="left"/>
      <w:pPr>
        <w:ind w:left="5760" w:hanging="360"/>
      </w:pPr>
    </w:lvl>
    <w:lvl w:ilvl="8" w:tplc="C70807A2">
      <w:start w:val="1"/>
      <w:numFmt w:val="lowerRoman"/>
      <w:lvlText w:val="%9."/>
      <w:lvlJc w:val="right"/>
      <w:pPr>
        <w:ind w:left="6480" w:hanging="180"/>
      </w:pPr>
    </w:lvl>
  </w:abstractNum>
  <w:abstractNum w:abstractNumId="7" w15:restartNumberingAfterBreak="0">
    <w:nsid w:val="29F72C62"/>
    <w:multiLevelType w:val="hybridMultilevel"/>
    <w:tmpl w:val="8DC2F26A"/>
    <w:lvl w:ilvl="0" w:tplc="8180A7DC">
      <w:start w:val="1"/>
      <w:numFmt w:val="bullet"/>
      <w:lvlText w:val=""/>
      <w:lvlJc w:val="left"/>
      <w:pPr>
        <w:ind w:left="720" w:hanging="360"/>
      </w:pPr>
      <w:rPr>
        <w:rFonts w:ascii="Symbol" w:hAnsi="Symbol" w:hint="default"/>
      </w:rPr>
    </w:lvl>
    <w:lvl w:ilvl="1" w:tplc="21AABA5C">
      <w:start w:val="1"/>
      <w:numFmt w:val="bullet"/>
      <w:lvlText w:val="o"/>
      <w:lvlJc w:val="left"/>
      <w:pPr>
        <w:ind w:left="1440" w:hanging="360"/>
      </w:pPr>
      <w:rPr>
        <w:rFonts w:ascii="Courier New" w:hAnsi="Courier New" w:hint="default"/>
      </w:rPr>
    </w:lvl>
    <w:lvl w:ilvl="2" w:tplc="FB5C8B82">
      <w:start w:val="1"/>
      <w:numFmt w:val="bullet"/>
      <w:lvlText w:val=""/>
      <w:lvlJc w:val="left"/>
      <w:pPr>
        <w:ind w:left="2160" w:hanging="360"/>
      </w:pPr>
      <w:rPr>
        <w:rFonts w:ascii="Wingdings" w:hAnsi="Wingdings" w:hint="default"/>
      </w:rPr>
    </w:lvl>
    <w:lvl w:ilvl="3" w:tplc="5D6698EE">
      <w:start w:val="1"/>
      <w:numFmt w:val="bullet"/>
      <w:lvlText w:val=""/>
      <w:lvlJc w:val="left"/>
      <w:pPr>
        <w:ind w:left="2880" w:hanging="360"/>
      </w:pPr>
      <w:rPr>
        <w:rFonts w:ascii="Symbol" w:hAnsi="Symbol" w:hint="default"/>
      </w:rPr>
    </w:lvl>
    <w:lvl w:ilvl="4" w:tplc="7AAA38BE">
      <w:start w:val="1"/>
      <w:numFmt w:val="bullet"/>
      <w:lvlText w:val="o"/>
      <w:lvlJc w:val="left"/>
      <w:pPr>
        <w:ind w:left="3600" w:hanging="360"/>
      </w:pPr>
      <w:rPr>
        <w:rFonts w:ascii="Courier New" w:hAnsi="Courier New" w:hint="default"/>
      </w:rPr>
    </w:lvl>
    <w:lvl w:ilvl="5" w:tplc="31B42F58">
      <w:start w:val="1"/>
      <w:numFmt w:val="bullet"/>
      <w:lvlText w:val=""/>
      <w:lvlJc w:val="left"/>
      <w:pPr>
        <w:ind w:left="4320" w:hanging="360"/>
      </w:pPr>
      <w:rPr>
        <w:rFonts w:ascii="Wingdings" w:hAnsi="Wingdings" w:hint="default"/>
      </w:rPr>
    </w:lvl>
    <w:lvl w:ilvl="6" w:tplc="C930C736">
      <w:start w:val="1"/>
      <w:numFmt w:val="bullet"/>
      <w:lvlText w:val=""/>
      <w:lvlJc w:val="left"/>
      <w:pPr>
        <w:ind w:left="5040" w:hanging="360"/>
      </w:pPr>
      <w:rPr>
        <w:rFonts w:ascii="Symbol" w:hAnsi="Symbol" w:hint="default"/>
      </w:rPr>
    </w:lvl>
    <w:lvl w:ilvl="7" w:tplc="0B1CA1CC">
      <w:start w:val="1"/>
      <w:numFmt w:val="bullet"/>
      <w:lvlText w:val="o"/>
      <w:lvlJc w:val="left"/>
      <w:pPr>
        <w:ind w:left="5760" w:hanging="360"/>
      </w:pPr>
      <w:rPr>
        <w:rFonts w:ascii="Courier New" w:hAnsi="Courier New" w:hint="default"/>
      </w:rPr>
    </w:lvl>
    <w:lvl w:ilvl="8" w:tplc="93AEED0A">
      <w:start w:val="1"/>
      <w:numFmt w:val="bullet"/>
      <w:lvlText w:val=""/>
      <w:lvlJc w:val="left"/>
      <w:pPr>
        <w:ind w:left="6480" w:hanging="360"/>
      </w:pPr>
      <w:rPr>
        <w:rFonts w:ascii="Wingdings" w:hAnsi="Wingdings" w:hint="default"/>
      </w:rPr>
    </w:lvl>
  </w:abstractNum>
  <w:abstractNum w:abstractNumId="8" w15:restartNumberingAfterBreak="0">
    <w:nsid w:val="32EB1EAD"/>
    <w:multiLevelType w:val="hybridMultilevel"/>
    <w:tmpl w:val="D46CF2B4"/>
    <w:lvl w:ilvl="0" w:tplc="5B8431E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7D24E3A"/>
    <w:multiLevelType w:val="hybridMultilevel"/>
    <w:tmpl w:val="3110BC16"/>
    <w:lvl w:ilvl="0" w:tplc="382AEEE0">
      <w:start w:val="1"/>
      <w:numFmt w:val="bullet"/>
      <w:lvlText w:val=""/>
      <w:lvlJc w:val="left"/>
      <w:pPr>
        <w:ind w:left="720" w:hanging="360"/>
      </w:pPr>
      <w:rPr>
        <w:rFonts w:ascii="Symbol" w:hAnsi="Symbol" w:hint="default"/>
      </w:rPr>
    </w:lvl>
    <w:lvl w:ilvl="1" w:tplc="D068DBB8">
      <w:start w:val="1"/>
      <w:numFmt w:val="bullet"/>
      <w:lvlText w:val="o"/>
      <w:lvlJc w:val="left"/>
      <w:pPr>
        <w:ind w:left="1440" w:hanging="360"/>
      </w:pPr>
      <w:rPr>
        <w:rFonts w:ascii="Courier New" w:hAnsi="Courier New" w:hint="default"/>
      </w:rPr>
    </w:lvl>
    <w:lvl w:ilvl="2" w:tplc="BD10AE88">
      <w:start w:val="1"/>
      <w:numFmt w:val="bullet"/>
      <w:lvlText w:val=""/>
      <w:lvlJc w:val="left"/>
      <w:pPr>
        <w:ind w:left="2160" w:hanging="360"/>
      </w:pPr>
      <w:rPr>
        <w:rFonts w:ascii="Wingdings" w:hAnsi="Wingdings" w:hint="default"/>
      </w:rPr>
    </w:lvl>
    <w:lvl w:ilvl="3" w:tplc="0B46D852">
      <w:start w:val="1"/>
      <w:numFmt w:val="bullet"/>
      <w:lvlText w:val=""/>
      <w:lvlJc w:val="left"/>
      <w:pPr>
        <w:ind w:left="2880" w:hanging="360"/>
      </w:pPr>
      <w:rPr>
        <w:rFonts w:ascii="Symbol" w:hAnsi="Symbol" w:hint="default"/>
      </w:rPr>
    </w:lvl>
    <w:lvl w:ilvl="4" w:tplc="77E8761A">
      <w:start w:val="1"/>
      <w:numFmt w:val="bullet"/>
      <w:lvlText w:val="o"/>
      <w:lvlJc w:val="left"/>
      <w:pPr>
        <w:ind w:left="3600" w:hanging="360"/>
      </w:pPr>
      <w:rPr>
        <w:rFonts w:ascii="Courier New" w:hAnsi="Courier New" w:hint="default"/>
      </w:rPr>
    </w:lvl>
    <w:lvl w:ilvl="5" w:tplc="62DAA93A">
      <w:start w:val="1"/>
      <w:numFmt w:val="bullet"/>
      <w:lvlText w:val=""/>
      <w:lvlJc w:val="left"/>
      <w:pPr>
        <w:ind w:left="4320" w:hanging="360"/>
      </w:pPr>
      <w:rPr>
        <w:rFonts w:ascii="Wingdings" w:hAnsi="Wingdings" w:hint="default"/>
      </w:rPr>
    </w:lvl>
    <w:lvl w:ilvl="6" w:tplc="99F00E02">
      <w:start w:val="1"/>
      <w:numFmt w:val="bullet"/>
      <w:lvlText w:val=""/>
      <w:lvlJc w:val="left"/>
      <w:pPr>
        <w:ind w:left="5040" w:hanging="360"/>
      </w:pPr>
      <w:rPr>
        <w:rFonts w:ascii="Symbol" w:hAnsi="Symbol" w:hint="default"/>
      </w:rPr>
    </w:lvl>
    <w:lvl w:ilvl="7" w:tplc="AA40D26A">
      <w:start w:val="1"/>
      <w:numFmt w:val="bullet"/>
      <w:lvlText w:val="o"/>
      <w:lvlJc w:val="left"/>
      <w:pPr>
        <w:ind w:left="5760" w:hanging="360"/>
      </w:pPr>
      <w:rPr>
        <w:rFonts w:ascii="Courier New" w:hAnsi="Courier New" w:hint="default"/>
      </w:rPr>
    </w:lvl>
    <w:lvl w:ilvl="8" w:tplc="E9980C60">
      <w:start w:val="1"/>
      <w:numFmt w:val="bullet"/>
      <w:lvlText w:val=""/>
      <w:lvlJc w:val="left"/>
      <w:pPr>
        <w:ind w:left="6480" w:hanging="360"/>
      </w:pPr>
      <w:rPr>
        <w:rFonts w:ascii="Wingdings" w:hAnsi="Wingdings" w:hint="default"/>
      </w:rPr>
    </w:lvl>
  </w:abstractNum>
  <w:abstractNum w:abstractNumId="10" w15:restartNumberingAfterBreak="0">
    <w:nsid w:val="37EAB2BB"/>
    <w:multiLevelType w:val="hybridMultilevel"/>
    <w:tmpl w:val="87A40080"/>
    <w:lvl w:ilvl="0" w:tplc="938E53D6">
      <w:start w:val="1"/>
      <w:numFmt w:val="bullet"/>
      <w:lvlText w:val=""/>
      <w:lvlJc w:val="left"/>
      <w:pPr>
        <w:ind w:left="720" w:hanging="360"/>
      </w:pPr>
      <w:rPr>
        <w:rFonts w:ascii="Symbol" w:hAnsi="Symbol" w:hint="default"/>
      </w:rPr>
    </w:lvl>
    <w:lvl w:ilvl="1" w:tplc="95A2DC2C">
      <w:start w:val="1"/>
      <w:numFmt w:val="bullet"/>
      <w:lvlText w:val="o"/>
      <w:lvlJc w:val="left"/>
      <w:pPr>
        <w:ind w:left="1440" w:hanging="360"/>
      </w:pPr>
      <w:rPr>
        <w:rFonts w:ascii="Courier New" w:hAnsi="Courier New" w:hint="default"/>
      </w:rPr>
    </w:lvl>
    <w:lvl w:ilvl="2" w:tplc="08725BAA">
      <w:start w:val="1"/>
      <w:numFmt w:val="bullet"/>
      <w:lvlText w:val=""/>
      <w:lvlJc w:val="left"/>
      <w:pPr>
        <w:ind w:left="2160" w:hanging="360"/>
      </w:pPr>
      <w:rPr>
        <w:rFonts w:ascii="Wingdings" w:hAnsi="Wingdings" w:hint="default"/>
      </w:rPr>
    </w:lvl>
    <w:lvl w:ilvl="3" w:tplc="136A3E94">
      <w:start w:val="1"/>
      <w:numFmt w:val="bullet"/>
      <w:lvlText w:val=""/>
      <w:lvlJc w:val="left"/>
      <w:pPr>
        <w:ind w:left="2880" w:hanging="360"/>
      </w:pPr>
      <w:rPr>
        <w:rFonts w:ascii="Symbol" w:hAnsi="Symbol" w:hint="default"/>
      </w:rPr>
    </w:lvl>
    <w:lvl w:ilvl="4" w:tplc="06900762">
      <w:start w:val="1"/>
      <w:numFmt w:val="bullet"/>
      <w:lvlText w:val="o"/>
      <w:lvlJc w:val="left"/>
      <w:pPr>
        <w:ind w:left="3600" w:hanging="360"/>
      </w:pPr>
      <w:rPr>
        <w:rFonts w:ascii="Courier New" w:hAnsi="Courier New" w:hint="default"/>
      </w:rPr>
    </w:lvl>
    <w:lvl w:ilvl="5" w:tplc="7618F858">
      <w:start w:val="1"/>
      <w:numFmt w:val="bullet"/>
      <w:lvlText w:val=""/>
      <w:lvlJc w:val="left"/>
      <w:pPr>
        <w:ind w:left="4320" w:hanging="360"/>
      </w:pPr>
      <w:rPr>
        <w:rFonts w:ascii="Wingdings" w:hAnsi="Wingdings" w:hint="default"/>
      </w:rPr>
    </w:lvl>
    <w:lvl w:ilvl="6" w:tplc="D982C96C">
      <w:start w:val="1"/>
      <w:numFmt w:val="bullet"/>
      <w:lvlText w:val=""/>
      <w:lvlJc w:val="left"/>
      <w:pPr>
        <w:ind w:left="5040" w:hanging="360"/>
      </w:pPr>
      <w:rPr>
        <w:rFonts w:ascii="Symbol" w:hAnsi="Symbol" w:hint="default"/>
      </w:rPr>
    </w:lvl>
    <w:lvl w:ilvl="7" w:tplc="E1980D5E">
      <w:start w:val="1"/>
      <w:numFmt w:val="bullet"/>
      <w:lvlText w:val="o"/>
      <w:lvlJc w:val="left"/>
      <w:pPr>
        <w:ind w:left="5760" w:hanging="360"/>
      </w:pPr>
      <w:rPr>
        <w:rFonts w:ascii="Courier New" w:hAnsi="Courier New" w:hint="default"/>
      </w:rPr>
    </w:lvl>
    <w:lvl w:ilvl="8" w:tplc="4C4C73D8">
      <w:start w:val="1"/>
      <w:numFmt w:val="bullet"/>
      <w:lvlText w:val=""/>
      <w:lvlJc w:val="left"/>
      <w:pPr>
        <w:ind w:left="6480" w:hanging="360"/>
      </w:pPr>
      <w:rPr>
        <w:rFonts w:ascii="Wingdings" w:hAnsi="Wingdings" w:hint="default"/>
      </w:rPr>
    </w:lvl>
  </w:abstractNum>
  <w:abstractNum w:abstractNumId="11" w15:restartNumberingAfterBreak="0">
    <w:nsid w:val="3867091D"/>
    <w:multiLevelType w:val="hybridMultilevel"/>
    <w:tmpl w:val="B5B8D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3E0457"/>
    <w:multiLevelType w:val="hybridMultilevel"/>
    <w:tmpl w:val="E7646E90"/>
    <w:lvl w:ilvl="0" w:tplc="B3428C1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437F370"/>
    <w:multiLevelType w:val="hybridMultilevel"/>
    <w:tmpl w:val="7DBE4142"/>
    <w:lvl w:ilvl="0" w:tplc="F664091E">
      <w:start w:val="1"/>
      <w:numFmt w:val="lowerLetter"/>
      <w:lvlText w:val="%1)"/>
      <w:lvlJc w:val="left"/>
      <w:pPr>
        <w:ind w:left="720" w:hanging="360"/>
      </w:pPr>
    </w:lvl>
    <w:lvl w:ilvl="1" w:tplc="37E6D276">
      <w:start w:val="1"/>
      <w:numFmt w:val="lowerLetter"/>
      <w:lvlText w:val="%2."/>
      <w:lvlJc w:val="left"/>
      <w:pPr>
        <w:ind w:left="1440" w:hanging="360"/>
      </w:pPr>
    </w:lvl>
    <w:lvl w:ilvl="2" w:tplc="AA96F1A2">
      <w:start w:val="1"/>
      <w:numFmt w:val="lowerRoman"/>
      <w:lvlText w:val="%3."/>
      <w:lvlJc w:val="right"/>
      <w:pPr>
        <w:ind w:left="2160" w:hanging="180"/>
      </w:pPr>
    </w:lvl>
    <w:lvl w:ilvl="3" w:tplc="5CE40392">
      <w:start w:val="1"/>
      <w:numFmt w:val="decimal"/>
      <w:lvlText w:val="%4."/>
      <w:lvlJc w:val="left"/>
      <w:pPr>
        <w:ind w:left="2880" w:hanging="360"/>
      </w:pPr>
    </w:lvl>
    <w:lvl w:ilvl="4" w:tplc="65329FCE">
      <w:start w:val="1"/>
      <w:numFmt w:val="lowerLetter"/>
      <w:lvlText w:val="%5."/>
      <w:lvlJc w:val="left"/>
      <w:pPr>
        <w:ind w:left="3600" w:hanging="360"/>
      </w:pPr>
    </w:lvl>
    <w:lvl w:ilvl="5" w:tplc="17C4FA94">
      <w:start w:val="1"/>
      <w:numFmt w:val="lowerRoman"/>
      <w:lvlText w:val="%6."/>
      <w:lvlJc w:val="right"/>
      <w:pPr>
        <w:ind w:left="4320" w:hanging="180"/>
      </w:pPr>
    </w:lvl>
    <w:lvl w:ilvl="6" w:tplc="8294DD68">
      <w:start w:val="1"/>
      <w:numFmt w:val="decimal"/>
      <w:lvlText w:val="%7."/>
      <w:lvlJc w:val="left"/>
      <w:pPr>
        <w:ind w:left="5040" w:hanging="360"/>
      </w:pPr>
    </w:lvl>
    <w:lvl w:ilvl="7" w:tplc="7F30D388">
      <w:start w:val="1"/>
      <w:numFmt w:val="lowerLetter"/>
      <w:lvlText w:val="%8."/>
      <w:lvlJc w:val="left"/>
      <w:pPr>
        <w:ind w:left="5760" w:hanging="360"/>
      </w:pPr>
    </w:lvl>
    <w:lvl w:ilvl="8" w:tplc="9CAC1D38">
      <w:start w:val="1"/>
      <w:numFmt w:val="lowerRoman"/>
      <w:lvlText w:val="%9."/>
      <w:lvlJc w:val="right"/>
      <w:pPr>
        <w:ind w:left="6480" w:hanging="180"/>
      </w:pPr>
    </w:lvl>
  </w:abstractNum>
  <w:abstractNum w:abstractNumId="14" w15:restartNumberingAfterBreak="0">
    <w:nsid w:val="4683F72D"/>
    <w:multiLevelType w:val="hybridMultilevel"/>
    <w:tmpl w:val="D32A886E"/>
    <w:lvl w:ilvl="0" w:tplc="8E1E92EE">
      <w:start w:val="1"/>
      <w:numFmt w:val="bullet"/>
      <w:lvlText w:val=""/>
      <w:lvlJc w:val="left"/>
      <w:pPr>
        <w:ind w:left="720" w:hanging="360"/>
      </w:pPr>
      <w:rPr>
        <w:rFonts w:ascii="Symbol" w:hAnsi="Symbol" w:hint="default"/>
      </w:rPr>
    </w:lvl>
    <w:lvl w:ilvl="1" w:tplc="5A82B826">
      <w:start w:val="1"/>
      <w:numFmt w:val="bullet"/>
      <w:lvlText w:val="o"/>
      <w:lvlJc w:val="left"/>
      <w:pPr>
        <w:ind w:left="1440" w:hanging="360"/>
      </w:pPr>
      <w:rPr>
        <w:rFonts w:ascii="Courier New" w:hAnsi="Courier New" w:hint="default"/>
      </w:rPr>
    </w:lvl>
    <w:lvl w:ilvl="2" w:tplc="FCBAF716">
      <w:start w:val="1"/>
      <w:numFmt w:val="bullet"/>
      <w:lvlText w:val=""/>
      <w:lvlJc w:val="left"/>
      <w:pPr>
        <w:ind w:left="2160" w:hanging="360"/>
      </w:pPr>
      <w:rPr>
        <w:rFonts w:ascii="Wingdings" w:hAnsi="Wingdings" w:hint="default"/>
      </w:rPr>
    </w:lvl>
    <w:lvl w:ilvl="3" w:tplc="ABC67934">
      <w:start w:val="1"/>
      <w:numFmt w:val="bullet"/>
      <w:lvlText w:val=""/>
      <w:lvlJc w:val="left"/>
      <w:pPr>
        <w:ind w:left="2880" w:hanging="360"/>
      </w:pPr>
      <w:rPr>
        <w:rFonts w:ascii="Symbol" w:hAnsi="Symbol" w:hint="default"/>
      </w:rPr>
    </w:lvl>
    <w:lvl w:ilvl="4" w:tplc="417ED3E6">
      <w:start w:val="1"/>
      <w:numFmt w:val="bullet"/>
      <w:lvlText w:val="o"/>
      <w:lvlJc w:val="left"/>
      <w:pPr>
        <w:ind w:left="3600" w:hanging="360"/>
      </w:pPr>
      <w:rPr>
        <w:rFonts w:ascii="Courier New" w:hAnsi="Courier New" w:hint="default"/>
      </w:rPr>
    </w:lvl>
    <w:lvl w:ilvl="5" w:tplc="B62C382A">
      <w:start w:val="1"/>
      <w:numFmt w:val="bullet"/>
      <w:lvlText w:val=""/>
      <w:lvlJc w:val="left"/>
      <w:pPr>
        <w:ind w:left="4320" w:hanging="360"/>
      </w:pPr>
      <w:rPr>
        <w:rFonts w:ascii="Wingdings" w:hAnsi="Wingdings" w:hint="default"/>
      </w:rPr>
    </w:lvl>
    <w:lvl w:ilvl="6" w:tplc="31CCEBF8">
      <w:start w:val="1"/>
      <w:numFmt w:val="bullet"/>
      <w:lvlText w:val=""/>
      <w:lvlJc w:val="left"/>
      <w:pPr>
        <w:ind w:left="5040" w:hanging="360"/>
      </w:pPr>
      <w:rPr>
        <w:rFonts w:ascii="Symbol" w:hAnsi="Symbol" w:hint="default"/>
      </w:rPr>
    </w:lvl>
    <w:lvl w:ilvl="7" w:tplc="20907D2C">
      <w:start w:val="1"/>
      <w:numFmt w:val="bullet"/>
      <w:lvlText w:val="o"/>
      <w:lvlJc w:val="left"/>
      <w:pPr>
        <w:ind w:left="5760" w:hanging="360"/>
      </w:pPr>
      <w:rPr>
        <w:rFonts w:ascii="Courier New" w:hAnsi="Courier New" w:hint="default"/>
      </w:rPr>
    </w:lvl>
    <w:lvl w:ilvl="8" w:tplc="6F9C2182">
      <w:start w:val="1"/>
      <w:numFmt w:val="bullet"/>
      <w:lvlText w:val=""/>
      <w:lvlJc w:val="left"/>
      <w:pPr>
        <w:ind w:left="6480" w:hanging="360"/>
      </w:pPr>
      <w:rPr>
        <w:rFonts w:ascii="Wingdings" w:hAnsi="Wingdings" w:hint="default"/>
      </w:rPr>
    </w:lvl>
  </w:abstractNum>
  <w:abstractNum w:abstractNumId="15" w15:restartNumberingAfterBreak="0">
    <w:nsid w:val="4D70113B"/>
    <w:multiLevelType w:val="hybridMultilevel"/>
    <w:tmpl w:val="3D729CEA"/>
    <w:lvl w:ilvl="0" w:tplc="2D58D68A">
      <w:start w:val="1"/>
      <w:numFmt w:val="bullet"/>
      <w:lvlText w:val=""/>
      <w:lvlJc w:val="left"/>
      <w:pPr>
        <w:ind w:left="720" w:hanging="360"/>
      </w:pPr>
      <w:rPr>
        <w:rFonts w:ascii="Symbol" w:hAnsi="Symbol" w:hint="default"/>
      </w:rPr>
    </w:lvl>
    <w:lvl w:ilvl="1" w:tplc="29B2F200">
      <w:start w:val="1"/>
      <w:numFmt w:val="bullet"/>
      <w:lvlText w:val="o"/>
      <w:lvlJc w:val="left"/>
      <w:pPr>
        <w:ind w:left="1440" w:hanging="360"/>
      </w:pPr>
      <w:rPr>
        <w:rFonts w:ascii="Courier New" w:hAnsi="Courier New" w:hint="default"/>
      </w:rPr>
    </w:lvl>
    <w:lvl w:ilvl="2" w:tplc="9D28B5FE">
      <w:start w:val="1"/>
      <w:numFmt w:val="bullet"/>
      <w:lvlText w:val=""/>
      <w:lvlJc w:val="left"/>
      <w:pPr>
        <w:ind w:left="2160" w:hanging="360"/>
      </w:pPr>
      <w:rPr>
        <w:rFonts w:ascii="Wingdings" w:hAnsi="Wingdings" w:hint="default"/>
      </w:rPr>
    </w:lvl>
    <w:lvl w:ilvl="3" w:tplc="55EA8144">
      <w:start w:val="1"/>
      <w:numFmt w:val="bullet"/>
      <w:lvlText w:val=""/>
      <w:lvlJc w:val="left"/>
      <w:pPr>
        <w:ind w:left="2880" w:hanging="360"/>
      </w:pPr>
      <w:rPr>
        <w:rFonts w:ascii="Symbol" w:hAnsi="Symbol" w:hint="default"/>
      </w:rPr>
    </w:lvl>
    <w:lvl w:ilvl="4" w:tplc="8146D738">
      <w:start w:val="1"/>
      <w:numFmt w:val="bullet"/>
      <w:lvlText w:val="o"/>
      <w:lvlJc w:val="left"/>
      <w:pPr>
        <w:ind w:left="3600" w:hanging="360"/>
      </w:pPr>
      <w:rPr>
        <w:rFonts w:ascii="Courier New" w:hAnsi="Courier New" w:hint="default"/>
      </w:rPr>
    </w:lvl>
    <w:lvl w:ilvl="5" w:tplc="169C9E16">
      <w:start w:val="1"/>
      <w:numFmt w:val="bullet"/>
      <w:lvlText w:val=""/>
      <w:lvlJc w:val="left"/>
      <w:pPr>
        <w:ind w:left="4320" w:hanging="360"/>
      </w:pPr>
      <w:rPr>
        <w:rFonts w:ascii="Wingdings" w:hAnsi="Wingdings" w:hint="default"/>
      </w:rPr>
    </w:lvl>
    <w:lvl w:ilvl="6" w:tplc="4DC03CEE">
      <w:start w:val="1"/>
      <w:numFmt w:val="bullet"/>
      <w:lvlText w:val=""/>
      <w:lvlJc w:val="left"/>
      <w:pPr>
        <w:ind w:left="5040" w:hanging="360"/>
      </w:pPr>
      <w:rPr>
        <w:rFonts w:ascii="Symbol" w:hAnsi="Symbol" w:hint="default"/>
      </w:rPr>
    </w:lvl>
    <w:lvl w:ilvl="7" w:tplc="F69C7472">
      <w:start w:val="1"/>
      <w:numFmt w:val="bullet"/>
      <w:lvlText w:val="o"/>
      <w:lvlJc w:val="left"/>
      <w:pPr>
        <w:ind w:left="5760" w:hanging="360"/>
      </w:pPr>
      <w:rPr>
        <w:rFonts w:ascii="Courier New" w:hAnsi="Courier New" w:hint="default"/>
      </w:rPr>
    </w:lvl>
    <w:lvl w:ilvl="8" w:tplc="C65E82A8">
      <w:start w:val="1"/>
      <w:numFmt w:val="bullet"/>
      <w:lvlText w:val=""/>
      <w:lvlJc w:val="left"/>
      <w:pPr>
        <w:ind w:left="6480" w:hanging="360"/>
      </w:pPr>
      <w:rPr>
        <w:rFonts w:ascii="Wingdings" w:hAnsi="Wingdings" w:hint="default"/>
      </w:rPr>
    </w:lvl>
  </w:abstractNum>
  <w:abstractNum w:abstractNumId="16" w15:restartNumberingAfterBreak="0">
    <w:nsid w:val="5272A518"/>
    <w:multiLevelType w:val="hybridMultilevel"/>
    <w:tmpl w:val="B7FEFF2E"/>
    <w:lvl w:ilvl="0" w:tplc="544C611E">
      <w:start w:val="1"/>
      <w:numFmt w:val="decimal"/>
      <w:lvlText w:val="%1."/>
      <w:lvlJc w:val="left"/>
      <w:pPr>
        <w:ind w:left="720" w:hanging="360"/>
      </w:pPr>
    </w:lvl>
    <w:lvl w:ilvl="1" w:tplc="200EFDB2">
      <w:start w:val="1"/>
      <w:numFmt w:val="lowerLetter"/>
      <w:lvlText w:val="%2."/>
      <w:lvlJc w:val="left"/>
      <w:pPr>
        <w:ind w:left="1440" w:hanging="360"/>
      </w:pPr>
    </w:lvl>
    <w:lvl w:ilvl="2" w:tplc="4BCE9204">
      <w:start w:val="1"/>
      <w:numFmt w:val="lowerRoman"/>
      <w:lvlText w:val="%3."/>
      <w:lvlJc w:val="right"/>
      <w:pPr>
        <w:ind w:left="2160" w:hanging="180"/>
      </w:pPr>
    </w:lvl>
    <w:lvl w:ilvl="3" w:tplc="1368DD46">
      <w:start w:val="1"/>
      <w:numFmt w:val="decimal"/>
      <w:lvlText w:val="%4."/>
      <w:lvlJc w:val="left"/>
      <w:pPr>
        <w:ind w:left="2880" w:hanging="360"/>
      </w:pPr>
    </w:lvl>
    <w:lvl w:ilvl="4" w:tplc="5F689300">
      <w:start w:val="1"/>
      <w:numFmt w:val="lowerLetter"/>
      <w:lvlText w:val="%5."/>
      <w:lvlJc w:val="left"/>
      <w:pPr>
        <w:ind w:left="3600" w:hanging="360"/>
      </w:pPr>
    </w:lvl>
    <w:lvl w:ilvl="5" w:tplc="FDA8E49A">
      <w:start w:val="1"/>
      <w:numFmt w:val="lowerRoman"/>
      <w:lvlText w:val="%6."/>
      <w:lvlJc w:val="right"/>
      <w:pPr>
        <w:ind w:left="4320" w:hanging="180"/>
      </w:pPr>
    </w:lvl>
    <w:lvl w:ilvl="6" w:tplc="A2E6EF36">
      <w:start w:val="1"/>
      <w:numFmt w:val="decimal"/>
      <w:lvlText w:val="%7."/>
      <w:lvlJc w:val="left"/>
      <w:pPr>
        <w:ind w:left="5040" w:hanging="360"/>
      </w:pPr>
    </w:lvl>
    <w:lvl w:ilvl="7" w:tplc="9280CD5E">
      <w:start w:val="1"/>
      <w:numFmt w:val="lowerLetter"/>
      <w:lvlText w:val="%8."/>
      <w:lvlJc w:val="left"/>
      <w:pPr>
        <w:ind w:left="5760" w:hanging="360"/>
      </w:pPr>
    </w:lvl>
    <w:lvl w:ilvl="8" w:tplc="0EEA8DA2">
      <w:start w:val="1"/>
      <w:numFmt w:val="lowerRoman"/>
      <w:lvlText w:val="%9."/>
      <w:lvlJc w:val="right"/>
      <w:pPr>
        <w:ind w:left="6480" w:hanging="180"/>
      </w:pPr>
    </w:lvl>
  </w:abstractNum>
  <w:abstractNum w:abstractNumId="17" w15:restartNumberingAfterBreak="0">
    <w:nsid w:val="53B409FF"/>
    <w:multiLevelType w:val="hybridMultilevel"/>
    <w:tmpl w:val="297AB92C"/>
    <w:lvl w:ilvl="0" w:tplc="4FA4BF1E">
      <w:start w:val="1"/>
      <w:numFmt w:val="bullet"/>
      <w:lvlText w:val=""/>
      <w:lvlJc w:val="left"/>
      <w:pPr>
        <w:ind w:left="720" w:hanging="360"/>
      </w:pPr>
      <w:rPr>
        <w:rFonts w:ascii="Symbol" w:hAnsi="Symbol" w:hint="default"/>
      </w:rPr>
    </w:lvl>
    <w:lvl w:ilvl="1" w:tplc="7538609C">
      <w:start w:val="1"/>
      <w:numFmt w:val="bullet"/>
      <w:lvlText w:val="o"/>
      <w:lvlJc w:val="left"/>
      <w:pPr>
        <w:ind w:left="1440" w:hanging="360"/>
      </w:pPr>
      <w:rPr>
        <w:rFonts w:ascii="Courier New" w:hAnsi="Courier New" w:hint="default"/>
      </w:rPr>
    </w:lvl>
    <w:lvl w:ilvl="2" w:tplc="DEC82448">
      <w:start w:val="1"/>
      <w:numFmt w:val="bullet"/>
      <w:lvlText w:val=""/>
      <w:lvlJc w:val="left"/>
      <w:pPr>
        <w:ind w:left="2160" w:hanging="360"/>
      </w:pPr>
      <w:rPr>
        <w:rFonts w:ascii="Wingdings" w:hAnsi="Wingdings" w:hint="default"/>
      </w:rPr>
    </w:lvl>
    <w:lvl w:ilvl="3" w:tplc="2938CB06">
      <w:start w:val="1"/>
      <w:numFmt w:val="bullet"/>
      <w:lvlText w:val=""/>
      <w:lvlJc w:val="left"/>
      <w:pPr>
        <w:ind w:left="2880" w:hanging="360"/>
      </w:pPr>
      <w:rPr>
        <w:rFonts w:ascii="Symbol" w:hAnsi="Symbol" w:hint="default"/>
      </w:rPr>
    </w:lvl>
    <w:lvl w:ilvl="4" w:tplc="4054546C">
      <w:start w:val="1"/>
      <w:numFmt w:val="bullet"/>
      <w:lvlText w:val="o"/>
      <w:lvlJc w:val="left"/>
      <w:pPr>
        <w:ind w:left="3600" w:hanging="360"/>
      </w:pPr>
      <w:rPr>
        <w:rFonts w:ascii="Courier New" w:hAnsi="Courier New" w:hint="default"/>
      </w:rPr>
    </w:lvl>
    <w:lvl w:ilvl="5" w:tplc="3410C78C">
      <w:start w:val="1"/>
      <w:numFmt w:val="bullet"/>
      <w:lvlText w:val=""/>
      <w:lvlJc w:val="left"/>
      <w:pPr>
        <w:ind w:left="4320" w:hanging="360"/>
      </w:pPr>
      <w:rPr>
        <w:rFonts w:ascii="Wingdings" w:hAnsi="Wingdings" w:hint="default"/>
      </w:rPr>
    </w:lvl>
    <w:lvl w:ilvl="6" w:tplc="F72C0126">
      <w:start w:val="1"/>
      <w:numFmt w:val="bullet"/>
      <w:lvlText w:val=""/>
      <w:lvlJc w:val="left"/>
      <w:pPr>
        <w:ind w:left="5040" w:hanging="360"/>
      </w:pPr>
      <w:rPr>
        <w:rFonts w:ascii="Symbol" w:hAnsi="Symbol" w:hint="default"/>
      </w:rPr>
    </w:lvl>
    <w:lvl w:ilvl="7" w:tplc="7DA834E8">
      <w:start w:val="1"/>
      <w:numFmt w:val="bullet"/>
      <w:lvlText w:val="o"/>
      <w:lvlJc w:val="left"/>
      <w:pPr>
        <w:ind w:left="5760" w:hanging="360"/>
      </w:pPr>
      <w:rPr>
        <w:rFonts w:ascii="Courier New" w:hAnsi="Courier New" w:hint="default"/>
      </w:rPr>
    </w:lvl>
    <w:lvl w:ilvl="8" w:tplc="0E66D89A">
      <w:start w:val="1"/>
      <w:numFmt w:val="bullet"/>
      <w:lvlText w:val=""/>
      <w:lvlJc w:val="left"/>
      <w:pPr>
        <w:ind w:left="6480" w:hanging="360"/>
      </w:pPr>
      <w:rPr>
        <w:rFonts w:ascii="Wingdings" w:hAnsi="Wingdings" w:hint="default"/>
      </w:rPr>
    </w:lvl>
  </w:abstractNum>
  <w:abstractNum w:abstractNumId="18" w15:restartNumberingAfterBreak="0">
    <w:nsid w:val="588BBCE2"/>
    <w:multiLevelType w:val="hybridMultilevel"/>
    <w:tmpl w:val="AB542040"/>
    <w:lvl w:ilvl="0" w:tplc="A9F4A608">
      <w:start w:val="1"/>
      <w:numFmt w:val="bullet"/>
      <w:lvlText w:val=""/>
      <w:lvlJc w:val="left"/>
      <w:pPr>
        <w:ind w:left="720" w:hanging="360"/>
      </w:pPr>
      <w:rPr>
        <w:rFonts w:ascii="Symbol" w:hAnsi="Symbol" w:hint="default"/>
      </w:rPr>
    </w:lvl>
    <w:lvl w:ilvl="1" w:tplc="F59E4A20">
      <w:start w:val="1"/>
      <w:numFmt w:val="bullet"/>
      <w:lvlText w:val="o"/>
      <w:lvlJc w:val="left"/>
      <w:pPr>
        <w:ind w:left="1440" w:hanging="360"/>
      </w:pPr>
      <w:rPr>
        <w:rFonts w:ascii="Courier New" w:hAnsi="Courier New" w:hint="default"/>
      </w:rPr>
    </w:lvl>
    <w:lvl w:ilvl="2" w:tplc="0644DEBC">
      <w:start w:val="1"/>
      <w:numFmt w:val="bullet"/>
      <w:lvlText w:val=""/>
      <w:lvlJc w:val="left"/>
      <w:pPr>
        <w:ind w:left="2160" w:hanging="360"/>
      </w:pPr>
      <w:rPr>
        <w:rFonts w:ascii="Wingdings" w:hAnsi="Wingdings" w:hint="default"/>
      </w:rPr>
    </w:lvl>
    <w:lvl w:ilvl="3" w:tplc="6E006DF6">
      <w:start w:val="1"/>
      <w:numFmt w:val="bullet"/>
      <w:lvlText w:val=""/>
      <w:lvlJc w:val="left"/>
      <w:pPr>
        <w:ind w:left="2880" w:hanging="360"/>
      </w:pPr>
      <w:rPr>
        <w:rFonts w:ascii="Symbol" w:hAnsi="Symbol" w:hint="default"/>
      </w:rPr>
    </w:lvl>
    <w:lvl w:ilvl="4" w:tplc="1806250C">
      <w:start w:val="1"/>
      <w:numFmt w:val="bullet"/>
      <w:lvlText w:val="o"/>
      <w:lvlJc w:val="left"/>
      <w:pPr>
        <w:ind w:left="3600" w:hanging="360"/>
      </w:pPr>
      <w:rPr>
        <w:rFonts w:ascii="Courier New" w:hAnsi="Courier New" w:hint="default"/>
      </w:rPr>
    </w:lvl>
    <w:lvl w:ilvl="5" w:tplc="A4D2886C">
      <w:start w:val="1"/>
      <w:numFmt w:val="bullet"/>
      <w:lvlText w:val=""/>
      <w:lvlJc w:val="left"/>
      <w:pPr>
        <w:ind w:left="4320" w:hanging="360"/>
      </w:pPr>
      <w:rPr>
        <w:rFonts w:ascii="Wingdings" w:hAnsi="Wingdings" w:hint="default"/>
      </w:rPr>
    </w:lvl>
    <w:lvl w:ilvl="6" w:tplc="F95E2500">
      <w:start w:val="1"/>
      <w:numFmt w:val="bullet"/>
      <w:lvlText w:val=""/>
      <w:lvlJc w:val="left"/>
      <w:pPr>
        <w:ind w:left="5040" w:hanging="360"/>
      </w:pPr>
      <w:rPr>
        <w:rFonts w:ascii="Symbol" w:hAnsi="Symbol" w:hint="default"/>
      </w:rPr>
    </w:lvl>
    <w:lvl w:ilvl="7" w:tplc="E3442AA2">
      <w:start w:val="1"/>
      <w:numFmt w:val="bullet"/>
      <w:lvlText w:val="o"/>
      <w:lvlJc w:val="left"/>
      <w:pPr>
        <w:ind w:left="5760" w:hanging="360"/>
      </w:pPr>
      <w:rPr>
        <w:rFonts w:ascii="Courier New" w:hAnsi="Courier New" w:hint="default"/>
      </w:rPr>
    </w:lvl>
    <w:lvl w:ilvl="8" w:tplc="F81261AE">
      <w:start w:val="1"/>
      <w:numFmt w:val="bullet"/>
      <w:lvlText w:val=""/>
      <w:lvlJc w:val="left"/>
      <w:pPr>
        <w:ind w:left="6480" w:hanging="360"/>
      </w:pPr>
      <w:rPr>
        <w:rFonts w:ascii="Wingdings" w:hAnsi="Wingdings" w:hint="default"/>
      </w:rPr>
    </w:lvl>
  </w:abstractNum>
  <w:abstractNum w:abstractNumId="19" w15:restartNumberingAfterBreak="0">
    <w:nsid w:val="5E2BB8B6"/>
    <w:multiLevelType w:val="hybridMultilevel"/>
    <w:tmpl w:val="F2BA5990"/>
    <w:lvl w:ilvl="0" w:tplc="7F2416FC">
      <w:start w:val="1"/>
      <w:numFmt w:val="decimal"/>
      <w:lvlText w:val="%1."/>
      <w:lvlJc w:val="left"/>
      <w:pPr>
        <w:ind w:left="720" w:hanging="360"/>
      </w:pPr>
    </w:lvl>
    <w:lvl w:ilvl="1" w:tplc="1D965F9E">
      <w:start w:val="1"/>
      <w:numFmt w:val="lowerLetter"/>
      <w:lvlText w:val="%2."/>
      <w:lvlJc w:val="left"/>
      <w:pPr>
        <w:ind w:left="1440" w:hanging="360"/>
      </w:pPr>
    </w:lvl>
    <w:lvl w:ilvl="2" w:tplc="928C8DA4">
      <w:start w:val="1"/>
      <w:numFmt w:val="lowerRoman"/>
      <w:lvlText w:val="%3."/>
      <w:lvlJc w:val="right"/>
      <w:pPr>
        <w:ind w:left="2160" w:hanging="180"/>
      </w:pPr>
    </w:lvl>
    <w:lvl w:ilvl="3" w:tplc="300A7324">
      <w:start w:val="1"/>
      <w:numFmt w:val="decimal"/>
      <w:lvlText w:val="%4."/>
      <w:lvlJc w:val="left"/>
      <w:pPr>
        <w:ind w:left="2880" w:hanging="360"/>
      </w:pPr>
    </w:lvl>
    <w:lvl w:ilvl="4" w:tplc="87FA02CC">
      <w:start w:val="1"/>
      <w:numFmt w:val="lowerLetter"/>
      <w:lvlText w:val="%5."/>
      <w:lvlJc w:val="left"/>
      <w:pPr>
        <w:ind w:left="3600" w:hanging="360"/>
      </w:pPr>
    </w:lvl>
    <w:lvl w:ilvl="5" w:tplc="870E8F18">
      <w:start w:val="1"/>
      <w:numFmt w:val="lowerRoman"/>
      <w:lvlText w:val="%6."/>
      <w:lvlJc w:val="right"/>
      <w:pPr>
        <w:ind w:left="4320" w:hanging="180"/>
      </w:pPr>
    </w:lvl>
    <w:lvl w:ilvl="6" w:tplc="392808EC">
      <w:start w:val="1"/>
      <w:numFmt w:val="decimal"/>
      <w:lvlText w:val="%7."/>
      <w:lvlJc w:val="left"/>
      <w:pPr>
        <w:ind w:left="5040" w:hanging="360"/>
      </w:pPr>
    </w:lvl>
    <w:lvl w:ilvl="7" w:tplc="8B9AFAAC">
      <w:start w:val="1"/>
      <w:numFmt w:val="lowerLetter"/>
      <w:lvlText w:val="%8."/>
      <w:lvlJc w:val="left"/>
      <w:pPr>
        <w:ind w:left="5760" w:hanging="360"/>
      </w:pPr>
    </w:lvl>
    <w:lvl w:ilvl="8" w:tplc="2020EEEC">
      <w:start w:val="1"/>
      <w:numFmt w:val="lowerRoman"/>
      <w:lvlText w:val="%9."/>
      <w:lvlJc w:val="right"/>
      <w:pPr>
        <w:ind w:left="6480" w:hanging="180"/>
      </w:pPr>
    </w:lvl>
  </w:abstractNum>
  <w:abstractNum w:abstractNumId="20" w15:restartNumberingAfterBreak="0">
    <w:nsid w:val="64F30832"/>
    <w:multiLevelType w:val="hybridMultilevel"/>
    <w:tmpl w:val="59347C22"/>
    <w:lvl w:ilvl="0" w:tplc="BF0E1A5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6A7B3DE5"/>
    <w:multiLevelType w:val="hybridMultilevel"/>
    <w:tmpl w:val="6590BE22"/>
    <w:lvl w:ilvl="0" w:tplc="CCB24E00">
      <w:start w:val="1"/>
      <w:numFmt w:val="lowerLetter"/>
      <w:lvlText w:val="%1)"/>
      <w:lvlJc w:val="left"/>
      <w:pPr>
        <w:ind w:left="720" w:hanging="360"/>
      </w:pPr>
    </w:lvl>
    <w:lvl w:ilvl="1" w:tplc="EECA4F54">
      <w:start w:val="1"/>
      <w:numFmt w:val="lowerLetter"/>
      <w:lvlText w:val="%2."/>
      <w:lvlJc w:val="left"/>
      <w:pPr>
        <w:ind w:left="1440" w:hanging="360"/>
      </w:pPr>
    </w:lvl>
    <w:lvl w:ilvl="2" w:tplc="B7887824">
      <w:start w:val="1"/>
      <w:numFmt w:val="lowerRoman"/>
      <w:lvlText w:val="%3."/>
      <w:lvlJc w:val="right"/>
      <w:pPr>
        <w:ind w:left="2160" w:hanging="180"/>
      </w:pPr>
    </w:lvl>
    <w:lvl w:ilvl="3" w:tplc="768AFBBA">
      <w:start w:val="1"/>
      <w:numFmt w:val="decimal"/>
      <w:lvlText w:val="%4."/>
      <w:lvlJc w:val="left"/>
      <w:pPr>
        <w:ind w:left="2880" w:hanging="360"/>
      </w:pPr>
    </w:lvl>
    <w:lvl w:ilvl="4" w:tplc="944A6528">
      <w:start w:val="1"/>
      <w:numFmt w:val="lowerLetter"/>
      <w:lvlText w:val="%5."/>
      <w:lvlJc w:val="left"/>
      <w:pPr>
        <w:ind w:left="3600" w:hanging="360"/>
      </w:pPr>
    </w:lvl>
    <w:lvl w:ilvl="5" w:tplc="3A202DB4">
      <w:start w:val="1"/>
      <w:numFmt w:val="lowerRoman"/>
      <w:lvlText w:val="%6."/>
      <w:lvlJc w:val="right"/>
      <w:pPr>
        <w:ind w:left="4320" w:hanging="180"/>
      </w:pPr>
    </w:lvl>
    <w:lvl w:ilvl="6" w:tplc="AFEEC370">
      <w:start w:val="1"/>
      <w:numFmt w:val="decimal"/>
      <w:lvlText w:val="%7."/>
      <w:lvlJc w:val="left"/>
      <w:pPr>
        <w:ind w:left="5040" w:hanging="360"/>
      </w:pPr>
    </w:lvl>
    <w:lvl w:ilvl="7" w:tplc="1846950A">
      <w:start w:val="1"/>
      <w:numFmt w:val="lowerLetter"/>
      <w:lvlText w:val="%8."/>
      <w:lvlJc w:val="left"/>
      <w:pPr>
        <w:ind w:left="5760" w:hanging="360"/>
      </w:pPr>
    </w:lvl>
    <w:lvl w:ilvl="8" w:tplc="29E45B56">
      <w:start w:val="1"/>
      <w:numFmt w:val="lowerRoman"/>
      <w:lvlText w:val="%9."/>
      <w:lvlJc w:val="right"/>
      <w:pPr>
        <w:ind w:left="6480" w:hanging="180"/>
      </w:pPr>
    </w:lvl>
  </w:abstractNum>
  <w:abstractNum w:abstractNumId="22" w15:restartNumberingAfterBreak="0">
    <w:nsid w:val="7279DD70"/>
    <w:multiLevelType w:val="hybridMultilevel"/>
    <w:tmpl w:val="995E22E6"/>
    <w:lvl w:ilvl="0" w:tplc="2506C02E">
      <w:start w:val="1"/>
      <w:numFmt w:val="decimal"/>
      <w:lvlText w:val="%1."/>
      <w:lvlJc w:val="left"/>
      <w:pPr>
        <w:ind w:left="720" w:hanging="360"/>
      </w:pPr>
    </w:lvl>
    <w:lvl w:ilvl="1" w:tplc="40927AC0">
      <w:start w:val="1"/>
      <w:numFmt w:val="lowerLetter"/>
      <w:lvlText w:val="%2."/>
      <w:lvlJc w:val="left"/>
      <w:pPr>
        <w:ind w:left="1440" w:hanging="360"/>
      </w:pPr>
    </w:lvl>
    <w:lvl w:ilvl="2" w:tplc="B53E8A86">
      <w:start w:val="1"/>
      <w:numFmt w:val="lowerRoman"/>
      <w:lvlText w:val="%3."/>
      <w:lvlJc w:val="right"/>
      <w:pPr>
        <w:ind w:left="2160" w:hanging="180"/>
      </w:pPr>
    </w:lvl>
    <w:lvl w:ilvl="3" w:tplc="E1D6623A">
      <w:start w:val="1"/>
      <w:numFmt w:val="decimal"/>
      <w:lvlText w:val="%4."/>
      <w:lvlJc w:val="left"/>
      <w:pPr>
        <w:ind w:left="2880" w:hanging="360"/>
      </w:pPr>
    </w:lvl>
    <w:lvl w:ilvl="4" w:tplc="D1AAFB3E">
      <w:start w:val="1"/>
      <w:numFmt w:val="lowerLetter"/>
      <w:lvlText w:val="%5."/>
      <w:lvlJc w:val="left"/>
      <w:pPr>
        <w:ind w:left="3600" w:hanging="360"/>
      </w:pPr>
    </w:lvl>
    <w:lvl w:ilvl="5" w:tplc="141CF74A">
      <w:start w:val="1"/>
      <w:numFmt w:val="lowerRoman"/>
      <w:lvlText w:val="%6."/>
      <w:lvlJc w:val="right"/>
      <w:pPr>
        <w:ind w:left="4320" w:hanging="180"/>
      </w:pPr>
    </w:lvl>
    <w:lvl w:ilvl="6" w:tplc="8864D172">
      <w:start w:val="1"/>
      <w:numFmt w:val="decimal"/>
      <w:lvlText w:val="%7."/>
      <w:lvlJc w:val="left"/>
      <w:pPr>
        <w:ind w:left="5040" w:hanging="360"/>
      </w:pPr>
    </w:lvl>
    <w:lvl w:ilvl="7" w:tplc="AECAFDAC">
      <w:start w:val="1"/>
      <w:numFmt w:val="lowerLetter"/>
      <w:lvlText w:val="%8."/>
      <w:lvlJc w:val="left"/>
      <w:pPr>
        <w:ind w:left="5760" w:hanging="360"/>
      </w:pPr>
    </w:lvl>
    <w:lvl w:ilvl="8" w:tplc="402C5490">
      <w:start w:val="1"/>
      <w:numFmt w:val="lowerRoman"/>
      <w:lvlText w:val="%9."/>
      <w:lvlJc w:val="right"/>
      <w:pPr>
        <w:ind w:left="6480" w:hanging="180"/>
      </w:pPr>
    </w:lvl>
  </w:abstractNum>
  <w:abstractNum w:abstractNumId="23" w15:restartNumberingAfterBreak="0">
    <w:nsid w:val="7DAC4526"/>
    <w:multiLevelType w:val="hybridMultilevel"/>
    <w:tmpl w:val="9D44D34A"/>
    <w:lvl w:ilvl="0" w:tplc="4898560C">
      <w:start w:val="1"/>
      <w:numFmt w:val="lowerLetter"/>
      <w:lvlText w:val="(%1)"/>
      <w:lvlJc w:val="left"/>
      <w:pPr>
        <w:ind w:left="720" w:hanging="360"/>
      </w:pPr>
    </w:lvl>
    <w:lvl w:ilvl="1" w:tplc="5C44F5AC">
      <w:start w:val="1"/>
      <w:numFmt w:val="lowerLetter"/>
      <w:lvlText w:val="%2."/>
      <w:lvlJc w:val="left"/>
      <w:pPr>
        <w:ind w:left="1440" w:hanging="360"/>
      </w:pPr>
    </w:lvl>
    <w:lvl w:ilvl="2" w:tplc="54BE6F5A">
      <w:start w:val="1"/>
      <w:numFmt w:val="lowerRoman"/>
      <w:lvlText w:val="%3."/>
      <w:lvlJc w:val="right"/>
      <w:pPr>
        <w:ind w:left="2160" w:hanging="180"/>
      </w:pPr>
    </w:lvl>
    <w:lvl w:ilvl="3" w:tplc="4D1692F8">
      <w:start w:val="1"/>
      <w:numFmt w:val="decimal"/>
      <w:lvlText w:val="%4."/>
      <w:lvlJc w:val="left"/>
      <w:pPr>
        <w:ind w:left="2880" w:hanging="360"/>
      </w:pPr>
    </w:lvl>
    <w:lvl w:ilvl="4" w:tplc="B668371C">
      <w:start w:val="1"/>
      <w:numFmt w:val="lowerLetter"/>
      <w:lvlText w:val="%5."/>
      <w:lvlJc w:val="left"/>
      <w:pPr>
        <w:ind w:left="3600" w:hanging="360"/>
      </w:pPr>
    </w:lvl>
    <w:lvl w:ilvl="5" w:tplc="BCBC2BF4">
      <w:start w:val="1"/>
      <w:numFmt w:val="lowerRoman"/>
      <w:lvlText w:val="%6."/>
      <w:lvlJc w:val="right"/>
      <w:pPr>
        <w:ind w:left="4320" w:hanging="180"/>
      </w:pPr>
    </w:lvl>
    <w:lvl w:ilvl="6" w:tplc="8F3EE382">
      <w:start w:val="1"/>
      <w:numFmt w:val="decimal"/>
      <w:lvlText w:val="%7."/>
      <w:lvlJc w:val="left"/>
      <w:pPr>
        <w:ind w:left="5040" w:hanging="360"/>
      </w:pPr>
    </w:lvl>
    <w:lvl w:ilvl="7" w:tplc="9A2878F8">
      <w:start w:val="1"/>
      <w:numFmt w:val="lowerLetter"/>
      <w:lvlText w:val="%8."/>
      <w:lvlJc w:val="left"/>
      <w:pPr>
        <w:ind w:left="5760" w:hanging="360"/>
      </w:pPr>
    </w:lvl>
    <w:lvl w:ilvl="8" w:tplc="28DE3C8A">
      <w:start w:val="1"/>
      <w:numFmt w:val="lowerRoman"/>
      <w:lvlText w:val="%9."/>
      <w:lvlJc w:val="right"/>
      <w:pPr>
        <w:ind w:left="6480" w:hanging="180"/>
      </w:pPr>
    </w:lvl>
  </w:abstractNum>
  <w:num w:numId="1" w16cid:durableId="1193304600">
    <w:abstractNumId w:val="1"/>
  </w:num>
  <w:num w:numId="2" w16cid:durableId="1321735254">
    <w:abstractNumId w:val="0"/>
  </w:num>
  <w:num w:numId="3" w16cid:durableId="1351644584">
    <w:abstractNumId w:val="23"/>
  </w:num>
  <w:num w:numId="4" w16cid:durableId="1366246336">
    <w:abstractNumId w:val="21"/>
  </w:num>
  <w:num w:numId="5" w16cid:durableId="791169517">
    <w:abstractNumId w:val="19"/>
  </w:num>
  <w:num w:numId="6" w16cid:durableId="69736209">
    <w:abstractNumId w:val="13"/>
  </w:num>
  <w:num w:numId="7" w16cid:durableId="1503348484">
    <w:abstractNumId w:val="4"/>
  </w:num>
  <w:num w:numId="8" w16cid:durableId="2082948649">
    <w:abstractNumId w:val="16"/>
  </w:num>
  <w:num w:numId="9" w16cid:durableId="1328749052">
    <w:abstractNumId w:val="2"/>
  </w:num>
  <w:num w:numId="10" w16cid:durableId="1660621511">
    <w:abstractNumId w:val="6"/>
  </w:num>
  <w:num w:numId="11" w16cid:durableId="1212112132">
    <w:abstractNumId w:val="22"/>
  </w:num>
  <w:num w:numId="12" w16cid:durableId="1818641947">
    <w:abstractNumId w:val="17"/>
  </w:num>
  <w:num w:numId="13" w16cid:durableId="354968533">
    <w:abstractNumId w:val="5"/>
  </w:num>
  <w:num w:numId="14" w16cid:durableId="259679566">
    <w:abstractNumId w:val="10"/>
  </w:num>
  <w:num w:numId="15" w16cid:durableId="1360007652">
    <w:abstractNumId w:val="7"/>
  </w:num>
  <w:num w:numId="16" w16cid:durableId="375012732">
    <w:abstractNumId w:val="14"/>
  </w:num>
  <w:num w:numId="17" w16cid:durableId="323628048">
    <w:abstractNumId w:val="3"/>
  </w:num>
  <w:num w:numId="18" w16cid:durableId="850945935">
    <w:abstractNumId w:val="9"/>
  </w:num>
  <w:num w:numId="19" w16cid:durableId="1759406979">
    <w:abstractNumId w:val="18"/>
  </w:num>
  <w:num w:numId="20" w16cid:durableId="282468335">
    <w:abstractNumId w:val="15"/>
  </w:num>
  <w:num w:numId="21" w16cid:durableId="473571865">
    <w:abstractNumId w:val="11"/>
  </w:num>
  <w:num w:numId="22" w16cid:durableId="241139604">
    <w:abstractNumId w:val="8"/>
  </w:num>
  <w:num w:numId="23" w16cid:durableId="464548283">
    <w:abstractNumId w:val="20"/>
  </w:num>
  <w:num w:numId="24" w16cid:durableId="57817917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DF93422"/>
    <w:rsid w:val="000D065E"/>
    <w:rsid w:val="001B1A3F"/>
    <w:rsid w:val="00234A5A"/>
    <w:rsid w:val="003325BE"/>
    <w:rsid w:val="006029D6"/>
    <w:rsid w:val="00666910"/>
    <w:rsid w:val="0066762F"/>
    <w:rsid w:val="048F4055"/>
    <w:rsid w:val="05A09CDC"/>
    <w:rsid w:val="068D6DA8"/>
    <w:rsid w:val="0859A003"/>
    <w:rsid w:val="0E423511"/>
    <w:rsid w:val="0EA9B28C"/>
    <w:rsid w:val="117DDD51"/>
    <w:rsid w:val="11C7E62C"/>
    <w:rsid w:val="11FC564B"/>
    <w:rsid w:val="15DBEF1E"/>
    <w:rsid w:val="17317061"/>
    <w:rsid w:val="173AFC83"/>
    <w:rsid w:val="175A1296"/>
    <w:rsid w:val="18E86522"/>
    <w:rsid w:val="1912C114"/>
    <w:rsid w:val="1BCD9926"/>
    <w:rsid w:val="1BDE1FFE"/>
    <w:rsid w:val="1C329B14"/>
    <w:rsid w:val="210401B7"/>
    <w:rsid w:val="2471A5F8"/>
    <w:rsid w:val="255E7A2D"/>
    <w:rsid w:val="2646A207"/>
    <w:rsid w:val="27A62291"/>
    <w:rsid w:val="2A5471BB"/>
    <w:rsid w:val="2B787AFE"/>
    <w:rsid w:val="2DFF68FC"/>
    <w:rsid w:val="31AD764A"/>
    <w:rsid w:val="33468BCD"/>
    <w:rsid w:val="36498F2A"/>
    <w:rsid w:val="36AD506C"/>
    <w:rsid w:val="3A21C3F8"/>
    <w:rsid w:val="4006685F"/>
    <w:rsid w:val="41A741BB"/>
    <w:rsid w:val="4251EEBE"/>
    <w:rsid w:val="460030E6"/>
    <w:rsid w:val="4C6DC9F3"/>
    <w:rsid w:val="4DF93422"/>
    <w:rsid w:val="4FC5B64A"/>
    <w:rsid w:val="52B15E35"/>
    <w:rsid w:val="5448CCE0"/>
    <w:rsid w:val="54B62C2C"/>
    <w:rsid w:val="5B7E1201"/>
    <w:rsid w:val="5BD71132"/>
    <w:rsid w:val="5BDF101A"/>
    <w:rsid w:val="5F2AEB4C"/>
    <w:rsid w:val="61C80BA4"/>
    <w:rsid w:val="626A9360"/>
    <w:rsid w:val="63D06749"/>
    <w:rsid w:val="65A9DDEB"/>
    <w:rsid w:val="665D76B7"/>
    <w:rsid w:val="67AAC5F8"/>
    <w:rsid w:val="6A0EF5FB"/>
    <w:rsid w:val="6BB95806"/>
    <w:rsid w:val="6BC02CF0"/>
    <w:rsid w:val="6D107BD9"/>
    <w:rsid w:val="7131E22B"/>
    <w:rsid w:val="754F0335"/>
    <w:rsid w:val="7665FA69"/>
    <w:rsid w:val="7918D998"/>
    <w:rsid w:val="79790948"/>
    <w:rsid w:val="7E52A3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686DA"/>
  <w15:chartTrackingRefBased/>
  <w15:docId w15:val="{688398EA-B886-4D77-9A65-7EF0B615FF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EA9B2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0EA9B2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0EA9B28C"/>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EA9B28C"/>
    <w:rPr>
      <w:color w:val="467886"/>
      <w:u w:val="single"/>
    </w:rPr>
  </w:style>
  <w:style w:type="paragraph" w:styleId="ListParagraph">
    <w:name w:val="List Paragraph"/>
    <w:basedOn w:val="Normal"/>
    <w:uiPriority w:val="34"/>
    <w:qFormat/>
    <w:rsid w:val="0EA9B28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37/diabetes.54.suppl_2.S97" TargetMode="External"/><Relationship Id="rId13" Type="http://schemas.openxmlformats.org/officeDocument/2006/relationships/hyperlink" Target="https://www.diabetes.org.uk/about-diabetes/looking-after-diabetes/complications" TargetMode="External"/><Relationship Id="rId18" Type="http://schemas.openxmlformats.org/officeDocument/2006/relationships/hyperlink" Target="https://www.ahajournals.org/doi/pdf/10.1161/CIRCULATIONAHA.115.018845" TargetMode="External"/><Relationship Id="rId3" Type="http://schemas.openxmlformats.org/officeDocument/2006/relationships/settings" Target="settings.xml"/><Relationship Id="rId21" Type="http://schemas.openxmlformats.org/officeDocument/2006/relationships/hyperlink" Target="https://doi.org/10.1177/193229681300700225" TargetMode="External"/><Relationship Id="rId7" Type="http://schemas.openxmlformats.org/officeDocument/2006/relationships/hyperlink" Target="https://doi.org/10.1093/sleep/33.5.585" TargetMode="External"/><Relationship Id="rId12" Type="http://schemas.openxmlformats.org/officeDocument/2006/relationships/hyperlink" Target="https://www.diabetes.org.uk/about-diabetes/type-2-diabetes/diabetes-risk-factors" TargetMode="External"/><Relationship Id="rId17" Type="http://schemas.openxmlformats.org/officeDocument/2006/relationships/hyperlink" Target="http://citeseerx.ist.psu.edu/viewdoc/download?doi=10.1.1.889.1296&amp;rep=rep1&amp;type=pdf" TargetMode="External"/><Relationship Id="rId2" Type="http://schemas.openxmlformats.org/officeDocument/2006/relationships/styles" Target="styles.xml"/><Relationship Id="rId16" Type="http://schemas.openxmlformats.org/officeDocument/2006/relationships/hyperlink" Target="https://doi.org/10.1016/j.lfs.2013.09.018" TargetMode="External"/><Relationship Id="rId20" Type="http://schemas.openxmlformats.org/officeDocument/2006/relationships/hyperlink" Target="https://doi.org/10.2147/DMSOTT.S7354" TargetMode="External"/><Relationship Id="rId1" Type="http://schemas.openxmlformats.org/officeDocument/2006/relationships/numbering" Target="numbering.xml"/><Relationship Id="rId6" Type="http://schemas.openxmlformats.org/officeDocument/2006/relationships/hyperlink" Target="https://doi.org/10.3109/03009734.2016.1156789" TargetMode="External"/><Relationship Id="rId11" Type="http://schemas.openxmlformats.org/officeDocument/2006/relationships/hyperlink" Target="https://doi.org/10.1016/S0140-6736(09)61457-4" TargetMode="External"/><Relationship Id="rId24" Type="http://schemas.openxmlformats.org/officeDocument/2006/relationships/theme" Target="theme/theme1.xml"/><Relationship Id="rId5" Type="http://schemas.openxmlformats.org/officeDocument/2006/relationships/hyperlink" Target="https://doi.org/10.1016/j.bpobgyn.2013.02.007" TargetMode="External"/><Relationship Id="rId15" Type="http://schemas.openxmlformats.org/officeDocument/2006/relationships/hyperlink" Target="https://doi.org/10.1111/j.1463-1326.2009.01098.x" TargetMode="External"/><Relationship Id="rId23" Type="http://schemas.openxmlformats.org/officeDocument/2006/relationships/fontTable" Target="fontTable.xml"/><Relationship Id="rId10" Type="http://schemas.openxmlformats.org/officeDocument/2006/relationships/hyperlink" Target="https://doi.org/10.1111/1753-0407.12030" TargetMode="External"/><Relationship Id="rId19" Type="http://schemas.openxmlformats.org/officeDocument/2006/relationships/hyperlink" Target="https://doi.org/10.1111/j.1365-2796.2005.01545.x" TargetMode="External"/><Relationship Id="rId4" Type="http://schemas.openxmlformats.org/officeDocument/2006/relationships/webSettings" Target="webSettings.xml"/><Relationship Id="rId9" Type="http://schemas.openxmlformats.org/officeDocument/2006/relationships/hyperlink" Target="https://doi.org/10.1007/s00125-020-05334-x" TargetMode="External"/><Relationship Id="rId14" Type="http://schemas.openxmlformats.org/officeDocument/2006/relationships/hyperlink" Target="https://doi.org/10.1038/nrendo.2017.64" TargetMode="External"/><Relationship Id="rId22" Type="http://schemas.openxmlformats.org/officeDocument/2006/relationships/hyperlink" Target="https://doi.org/10.1136/bmjopen-2019-0348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13</Pages>
  <Words>3291</Words>
  <Characters>18765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Jobz Workz</dc:creator>
  <cp:keywords/>
  <dc:description/>
  <cp:lastModifiedBy>Naomi Lubanza Kihani (2424519)</cp:lastModifiedBy>
  <cp:revision>2</cp:revision>
  <dcterms:created xsi:type="dcterms:W3CDTF">2026-02-22T19:37:00Z</dcterms:created>
  <dcterms:modified xsi:type="dcterms:W3CDTF">2026-02-22T19:37:00Z</dcterms:modified>
</cp:coreProperties>
</file>