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580DD3" w14:textId="77777777" w:rsidR="00BE787F" w:rsidRDefault="00BE787F" w:rsidP="00BE787F">
      <w:pPr>
        <w:pStyle w:val="NormalWeb"/>
        <w:spacing w:before="0" w:beforeAutospacing="0" w:after="0" w:afterAutospacing="0"/>
        <w:ind w:left="-180" w:right="-334"/>
      </w:pPr>
      <w:r>
        <w:rPr>
          <w:noProof/>
        </w:rPr>
        <w:drawing>
          <wp:inline distT="0" distB="0" distL="0" distR="0" wp14:anchorId="22501664" wp14:editId="7577CB19">
            <wp:extent cx="1905000" cy="638175"/>
            <wp:effectExtent l="19050" t="19050" r="19050" b="28575"/>
            <wp:docPr id="5" name="Picture 5"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33170E34" w14:textId="77777777" w:rsidR="00BE787F" w:rsidRDefault="00BE787F" w:rsidP="00BE787F">
      <w:pPr>
        <w:pStyle w:val="NormalWeb"/>
        <w:spacing w:before="0" w:beforeAutospacing="0" w:after="0" w:afterAutospacing="0"/>
        <w:ind w:left="-180" w:right="-334"/>
      </w:pPr>
    </w:p>
    <w:p w14:paraId="16889D5C" w14:textId="77777777" w:rsidR="00BE787F" w:rsidRDefault="00BE787F" w:rsidP="00BE787F">
      <w:pPr>
        <w:pStyle w:val="NormalWeb"/>
        <w:spacing w:before="0" w:beforeAutospacing="0" w:after="0" w:afterAutospacing="0"/>
        <w:ind w:left="-180" w:right="-334"/>
      </w:pPr>
    </w:p>
    <w:p w14:paraId="12099C4E" w14:textId="77777777" w:rsidR="00BE787F" w:rsidRDefault="00BE787F" w:rsidP="00BE787F">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15BE1390" w14:textId="77777777" w:rsidR="00BE787F" w:rsidRPr="00230F35" w:rsidRDefault="00BE787F" w:rsidP="00BE787F">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80129C5" w14:textId="77777777" w:rsidR="00BE787F" w:rsidRPr="00230F35" w:rsidRDefault="00BE787F" w:rsidP="00BE787F">
      <w:pPr>
        <w:rPr>
          <w:rFonts w:ascii="Arial" w:hAnsi="Arial" w:cs="Arial"/>
          <w:sz w:val="28"/>
          <w:szCs w:val="28"/>
          <w:lang w:val="cy-GB"/>
        </w:rPr>
      </w:pPr>
    </w:p>
    <w:p w14:paraId="1FAC35B9" w14:textId="77777777" w:rsidR="00BE787F" w:rsidRDefault="00BE787F" w:rsidP="00BE787F">
      <w:pPr>
        <w:pStyle w:val="Heading3"/>
        <w:jc w:val="center"/>
        <w:rPr>
          <w:lang w:val="cy-GB"/>
        </w:rPr>
      </w:pPr>
      <w:r>
        <w:rPr>
          <w:lang w:val="cy-GB"/>
        </w:rPr>
        <w:t>THIS SHEET MUST BE THE FIRST PAGE OF THE ASSIGNMENT YOU ARE SUBMITTING  (DO NOT SEND AS A SEPARATE FILE)</w:t>
      </w:r>
    </w:p>
    <w:p w14:paraId="2C95B4CD" w14:textId="77777777" w:rsidR="00BE787F" w:rsidRDefault="00BE787F" w:rsidP="00BE787F">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BE787F" w:rsidRPr="00230F35" w14:paraId="454669E4" w14:textId="77777777" w:rsidTr="00F24345">
        <w:trPr>
          <w:trHeight w:val="614"/>
        </w:trPr>
        <w:tc>
          <w:tcPr>
            <w:tcW w:w="8856" w:type="dxa"/>
            <w:gridSpan w:val="5"/>
          </w:tcPr>
          <w:p w14:paraId="0645F7F7" w14:textId="77777777" w:rsidR="00BE787F" w:rsidRPr="00230F35" w:rsidRDefault="00BE787F" w:rsidP="00F24345">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BE787F" w:rsidRPr="00230F35" w14:paraId="002D7D03" w14:textId="77777777" w:rsidTr="00F24345">
        <w:trPr>
          <w:trHeight w:val="718"/>
        </w:trPr>
        <w:tc>
          <w:tcPr>
            <w:tcW w:w="8856" w:type="dxa"/>
            <w:gridSpan w:val="5"/>
          </w:tcPr>
          <w:p w14:paraId="39591B48" w14:textId="77777777" w:rsidR="00BE787F" w:rsidRDefault="00BE787F" w:rsidP="00F2434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Anne Louise Day-Jones</w:t>
            </w:r>
          </w:p>
          <w:p w14:paraId="2A786FA0" w14:textId="77777777" w:rsidR="00BE787F" w:rsidRPr="00230F35" w:rsidRDefault="00BE787F" w:rsidP="00F24345">
            <w:pPr>
              <w:pStyle w:val="NormalWeb"/>
              <w:spacing w:before="0" w:beforeAutospacing="0" w:after="0" w:afterAutospacing="0"/>
              <w:ind w:right="34"/>
              <w:rPr>
                <w:rFonts w:ascii="Arial" w:hAnsi="Arial" w:cs="Arial"/>
                <w:sz w:val="22"/>
                <w:szCs w:val="22"/>
              </w:rPr>
            </w:pPr>
          </w:p>
          <w:p w14:paraId="695F1820" w14:textId="77777777" w:rsidR="00BE787F" w:rsidRPr="00230F35" w:rsidRDefault="00BE787F" w:rsidP="00F2434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126E09">
              <w:rPr>
                <w:rFonts w:ascii="Arial" w:hAnsi="Arial" w:cs="Arial"/>
                <w:sz w:val="22"/>
                <w:szCs w:val="22"/>
              </w:rPr>
              <w:t>1704596@student.uwtsd.ac.uk</w:t>
            </w:r>
          </w:p>
        </w:tc>
      </w:tr>
      <w:tr w:rsidR="00BE787F" w:rsidRPr="00230F35" w14:paraId="4A6D957D" w14:textId="77777777" w:rsidTr="00F24345">
        <w:trPr>
          <w:trHeight w:val="849"/>
        </w:trPr>
        <w:tc>
          <w:tcPr>
            <w:tcW w:w="4788" w:type="dxa"/>
          </w:tcPr>
          <w:p w14:paraId="6C219974" w14:textId="4F46E561" w:rsidR="00BE787F" w:rsidRPr="00230F35" w:rsidRDefault="00BE787F" w:rsidP="00F2434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Pr>
                <w:rStyle w:val="Strong"/>
                <w:rFonts w:ascii="Open Sans" w:hAnsi="Open Sans" w:cs="Open Sans"/>
                <w:color w:val="373A3C"/>
                <w:sz w:val="36"/>
                <w:szCs w:val="36"/>
                <w:lang w:val="de-DE"/>
              </w:rPr>
              <w:t>(</w:t>
            </w:r>
            <w:r w:rsidR="0023084A">
              <w:rPr>
                <w:rStyle w:val="Strong"/>
                <w:rFonts w:ascii="Open Sans" w:hAnsi="Open Sans" w:cs="Open Sans"/>
                <w:color w:val="373A3C"/>
                <w:sz w:val="36"/>
                <w:szCs w:val="36"/>
                <w:lang w:val="de-DE"/>
              </w:rPr>
              <w:t>AHAN</w:t>
            </w:r>
            <w:r w:rsidR="00D23F9D">
              <w:rPr>
                <w:rStyle w:val="Strong"/>
                <w:rFonts w:ascii="Open Sans" w:hAnsi="Open Sans" w:cs="Open Sans"/>
                <w:color w:val="373A3C"/>
                <w:sz w:val="36"/>
                <w:szCs w:val="36"/>
                <w:lang w:val="de-DE"/>
              </w:rPr>
              <w:t>7</w:t>
            </w:r>
            <w:r w:rsidR="0023084A">
              <w:rPr>
                <w:rStyle w:val="Strong"/>
                <w:rFonts w:ascii="Open Sans" w:hAnsi="Open Sans" w:cs="Open Sans"/>
                <w:color w:val="373A3C"/>
                <w:sz w:val="36"/>
                <w:szCs w:val="36"/>
                <w:lang w:val="de-DE"/>
              </w:rPr>
              <w:t>0</w:t>
            </w:r>
            <w:r w:rsidR="00B1510C">
              <w:rPr>
                <w:rStyle w:val="Strong"/>
                <w:rFonts w:ascii="Open Sans" w:hAnsi="Open Sans" w:cs="Open Sans"/>
                <w:color w:val="373A3C"/>
                <w:sz w:val="36"/>
                <w:szCs w:val="36"/>
                <w:lang w:val="de-DE"/>
              </w:rPr>
              <w:t>03</w:t>
            </w:r>
            <w:r>
              <w:rPr>
                <w:rStyle w:val="Strong"/>
                <w:rFonts w:ascii="Open Sans" w:hAnsi="Open Sans" w:cs="Open Sans"/>
                <w:color w:val="373A3C"/>
                <w:sz w:val="36"/>
                <w:szCs w:val="36"/>
                <w:lang w:val="de-DE"/>
              </w:rPr>
              <w:t>)</w:t>
            </w:r>
          </w:p>
          <w:p w14:paraId="6008EE47" w14:textId="77777777" w:rsidR="00BE787F" w:rsidRPr="00230F35" w:rsidRDefault="00BE787F" w:rsidP="00F24345">
            <w:pPr>
              <w:pStyle w:val="NormalWeb"/>
              <w:spacing w:before="0" w:beforeAutospacing="0" w:after="0" w:afterAutospacing="0"/>
              <w:ind w:right="34"/>
              <w:rPr>
                <w:rFonts w:ascii="Arial" w:hAnsi="Arial" w:cs="Arial"/>
                <w:sz w:val="22"/>
                <w:szCs w:val="22"/>
              </w:rPr>
            </w:pPr>
          </w:p>
          <w:p w14:paraId="51A9FAAD" w14:textId="7CAA3AAC" w:rsidR="00BE787F" w:rsidRPr="00C9505B" w:rsidRDefault="00BE787F" w:rsidP="00F24345">
            <w:pPr>
              <w:pStyle w:val="Heading1"/>
              <w:shd w:val="clear" w:color="auto" w:fill="FFFFFF"/>
              <w:rPr>
                <w:rFonts w:ascii="Open Sans" w:hAnsi="Open Sans" w:cs="Open Sans"/>
                <w:color w:val="auto"/>
              </w:rPr>
            </w:pPr>
            <w:r w:rsidRPr="00C9505B">
              <w:rPr>
                <w:rFonts w:ascii="Arial" w:hAnsi="Arial" w:cs="Arial"/>
                <w:color w:val="auto"/>
                <w:sz w:val="22"/>
                <w:szCs w:val="22"/>
              </w:rPr>
              <w:t>Module title:</w:t>
            </w:r>
            <w:r w:rsidRPr="00C9505B">
              <w:rPr>
                <w:rFonts w:ascii="Open Sans" w:hAnsi="Open Sans" w:cs="Open Sans"/>
                <w:b/>
                <w:bCs/>
                <w:color w:val="auto"/>
                <w:sz w:val="36"/>
                <w:szCs w:val="36"/>
                <w:lang w:val="de-DE"/>
              </w:rPr>
              <w:t xml:space="preserve"> </w:t>
            </w:r>
            <w:r w:rsidR="00B1510C">
              <w:rPr>
                <w:rFonts w:ascii="Open Sans" w:hAnsi="Open Sans" w:cs="Open Sans"/>
                <w:b/>
                <w:bCs/>
                <w:sz w:val="36"/>
                <w:szCs w:val="36"/>
                <w:lang w:val="de-DE"/>
              </w:rPr>
              <w:t>HISTORY OF ASTROLOGY</w:t>
            </w:r>
            <w:r w:rsidRPr="00C9505B">
              <w:rPr>
                <w:rStyle w:val="Strong"/>
                <w:rFonts w:ascii="Open Sans" w:hAnsi="Open Sans" w:cs="Open Sans"/>
                <w:color w:val="auto"/>
                <w:sz w:val="36"/>
                <w:szCs w:val="36"/>
                <w:lang w:val="de-DE"/>
              </w:rPr>
              <w:t xml:space="preserve"> </w:t>
            </w:r>
          </w:p>
          <w:p w14:paraId="0102935F" w14:textId="77777777" w:rsidR="00BE787F" w:rsidRPr="00C9505B" w:rsidRDefault="00BE787F" w:rsidP="00F24345">
            <w:pPr>
              <w:pStyle w:val="NormalWeb"/>
              <w:spacing w:before="0" w:beforeAutospacing="0" w:after="0" w:afterAutospacing="0"/>
              <w:ind w:right="34"/>
              <w:rPr>
                <w:rFonts w:ascii="Arial" w:hAnsi="Arial" w:cs="Arial"/>
                <w:sz w:val="22"/>
                <w:szCs w:val="22"/>
              </w:rPr>
            </w:pPr>
          </w:p>
          <w:p w14:paraId="5ADC52CA" w14:textId="77777777" w:rsidR="00BE787F" w:rsidRDefault="00BE787F" w:rsidP="00F24345">
            <w:pPr>
              <w:pStyle w:val="NormalWeb"/>
              <w:spacing w:before="0" w:beforeAutospacing="0" w:after="0" w:afterAutospacing="0"/>
              <w:ind w:right="34"/>
              <w:rPr>
                <w:rFonts w:ascii="Arial" w:hAnsi="Arial" w:cs="Arial"/>
                <w:sz w:val="22"/>
                <w:szCs w:val="22"/>
              </w:rPr>
            </w:pPr>
          </w:p>
          <w:p w14:paraId="516100D3" w14:textId="77777777" w:rsidR="00BE787F" w:rsidRPr="00230F35" w:rsidRDefault="00BE787F" w:rsidP="00F24345">
            <w:pPr>
              <w:pStyle w:val="NormalWeb"/>
              <w:spacing w:before="0" w:beforeAutospacing="0" w:after="0" w:afterAutospacing="0"/>
              <w:ind w:right="34"/>
              <w:rPr>
                <w:rFonts w:ascii="Arial" w:hAnsi="Arial" w:cs="Arial"/>
                <w:sz w:val="22"/>
                <w:szCs w:val="22"/>
              </w:rPr>
            </w:pPr>
          </w:p>
        </w:tc>
        <w:tc>
          <w:tcPr>
            <w:tcW w:w="2266" w:type="dxa"/>
            <w:gridSpan w:val="3"/>
          </w:tcPr>
          <w:p w14:paraId="1169841C" w14:textId="77777777" w:rsidR="00BE787F" w:rsidRPr="00230F35" w:rsidRDefault="00BE787F" w:rsidP="00F2434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t xml:space="preserve"> </w:t>
            </w:r>
            <w:r w:rsidRPr="00126E09">
              <w:rPr>
                <w:rFonts w:ascii="Arial" w:hAnsi="Arial" w:cs="Arial"/>
                <w:sz w:val="22"/>
                <w:szCs w:val="22"/>
              </w:rPr>
              <w:t>1704596</w:t>
            </w:r>
          </w:p>
        </w:tc>
        <w:tc>
          <w:tcPr>
            <w:tcW w:w="1802" w:type="dxa"/>
          </w:tcPr>
          <w:p w14:paraId="17FDD767" w14:textId="77777777" w:rsidR="00BE787F" w:rsidRPr="00230F35" w:rsidRDefault="00BE787F" w:rsidP="00F2434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03D4ADC" w14:textId="77777777" w:rsidR="00BE787F" w:rsidRPr="00230F35" w:rsidRDefault="00BE787F" w:rsidP="00F2434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BE787F" w:rsidRPr="00230F35" w14:paraId="3E532543" w14:textId="77777777" w:rsidTr="00F24345">
        <w:trPr>
          <w:trHeight w:val="1139"/>
        </w:trPr>
        <w:tc>
          <w:tcPr>
            <w:tcW w:w="8856" w:type="dxa"/>
            <w:gridSpan w:val="5"/>
          </w:tcPr>
          <w:p w14:paraId="13B275DB" w14:textId="77777777" w:rsidR="006036EF" w:rsidRPr="00587FFC" w:rsidRDefault="00BE787F" w:rsidP="006036EF">
            <w:pPr>
              <w:pStyle w:val="Heading1"/>
              <w:spacing w:before="0"/>
              <w:rPr>
                <w:b/>
                <w:sz w:val="36"/>
                <w:szCs w:val="36"/>
              </w:rPr>
            </w:pPr>
            <w:r w:rsidRPr="00230F35">
              <w:rPr>
                <w:rFonts w:ascii="Arial" w:hAnsi="Arial" w:cs="Arial"/>
                <w:sz w:val="22"/>
                <w:szCs w:val="22"/>
              </w:rPr>
              <w:t>Assignment title:</w:t>
            </w:r>
            <w:r>
              <w:rPr>
                <w:rFonts w:ascii="Arial" w:hAnsi="Arial" w:cs="Arial"/>
                <w:sz w:val="22"/>
                <w:szCs w:val="22"/>
              </w:rPr>
              <w:t xml:space="preserve"> </w:t>
            </w:r>
            <w:r w:rsidR="006036EF" w:rsidRPr="00587FFC">
              <w:rPr>
                <w:b/>
                <w:sz w:val="36"/>
                <w:szCs w:val="36"/>
              </w:rPr>
              <w:t>Discuss the role of astrology in the European medieval world using at least two primary sources from either literature or art.</w:t>
            </w:r>
          </w:p>
          <w:p w14:paraId="690CC5C2" w14:textId="530220D5" w:rsidR="00BE787F" w:rsidRPr="00230F35" w:rsidRDefault="006036EF" w:rsidP="00F24345">
            <w:pPr>
              <w:pStyle w:val="NormalWeb"/>
              <w:spacing w:before="0" w:beforeAutospacing="0" w:after="0" w:afterAutospacing="0"/>
              <w:ind w:right="34"/>
              <w:rPr>
                <w:rFonts w:ascii="Arial" w:hAnsi="Arial" w:cs="Arial"/>
                <w:sz w:val="22"/>
                <w:szCs w:val="22"/>
              </w:rPr>
            </w:pPr>
            <w:r>
              <w:rPr>
                <w:rFonts w:ascii="Arial" w:hAnsi="Arial" w:cs="Arial"/>
                <w:sz w:val="22"/>
                <w:szCs w:val="22"/>
              </w:rPr>
              <w:t>.</w:t>
            </w:r>
          </w:p>
          <w:p w14:paraId="2A0B9A8A" w14:textId="77777777" w:rsidR="00BE787F" w:rsidRPr="00230F35" w:rsidRDefault="00BE787F" w:rsidP="00F24345">
            <w:pPr>
              <w:pStyle w:val="NormalWeb"/>
              <w:spacing w:before="0" w:beforeAutospacing="0" w:after="0" w:afterAutospacing="0"/>
              <w:ind w:right="34"/>
              <w:rPr>
                <w:rFonts w:ascii="Arial" w:hAnsi="Arial" w:cs="Arial"/>
                <w:sz w:val="22"/>
                <w:szCs w:val="22"/>
              </w:rPr>
            </w:pPr>
          </w:p>
          <w:p w14:paraId="1A346BAA" w14:textId="13791D01" w:rsidR="00BE787F" w:rsidRDefault="00BE787F" w:rsidP="00F24345">
            <w:pPr>
              <w:pStyle w:val="NormalWeb"/>
              <w:spacing w:before="0" w:beforeAutospacing="0" w:after="0" w:afterAutospacing="0"/>
              <w:ind w:right="34"/>
              <w:rPr>
                <w:rFonts w:ascii="Arial" w:hAnsi="Arial" w:cs="Arial"/>
                <w:sz w:val="22"/>
                <w:szCs w:val="22"/>
              </w:rPr>
            </w:pPr>
          </w:p>
          <w:p w14:paraId="68130FD4" w14:textId="63310466" w:rsidR="00BE787F" w:rsidRPr="00230F35" w:rsidRDefault="00BE787F" w:rsidP="00F2434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0B4E7E">
              <w:rPr>
                <w:rFonts w:ascii="Arial" w:hAnsi="Arial" w:cs="Arial"/>
                <w:sz w:val="22"/>
                <w:szCs w:val="22"/>
              </w:rPr>
              <w:t>4 June,</w:t>
            </w:r>
            <w:r w:rsidR="003A6740">
              <w:rPr>
                <w:rFonts w:ascii="Arial" w:hAnsi="Arial" w:cs="Arial"/>
                <w:sz w:val="22"/>
                <w:szCs w:val="22"/>
              </w:rPr>
              <w:t xml:space="preserve"> 2018</w:t>
            </w:r>
          </w:p>
        </w:tc>
      </w:tr>
      <w:tr w:rsidR="00BE787F" w:rsidRPr="00230F35" w14:paraId="43DE6281" w14:textId="77777777" w:rsidTr="00F24345">
        <w:trPr>
          <w:trHeight w:val="978"/>
        </w:trPr>
        <w:tc>
          <w:tcPr>
            <w:tcW w:w="8856" w:type="dxa"/>
            <w:gridSpan w:val="5"/>
            <w:tcBorders>
              <w:bottom w:val="single" w:sz="4" w:space="0" w:color="000000"/>
            </w:tcBorders>
          </w:tcPr>
          <w:p w14:paraId="16C94EBD" w14:textId="5D319958" w:rsidR="00BE787F" w:rsidRPr="00230F35" w:rsidRDefault="00BE787F" w:rsidP="00F24345">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0023084A">
              <w:rPr>
                <w:rFonts w:ascii="Arial" w:hAnsi="Arial" w:cs="Arial"/>
              </w:rPr>
              <w:fldChar w:fldCharType="begin">
                <w:ffData>
                  <w:name w:val="Check13"/>
                  <w:enabled/>
                  <w:calcOnExit w:val="0"/>
                  <w:checkBox>
                    <w:sizeAuto/>
                    <w:default w:val="0"/>
                  </w:checkBox>
                </w:ffData>
              </w:fldChar>
            </w:r>
            <w:bookmarkStart w:id="0" w:name="Check13"/>
            <w:r w:rsidR="0023084A">
              <w:rPr>
                <w:rFonts w:ascii="Arial" w:hAnsi="Arial" w:cs="Arial"/>
              </w:rPr>
              <w:instrText xml:space="preserve"> FORMCHECKBOX </w:instrText>
            </w:r>
            <w:r w:rsidR="00AB14E7">
              <w:rPr>
                <w:rFonts w:ascii="Arial" w:hAnsi="Arial" w:cs="Arial"/>
              </w:rPr>
            </w:r>
            <w:r w:rsidR="00AB14E7">
              <w:rPr>
                <w:rFonts w:ascii="Arial" w:hAnsi="Arial" w:cs="Arial"/>
              </w:rPr>
              <w:fldChar w:fldCharType="separate"/>
            </w:r>
            <w:r w:rsidR="0023084A">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00B1510C">
              <w:rPr>
                <w:rFonts w:ascii="Arial" w:hAnsi="Arial" w:cs="Arial"/>
              </w:rPr>
              <w:t>X</w:t>
            </w:r>
            <w:r w:rsidRPr="00230F35">
              <w:rPr>
                <w:rFonts w:ascii="Arial" w:hAnsi="Arial" w:cs="Arial"/>
              </w:rPr>
              <w:fldChar w:fldCharType="begin">
                <w:ffData>
                  <w:name w:val="Check15"/>
                  <w:enabled/>
                  <w:calcOnExit w:val="0"/>
                  <w:checkBox>
                    <w:sizeAuto/>
                    <w:default w:val="0"/>
                  </w:checkBox>
                </w:ffData>
              </w:fldChar>
            </w:r>
            <w:r w:rsidRPr="00230F35">
              <w:rPr>
                <w:rFonts w:ascii="Arial" w:hAnsi="Arial" w:cs="Arial"/>
              </w:rPr>
              <w:instrText xml:space="preserve"> FORMCHECKBOX </w:instrText>
            </w:r>
            <w:r w:rsidR="00AB14E7">
              <w:rPr>
                <w:rFonts w:ascii="Arial" w:hAnsi="Arial" w:cs="Arial"/>
              </w:rPr>
            </w:r>
            <w:r w:rsidR="00AB14E7">
              <w:rPr>
                <w:rFonts w:ascii="Arial" w:hAnsi="Arial" w:cs="Arial"/>
              </w:rPr>
              <w:fldChar w:fldCharType="separate"/>
            </w:r>
            <w:r w:rsidRPr="00230F35">
              <w:rPr>
                <w:rFonts w:ascii="Arial" w:hAnsi="Arial" w:cs="Arial"/>
              </w:rPr>
              <w:fldChar w:fldCharType="end"/>
            </w:r>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r w:rsidRPr="00230F35">
              <w:rPr>
                <w:rFonts w:ascii="Arial" w:hAnsi="Arial" w:cs="Arial"/>
              </w:rPr>
              <w:instrText xml:space="preserve"> FORMCHECKBOX </w:instrText>
            </w:r>
            <w:r w:rsidR="00AB14E7">
              <w:rPr>
                <w:rFonts w:ascii="Arial" w:hAnsi="Arial" w:cs="Arial"/>
              </w:rPr>
            </w:r>
            <w:r w:rsidR="00AB14E7">
              <w:rPr>
                <w:rFonts w:ascii="Arial" w:hAnsi="Arial" w:cs="Arial"/>
              </w:rPr>
              <w:fldChar w:fldCharType="separate"/>
            </w:r>
            <w:r w:rsidRPr="00230F35">
              <w:rPr>
                <w:rFonts w:ascii="Arial" w:hAnsi="Arial" w:cs="Arial"/>
              </w:rPr>
              <w:fldChar w:fldCharType="end"/>
            </w:r>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r w:rsidRPr="00230F35">
              <w:rPr>
                <w:rFonts w:ascii="Arial" w:hAnsi="Arial" w:cs="Arial"/>
              </w:rPr>
              <w:instrText xml:space="preserve"> FORMCHECKBOX </w:instrText>
            </w:r>
            <w:r w:rsidR="00AB14E7">
              <w:rPr>
                <w:rFonts w:ascii="Arial" w:hAnsi="Arial" w:cs="Arial"/>
              </w:rPr>
            </w:r>
            <w:r w:rsidR="00AB14E7">
              <w:rPr>
                <w:rFonts w:ascii="Arial" w:hAnsi="Arial" w:cs="Arial"/>
              </w:rPr>
              <w:fldChar w:fldCharType="separate"/>
            </w:r>
            <w:r w:rsidRPr="00230F35">
              <w:rPr>
                <w:rFonts w:ascii="Arial" w:hAnsi="Arial" w:cs="Arial"/>
              </w:rPr>
              <w:fldChar w:fldCharType="end"/>
            </w:r>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r w:rsidRPr="00230F35">
              <w:rPr>
                <w:rFonts w:ascii="Arial" w:hAnsi="Arial" w:cs="Arial"/>
              </w:rPr>
              <w:instrText xml:space="preserve"> FORMCHECKBOX </w:instrText>
            </w:r>
            <w:r w:rsidR="00AB14E7">
              <w:rPr>
                <w:rFonts w:ascii="Arial" w:hAnsi="Arial" w:cs="Arial"/>
              </w:rPr>
            </w:r>
            <w:r w:rsidR="00AB14E7">
              <w:rPr>
                <w:rFonts w:ascii="Arial" w:hAnsi="Arial" w:cs="Arial"/>
              </w:rPr>
              <w:fldChar w:fldCharType="separate"/>
            </w:r>
            <w:r w:rsidRPr="00230F35">
              <w:rPr>
                <w:rFonts w:ascii="Arial" w:hAnsi="Arial" w:cs="Arial"/>
              </w:rPr>
              <w:fldChar w:fldCharType="end"/>
            </w:r>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BE787F" w:rsidRPr="00230F35" w14:paraId="0A9F2C75" w14:textId="77777777" w:rsidTr="00F24345">
        <w:trPr>
          <w:trHeight w:val="978"/>
        </w:trPr>
        <w:tc>
          <w:tcPr>
            <w:tcW w:w="8856" w:type="dxa"/>
            <w:gridSpan w:val="5"/>
            <w:shd w:val="clear" w:color="auto" w:fill="D9D9D9"/>
          </w:tcPr>
          <w:p w14:paraId="4575D165" w14:textId="77777777" w:rsidR="00BE787F" w:rsidRPr="00230F35" w:rsidRDefault="00BE787F" w:rsidP="00F2434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3EEE40F" w14:textId="77777777" w:rsidR="00BE787F" w:rsidRDefault="00BE787F" w:rsidP="00F2434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0EB00186" w14:textId="77777777" w:rsidR="00BE787F" w:rsidRDefault="00BE787F" w:rsidP="00F24345">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proofErr w:type="gramStart"/>
            <w:r w:rsidRPr="005979EE">
              <w:rPr>
                <w:rFonts w:ascii="Calibri" w:hAnsi="Calibri" w:cs="Tahoma"/>
                <w:b/>
              </w:rPr>
              <w:t>submission:</w:t>
            </w:r>
            <w:r>
              <w:rPr>
                <w:rFonts w:ascii="Calibri" w:hAnsi="Calibri" w:cs="Tahoma"/>
                <w:b/>
              </w:rPr>
              <w:t>if</w:t>
            </w:r>
            <w:proofErr w:type="spellEnd"/>
            <w:proofErr w:type="gramEnd"/>
            <w:r>
              <w:rPr>
                <w:rFonts w:ascii="Calibri" w:hAnsi="Calibri" w:cs="Tahoma"/>
                <w:b/>
              </w:rPr>
              <w:t xml:space="preserve"> you are submitting this form via email, please tick this box </w:t>
            </w:r>
            <w:r>
              <w:rPr>
                <w:rFonts w:ascii="Calibri" w:hAnsi="Calibri" w:cs="Calibri"/>
                <w:b/>
                <w:sz w:val="44"/>
                <w:szCs w:val="44"/>
              </w:rPr>
              <w:sym w:font="Wingdings" w:char="F0FC"/>
            </w:r>
          </w:p>
          <w:p w14:paraId="11371EA4" w14:textId="77777777" w:rsidR="00BE787F" w:rsidRPr="00230F35" w:rsidRDefault="00BE787F" w:rsidP="00F24345">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BE787F" w:rsidRPr="00230F35" w14:paraId="3BB1C1E5" w14:textId="77777777" w:rsidTr="00F24345">
        <w:trPr>
          <w:trHeight w:val="3972"/>
        </w:trPr>
        <w:tc>
          <w:tcPr>
            <w:tcW w:w="8856" w:type="dxa"/>
            <w:gridSpan w:val="5"/>
          </w:tcPr>
          <w:p w14:paraId="177944CC" w14:textId="77777777" w:rsidR="00BE787F" w:rsidRDefault="00BE787F" w:rsidP="00F24345">
            <w:pPr>
              <w:rPr>
                <w:rFonts w:ascii="Arial" w:hAnsi="Arial"/>
                <w:b/>
              </w:rPr>
            </w:pPr>
          </w:p>
          <w:p w14:paraId="2250F3BE" w14:textId="77777777" w:rsidR="00BE787F" w:rsidRPr="00116CE6" w:rsidRDefault="00BE787F" w:rsidP="00F24345">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BE787F" w:rsidRPr="00116CE6" w14:paraId="4199CD61" w14:textId="77777777" w:rsidTr="00F24345">
              <w:tc>
                <w:tcPr>
                  <w:tcW w:w="6970" w:type="dxa"/>
                </w:tcPr>
                <w:p w14:paraId="16A38B41" w14:textId="77777777" w:rsidR="00BE787F" w:rsidRPr="00116CE6" w:rsidRDefault="00BE787F" w:rsidP="00F24345">
                  <w:pPr>
                    <w:rPr>
                      <w:rFonts w:ascii="Arial" w:hAnsi="Arial"/>
                      <w:sz w:val="20"/>
                      <w:szCs w:val="20"/>
                    </w:rPr>
                  </w:pPr>
                </w:p>
                <w:p w14:paraId="1B21FE2E" w14:textId="77777777" w:rsidR="00BE787F" w:rsidRPr="00116CE6" w:rsidRDefault="00BE787F" w:rsidP="00F24345">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220DBB8" w14:textId="77777777" w:rsidR="00BE787F" w:rsidRPr="00116CE6" w:rsidRDefault="00BE787F" w:rsidP="00F24345">
                  <w:pPr>
                    <w:rPr>
                      <w:rFonts w:ascii="Arial" w:hAnsi="Arial"/>
                      <w:sz w:val="20"/>
                      <w:szCs w:val="20"/>
                    </w:rPr>
                  </w:pPr>
                </w:p>
              </w:tc>
            </w:tr>
            <w:tr w:rsidR="00BE787F" w:rsidRPr="00116CE6" w14:paraId="16D743F8" w14:textId="77777777" w:rsidTr="00F24345">
              <w:tc>
                <w:tcPr>
                  <w:tcW w:w="6970" w:type="dxa"/>
                </w:tcPr>
                <w:p w14:paraId="4468CA2C" w14:textId="77777777" w:rsidR="00BE787F" w:rsidRPr="00116CE6" w:rsidRDefault="00BE787F" w:rsidP="00F24345">
                  <w:pPr>
                    <w:rPr>
                      <w:rFonts w:ascii="Arial" w:hAnsi="Arial"/>
                      <w:sz w:val="20"/>
                      <w:szCs w:val="20"/>
                    </w:rPr>
                  </w:pPr>
                </w:p>
                <w:p w14:paraId="0320D2DA" w14:textId="77777777" w:rsidR="00BE787F" w:rsidRPr="00116CE6" w:rsidRDefault="00BE787F" w:rsidP="00F24345">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D45B902" w14:textId="77777777" w:rsidR="00BE787F" w:rsidRPr="00116CE6" w:rsidRDefault="00BE787F" w:rsidP="00F24345">
                  <w:pPr>
                    <w:rPr>
                      <w:rFonts w:ascii="Arial" w:hAnsi="Arial"/>
                      <w:sz w:val="20"/>
                      <w:szCs w:val="20"/>
                    </w:rPr>
                  </w:pPr>
                </w:p>
              </w:tc>
            </w:tr>
            <w:tr w:rsidR="00BE787F" w:rsidRPr="00116CE6" w14:paraId="0B389419" w14:textId="77777777" w:rsidTr="00F24345">
              <w:tc>
                <w:tcPr>
                  <w:tcW w:w="6970" w:type="dxa"/>
                </w:tcPr>
                <w:p w14:paraId="5B573B16" w14:textId="77777777" w:rsidR="00BE787F" w:rsidRPr="00116CE6" w:rsidRDefault="00BE787F" w:rsidP="00F24345">
                  <w:pPr>
                    <w:rPr>
                      <w:rFonts w:ascii="Arial" w:hAnsi="Arial"/>
                      <w:sz w:val="20"/>
                      <w:szCs w:val="20"/>
                    </w:rPr>
                  </w:pPr>
                </w:p>
                <w:p w14:paraId="3C82AB76" w14:textId="77777777" w:rsidR="00BE787F" w:rsidRPr="00116CE6" w:rsidRDefault="00BE787F" w:rsidP="00F24345">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BF899FE" w14:textId="77777777" w:rsidR="00BE787F" w:rsidRPr="00116CE6" w:rsidRDefault="00BE787F" w:rsidP="00F24345">
                  <w:pPr>
                    <w:rPr>
                      <w:rFonts w:ascii="Arial" w:hAnsi="Arial"/>
                      <w:sz w:val="20"/>
                      <w:szCs w:val="20"/>
                    </w:rPr>
                  </w:pPr>
                </w:p>
              </w:tc>
            </w:tr>
            <w:tr w:rsidR="00BE787F" w:rsidRPr="00116CE6" w14:paraId="3732F407" w14:textId="77777777" w:rsidTr="00F24345">
              <w:tc>
                <w:tcPr>
                  <w:tcW w:w="6970" w:type="dxa"/>
                </w:tcPr>
                <w:p w14:paraId="14962913" w14:textId="77777777" w:rsidR="00BE787F" w:rsidRDefault="00BE787F" w:rsidP="00F24345">
                  <w:pPr>
                    <w:rPr>
                      <w:rFonts w:ascii="Arial" w:hAnsi="Arial"/>
                      <w:sz w:val="20"/>
                      <w:szCs w:val="20"/>
                    </w:rPr>
                  </w:pPr>
                </w:p>
                <w:p w14:paraId="5FB274E6" w14:textId="77777777" w:rsidR="00BE787F" w:rsidRPr="00022345" w:rsidRDefault="00BE787F" w:rsidP="00F24345">
                  <w:pPr>
                    <w:rPr>
                      <w:rFonts w:ascii="Arial" w:hAnsi="Arial"/>
                      <w:b/>
                      <w:sz w:val="20"/>
                      <w:szCs w:val="20"/>
                    </w:rPr>
                  </w:pPr>
                  <w:r w:rsidRPr="00022345">
                    <w:rPr>
                      <w:rFonts w:ascii="Arial" w:hAnsi="Arial"/>
                      <w:b/>
                      <w:sz w:val="20"/>
                      <w:szCs w:val="20"/>
                    </w:rPr>
                    <w:t>Final Mark</w:t>
                  </w:r>
                </w:p>
                <w:p w14:paraId="5C3B81D5" w14:textId="77777777" w:rsidR="00BE787F" w:rsidRPr="00116CE6" w:rsidRDefault="00BE787F" w:rsidP="00F24345">
                  <w:pPr>
                    <w:rPr>
                      <w:rFonts w:ascii="Arial" w:hAnsi="Arial"/>
                      <w:sz w:val="20"/>
                      <w:szCs w:val="20"/>
                    </w:rPr>
                  </w:pPr>
                </w:p>
              </w:tc>
              <w:tc>
                <w:tcPr>
                  <w:tcW w:w="1660" w:type="dxa"/>
                </w:tcPr>
                <w:p w14:paraId="71F09FE4" w14:textId="77777777" w:rsidR="00BE787F" w:rsidRPr="00116CE6" w:rsidRDefault="00BE787F" w:rsidP="00F24345">
                  <w:pPr>
                    <w:rPr>
                      <w:rFonts w:ascii="Arial" w:hAnsi="Arial"/>
                      <w:sz w:val="20"/>
                      <w:szCs w:val="20"/>
                    </w:rPr>
                  </w:pPr>
                </w:p>
              </w:tc>
            </w:tr>
          </w:tbl>
          <w:p w14:paraId="38C8704F" w14:textId="77777777" w:rsidR="00BE787F" w:rsidRDefault="00BE787F" w:rsidP="00F24345">
            <w:pPr>
              <w:pStyle w:val="NormalWeb"/>
              <w:spacing w:before="0" w:beforeAutospacing="0" w:after="0" w:afterAutospacing="0"/>
              <w:ind w:left="142" w:right="34"/>
              <w:rPr>
                <w:rFonts w:ascii="Arial" w:hAnsi="Arial" w:cs="Arial"/>
                <w:b/>
                <w:sz w:val="22"/>
                <w:szCs w:val="22"/>
              </w:rPr>
            </w:pPr>
          </w:p>
          <w:p w14:paraId="7C895047" w14:textId="77777777" w:rsidR="00BE787F" w:rsidRPr="00230F35" w:rsidRDefault="00BE787F" w:rsidP="00F24345">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3AD99BDE" w14:textId="77777777" w:rsidR="00BE787F" w:rsidRDefault="00BE787F" w:rsidP="00F24345">
            <w:pPr>
              <w:pStyle w:val="NormalWeb"/>
              <w:spacing w:before="0" w:beforeAutospacing="0" w:after="0" w:afterAutospacing="0"/>
              <w:rPr>
                <w:rFonts w:ascii="Arial" w:hAnsi="Arial" w:cs="Arial"/>
                <w:b/>
                <w:sz w:val="22"/>
                <w:szCs w:val="22"/>
              </w:rPr>
            </w:pPr>
          </w:p>
          <w:p w14:paraId="493D7907" w14:textId="77777777" w:rsidR="00BE787F" w:rsidRDefault="00BE787F" w:rsidP="00F24345">
            <w:pPr>
              <w:pStyle w:val="NormalWeb"/>
              <w:spacing w:before="0" w:beforeAutospacing="0" w:after="0" w:afterAutospacing="0"/>
              <w:rPr>
                <w:rFonts w:ascii="Arial" w:hAnsi="Arial" w:cs="Arial"/>
                <w:b/>
                <w:sz w:val="22"/>
                <w:szCs w:val="22"/>
              </w:rPr>
            </w:pPr>
          </w:p>
          <w:p w14:paraId="5658D22A" w14:textId="77777777" w:rsidR="00BE787F" w:rsidRDefault="00BE787F" w:rsidP="00F24345">
            <w:pPr>
              <w:pStyle w:val="NormalWeb"/>
              <w:spacing w:before="0" w:beforeAutospacing="0" w:after="0" w:afterAutospacing="0"/>
              <w:rPr>
                <w:rFonts w:ascii="Arial" w:hAnsi="Arial" w:cs="Arial"/>
                <w:b/>
                <w:sz w:val="22"/>
                <w:szCs w:val="22"/>
              </w:rPr>
            </w:pPr>
          </w:p>
          <w:p w14:paraId="2883802F" w14:textId="77777777" w:rsidR="00BE787F" w:rsidRDefault="00BE787F" w:rsidP="00F24345">
            <w:pPr>
              <w:pStyle w:val="NormalWeb"/>
              <w:spacing w:before="0" w:beforeAutospacing="0" w:after="0" w:afterAutospacing="0"/>
              <w:rPr>
                <w:rFonts w:ascii="Arial" w:hAnsi="Arial" w:cs="Arial"/>
                <w:b/>
                <w:sz w:val="22"/>
                <w:szCs w:val="22"/>
              </w:rPr>
            </w:pPr>
          </w:p>
          <w:p w14:paraId="57D94644" w14:textId="77777777" w:rsidR="00BE787F" w:rsidRDefault="00BE787F" w:rsidP="00F24345">
            <w:pPr>
              <w:pStyle w:val="NormalWeb"/>
              <w:spacing w:before="0" w:beforeAutospacing="0" w:after="0" w:afterAutospacing="0"/>
              <w:rPr>
                <w:rFonts w:ascii="Arial" w:hAnsi="Arial" w:cs="Arial"/>
                <w:b/>
                <w:sz w:val="22"/>
                <w:szCs w:val="22"/>
              </w:rPr>
            </w:pPr>
          </w:p>
          <w:p w14:paraId="45698B93" w14:textId="77777777" w:rsidR="00BE787F" w:rsidRPr="00230F35" w:rsidRDefault="00BE787F" w:rsidP="00F24345">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7D1C5D51" w14:textId="77777777" w:rsidR="00BE787F" w:rsidRDefault="00BE787F" w:rsidP="00F24345">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434E13D" w14:textId="77777777" w:rsidR="00BE787F" w:rsidRPr="00001C3B" w:rsidRDefault="00BE787F" w:rsidP="00F24345">
            <w:pPr>
              <w:pStyle w:val="NormalWeb"/>
              <w:rPr>
                <w:rFonts w:ascii="Arial" w:hAnsi="Arial" w:cs="Arial"/>
                <w:sz w:val="22"/>
                <w:szCs w:val="22"/>
              </w:rPr>
            </w:pPr>
          </w:p>
        </w:tc>
      </w:tr>
      <w:tr w:rsidR="00BE787F" w:rsidRPr="00230F35" w14:paraId="2B2AB542" w14:textId="77777777" w:rsidTr="00F24345">
        <w:trPr>
          <w:trHeight w:val="492"/>
        </w:trPr>
        <w:tc>
          <w:tcPr>
            <w:tcW w:w="6768" w:type="dxa"/>
            <w:gridSpan w:val="3"/>
          </w:tcPr>
          <w:p w14:paraId="2D6834C6" w14:textId="77777777" w:rsidR="00BE787F" w:rsidRPr="00230F35" w:rsidRDefault="00BE787F" w:rsidP="00F24345">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11BD6DD1" w14:textId="77777777" w:rsidR="00BE787F" w:rsidRPr="00230F35" w:rsidRDefault="00BE787F" w:rsidP="00F24345">
            <w:pPr>
              <w:pStyle w:val="NormalWeb"/>
              <w:spacing w:after="0"/>
              <w:ind w:left="142" w:right="34"/>
              <w:rPr>
                <w:rFonts w:ascii="Arial" w:hAnsi="Arial" w:cs="Arial"/>
                <w:sz w:val="22"/>
                <w:szCs w:val="22"/>
              </w:rPr>
            </w:pPr>
            <w:r w:rsidRPr="00230F35">
              <w:rPr>
                <w:rFonts w:ascii="Arial" w:hAnsi="Arial" w:cs="Arial"/>
                <w:sz w:val="22"/>
                <w:szCs w:val="22"/>
              </w:rPr>
              <w:t>Date:</w:t>
            </w:r>
          </w:p>
        </w:tc>
      </w:tr>
      <w:tr w:rsidR="00BE787F" w:rsidRPr="002F467C" w14:paraId="6D4D8EEF" w14:textId="77777777" w:rsidTr="00F24345">
        <w:tc>
          <w:tcPr>
            <w:tcW w:w="8856" w:type="dxa"/>
            <w:gridSpan w:val="5"/>
          </w:tcPr>
          <w:p w14:paraId="20785FA6" w14:textId="77777777" w:rsidR="00BE787F" w:rsidRPr="00230F35" w:rsidRDefault="00BE787F" w:rsidP="00F24345">
            <w:pPr>
              <w:pStyle w:val="NormalWeb"/>
              <w:spacing w:before="0" w:beforeAutospacing="0" w:after="0" w:afterAutospacing="0"/>
              <w:ind w:right="-334"/>
              <w:rPr>
                <w:rFonts w:ascii="Arial" w:hAnsi="Arial" w:cs="Arial"/>
                <w:bCs/>
                <w:i/>
                <w:sz w:val="22"/>
                <w:szCs w:val="22"/>
              </w:rPr>
            </w:pPr>
          </w:p>
          <w:p w14:paraId="44FA1F66" w14:textId="77777777" w:rsidR="00BE787F" w:rsidRPr="00230F35" w:rsidRDefault="00BE787F" w:rsidP="00F24345">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4A935975" w14:textId="77777777" w:rsidR="00BE787F" w:rsidRPr="00230F35" w:rsidRDefault="00BE787F" w:rsidP="00F24345">
            <w:pPr>
              <w:pStyle w:val="NormalWeb"/>
              <w:spacing w:before="0" w:beforeAutospacing="0" w:after="0" w:afterAutospacing="0"/>
              <w:ind w:right="-334"/>
              <w:rPr>
                <w:rFonts w:ascii="Arial" w:hAnsi="Arial" w:cs="Arial"/>
                <w:b/>
                <w:bCs/>
                <w:sz w:val="22"/>
                <w:szCs w:val="22"/>
              </w:rPr>
            </w:pPr>
          </w:p>
          <w:p w14:paraId="11DBA956"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2FBF4D3"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06EC1F6B"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2B7DFA67"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1AFC138B"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538671F8"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67CF12F4"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0E170F02"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25A77693"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247CBDBF" w14:textId="77777777" w:rsidR="00BE787F" w:rsidRDefault="00BE787F" w:rsidP="00F24345">
            <w:pPr>
              <w:pStyle w:val="NormalWeb"/>
              <w:spacing w:before="0" w:beforeAutospacing="0" w:after="0" w:afterAutospacing="0"/>
              <w:ind w:right="-334"/>
              <w:rPr>
                <w:rFonts w:ascii="Arial" w:hAnsi="Arial" w:cs="Arial"/>
                <w:bCs/>
                <w:sz w:val="22"/>
                <w:szCs w:val="22"/>
              </w:rPr>
            </w:pPr>
          </w:p>
          <w:p w14:paraId="608801C8"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5CB934BD"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482923C1"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tc>
      </w:tr>
      <w:tr w:rsidR="00BE787F" w:rsidRPr="002F467C" w14:paraId="06FC3CC6" w14:textId="77777777" w:rsidTr="00F24345">
        <w:trPr>
          <w:trHeight w:val="720"/>
        </w:trPr>
        <w:tc>
          <w:tcPr>
            <w:tcW w:w="5211" w:type="dxa"/>
            <w:gridSpan w:val="2"/>
          </w:tcPr>
          <w:p w14:paraId="53714F46"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3CFB125D"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BE787F" w:rsidRPr="002F467C" w14:paraId="461BAE80" w14:textId="77777777" w:rsidTr="00F24345">
        <w:trPr>
          <w:trHeight w:val="720"/>
        </w:trPr>
        <w:tc>
          <w:tcPr>
            <w:tcW w:w="8856" w:type="dxa"/>
            <w:gridSpan w:val="5"/>
          </w:tcPr>
          <w:p w14:paraId="15B43A3E" w14:textId="77777777" w:rsidR="00BE787F" w:rsidRPr="00B34964" w:rsidRDefault="00BE787F" w:rsidP="00F24345">
            <w:pPr>
              <w:rPr>
                <w:rFonts w:ascii="Arial" w:hAnsi="Arial" w:cs="Arial"/>
                <w:b/>
              </w:rPr>
            </w:pPr>
            <w:r w:rsidRPr="00B34964">
              <w:rPr>
                <w:rFonts w:ascii="Arial" w:hAnsi="Arial" w:cs="Arial"/>
                <w:b/>
              </w:rPr>
              <w:t>External Examiner’s comments (if relevant)</w:t>
            </w:r>
          </w:p>
          <w:p w14:paraId="3E2B2CD9"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19644FE2"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38595CC8"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574929AA"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2CD043C3"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4CC463FC"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253C93B7"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1FFB8CCE"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10556C97" w14:textId="77777777" w:rsidR="00BE787F" w:rsidRDefault="00BE787F" w:rsidP="00F24345">
            <w:pPr>
              <w:pStyle w:val="NormalWeb"/>
              <w:spacing w:before="0" w:beforeAutospacing="0" w:after="0" w:afterAutospacing="0"/>
              <w:ind w:right="-334"/>
              <w:rPr>
                <w:rFonts w:ascii="Arial" w:hAnsi="Arial" w:cs="Arial"/>
                <w:bCs/>
                <w:sz w:val="22"/>
                <w:szCs w:val="22"/>
              </w:rPr>
            </w:pPr>
          </w:p>
          <w:p w14:paraId="3833A7B6"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30B5B634"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tc>
      </w:tr>
      <w:tr w:rsidR="00BE787F" w:rsidRPr="002F467C" w14:paraId="2E7E8A82" w14:textId="77777777" w:rsidTr="00F24345">
        <w:trPr>
          <w:trHeight w:val="720"/>
        </w:trPr>
        <w:tc>
          <w:tcPr>
            <w:tcW w:w="5211" w:type="dxa"/>
            <w:gridSpan w:val="2"/>
          </w:tcPr>
          <w:p w14:paraId="2F023486" w14:textId="77777777" w:rsidR="00BE787F" w:rsidRPr="00230F35" w:rsidRDefault="00BE787F" w:rsidP="00F24345">
            <w:pPr>
              <w:rPr>
                <w:rFonts w:ascii="Arial" w:hAnsi="Arial" w:cs="Arial"/>
              </w:rPr>
            </w:pPr>
            <w:r w:rsidRPr="00230F35">
              <w:rPr>
                <w:rFonts w:ascii="Arial" w:hAnsi="Arial" w:cs="Arial"/>
              </w:rPr>
              <w:t>External Examiner’s Signature:</w:t>
            </w:r>
          </w:p>
        </w:tc>
        <w:tc>
          <w:tcPr>
            <w:tcW w:w="3645" w:type="dxa"/>
            <w:gridSpan w:val="3"/>
          </w:tcPr>
          <w:p w14:paraId="02A5D239" w14:textId="77777777" w:rsidR="00BE787F" w:rsidRPr="00230F35" w:rsidRDefault="00BE787F" w:rsidP="00F24345">
            <w:pPr>
              <w:rPr>
                <w:rFonts w:ascii="Arial" w:hAnsi="Arial" w:cs="Arial"/>
              </w:rPr>
            </w:pPr>
            <w:r w:rsidRPr="00230F35">
              <w:rPr>
                <w:rFonts w:ascii="Arial" w:hAnsi="Arial" w:cs="Arial"/>
              </w:rPr>
              <w:t>Date:</w:t>
            </w:r>
          </w:p>
        </w:tc>
      </w:tr>
    </w:tbl>
    <w:p w14:paraId="479460BD" w14:textId="25A9B881" w:rsidR="00E363D9" w:rsidRDefault="00E363D9" w:rsidP="00BE787F">
      <w:pPr>
        <w:pStyle w:val="NormalWeb"/>
        <w:spacing w:before="0" w:beforeAutospacing="0" w:after="0" w:afterAutospacing="0"/>
        <w:ind w:right="-334"/>
        <w:rPr>
          <w:rFonts w:ascii="Trebuchet MS" w:hAnsi="Trebuchet MS" w:cs="Tahoma"/>
          <w:bCs/>
        </w:rPr>
      </w:pPr>
    </w:p>
    <w:p w14:paraId="78A0575F" w14:textId="067A9DE0" w:rsidR="00B1510C" w:rsidRDefault="00E363D9" w:rsidP="00B1510C">
      <w:r>
        <w:rPr>
          <w:rFonts w:ascii="Trebuchet MS" w:hAnsi="Trebuchet MS" w:cs="Tahoma"/>
          <w:bCs/>
        </w:rPr>
        <w:br w:type="page"/>
      </w:r>
    </w:p>
    <w:p w14:paraId="542AEEF5" w14:textId="1F9F0937" w:rsidR="006036EF" w:rsidRPr="00587FFC" w:rsidRDefault="006036EF" w:rsidP="006036EF">
      <w:pPr>
        <w:pStyle w:val="Heading1"/>
        <w:spacing w:before="0"/>
        <w:rPr>
          <w:b/>
          <w:sz w:val="36"/>
          <w:szCs w:val="36"/>
        </w:rPr>
      </w:pPr>
      <w:r w:rsidRPr="00587FFC">
        <w:rPr>
          <w:b/>
          <w:sz w:val="36"/>
          <w:szCs w:val="36"/>
        </w:rPr>
        <w:t>Discuss the role of astrology in the European medieval world using at least two primary sources from either literature or art</w:t>
      </w:r>
    </w:p>
    <w:p w14:paraId="0E1E01AD" w14:textId="77777777" w:rsidR="006036EF" w:rsidRDefault="006036EF" w:rsidP="006036EF"/>
    <w:p w14:paraId="30A2DA03" w14:textId="184163D1" w:rsidR="006036EF" w:rsidRDefault="00E41197" w:rsidP="006036EF">
      <w:r>
        <w:t>Word count: 301</w:t>
      </w:r>
      <w:r w:rsidR="007B7C40">
        <w:t>6</w:t>
      </w:r>
    </w:p>
    <w:p w14:paraId="72927FD3" w14:textId="77777777" w:rsidR="006036EF" w:rsidRDefault="006036EF" w:rsidP="006036EF">
      <w:pPr>
        <w:pStyle w:val="Heading1"/>
      </w:pPr>
      <w:r>
        <w:t>Introduction</w:t>
      </w:r>
    </w:p>
    <w:p w14:paraId="793EC094" w14:textId="77777777" w:rsidR="006036EF" w:rsidRDefault="006036EF" w:rsidP="006036EF"/>
    <w:p w14:paraId="776EE293" w14:textId="6CEB35AB" w:rsidR="006036EF" w:rsidRDefault="006036EF" w:rsidP="006036EF">
      <w:r>
        <w:t xml:space="preserve">Astrology </w:t>
      </w:r>
      <w:r w:rsidR="005E67E2">
        <w:t xml:space="preserve">offered </w:t>
      </w:r>
      <w:r w:rsidR="00CB41A5">
        <w:t xml:space="preserve">the Medieval world, what Campion </w:t>
      </w:r>
      <w:r w:rsidR="005E67E2">
        <w:t>has called</w:t>
      </w:r>
      <w:r>
        <w:t xml:space="preserve">, ‘an overarching organizing principle of quite extraordinary power,’ and Thorndike has stressed the historical role of astrology as ‘science’, stating that ‘ </w:t>
      </w:r>
      <w:r w:rsidRPr="00094337">
        <w:t xml:space="preserve">… during the long period of scientific development before Sir Isaac Newton </w:t>
      </w:r>
      <w:r>
        <w:t>…</w:t>
      </w:r>
      <w:r w:rsidRPr="00094337">
        <w:t xml:space="preserve"> </w:t>
      </w:r>
      <w:r>
        <w:t>[the]</w:t>
      </w:r>
      <w:r w:rsidRPr="00094337">
        <w:t xml:space="preserve"> universal natural law was astrological</w:t>
      </w:r>
      <w:r>
        <w:t>.’</w:t>
      </w:r>
      <w:r>
        <w:rPr>
          <w:rStyle w:val="FootnoteReference"/>
        </w:rPr>
        <w:footnoteReference w:id="1"/>
      </w:r>
      <w:r>
        <w:t xml:space="preserve"> This essay will discuss the</w:t>
      </w:r>
      <w:r w:rsidR="005E67E2">
        <w:t xml:space="preserve"> ‘overarching’ and </w:t>
      </w:r>
      <w:r>
        <w:t xml:space="preserve"> ‘universal’ role of astrology in the European medieval world using two primary sources: The </w:t>
      </w:r>
      <w:r w:rsidRPr="00094440">
        <w:rPr>
          <w:i/>
        </w:rPr>
        <w:t>Creation of the World</w:t>
      </w:r>
      <w:r>
        <w:t xml:space="preserve">, painted by Giusto de’ </w:t>
      </w:r>
      <w:proofErr w:type="spellStart"/>
      <w:r>
        <w:t>Menabuoi</w:t>
      </w:r>
      <w:proofErr w:type="spellEnd"/>
      <w:r>
        <w:t xml:space="preserve"> (1320-1391) </w:t>
      </w:r>
      <w:r w:rsidR="00E41197">
        <w:t>c.</w:t>
      </w:r>
      <w:r>
        <w:t xml:space="preserve"> 1375 in Padua, Italy, and the </w:t>
      </w:r>
      <w:r w:rsidRPr="00E41197">
        <w:rPr>
          <w:i/>
        </w:rPr>
        <w:t>Room of the Arts and Planets</w:t>
      </w:r>
      <w:r>
        <w:t xml:space="preserve">, painter unknown, c. 1410 in </w:t>
      </w:r>
      <w:proofErr w:type="spellStart"/>
      <w:r>
        <w:t>Foligno</w:t>
      </w:r>
      <w:proofErr w:type="spellEnd"/>
      <w:r>
        <w:t xml:space="preserve">, Italy. </w:t>
      </w:r>
      <w:r w:rsidRPr="005E67E2">
        <w:t>Both</w:t>
      </w:r>
      <w:r>
        <w:t xml:space="preserve"> these sources are artworks and are used here </w:t>
      </w:r>
      <w:proofErr w:type="gramStart"/>
      <w:r>
        <w:t>in light of</w:t>
      </w:r>
      <w:proofErr w:type="gramEnd"/>
      <w:r>
        <w:t xml:space="preserve"> </w:t>
      </w:r>
      <w:proofErr w:type="spellStart"/>
      <w:r>
        <w:t>Gunzburg’s</w:t>
      </w:r>
      <w:proofErr w:type="spellEnd"/>
      <w:r>
        <w:t xml:space="preserve"> assertion that ‘non-textual documents, such as images, can and should also influence how we understand a period or culture.’</w:t>
      </w:r>
      <w:r>
        <w:rPr>
          <w:rStyle w:val="FootnoteReference"/>
        </w:rPr>
        <w:footnoteReference w:id="2"/>
      </w:r>
      <w:r>
        <w:t xml:space="preserve"> </w:t>
      </w:r>
    </w:p>
    <w:p w14:paraId="2CB5F9CF" w14:textId="77777777" w:rsidR="00B51394" w:rsidRDefault="00B51394" w:rsidP="006036EF"/>
    <w:p w14:paraId="73F7287F" w14:textId="2B31BA21" w:rsidR="006036EF" w:rsidRDefault="006036EF" w:rsidP="006036EF">
      <w:r>
        <w:t xml:space="preserve">Astrology’s important roles in the Medieval world as determiner and descriptor of character, as a predictor of the future, as well as its central role in magic and medicine, are not spoken to directly in </w:t>
      </w:r>
      <w:r w:rsidRPr="003F6333">
        <w:rPr>
          <w:i/>
        </w:rPr>
        <w:t xml:space="preserve">The Creation </w:t>
      </w:r>
      <w:r>
        <w:t>or</w:t>
      </w:r>
      <w:r w:rsidR="00E41197">
        <w:t xml:space="preserve"> the</w:t>
      </w:r>
      <w:r>
        <w:t xml:space="preserve"> </w:t>
      </w:r>
      <w:r w:rsidRPr="009413D0">
        <w:rPr>
          <w:i/>
        </w:rPr>
        <w:t>Room of the Arts and Planets</w:t>
      </w:r>
      <w:r>
        <w:t xml:space="preserve"> – rather these works embody astrology’s primary role as providing a paradigm within which astrological prediction, magic and medicine functioned. </w:t>
      </w:r>
      <w:r w:rsidRPr="00DB74D3">
        <w:t>After an introduction to the primary sources, this essay will focus on astrology’s role as a map of the cosmos, as a map of time and the neo-Platonic web of sympathies, and finally on its inspirational role.</w:t>
      </w:r>
    </w:p>
    <w:p w14:paraId="33196B7E" w14:textId="77777777" w:rsidR="00B51394" w:rsidRPr="00D172DC" w:rsidRDefault="00B51394" w:rsidP="006036EF"/>
    <w:p w14:paraId="6BD97D28" w14:textId="4396A8AA" w:rsidR="006036EF" w:rsidRDefault="006036EF" w:rsidP="006036EF">
      <w:pPr>
        <w:pStyle w:val="Heading1"/>
        <w:spacing w:before="0"/>
      </w:pPr>
      <w:r>
        <w:t xml:space="preserve">Introduction to Primary Sources </w:t>
      </w:r>
    </w:p>
    <w:p w14:paraId="05D14F2A" w14:textId="77777777" w:rsidR="00B51394" w:rsidRPr="00B51394" w:rsidRDefault="00B51394" w:rsidP="00B51394"/>
    <w:p w14:paraId="11A34C76" w14:textId="77777777" w:rsidR="006036EF" w:rsidRDefault="006036EF" w:rsidP="006036EF">
      <w:r>
        <w:t>The translation of works by Ptolemy, Aristotle and Arabic astrologers in the 12</w:t>
      </w:r>
      <w:r w:rsidRPr="00B33FAC">
        <w:rPr>
          <w:vertAlign w:val="superscript"/>
        </w:rPr>
        <w:t>th</w:t>
      </w:r>
      <w:r>
        <w:t xml:space="preserve"> century had what Campion calls ‘revolutionary consequences… on European cosmology – and intellectual thought in general.’</w:t>
      </w:r>
      <w:r>
        <w:rPr>
          <w:rStyle w:val="FootnoteReference"/>
        </w:rPr>
        <w:footnoteReference w:id="3"/>
      </w:r>
      <w:r>
        <w:t xml:space="preserve">  </w:t>
      </w:r>
      <w:r w:rsidRPr="00E41197">
        <w:t>Both Padua</w:t>
      </w:r>
      <w:r>
        <w:t xml:space="preserve">, in Northern Italy, and </w:t>
      </w:r>
      <w:proofErr w:type="spellStart"/>
      <w:r>
        <w:t>Foligno</w:t>
      </w:r>
      <w:proofErr w:type="spellEnd"/>
      <w:r>
        <w:t>, 400km to the south, were intellectual centres for learning at the time the artworks were created. Canova states that Padua was ‘one of the most important cultural and scientific centres in Europe’ where ‘new astrological doctrines flourished.’</w:t>
      </w:r>
      <w:r>
        <w:rPr>
          <w:rStyle w:val="FootnoteReference"/>
        </w:rPr>
        <w:footnoteReference w:id="4"/>
      </w:r>
      <w:r>
        <w:t xml:space="preserve">  Equally, the </w:t>
      </w:r>
      <w:proofErr w:type="spellStart"/>
      <w:r>
        <w:t>Trinci</w:t>
      </w:r>
      <w:proofErr w:type="spellEnd"/>
      <w:r>
        <w:t xml:space="preserve"> family held a court, that was, according to Dunlop, ‘a small but important centre of the new antique learning’.</w:t>
      </w:r>
      <w:r>
        <w:rPr>
          <w:rStyle w:val="FootnoteReference"/>
        </w:rPr>
        <w:footnoteReference w:id="5"/>
      </w:r>
      <w:r>
        <w:t xml:space="preserve">  </w:t>
      </w:r>
    </w:p>
    <w:p w14:paraId="40B9181E" w14:textId="1E9A4666" w:rsidR="006036EF" w:rsidRDefault="006036EF" w:rsidP="006036EF">
      <w:pPr>
        <w:pStyle w:val="Heading1"/>
      </w:pPr>
      <w:r>
        <w:t>The Creation of the World</w:t>
      </w:r>
    </w:p>
    <w:p w14:paraId="1F8B71BA" w14:textId="77777777" w:rsidR="00B51394" w:rsidRPr="00B51394" w:rsidRDefault="00B51394" w:rsidP="00B51394"/>
    <w:p w14:paraId="17DF1B28" w14:textId="2876AF39" w:rsidR="006036EF" w:rsidRDefault="006036EF" w:rsidP="006036EF">
      <w:r w:rsidRPr="0093177F">
        <w:rPr>
          <w:i/>
        </w:rPr>
        <w:t>The Creation of the World</w:t>
      </w:r>
      <w:r>
        <w:t xml:space="preserve"> is part of a large fresco cycle in the baptistery of Padua Cathedral. The pictorial program includes </w:t>
      </w:r>
      <w:r w:rsidRPr="000B0A9F">
        <w:rPr>
          <w:i/>
        </w:rPr>
        <w:t>Paradise</w:t>
      </w:r>
      <w:r>
        <w:t xml:space="preserve"> (in the bell of the dome), Scenes from Genesis (of which </w:t>
      </w:r>
      <w:r w:rsidRPr="00F85BC6">
        <w:rPr>
          <w:i/>
        </w:rPr>
        <w:t>The Creation</w:t>
      </w:r>
      <w:r>
        <w:t xml:space="preserve"> forms part) around the upper segment of the vault surrounding </w:t>
      </w:r>
      <w:r w:rsidRPr="000B0A9F">
        <w:rPr>
          <w:i/>
        </w:rPr>
        <w:t>Paradise</w:t>
      </w:r>
      <w:r>
        <w:t xml:space="preserve">, and </w:t>
      </w:r>
      <w:r w:rsidRPr="000B0A9F">
        <w:rPr>
          <w:i/>
        </w:rPr>
        <w:t>The Lives of Jesus and John the Baptist</w:t>
      </w:r>
      <w:r>
        <w:t xml:space="preserve">, </w:t>
      </w:r>
      <w:r w:rsidRPr="00C20A9E">
        <w:rPr>
          <w:i/>
        </w:rPr>
        <w:t>Miracle of Pentecost</w:t>
      </w:r>
      <w:r>
        <w:t xml:space="preserve"> and m</w:t>
      </w:r>
      <w:r w:rsidRPr="00C20A9E">
        <w:t>otifs from</w:t>
      </w:r>
      <w:r w:rsidRPr="000B0A9F">
        <w:rPr>
          <w:i/>
        </w:rPr>
        <w:t xml:space="preserve"> </w:t>
      </w:r>
      <w:r w:rsidRPr="00C20A9E">
        <w:t>the Apocalypse.</w:t>
      </w:r>
      <w:r>
        <w:t xml:space="preserve"> </w:t>
      </w:r>
      <w:proofErr w:type="spellStart"/>
      <w:r w:rsidR="00E41197">
        <w:t>Menabuoi</w:t>
      </w:r>
      <w:proofErr w:type="spellEnd"/>
      <w:r w:rsidR="00E41197">
        <w:t xml:space="preserve"> </w:t>
      </w:r>
      <w:r>
        <w:t xml:space="preserve">was commissioned to decorate the Baptistery by Fina di </w:t>
      </w:r>
      <w:proofErr w:type="spellStart"/>
      <w:r>
        <w:t>Pataro</w:t>
      </w:r>
      <w:proofErr w:type="spellEnd"/>
      <w:r>
        <w:t xml:space="preserve"> </w:t>
      </w:r>
      <w:proofErr w:type="spellStart"/>
      <w:r>
        <w:t>Buzzacarina</w:t>
      </w:r>
      <w:proofErr w:type="spellEnd"/>
      <w:r>
        <w:t xml:space="preserve">, wife of the lord of Padua, probably for her tomb, which was situated against the West wall and towards which the Creator in </w:t>
      </w:r>
      <w:r w:rsidRPr="00C20A9E">
        <w:rPr>
          <w:i/>
        </w:rPr>
        <w:t>Paradise</w:t>
      </w:r>
      <w:r>
        <w:t xml:space="preserve"> and the figure of the Virgin Mary are oriented.</w:t>
      </w:r>
      <w:r>
        <w:rPr>
          <w:rStyle w:val="FootnoteReference"/>
        </w:rPr>
        <w:footnoteReference w:id="6"/>
      </w:r>
      <w:r>
        <w:t xml:space="preserve"> </w:t>
      </w:r>
    </w:p>
    <w:p w14:paraId="1A643B6C" w14:textId="77777777" w:rsidR="008E6BDF" w:rsidRDefault="008E6BDF" w:rsidP="006036EF"/>
    <w:p w14:paraId="6521825B" w14:textId="13EDC9DD" w:rsidR="006036EF" w:rsidRDefault="006036EF" w:rsidP="006036EF">
      <w:r w:rsidRPr="000B0A9F">
        <w:rPr>
          <w:i/>
        </w:rPr>
        <w:t>The Creation</w:t>
      </w:r>
      <w:r>
        <w:t xml:space="preserve"> shows the Creator against a golden sphere, surrounded by and perhaps supported by angels</w:t>
      </w:r>
      <w:r w:rsidR="00E41197">
        <w:t>;</w:t>
      </w:r>
      <w:r>
        <w:t xml:space="preserve"> (see Figure 1) his right hand is raised, blessing the newly created cosmos, towards which his </w:t>
      </w:r>
      <w:proofErr w:type="gramStart"/>
      <w:r>
        <w:t>left hand</w:t>
      </w:r>
      <w:proofErr w:type="gramEnd"/>
      <w:r>
        <w:t xml:space="preserve"> gestures, as if offering his creation to the viewer’s gaze. Only God’s</w:t>
      </w:r>
      <w:r w:rsidRPr="00454B8E">
        <w:t xml:space="preserve"> head, surrounded by a gold halo,</w:t>
      </w:r>
      <w:r>
        <w:t xml:space="preserve"> enters the dark blue space beyond. At his feet are a series of concentric circles. The outermost circle is dark blue containing the images of the zodiac, inside of which different colored circles follow depicting the planetary spheres. Below the 7 planetary spheres is a red circle – for the sun – and a blue circle with 8 cloud-like shapes depicting the winds.</w:t>
      </w:r>
      <w:r>
        <w:rPr>
          <w:rStyle w:val="FootnoteReference"/>
        </w:rPr>
        <w:footnoteReference w:id="7"/>
      </w:r>
      <w:r>
        <w:t xml:space="preserve"> The innermost circle contains a realistic map of the world, one of the first realistic maps to be used in a Creation scene</w:t>
      </w:r>
      <w:r w:rsidRPr="00804B38">
        <w:t xml:space="preserve">. </w:t>
      </w:r>
      <w:r w:rsidRPr="00804B38">
        <w:rPr>
          <w:rStyle w:val="FootnoteReference"/>
        </w:rPr>
        <w:footnoteReference w:id="8"/>
      </w:r>
    </w:p>
    <w:p w14:paraId="5192B912" w14:textId="77777777" w:rsidR="006036EF" w:rsidRDefault="006036EF" w:rsidP="006036EF">
      <w:pPr>
        <w:spacing w:line="259" w:lineRule="auto"/>
      </w:pPr>
    </w:p>
    <w:p w14:paraId="04D2C37B" w14:textId="77777777" w:rsidR="006036EF" w:rsidRPr="0082006E" w:rsidRDefault="006036EF" w:rsidP="006036EF">
      <w:pPr>
        <w:pStyle w:val="Heading1"/>
        <w:spacing w:before="0"/>
        <w:rPr>
          <w:color w:val="auto"/>
          <w:sz w:val="22"/>
          <w:szCs w:val="22"/>
        </w:rPr>
      </w:pPr>
      <w:r>
        <w:rPr>
          <w:noProof/>
        </w:rPr>
        <w:drawing>
          <wp:inline distT="0" distB="0" distL="0" distR="0" wp14:anchorId="2077E1E7" wp14:editId="32220CE5">
            <wp:extent cx="3647440" cy="43599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ttistero_5_--.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80403" cy="4399312"/>
                    </a:xfrm>
                    <a:prstGeom prst="rect">
                      <a:avLst/>
                    </a:prstGeom>
                  </pic:spPr>
                </pic:pic>
              </a:graphicData>
            </a:graphic>
          </wp:inline>
        </w:drawing>
      </w:r>
      <w:r w:rsidRPr="0082006E">
        <w:rPr>
          <w:color w:val="auto"/>
          <w:sz w:val="22"/>
          <w:szCs w:val="22"/>
        </w:rPr>
        <w:t xml:space="preserve"> </w:t>
      </w:r>
    </w:p>
    <w:p w14:paraId="24A1F44A" w14:textId="6BE30A35" w:rsidR="006036EF" w:rsidRDefault="006036EF" w:rsidP="006036EF">
      <w:pPr>
        <w:pStyle w:val="Heading1"/>
        <w:spacing w:before="0"/>
      </w:pPr>
      <w:r w:rsidRPr="0082006E">
        <w:rPr>
          <w:color w:val="auto"/>
          <w:sz w:val="22"/>
          <w:szCs w:val="22"/>
        </w:rPr>
        <w:t xml:space="preserve">Figure 1. Giusto de’ </w:t>
      </w:r>
      <w:proofErr w:type="spellStart"/>
      <w:r w:rsidRPr="0082006E">
        <w:rPr>
          <w:color w:val="auto"/>
          <w:sz w:val="22"/>
          <w:szCs w:val="22"/>
        </w:rPr>
        <w:t>Menabuoi</w:t>
      </w:r>
      <w:proofErr w:type="spellEnd"/>
      <w:r w:rsidRPr="0082006E">
        <w:rPr>
          <w:color w:val="auto"/>
          <w:sz w:val="22"/>
          <w:szCs w:val="22"/>
        </w:rPr>
        <w:t>, (c. 1350), The</w:t>
      </w:r>
      <w:r>
        <w:rPr>
          <w:color w:val="auto"/>
          <w:sz w:val="22"/>
          <w:szCs w:val="22"/>
        </w:rPr>
        <w:t xml:space="preserve"> Creation of the World, </w:t>
      </w:r>
      <w:r w:rsidR="007B7C40">
        <w:rPr>
          <w:color w:val="auto"/>
          <w:sz w:val="22"/>
          <w:szCs w:val="22"/>
        </w:rPr>
        <w:t xml:space="preserve">fresco. </w:t>
      </w:r>
      <w:r>
        <w:rPr>
          <w:color w:val="auto"/>
          <w:sz w:val="22"/>
          <w:szCs w:val="22"/>
        </w:rPr>
        <w:t xml:space="preserve">Photograph: </w:t>
      </w:r>
      <w:proofErr w:type="spellStart"/>
      <w:r>
        <w:rPr>
          <w:color w:val="auto"/>
          <w:sz w:val="22"/>
          <w:szCs w:val="22"/>
        </w:rPr>
        <w:t>Revolvy</w:t>
      </w:r>
      <w:proofErr w:type="spellEnd"/>
      <w:r>
        <w:rPr>
          <w:color w:val="auto"/>
          <w:sz w:val="22"/>
          <w:szCs w:val="22"/>
        </w:rPr>
        <w:t>.</w:t>
      </w:r>
    </w:p>
    <w:p w14:paraId="742593F8" w14:textId="77777777" w:rsidR="006036EF" w:rsidRPr="00D46840" w:rsidRDefault="006036EF" w:rsidP="006036EF"/>
    <w:p w14:paraId="60AA902C" w14:textId="77777777" w:rsidR="006036EF" w:rsidRDefault="006036EF" w:rsidP="006036EF">
      <w:pPr>
        <w:pStyle w:val="Heading1"/>
        <w:spacing w:before="0"/>
      </w:pPr>
      <w:r>
        <w:t>Room of the Arts and Planets</w:t>
      </w:r>
    </w:p>
    <w:p w14:paraId="0A69C43A" w14:textId="77777777" w:rsidR="006036EF" w:rsidRDefault="006036EF" w:rsidP="006036EF"/>
    <w:p w14:paraId="16998930" w14:textId="212515B9" w:rsidR="006036EF" w:rsidRDefault="006036EF" w:rsidP="006036EF">
      <w:r>
        <w:t xml:space="preserve">The painted rooms of the Palazzo </w:t>
      </w:r>
      <w:proofErr w:type="spellStart"/>
      <w:r>
        <w:t>Trinci</w:t>
      </w:r>
      <w:proofErr w:type="spellEnd"/>
      <w:r>
        <w:t xml:space="preserve"> are dated to around 1410-1415; </w:t>
      </w:r>
      <w:r>
        <w:rPr>
          <w:rStyle w:val="FootnoteReference"/>
        </w:rPr>
        <w:footnoteReference w:id="9"/>
      </w:r>
      <w:r>
        <w:t xml:space="preserve"> the artist is unknown, but may have been Gentile da </w:t>
      </w:r>
      <w:proofErr w:type="spellStart"/>
      <w:r>
        <w:t>Fabriano</w:t>
      </w:r>
      <w:proofErr w:type="spellEnd"/>
      <w:r>
        <w:t xml:space="preserve"> (1370-1427).</w:t>
      </w:r>
      <w:r>
        <w:rPr>
          <w:rStyle w:val="FootnoteReference"/>
        </w:rPr>
        <w:footnoteReference w:id="10"/>
      </w:r>
      <w:r>
        <w:t xml:space="preserve"> </w:t>
      </w:r>
      <w:r w:rsidRPr="00ED4719">
        <w:rPr>
          <w:i/>
        </w:rPr>
        <w:t>The Room of the Arts and Planets</w:t>
      </w:r>
      <w:r>
        <w:t xml:space="preserve"> (a modern name for the room, which may initially have been named the </w:t>
      </w:r>
      <w:r w:rsidRPr="00ED4719">
        <w:rPr>
          <w:i/>
        </w:rPr>
        <w:t xml:space="preserve">Camera </w:t>
      </w:r>
      <w:proofErr w:type="spellStart"/>
      <w:r w:rsidRPr="00ED4719">
        <w:rPr>
          <w:i/>
        </w:rPr>
        <w:t>delle</w:t>
      </w:r>
      <w:proofErr w:type="spellEnd"/>
      <w:r w:rsidRPr="00ED4719">
        <w:rPr>
          <w:i/>
        </w:rPr>
        <w:t xml:space="preserve"> Rose</w:t>
      </w:r>
      <w:r>
        <w:t>) has frescoes on all four walls, depicting the Liberal Arts - personified as women sitting on elaborate thrones – and the zodiacal planetary Gods. The sequence is as follows, left to right on entering through the loggia: Rhetoric, Arithmetic, Astronomy, Philosophy (the identity is lost, but assumed to be Philosophy), Geometry, Music, Dialectic, Grammar (see Figure 4),  The Moon, Mars, Mercury, Jupiter, (see Figure 2) Venus, Saturn, and finally the Sun on the other side of the loggia entrance</w:t>
      </w:r>
      <w:r w:rsidR="00E41197">
        <w:t xml:space="preserve"> (see Figure 3)</w:t>
      </w:r>
      <w:r>
        <w:t>.</w:t>
      </w:r>
      <w:r>
        <w:rPr>
          <w:rStyle w:val="FootnoteReference"/>
        </w:rPr>
        <w:footnoteReference w:id="11"/>
      </w:r>
      <w:r>
        <w:t xml:space="preserve"> </w:t>
      </w:r>
      <w:r w:rsidRPr="00856FF9">
        <w:t>Below</w:t>
      </w:r>
      <w:r>
        <w:t xml:space="preserve"> the figures, in a frieze that runs all around the room, are verses in Latin, Greek and French. Small roundels of varying sizes and positions seems to float next to the </w:t>
      </w:r>
      <w:r w:rsidR="00E41197">
        <w:t>p</w:t>
      </w:r>
      <w:r>
        <w:t xml:space="preserve">lanetary gods; in each is a depiction of one of the 7 ages of man (see Figure 5.) Around the outside of this image is a green sphere, followed by a sphere half white, half dark, within which is a golden sun, and finally a blue sphere for the circumference. </w:t>
      </w:r>
    </w:p>
    <w:p w14:paraId="1B30BF0C" w14:textId="5E1DF59C" w:rsidR="006036EF" w:rsidRDefault="006036EF" w:rsidP="006036EF">
      <w:pPr>
        <w:jc w:val="center"/>
      </w:pPr>
      <w:r>
        <w:rPr>
          <w:noProof/>
        </w:rPr>
        <w:drawing>
          <wp:inline distT="0" distB="0" distL="0" distR="0" wp14:anchorId="5F558CF3" wp14:editId="700D255C">
            <wp:extent cx="4829175" cy="3419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oon to Jupiter.jpg"/>
                    <pic:cNvPicPr/>
                  </pic:nvPicPr>
                  <pic:blipFill>
                    <a:blip r:embed="rId10">
                      <a:extLst>
                        <a:ext uri="{28A0092B-C50C-407E-A947-70E740481C1C}">
                          <a14:useLocalDpi xmlns:a14="http://schemas.microsoft.com/office/drawing/2010/main" val="0"/>
                        </a:ext>
                      </a:extLst>
                    </a:blip>
                    <a:stretch>
                      <a:fillRect/>
                    </a:stretch>
                  </pic:blipFill>
                  <pic:spPr>
                    <a:xfrm>
                      <a:off x="0" y="0"/>
                      <a:ext cx="4829175" cy="3419475"/>
                    </a:xfrm>
                    <a:prstGeom prst="rect">
                      <a:avLst/>
                    </a:prstGeom>
                  </pic:spPr>
                </pic:pic>
              </a:graphicData>
            </a:graphic>
          </wp:inline>
        </w:drawing>
      </w:r>
    </w:p>
    <w:p w14:paraId="3E644E18" w14:textId="77777777" w:rsidR="008E6BDF" w:rsidRDefault="008E6BDF" w:rsidP="006036EF">
      <w:pPr>
        <w:jc w:val="center"/>
      </w:pPr>
    </w:p>
    <w:p w14:paraId="381DE336" w14:textId="77777777" w:rsidR="006036EF" w:rsidRDefault="006036EF" w:rsidP="006036EF">
      <w:pPr>
        <w:jc w:val="center"/>
      </w:pPr>
      <w:r>
        <w:rPr>
          <w:noProof/>
        </w:rPr>
        <w:drawing>
          <wp:inline distT="0" distB="0" distL="0" distR="0" wp14:anchorId="435F2785" wp14:editId="347BDEC7">
            <wp:extent cx="4962525" cy="2660650"/>
            <wp:effectExtent l="0" t="0" r="952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ercury to Sun.jpg"/>
                    <pic:cNvPicPr/>
                  </pic:nvPicPr>
                  <pic:blipFill>
                    <a:blip r:embed="rId11">
                      <a:extLst>
                        <a:ext uri="{28A0092B-C50C-407E-A947-70E740481C1C}">
                          <a14:useLocalDpi xmlns:a14="http://schemas.microsoft.com/office/drawing/2010/main" val="0"/>
                        </a:ext>
                      </a:extLst>
                    </a:blip>
                    <a:stretch>
                      <a:fillRect/>
                    </a:stretch>
                  </pic:blipFill>
                  <pic:spPr>
                    <a:xfrm>
                      <a:off x="0" y="0"/>
                      <a:ext cx="4962525" cy="2660650"/>
                    </a:xfrm>
                    <a:prstGeom prst="rect">
                      <a:avLst/>
                    </a:prstGeom>
                  </pic:spPr>
                </pic:pic>
              </a:graphicData>
            </a:graphic>
          </wp:inline>
        </w:drawing>
      </w:r>
    </w:p>
    <w:p w14:paraId="6DA25CC4" w14:textId="70207B46" w:rsidR="006036EF" w:rsidRDefault="006036EF" w:rsidP="006036EF">
      <w:r>
        <w:t xml:space="preserve">Figure 2 top. Painter unknown, Room of the Arts and Planets, (c.1410), </w:t>
      </w:r>
      <w:r w:rsidR="007B7C40">
        <w:t xml:space="preserve">fresco, </w:t>
      </w:r>
      <w:r>
        <w:t xml:space="preserve">showing The Moon, Mars, Mercury and Jupiter. Photo: Andrea </w:t>
      </w:r>
      <w:proofErr w:type="spellStart"/>
      <w:r>
        <w:t>Carloni</w:t>
      </w:r>
      <w:proofErr w:type="spellEnd"/>
      <w:r>
        <w:t>.</w:t>
      </w:r>
    </w:p>
    <w:p w14:paraId="7EA6BFED" w14:textId="77777777" w:rsidR="008E6BDF" w:rsidRDefault="008E6BDF" w:rsidP="006036EF"/>
    <w:p w14:paraId="08CDB65B" w14:textId="39B7DEB1" w:rsidR="006036EF" w:rsidRDefault="006036EF" w:rsidP="006036EF">
      <w:r>
        <w:t xml:space="preserve">Figure 3 bottom. Painter unknown, Room of the Arts and Planets, (c.1410), </w:t>
      </w:r>
      <w:r w:rsidR="007B7C40">
        <w:t xml:space="preserve">fresco, </w:t>
      </w:r>
      <w:r>
        <w:t xml:space="preserve">showing Mercury, and Jupiter, Venus (lost), Saturn and The Sun. Photo: Andrea </w:t>
      </w:r>
      <w:proofErr w:type="spellStart"/>
      <w:r>
        <w:t>Carloni</w:t>
      </w:r>
      <w:proofErr w:type="spellEnd"/>
      <w:r>
        <w:t>.</w:t>
      </w:r>
    </w:p>
    <w:p w14:paraId="56D96AF1" w14:textId="77777777" w:rsidR="006036EF" w:rsidRDefault="006036EF" w:rsidP="006036EF">
      <w:pPr>
        <w:jc w:val="center"/>
      </w:pPr>
      <w:r>
        <w:rPr>
          <w:noProof/>
        </w:rPr>
        <w:drawing>
          <wp:inline distT="0" distB="0" distL="0" distR="0" wp14:anchorId="0F1E3A62" wp14:editId="15B27D06">
            <wp:extent cx="5010150" cy="30003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e Arts.jpg"/>
                    <pic:cNvPicPr/>
                  </pic:nvPicPr>
                  <pic:blipFill>
                    <a:blip r:embed="rId12">
                      <a:extLst>
                        <a:ext uri="{28A0092B-C50C-407E-A947-70E740481C1C}">
                          <a14:useLocalDpi xmlns:a14="http://schemas.microsoft.com/office/drawing/2010/main" val="0"/>
                        </a:ext>
                      </a:extLst>
                    </a:blip>
                    <a:stretch>
                      <a:fillRect/>
                    </a:stretch>
                  </pic:blipFill>
                  <pic:spPr>
                    <a:xfrm>
                      <a:off x="0" y="0"/>
                      <a:ext cx="5010150" cy="3000375"/>
                    </a:xfrm>
                    <a:prstGeom prst="rect">
                      <a:avLst/>
                    </a:prstGeom>
                  </pic:spPr>
                </pic:pic>
              </a:graphicData>
            </a:graphic>
          </wp:inline>
        </w:drawing>
      </w:r>
    </w:p>
    <w:p w14:paraId="6DE88DFE" w14:textId="4F3DF269" w:rsidR="006036EF" w:rsidRDefault="006036EF" w:rsidP="006036EF">
      <w:r>
        <w:t xml:space="preserve">Figure 4. Painter unknown, Room of the Arts and Planets, (c.1410), </w:t>
      </w:r>
      <w:r w:rsidR="007B7C40">
        <w:t xml:space="preserve">fresco, </w:t>
      </w:r>
      <w:r>
        <w:t xml:space="preserve">showing Astronomy (centre right), Philosophy and Geometry. Photo: Andrea </w:t>
      </w:r>
      <w:proofErr w:type="spellStart"/>
      <w:r>
        <w:t>Carloni</w:t>
      </w:r>
      <w:proofErr w:type="spellEnd"/>
      <w:r>
        <w:t>.</w:t>
      </w:r>
    </w:p>
    <w:p w14:paraId="0D9C3F70" w14:textId="77777777" w:rsidR="006036EF" w:rsidRDefault="006036EF" w:rsidP="006036EF">
      <w:pPr>
        <w:pStyle w:val="Heading1"/>
      </w:pPr>
    </w:p>
    <w:p w14:paraId="3E3A7066" w14:textId="77777777" w:rsidR="006036EF" w:rsidRPr="002D43EC" w:rsidRDefault="006036EF" w:rsidP="006036EF"/>
    <w:p w14:paraId="62F6C22F" w14:textId="77777777" w:rsidR="006036EF" w:rsidRDefault="006036EF" w:rsidP="006036EF">
      <w:pPr>
        <w:pStyle w:val="Heading1"/>
        <w:spacing w:before="0"/>
        <w:jc w:val="center"/>
      </w:pPr>
      <w:r>
        <w:rPr>
          <w:noProof/>
        </w:rPr>
        <w:drawing>
          <wp:inline distT="0" distB="0" distL="0" distR="0" wp14:anchorId="7B73043A" wp14:editId="067615FE">
            <wp:extent cx="2695575" cy="27146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41828258_1f0b755ba7_q.jpg"/>
                    <pic:cNvPicPr/>
                  </pic:nvPicPr>
                  <pic:blipFill>
                    <a:blip r:embed="rId13">
                      <a:extLst>
                        <a:ext uri="{28A0092B-C50C-407E-A947-70E740481C1C}">
                          <a14:useLocalDpi xmlns:a14="http://schemas.microsoft.com/office/drawing/2010/main" val="0"/>
                        </a:ext>
                      </a:extLst>
                    </a:blip>
                    <a:stretch>
                      <a:fillRect/>
                    </a:stretch>
                  </pic:blipFill>
                  <pic:spPr>
                    <a:xfrm>
                      <a:off x="0" y="0"/>
                      <a:ext cx="2695575" cy="2714625"/>
                    </a:xfrm>
                    <a:prstGeom prst="rect">
                      <a:avLst/>
                    </a:prstGeom>
                  </pic:spPr>
                </pic:pic>
              </a:graphicData>
            </a:graphic>
          </wp:inline>
        </w:drawing>
      </w:r>
    </w:p>
    <w:p w14:paraId="2F8469B4" w14:textId="77777777" w:rsidR="006036EF" w:rsidRDefault="006036EF" w:rsidP="006036EF"/>
    <w:p w14:paraId="05D7F610" w14:textId="02DAE2ED" w:rsidR="006036EF" w:rsidRDefault="006036EF" w:rsidP="006036EF">
      <w:r>
        <w:t>Figure 5. Painter unknown, Decrepitude, Room of the Arts and Planets, (c.1410)</w:t>
      </w:r>
      <w:r w:rsidR="007B7C40">
        <w:t>, fresco</w:t>
      </w:r>
      <w:r>
        <w:t xml:space="preserve">. Photo: Andrea </w:t>
      </w:r>
      <w:proofErr w:type="spellStart"/>
      <w:r>
        <w:t>Carloni</w:t>
      </w:r>
      <w:proofErr w:type="spellEnd"/>
      <w:r>
        <w:t>.</w:t>
      </w:r>
    </w:p>
    <w:p w14:paraId="490764DB" w14:textId="77777777" w:rsidR="006036EF" w:rsidRDefault="006036EF" w:rsidP="006036EF"/>
    <w:p w14:paraId="3BB5035F" w14:textId="77777777" w:rsidR="006036EF" w:rsidRDefault="006036EF" w:rsidP="006036EF"/>
    <w:p w14:paraId="2A4F16E0" w14:textId="77777777" w:rsidR="006036EF" w:rsidRDefault="006036EF" w:rsidP="006036EF"/>
    <w:p w14:paraId="372D4E2A" w14:textId="77777777" w:rsidR="006036EF" w:rsidRDefault="006036EF" w:rsidP="006036EF">
      <w:pPr>
        <w:jc w:val="center"/>
      </w:pPr>
    </w:p>
    <w:p w14:paraId="601C8356" w14:textId="77777777" w:rsidR="006036EF" w:rsidRDefault="006036EF" w:rsidP="006036EF">
      <w:pPr>
        <w:pStyle w:val="Heading1"/>
        <w:spacing w:before="0"/>
        <w:jc w:val="center"/>
        <w:rPr>
          <w:color w:val="auto"/>
          <w:sz w:val="22"/>
          <w:szCs w:val="22"/>
        </w:rPr>
      </w:pPr>
      <w:r>
        <w:rPr>
          <w:noProof/>
        </w:rPr>
        <w:drawing>
          <wp:inline distT="0" distB="0" distL="0" distR="0" wp14:anchorId="7B365A8E" wp14:editId="6F3CFD02">
            <wp:extent cx="3686175" cy="41052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aptistery 'Paradise'.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86175" cy="4105275"/>
                    </a:xfrm>
                    <a:prstGeom prst="rect">
                      <a:avLst/>
                    </a:prstGeom>
                  </pic:spPr>
                </pic:pic>
              </a:graphicData>
            </a:graphic>
          </wp:inline>
        </w:drawing>
      </w:r>
    </w:p>
    <w:p w14:paraId="40E77187" w14:textId="3008CB1D" w:rsidR="006036EF" w:rsidRPr="0082006E" w:rsidRDefault="006036EF" w:rsidP="006036EF">
      <w:pPr>
        <w:pStyle w:val="Heading1"/>
        <w:spacing w:before="0"/>
        <w:jc w:val="center"/>
        <w:rPr>
          <w:color w:val="auto"/>
          <w:sz w:val="22"/>
          <w:szCs w:val="22"/>
        </w:rPr>
      </w:pPr>
      <w:r w:rsidRPr="0082006E">
        <w:rPr>
          <w:color w:val="auto"/>
          <w:sz w:val="22"/>
          <w:szCs w:val="22"/>
        </w:rPr>
        <w:t xml:space="preserve">Figure </w:t>
      </w:r>
      <w:r>
        <w:rPr>
          <w:color w:val="auto"/>
          <w:sz w:val="22"/>
          <w:szCs w:val="22"/>
        </w:rPr>
        <w:t>6</w:t>
      </w:r>
      <w:r w:rsidRPr="0082006E">
        <w:rPr>
          <w:color w:val="auto"/>
          <w:sz w:val="22"/>
          <w:szCs w:val="22"/>
        </w:rPr>
        <w:t xml:space="preserve">. Giusto de’ </w:t>
      </w:r>
      <w:proofErr w:type="spellStart"/>
      <w:r w:rsidRPr="0082006E">
        <w:rPr>
          <w:color w:val="auto"/>
          <w:sz w:val="22"/>
          <w:szCs w:val="22"/>
        </w:rPr>
        <w:t>Menabuoi</w:t>
      </w:r>
      <w:proofErr w:type="spellEnd"/>
      <w:r w:rsidRPr="0082006E">
        <w:rPr>
          <w:color w:val="auto"/>
          <w:sz w:val="22"/>
          <w:szCs w:val="22"/>
        </w:rPr>
        <w:t xml:space="preserve">, (c. 1350), </w:t>
      </w:r>
      <w:r>
        <w:rPr>
          <w:color w:val="auto"/>
          <w:sz w:val="22"/>
          <w:szCs w:val="22"/>
        </w:rPr>
        <w:t xml:space="preserve">Padua Baptistery ceiling, </w:t>
      </w:r>
      <w:r w:rsidR="007B7C40">
        <w:rPr>
          <w:color w:val="auto"/>
          <w:sz w:val="22"/>
          <w:szCs w:val="22"/>
        </w:rPr>
        <w:t xml:space="preserve">fresco, </w:t>
      </w:r>
      <w:r>
        <w:rPr>
          <w:color w:val="auto"/>
          <w:sz w:val="22"/>
          <w:szCs w:val="22"/>
        </w:rPr>
        <w:t>showing Paradise, The Virgin and The Creation of the World</w:t>
      </w:r>
      <w:r w:rsidRPr="0082006E">
        <w:rPr>
          <w:color w:val="auto"/>
          <w:sz w:val="22"/>
          <w:szCs w:val="22"/>
        </w:rPr>
        <w:t xml:space="preserve">. Photo: </w:t>
      </w:r>
      <w:r>
        <w:rPr>
          <w:color w:val="auto"/>
          <w:sz w:val="22"/>
          <w:szCs w:val="22"/>
        </w:rPr>
        <w:t xml:space="preserve">Mauro </w:t>
      </w:r>
      <w:proofErr w:type="spellStart"/>
      <w:r>
        <w:rPr>
          <w:color w:val="auto"/>
          <w:sz w:val="22"/>
          <w:szCs w:val="22"/>
        </w:rPr>
        <w:t>Magliani</w:t>
      </w:r>
      <w:proofErr w:type="spellEnd"/>
      <w:r>
        <w:rPr>
          <w:color w:val="auto"/>
          <w:sz w:val="22"/>
          <w:szCs w:val="22"/>
        </w:rPr>
        <w:t>.</w:t>
      </w:r>
    </w:p>
    <w:p w14:paraId="09FB287B" w14:textId="77777777" w:rsidR="006036EF" w:rsidRDefault="006036EF" w:rsidP="006036EF"/>
    <w:p w14:paraId="034CA166" w14:textId="77777777" w:rsidR="006036EF" w:rsidRDefault="006036EF" w:rsidP="006036EF">
      <w:pPr>
        <w:pStyle w:val="Heading1"/>
        <w:spacing w:before="0"/>
        <w:ind w:left="720" w:hanging="720"/>
      </w:pPr>
      <w:r>
        <w:t>A Map of the Cosmos</w:t>
      </w:r>
    </w:p>
    <w:p w14:paraId="2DD867B3" w14:textId="77777777" w:rsidR="006036EF" w:rsidRDefault="006036EF" w:rsidP="006036EF"/>
    <w:p w14:paraId="620F06DC" w14:textId="103CB70F" w:rsidR="006036EF" w:rsidRDefault="006036EF" w:rsidP="006036EF">
      <w:r>
        <w:t xml:space="preserve">Campion states that astrology ‘flourished’ alongside the Medieval Church, and the prominent circle of the zodiac signs in </w:t>
      </w:r>
      <w:r w:rsidRPr="006816C6">
        <w:rPr>
          <w:i/>
        </w:rPr>
        <w:t>The Creation</w:t>
      </w:r>
      <w:r>
        <w:rPr>
          <w:i/>
        </w:rPr>
        <w:t xml:space="preserve"> </w:t>
      </w:r>
      <w:r w:rsidRPr="00927467">
        <w:t>seem to bear witness to this</w:t>
      </w:r>
      <w:r>
        <w:t xml:space="preserve"> ‘flourishing’, even within the Church. As a compositional element the signs of the zodiac are emphasised by colour – they are white, like the angels, in an otherwise richly coloured composition - and by the repetition of the circular form, both within </w:t>
      </w:r>
      <w:r w:rsidRPr="00927467">
        <w:rPr>
          <w:i/>
        </w:rPr>
        <w:t>the Creation</w:t>
      </w:r>
      <w:r>
        <w:t xml:space="preserve"> and in the way the circles and spheres of </w:t>
      </w:r>
      <w:r w:rsidRPr="00927467">
        <w:rPr>
          <w:i/>
        </w:rPr>
        <w:t>the Creation</w:t>
      </w:r>
      <w:r>
        <w:t xml:space="preserve"> echo the circles around </w:t>
      </w:r>
      <w:r w:rsidRPr="00927467">
        <w:rPr>
          <w:i/>
        </w:rPr>
        <w:t>Paradise</w:t>
      </w:r>
      <w:r>
        <w:t xml:space="preserve"> (Figures 1 and 6.) </w:t>
      </w:r>
      <w:proofErr w:type="spellStart"/>
      <w:r>
        <w:t>Poeschke</w:t>
      </w:r>
      <w:proofErr w:type="spellEnd"/>
      <w:r>
        <w:t xml:space="preserve"> suggests that they are simply symbolic of the fixed stars, however it seems clear that they are meant to be the signs of the zodiac, because, as noted by </w:t>
      </w:r>
      <w:proofErr w:type="spellStart"/>
      <w:r>
        <w:t>Lipincott</w:t>
      </w:r>
      <w:proofErr w:type="spellEnd"/>
      <w:r>
        <w:t>, if the spheres beneath God’s feet are read like a natal chart, they mark the date of Creation – that is, the world’s ‘birthday’.</w:t>
      </w:r>
      <w:r>
        <w:rPr>
          <w:rStyle w:val="FootnoteReference"/>
        </w:rPr>
        <w:footnoteReference w:id="12"/>
      </w:r>
      <w:r>
        <w:t xml:space="preserve"> It is hard to imagine a more important moment than the moment of Creation; that this moment should be depicted astrologically, speaks both to the all-pervasive nature of astrology at the time, as well as to its role as a symbolic language – the viewer would be expected to make the connection between the Ascendant at the far left of the spheres marking the moment of birth, the sign of Aries, denoting Spring and also, according to Lippincott, the date of the Annunciation (March 25).</w:t>
      </w:r>
      <w:r>
        <w:rPr>
          <w:rStyle w:val="FootnoteReference"/>
        </w:rPr>
        <w:footnoteReference w:id="13"/>
      </w:r>
      <w:r>
        <w:t>The image of a natal chart is striking in this composition, because of its association with horoscopic and predictive astrology. The idea that an individual’s character was determined astrologically was problematic for Christian theology as it implied, amongst other things, limitations on free will and had implications on the soul’s salvation or damnation.</w:t>
      </w:r>
      <w:r>
        <w:rPr>
          <w:rStyle w:val="FootnoteReference"/>
        </w:rPr>
        <w:footnoteReference w:id="14"/>
      </w:r>
      <w:r>
        <w:t xml:space="preserve"> Indeed, less than 50 years before the decoration of the Baptistery, Pietro </w:t>
      </w:r>
      <w:proofErr w:type="spellStart"/>
      <w:r>
        <w:t>d’Abano</w:t>
      </w:r>
      <w:proofErr w:type="spellEnd"/>
      <w:r>
        <w:t xml:space="preserve"> a teacher </w:t>
      </w:r>
      <w:r w:rsidR="00A3770F">
        <w:t>instrumental in bringing</w:t>
      </w:r>
      <w:r>
        <w:t xml:space="preserve"> astrological learning to Padua from Paris</w:t>
      </w:r>
      <w:r w:rsidR="00A3770F">
        <w:t xml:space="preserve">, who had </w:t>
      </w:r>
      <w:r>
        <w:t>‘enchant[ed] the entire Paduan society with the new doctrines’</w:t>
      </w:r>
      <w:r w:rsidR="00A3770F">
        <w:t>,</w:t>
      </w:r>
      <w:r>
        <w:t xml:space="preserve"> was sentenced to death for the heretical implications of those same doctrines.</w:t>
      </w:r>
      <w:r>
        <w:rPr>
          <w:rStyle w:val="FootnoteReference"/>
        </w:rPr>
        <w:footnoteReference w:id="15"/>
      </w:r>
    </w:p>
    <w:p w14:paraId="1C6A929E" w14:textId="77777777" w:rsidR="008E6BDF" w:rsidRDefault="008E6BDF" w:rsidP="006036EF"/>
    <w:p w14:paraId="49CB3D28" w14:textId="1D48C12F" w:rsidR="008E6BDF" w:rsidRDefault="006036EF" w:rsidP="006036EF">
      <w:r>
        <w:t xml:space="preserve">Nonetheless, the astrological imagery in </w:t>
      </w:r>
      <w:r w:rsidRPr="002000A5">
        <w:rPr>
          <w:i/>
        </w:rPr>
        <w:t>The Creation</w:t>
      </w:r>
      <w:r>
        <w:t xml:space="preserve"> is clear; as an illustration of </w:t>
      </w:r>
      <w:r w:rsidRPr="007D27B8">
        <w:rPr>
          <w:i/>
        </w:rPr>
        <w:t>how</w:t>
      </w:r>
      <w:r>
        <w:t xml:space="preserve"> the cosmos was created, it shows God setting the cosmic spheres in motion - He is both Aristotle’s ‘Prime Mover’ and the God of </w:t>
      </w:r>
      <w:r w:rsidRPr="000F4F84">
        <w:rPr>
          <w:i/>
        </w:rPr>
        <w:t>The Bible</w:t>
      </w:r>
      <w:r>
        <w:t xml:space="preserve">, blessing and seeming to offer to the viewer a vision of an ordered, ‘astrological’ universe. As an illustration of </w:t>
      </w:r>
      <w:r w:rsidRPr="005548C1">
        <w:rPr>
          <w:i/>
        </w:rPr>
        <w:t>what</w:t>
      </w:r>
      <w:r>
        <w:t xml:space="preserve"> was created, the planetary spheres are shown encircling the earth and exerting their influence on the sub-lunar sphere. This influence was widely accepted in the Medieval </w:t>
      </w:r>
      <w:r w:rsidR="00A3770F">
        <w:t>mind</w:t>
      </w:r>
      <w:r>
        <w:t xml:space="preserve"> – the Dominican monk, Magus Albertus (1200-1280) wrote, for example, that ‘The stars…have the power to alter the elements, to change the complexion of men, to affect human mutations, and moreover, to provoke an inclination to action and even to determine the issue of battles’.</w:t>
      </w:r>
      <w:r>
        <w:rPr>
          <w:rStyle w:val="FootnoteReference"/>
        </w:rPr>
        <w:footnoteReference w:id="16"/>
      </w:r>
      <w:r>
        <w:t xml:space="preserve"> What was debatable, was how far that influence extended. Notably, in </w:t>
      </w:r>
      <w:r w:rsidRPr="006257E9">
        <w:rPr>
          <w:i/>
        </w:rPr>
        <w:t>The Creation</w:t>
      </w:r>
      <w:r>
        <w:t xml:space="preserve">, God is outside His creation, underlining His omnipotence; God’s head is outside even the sphere of the Empyrean – the principal of planetary influence was not heretical as long as God’s influence was </w:t>
      </w:r>
      <w:proofErr w:type="gramStart"/>
      <w:r>
        <w:t>superior</w:t>
      </w:r>
      <w:proofErr w:type="gramEnd"/>
      <w:r>
        <w:t xml:space="preserve"> and the human soul had choice. Campion states that </w:t>
      </w:r>
    </w:p>
    <w:p w14:paraId="758705AD" w14:textId="3F876F72" w:rsidR="006036EF" w:rsidRDefault="006036EF" w:rsidP="006036EF">
      <w:r>
        <w:t xml:space="preserve"> </w:t>
      </w:r>
    </w:p>
    <w:p w14:paraId="57F1C34B" w14:textId="14F61215" w:rsidR="006036EF" w:rsidRDefault="006036EF" w:rsidP="006036EF">
      <w:pPr>
        <w:ind w:left="720"/>
      </w:pPr>
      <w:r>
        <w:t>‘</w:t>
      </w:r>
      <w:r w:rsidRPr="00927467">
        <w:t>Medieval cosmology was a combination of the classical and the scriptural</w:t>
      </w:r>
      <w:r>
        <w:t>…</w:t>
      </w:r>
      <w:r w:rsidRPr="00927467">
        <w:t xml:space="preserve"> the obvious point of agreement was provided by the logical extension of scriptural teachings that, if God was truly omnipotent, he could do whatever he wanted. If he wanted to set up a universe in which nature was governed by Aristotelian celestial motion and influences, he could do so.</w:t>
      </w:r>
      <w:r>
        <w:t>’</w:t>
      </w:r>
      <w:r w:rsidRPr="00927467">
        <w:t xml:space="preserve"> </w:t>
      </w:r>
      <w:r>
        <w:rPr>
          <w:rStyle w:val="FootnoteReference"/>
        </w:rPr>
        <w:footnoteReference w:id="17"/>
      </w:r>
    </w:p>
    <w:p w14:paraId="3F206E58" w14:textId="77777777" w:rsidR="008E6BDF" w:rsidRDefault="008E6BDF" w:rsidP="006036EF">
      <w:pPr>
        <w:ind w:left="720"/>
      </w:pPr>
    </w:p>
    <w:p w14:paraId="70DE016A" w14:textId="713D9A89" w:rsidR="006036EF" w:rsidRDefault="006036EF" w:rsidP="006036EF">
      <w:r>
        <w:t xml:space="preserve">Thus in </w:t>
      </w:r>
      <w:r w:rsidRPr="00094337">
        <w:rPr>
          <w:i/>
        </w:rPr>
        <w:t xml:space="preserve">The Creation </w:t>
      </w:r>
      <w:r>
        <w:t>we have just such a ‘combination’; one that includes Biblical understanding and an astrological, ‘scientific’ map of the cosmos, its accuracy perhaps emphasised by the new realistic map of the world drawn from observation from explorations.</w:t>
      </w:r>
      <w:r>
        <w:rPr>
          <w:rStyle w:val="FootnoteReference"/>
        </w:rPr>
        <w:footnoteReference w:id="18"/>
      </w:r>
      <w:r>
        <w:t xml:space="preserve">  The astrological map illustrates the very structure of the Cosmos and the forces affecting life on earth, which was, at this moment in what Campion calls astrology’s ’</w:t>
      </w:r>
      <w:r w:rsidRPr="00F07069">
        <w:t>crisis-ridden relationship with conservative Christian cosmology</w:t>
      </w:r>
      <w:r>
        <w:t xml:space="preserve">’, momentarily finding a truce in the composition of </w:t>
      </w:r>
      <w:r w:rsidRPr="003F2A1A">
        <w:rPr>
          <w:i/>
        </w:rPr>
        <w:t>The Creation</w:t>
      </w:r>
      <w:r>
        <w:t xml:space="preserve">, with God both as outside of the astrological cosmos and at its very heart, at the centre of </w:t>
      </w:r>
      <w:r w:rsidRPr="003F2A1A">
        <w:rPr>
          <w:i/>
        </w:rPr>
        <w:t>Paradise</w:t>
      </w:r>
      <w:r>
        <w:t>.</w:t>
      </w:r>
      <w:r>
        <w:rPr>
          <w:rStyle w:val="FootnoteReference"/>
        </w:rPr>
        <w:footnoteReference w:id="19"/>
      </w:r>
    </w:p>
    <w:p w14:paraId="635E6AD6" w14:textId="5A615221" w:rsidR="00B51394" w:rsidRDefault="00B51394" w:rsidP="006036EF"/>
    <w:p w14:paraId="629894A0" w14:textId="77777777" w:rsidR="00B953B2" w:rsidRDefault="00B953B2" w:rsidP="006036EF"/>
    <w:p w14:paraId="0FE9324D" w14:textId="38357154" w:rsidR="006036EF" w:rsidRDefault="006036EF" w:rsidP="006036EF">
      <w:pPr>
        <w:pStyle w:val="Heading1"/>
        <w:spacing w:before="0"/>
      </w:pPr>
      <w:r>
        <w:t>A Map of Time</w:t>
      </w:r>
    </w:p>
    <w:p w14:paraId="75497855" w14:textId="77777777" w:rsidR="00B51394" w:rsidRPr="00B51394" w:rsidRDefault="00B51394" w:rsidP="00B51394"/>
    <w:p w14:paraId="003B71F1" w14:textId="5A360115" w:rsidR="006036EF" w:rsidRDefault="006036EF" w:rsidP="006036EF">
      <w:r>
        <w:t xml:space="preserve">In the </w:t>
      </w:r>
      <w:r w:rsidRPr="002000A5">
        <w:rPr>
          <w:i/>
        </w:rPr>
        <w:t>Timaeus</w:t>
      </w:r>
      <w:r>
        <w:t xml:space="preserve">, Plato writes that that ‘the sun and moon and five other stars, which are called the planets, were created … in order to distinguish and preserve the numbers of time’ and it is to astrology’s role as an organising principal of Time – as both symbol and tool of Time keeping - to which this discussion will now turn in greater detail, examining the </w:t>
      </w:r>
      <w:r w:rsidRPr="000E7273">
        <w:rPr>
          <w:i/>
        </w:rPr>
        <w:t>Room of the Arts and Planets.</w:t>
      </w:r>
      <w:r w:rsidRPr="000E7273">
        <w:rPr>
          <w:rStyle w:val="FootnoteReference"/>
          <w:i/>
        </w:rPr>
        <w:footnoteReference w:id="20"/>
      </w:r>
      <w:r>
        <w:t xml:space="preserve"> </w:t>
      </w:r>
    </w:p>
    <w:p w14:paraId="64D457AC" w14:textId="77777777" w:rsidR="008E6BDF" w:rsidRDefault="008E6BDF" w:rsidP="006036EF"/>
    <w:p w14:paraId="038EE659" w14:textId="63FE3960" w:rsidR="006036EF" w:rsidRDefault="006036EF" w:rsidP="006036EF">
      <w:r>
        <w:t xml:space="preserve">If </w:t>
      </w:r>
      <w:proofErr w:type="gramStart"/>
      <w:r>
        <w:rPr>
          <w:i/>
        </w:rPr>
        <w:t>T</w:t>
      </w:r>
      <w:r w:rsidRPr="00486198">
        <w:rPr>
          <w:i/>
        </w:rPr>
        <w:t>he</w:t>
      </w:r>
      <w:proofErr w:type="gramEnd"/>
      <w:r w:rsidRPr="00486198">
        <w:rPr>
          <w:i/>
        </w:rPr>
        <w:t xml:space="preserve"> Creation</w:t>
      </w:r>
      <w:r>
        <w:t xml:space="preserve"> is in part a map of the cosmos, the </w:t>
      </w:r>
      <w:r w:rsidRPr="000E7273">
        <w:rPr>
          <w:i/>
        </w:rPr>
        <w:t>Room of the Arts and Planets</w:t>
      </w:r>
      <w:r>
        <w:t xml:space="preserve"> can be seen as a map of the cycles of time. Time is described astrologically, either directly – in the portraits of the planetary gods themselves – or indirectly through a complex system of </w:t>
      </w:r>
      <w:r w:rsidR="00A3770F">
        <w:t xml:space="preserve">neo-Platonic sympathies and </w:t>
      </w:r>
      <w:r>
        <w:t xml:space="preserve">associations. Here, instead of the frozen moment of Creation, there is an image of time racing and flowing. The vividly colored planetary gods all face the same way the same way and the course of their movement is begun and ended with the charging horse-drawn chariots of the Sun and Moon. </w:t>
      </w:r>
    </w:p>
    <w:p w14:paraId="379CE2C2" w14:textId="77777777" w:rsidR="00FA7945" w:rsidRDefault="00FA7945" w:rsidP="006036EF"/>
    <w:p w14:paraId="1C2795DD" w14:textId="2EA63C87" w:rsidR="006036EF" w:rsidRDefault="006036EF" w:rsidP="006036EF">
      <w:r>
        <w:t xml:space="preserve">The </w:t>
      </w:r>
      <w:r w:rsidR="00A3770F">
        <w:t>frescoes depict</w:t>
      </w:r>
      <w:r>
        <w:t xml:space="preserve"> a complex web of time periods; the passing year is perhaps most immediately apparent, as represented by the </w:t>
      </w:r>
      <w:r w:rsidR="00A3770F">
        <w:t>p</w:t>
      </w:r>
      <w:r>
        <w:t xml:space="preserve">lanetary </w:t>
      </w:r>
      <w:r w:rsidR="00A3770F">
        <w:t>g</w:t>
      </w:r>
      <w:r>
        <w:t xml:space="preserve">ods that rule the 12 zodiac signs of the year, but other time motifs are layered in.  The days of the week are indicated by the hebdomadal rather than astronomical/astrological order of the </w:t>
      </w:r>
      <w:r w:rsidR="00A3770F">
        <w:t>p</w:t>
      </w:r>
      <w:r>
        <w:t xml:space="preserve">lanets, that is, they are in a sequence relating to the days of the week (see below). In the roundels, next to their associated planets, are depicted the 7 Ages of Man. Sears states that ‘Man, the microcosm, was believed to have a sympathy with the planets, to be daily affected by their movements’ and that therefore ‘the idea emerged that each planet had dominion over a single phase of man. </w:t>
      </w:r>
      <w:r>
        <w:rPr>
          <w:rStyle w:val="FootnoteReference"/>
        </w:rPr>
        <w:footnoteReference w:id="21"/>
      </w:r>
      <w:r>
        <w:t xml:space="preserve"> Ptolemy lays out one series of correspondences in his </w:t>
      </w:r>
      <w:proofErr w:type="spellStart"/>
      <w:r w:rsidRPr="00FA46E1">
        <w:rPr>
          <w:i/>
        </w:rPr>
        <w:t>Tetrabiblos</w:t>
      </w:r>
      <w:proofErr w:type="spellEnd"/>
      <w:r w:rsidRPr="00A3770F">
        <w:t>, a text which</w:t>
      </w:r>
      <w:r>
        <w:rPr>
          <w:i/>
        </w:rPr>
        <w:t xml:space="preserve"> </w:t>
      </w:r>
      <w:r w:rsidRPr="00FA46E1">
        <w:t>was widely available in the late Medieval period.</w:t>
      </w:r>
      <w:r>
        <w:t xml:space="preserve"> Speaking of the first age, infancy, he writes:</w:t>
      </w:r>
    </w:p>
    <w:p w14:paraId="7551178F" w14:textId="77777777" w:rsidR="00FA7945" w:rsidRDefault="00FA7945" w:rsidP="006036EF"/>
    <w:p w14:paraId="35AD039B" w14:textId="5DE5B562" w:rsidR="006036EF" w:rsidRDefault="006036EF" w:rsidP="006036EF">
      <w:pPr>
        <w:ind w:left="720"/>
        <w:rPr>
          <w:color w:val="000000"/>
        </w:rPr>
      </w:pPr>
      <w:r>
        <w:t>‘</w:t>
      </w:r>
      <w:r w:rsidRPr="000F51CF">
        <w:rPr>
          <w:color w:val="000000"/>
        </w:rPr>
        <w:t>Hence, the first age of infancy, which endures for four years, agreeing in number with the quadrennial period of the Moon, is consequently adapted to her</w:t>
      </w:r>
      <w:r>
        <w:rPr>
          <w:color w:val="000000"/>
        </w:rPr>
        <w:t>..</w:t>
      </w:r>
      <w:r w:rsidRPr="000F51CF">
        <w:rPr>
          <w:color w:val="000000"/>
        </w:rPr>
        <w:t>. Its mental incompleteness is likewise in accordance with its familiar relation to the Moon, and her operative influence.</w:t>
      </w:r>
      <w:r>
        <w:rPr>
          <w:color w:val="000000"/>
        </w:rPr>
        <w:t>’</w:t>
      </w:r>
      <w:r>
        <w:rPr>
          <w:rStyle w:val="FootnoteReference"/>
          <w:color w:val="000000"/>
        </w:rPr>
        <w:footnoteReference w:id="22"/>
      </w:r>
    </w:p>
    <w:p w14:paraId="506C6530" w14:textId="77777777" w:rsidR="00FA7945" w:rsidRPr="000F51CF" w:rsidRDefault="00FA7945" w:rsidP="006036EF">
      <w:pPr>
        <w:ind w:left="720"/>
      </w:pPr>
    </w:p>
    <w:p w14:paraId="49702D6F" w14:textId="4134418B" w:rsidR="006036EF" w:rsidRDefault="006036EF" w:rsidP="006036EF">
      <w:r>
        <w:t>Within the outer circumference of each roundel, the associated symbolic position of the sun is shown, marking one day from dawn to dusk. The sequence is as follows:</w:t>
      </w:r>
    </w:p>
    <w:p w14:paraId="0CC34618" w14:textId="77777777" w:rsidR="008E6BDF" w:rsidRDefault="008E6BDF" w:rsidP="006036EF"/>
    <w:p w14:paraId="6F8BCE7E" w14:textId="77777777" w:rsidR="006036EF" w:rsidRDefault="006036EF" w:rsidP="006036EF">
      <w:pPr>
        <w:ind w:left="720"/>
      </w:pPr>
      <w:r>
        <w:t>Moon, Monday, about 7 o’clock, Decrepitude</w:t>
      </w:r>
    </w:p>
    <w:p w14:paraId="617DA970" w14:textId="77777777" w:rsidR="006036EF" w:rsidRDefault="006036EF" w:rsidP="006036EF">
      <w:pPr>
        <w:ind w:left="720"/>
      </w:pPr>
      <w:r>
        <w:t>Mars, Tuesday, about 9 o’clock, Infancy</w:t>
      </w:r>
    </w:p>
    <w:p w14:paraId="2CDA1CA8" w14:textId="77777777" w:rsidR="006036EF" w:rsidRDefault="006036EF" w:rsidP="006036EF">
      <w:pPr>
        <w:ind w:left="720"/>
      </w:pPr>
      <w:r>
        <w:t>Mercury, Wednesday, 11 o’clock, Adolescence</w:t>
      </w:r>
    </w:p>
    <w:p w14:paraId="468A333F" w14:textId="77777777" w:rsidR="006036EF" w:rsidRDefault="006036EF" w:rsidP="006036EF">
      <w:pPr>
        <w:ind w:left="720"/>
      </w:pPr>
      <w:r>
        <w:t>Jupiter, Thursday, about noon, Youth</w:t>
      </w:r>
    </w:p>
    <w:p w14:paraId="3EDCC60A" w14:textId="77777777" w:rsidR="006036EF" w:rsidRDefault="006036EF" w:rsidP="006036EF">
      <w:pPr>
        <w:ind w:left="720"/>
      </w:pPr>
      <w:r>
        <w:t>Venus, Friday, about 1 o’clock, Maturity</w:t>
      </w:r>
    </w:p>
    <w:p w14:paraId="36A6326B" w14:textId="77777777" w:rsidR="006036EF" w:rsidRDefault="006036EF" w:rsidP="006036EF">
      <w:pPr>
        <w:ind w:left="720"/>
      </w:pPr>
      <w:r w:rsidRPr="00C96A02">
        <w:t>Saturn, Saturday, about 2 o’clock, Age missing</w:t>
      </w:r>
    </w:p>
    <w:p w14:paraId="20E902F9" w14:textId="3A64BCF8" w:rsidR="006036EF" w:rsidRDefault="006036EF" w:rsidP="006036EF">
      <w:pPr>
        <w:ind w:left="720"/>
      </w:pPr>
      <w:r>
        <w:t xml:space="preserve">Sun, Sunday, about 8 o’clock, Senescence </w:t>
      </w:r>
    </w:p>
    <w:p w14:paraId="45B23D0D" w14:textId="77777777" w:rsidR="008E6BDF" w:rsidRDefault="008E6BDF" w:rsidP="006036EF">
      <w:pPr>
        <w:ind w:left="720"/>
      </w:pPr>
    </w:p>
    <w:p w14:paraId="2623C49A" w14:textId="57F9902B" w:rsidR="006036EF" w:rsidRDefault="006036EF" w:rsidP="006036EF">
      <w:r>
        <w:t xml:space="preserve">Intriguingly, however, in this </w:t>
      </w:r>
      <w:r w:rsidR="008E6BDF">
        <w:t>r</w:t>
      </w:r>
      <w:r>
        <w:t>oom, the Ages of Man do not link up with traditional associations. This lack of order in a room that seems to be a celebration of cosmic and temporal order and the web of sympathies connecting microcosm to macrocosm, raises questions and highlights Evans’ statement that ‘the language of historical documents is never transparent, and historians have long been aware that they cannot simply gaze through it to the historical reality behind.’</w:t>
      </w:r>
      <w:r>
        <w:rPr>
          <w:rStyle w:val="FootnoteReference"/>
        </w:rPr>
        <w:footnoteReference w:id="23"/>
      </w:r>
      <w:r>
        <w:t xml:space="preserve"> Perhaps the schema was simply dictated by the fact that, with the planets placed in hebdomadal order it was impossible to have the ‘traditional’ associations of ages with each planet. The painter could, nonetheless, have begun the cycle with Moon’s traditional association of infancy – instead he chose to begin with old age. Blume has documented how these roundels were influenced by Francesco da </w:t>
      </w:r>
      <w:proofErr w:type="spellStart"/>
      <w:r>
        <w:t>Barberino’s</w:t>
      </w:r>
      <w:proofErr w:type="spellEnd"/>
      <w:r>
        <w:t xml:space="preserve"> cycle of the Ages of Man, which they closely resemble, and Sears has suggested that perhaps it was fidelity to Alberto’s illustrations that dictated this schema.</w:t>
      </w:r>
      <w:r>
        <w:rPr>
          <w:rStyle w:val="FootnoteReference"/>
        </w:rPr>
        <w:footnoteReference w:id="24"/>
      </w:r>
      <w:r>
        <w:t xml:space="preserve"> Dunlop concludes it was a poetic choice.</w:t>
      </w:r>
      <w:r>
        <w:rPr>
          <w:rStyle w:val="FootnoteReference"/>
        </w:rPr>
        <w:footnoteReference w:id="25"/>
      </w:r>
      <w:r>
        <w:t xml:space="preserve"> While this may be the case, there is, perhaps, an underlying rationale that is obscure to modern eyes, such as the astrological rationale proposed by </w:t>
      </w:r>
      <w:proofErr w:type="spellStart"/>
      <w:r>
        <w:t>Gunzburg</w:t>
      </w:r>
      <w:proofErr w:type="spellEnd"/>
      <w:r>
        <w:t xml:space="preserve"> to explain the compositions above the zodiac signs in the Palazzo </w:t>
      </w:r>
      <w:proofErr w:type="spellStart"/>
      <w:r>
        <w:t>della</w:t>
      </w:r>
      <w:proofErr w:type="spellEnd"/>
      <w:r>
        <w:t xml:space="preserve"> </w:t>
      </w:r>
      <w:proofErr w:type="spellStart"/>
      <w:r>
        <w:t>Ragione</w:t>
      </w:r>
      <w:proofErr w:type="spellEnd"/>
      <w:r>
        <w:t xml:space="preserve"> in Padua. </w:t>
      </w:r>
      <w:proofErr w:type="spellStart"/>
      <w:r>
        <w:t>Gunzburg</w:t>
      </w:r>
      <w:proofErr w:type="spellEnd"/>
      <w:r>
        <w:t xml:space="preserve"> posited that these compositions - hitherto assumed by Canova and others to be simply ‘creative confusion’ and ‘fantasy rather than … scientific rigour’ – were in fact illustrations of the constellations overhead at the time of year represented by the zodiac signs.</w:t>
      </w:r>
      <w:r>
        <w:rPr>
          <w:rStyle w:val="FootnoteReference"/>
        </w:rPr>
        <w:footnoteReference w:id="26"/>
      </w:r>
      <w:r>
        <w:t xml:space="preserve"> </w:t>
      </w:r>
    </w:p>
    <w:p w14:paraId="1C1CB8D6" w14:textId="77777777" w:rsidR="008E6BDF" w:rsidRDefault="008E6BDF" w:rsidP="006036EF"/>
    <w:p w14:paraId="453A1FFC" w14:textId="77777777" w:rsidR="006036EF" w:rsidRDefault="006036EF" w:rsidP="006036EF">
      <w:r>
        <w:t xml:space="preserve">The </w:t>
      </w:r>
      <w:r w:rsidRPr="00FA46E1">
        <w:rPr>
          <w:i/>
        </w:rPr>
        <w:t xml:space="preserve">Room of the Arts and Planets </w:t>
      </w:r>
      <w:r>
        <w:t xml:space="preserve">bears witness to astrology’s role as an organizing and linking principal; the central figures of the planetary gods link the microcosm to the macrocosm, a single day to a year, a human life to the great cycles of planetary time. Even sacred time is noted in the canonical hours – the traditional hours for monastic prayer - which are also layered in to the schema, referenced in the text underneath the images. Prime, for example, is associated with the first prayer of the morning and is next to the figure of the Moon. In this way the round of Christian prayer and the Christian day also form part of the all-encompassing astrological system </w:t>
      </w:r>
      <w:r w:rsidRPr="00ED4719">
        <w:t>of cosmic order.</w:t>
      </w:r>
      <w:r>
        <w:t xml:space="preserve"> </w:t>
      </w:r>
    </w:p>
    <w:p w14:paraId="61E9F0CB" w14:textId="1F837E01" w:rsidR="006036EF" w:rsidRDefault="00FA7945" w:rsidP="006036EF">
      <w:pPr>
        <w:pStyle w:val="Heading1"/>
      </w:pPr>
      <w:r>
        <w:t xml:space="preserve">Astrology’s inspirational </w:t>
      </w:r>
      <w:r w:rsidR="008E6BDF">
        <w:t>function</w:t>
      </w:r>
    </w:p>
    <w:p w14:paraId="66C78B50" w14:textId="77777777" w:rsidR="006036EF" w:rsidRDefault="006036EF" w:rsidP="006036EF"/>
    <w:p w14:paraId="103867AA" w14:textId="14EB9CD9" w:rsidR="006036EF" w:rsidRDefault="006036EF" w:rsidP="006036EF">
      <w:r>
        <w:t>That Astrology had a transcendent role in Classical thought is explicitly stated by Ptolemy:</w:t>
      </w:r>
    </w:p>
    <w:p w14:paraId="2DECDFAA" w14:textId="77777777" w:rsidR="008E6BDF" w:rsidRDefault="008E6BDF" w:rsidP="006036EF"/>
    <w:p w14:paraId="5EED91F0" w14:textId="0539D89A" w:rsidR="006036EF" w:rsidRDefault="006036EF" w:rsidP="006036EF">
      <w:pPr>
        <w:ind w:left="720"/>
      </w:pPr>
      <w:r>
        <w:t xml:space="preserve"> ‘With regard to virtuous conduct in practical actions and character, this science, above all things, could make men see clearly; from the constancy, order, symmetry and calm which are associated with the divine, it makes its followers lovers of this divine beauty, accustoming them and reforming their natures, as it were, to a similar spiritual state.</w:t>
      </w:r>
      <w:r w:rsidRPr="003F14FB">
        <w:t xml:space="preserve">’ </w:t>
      </w:r>
    </w:p>
    <w:p w14:paraId="76457CAD" w14:textId="77777777" w:rsidR="008E6BDF" w:rsidRDefault="008E6BDF" w:rsidP="006036EF">
      <w:pPr>
        <w:ind w:left="720"/>
      </w:pPr>
    </w:p>
    <w:p w14:paraId="5B049255" w14:textId="505060C2" w:rsidR="006036EF" w:rsidRDefault="006036EF" w:rsidP="006036EF">
      <w:r w:rsidRPr="00652B01">
        <w:t>Plato similarly stated that ‘</w:t>
      </w:r>
      <w:r w:rsidRPr="00652B01">
        <w:rPr>
          <w:rFonts w:eastAsia="Times New Roman" w:cstheme="minorHAnsi"/>
          <w:lang w:val="en-GB" w:eastAsia="en-CA"/>
        </w:rPr>
        <w:t xml:space="preserve">God devised and bestowed upon us vision to the end that we might behold the revolutions of Reason in the Heaven and use them for the </w:t>
      </w:r>
      <w:proofErr w:type="spellStart"/>
      <w:r w:rsidRPr="00652B01">
        <w:rPr>
          <w:rFonts w:eastAsia="Times New Roman" w:cstheme="minorHAnsi"/>
          <w:lang w:val="en-GB" w:eastAsia="en-CA"/>
        </w:rPr>
        <w:t>revolvings</w:t>
      </w:r>
      <w:proofErr w:type="spellEnd"/>
      <w:r w:rsidRPr="00652B01">
        <w:rPr>
          <w:rFonts w:eastAsia="Times New Roman" w:cstheme="minorHAnsi"/>
          <w:lang w:val="en-GB" w:eastAsia="en-CA"/>
        </w:rPr>
        <w:t xml:space="preserve"> of the reasonable that is within us'.</w:t>
      </w:r>
      <w:r w:rsidRPr="00652B01">
        <w:rPr>
          <w:rStyle w:val="FootnoteReference"/>
          <w:rFonts w:eastAsia="Times New Roman" w:cstheme="minorHAnsi"/>
          <w:lang w:val="en-GB" w:eastAsia="en-CA"/>
        </w:rPr>
        <w:footnoteReference w:id="27"/>
      </w:r>
      <w:r w:rsidRPr="003F14FB">
        <w:rPr>
          <w:rFonts w:eastAsia="Times New Roman" w:cstheme="minorHAnsi"/>
          <w:lang w:val="en-GB" w:eastAsia="en-CA"/>
        </w:rPr>
        <w:t xml:space="preserve"> </w:t>
      </w:r>
      <w:r>
        <w:t>Hence in</w:t>
      </w:r>
      <w:r w:rsidRPr="001D41E2">
        <w:t xml:space="preserve"> </w:t>
      </w:r>
      <w:r>
        <w:rPr>
          <w:i/>
        </w:rPr>
        <w:t>T</w:t>
      </w:r>
      <w:r w:rsidRPr="006E57BC">
        <w:rPr>
          <w:i/>
        </w:rPr>
        <w:t>he Creation</w:t>
      </w:r>
      <w:r w:rsidRPr="001D41E2">
        <w:t>,</w:t>
      </w:r>
      <w:r>
        <w:t xml:space="preserve"> Giusto may have intended the image of the regular, harmonious spheres to inspire its Medieval </w:t>
      </w:r>
      <w:r w:rsidR="00A3770F">
        <w:t>viewers</w:t>
      </w:r>
      <w:r>
        <w:t xml:space="preserve"> to a similar state of virtuous contemplation. Its placement, between </w:t>
      </w:r>
      <w:r w:rsidRPr="002000A5">
        <w:rPr>
          <w:i/>
        </w:rPr>
        <w:t>The Crucifixion</w:t>
      </w:r>
      <w:r>
        <w:t xml:space="preserve"> and </w:t>
      </w:r>
      <w:r w:rsidRPr="002000A5">
        <w:rPr>
          <w:i/>
        </w:rPr>
        <w:t>Paradise</w:t>
      </w:r>
      <w:r>
        <w:t xml:space="preserve"> may have also been intended as a map of the soul’s journey after death, back through the planetary spheres to God </w:t>
      </w:r>
      <w:r w:rsidR="008E6BDF">
        <w:t xml:space="preserve">(see figure 7). </w:t>
      </w:r>
      <w:r>
        <w:t xml:space="preserve">As the </w:t>
      </w:r>
      <w:r w:rsidR="00A3770F">
        <w:t>frescoes were</w:t>
      </w:r>
      <w:r>
        <w:t xml:space="preserve"> commissioned to be fitting </w:t>
      </w:r>
      <w:r w:rsidR="00A3770F">
        <w:t>decorations for</w:t>
      </w:r>
      <w:r>
        <w:t xml:space="preserve"> the tomb towards which these compositions are oriented, such a theme is not inconceivable. In the </w:t>
      </w:r>
      <w:r w:rsidRPr="00426673">
        <w:rPr>
          <w:i/>
        </w:rPr>
        <w:t>Room of the Arts and Planets</w:t>
      </w:r>
      <w:r>
        <w:t xml:space="preserve">, the misery of old age and inevitable death are emphasised in Stoic fashion by the texts under the images. Even the text under </w:t>
      </w:r>
      <w:proofErr w:type="spellStart"/>
      <w:r w:rsidRPr="00AC2F43">
        <w:rPr>
          <w:i/>
        </w:rPr>
        <w:t>Infantia</w:t>
      </w:r>
      <w:proofErr w:type="spellEnd"/>
      <w:r>
        <w:t xml:space="preserve"> speaks of the </w:t>
      </w:r>
      <w:r w:rsidR="008D4CE0">
        <w:t>‘</w:t>
      </w:r>
      <w:r>
        <w:t>“misfortune and misery of life,”’ whilst the text under the final text speaks of cruel death extinguishing everything.</w:t>
      </w:r>
      <w:r>
        <w:rPr>
          <w:rStyle w:val="FootnoteReference"/>
        </w:rPr>
        <w:footnoteReference w:id="28"/>
      </w:r>
      <w:r>
        <w:t xml:space="preserve"> If a lifetime speeds by, as the planetary gods do in this room, then perhaps the painter meant to emphasise that which doesn’t move  -  the still figures of the enthroned Arts, in particular Astronomy, Philosophy and Geometry, which are literally and figuratively central sources of illumination in the room.</w:t>
      </w:r>
      <w:r>
        <w:rPr>
          <w:rStyle w:val="FootnoteReference"/>
        </w:rPr>
        <w:footnoteReference w:id="29"/>
      </w:r>
      <w:r>
        <w:t xml:space="preserve"> </w:t>
      </w:r>
    </w:p>
    <w:p w14:paraId="596EA12B" w14:textId="77777777" w:rsidR="006036EF" w:rsidRDefault="006036EF" w:rsidP="006036EF"/>
    <w:p w14:paraId="0429C3BE" w14:textId="77777777" w:rsidR="006036EF" w:rsidRDefault="006036EF" w:rsidP="006036EF">
      <w:r>
        <w:rPr>
          <w:noProof/>
        </w:rPr>
        <w:drawing>
          <wp:inline distT="0" distB="0" distL="0" distR="0" wp14:anchorId="11C326A6" wp14:editId="06AE5798">
            <wp:extent cx="4429125" cy="40481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iusto dei Menabuoui.jpg"/>
                    <pic:cNvPicPr/>
                  </pic:nvPicPr>
                  <pic:blipFill rotWithShape="1">
                    <a:blip r:embed="rId15">
                      <a:extLst>
                        <a:ext uri="{28A0092B-C50C-407E-A947-70E740481C1C}">
                          <a14:useLocalDpi xmlns:a14="http://schemas.microsoft.com/office/drawing/2010/main" val="0"/>
                        </a:ext>
                      </a:extLst>
                    </a:blip>
                    <a:srcRect l="-2660" t="25525" r="-1772" b="15267"/>
                    <a:stretch/>
                  </pic:blipFill>
                  <pic:spPr bwMode="auto">
                    <a:xfrm>
                      <a:off x="0" y="0"/>
                      <a:ext cx="4429125" cy="4048125"/>
                    </a:xfrm>
                    <a:prstGeom prst="rect">
                      <a:avLst/>
                    </a:prstGeom>
                    <a:ln>
                      <a:noFill/>
                    </a:ln>
                    <a:extLst>
                      <a:ext uri="{53640926-AAD7-44D8-BBD7-CCE9431645EC}">
                        <a14:shadowObscured xmlns:a14="http://schemas.microsoft.com/office/drawing/2010/main"/>
                      </a:ext>
                    </a:extLst>
                  </pic:spPr>
                </pic:pic>
              </a:graphicData>
            </a:graphic>
          </wp:inline>
        </w:drawing>
      </w:r>
    </w:p>
    <w:p w14:paraId="514710B0" w14:textId="6A700FE7" w:rsidR="006036EF" w:rsidRPr="0082006E" w:rsidRDefault="006036EF" w:rsidP="00583655">
      <w:pPr>
        <w:pStyle w:val="Heading1"/>
        <w:spacing w:before="0"/>
        <w:rPr>
          <w:color w:val="auto"/>
          <w:sz w:val="22"/>
          <w:szCs w:val="22"/>
        </w:rPr>
      </w:pPr>
      <w:r w:rsidRPr="0082006E">
        <w:rPr>
          <w:color w:val="auto"/>
          <w:sz w:val="22"/>
          <w:szCs w:val="22"/>
        </w:rPr>
        <w:t xml:space="preserve">Figure </w:t>
      </w:r>
      <w:r>
        <w:rPr>
          <w:color w:val="auto"/>
          <w:sz w:val="22"/>
          <w:szCs w:val="22"/>
        </w:rPr>
        <w:t>7</w:t>
      </w:r>
      <w:r w:rsidRPr="0082006E">
        <w:rPr>
          <w:color w:val="auto"/>
          <w:sz w:val="22"/>
          <w:szCs w:val="22"/>
        </w:rPr>
        <w:t xml:space="preserve">. Giusto de’ </w:t>
      </w:r>
      <w:proofErr w:type="spellStart"/>
      <w:r w:rsidRPr="0082006E">
        <w:rPr>
          <w:color w:val="auto"/>
          <w:sz w:val="22"/>
          <w:szCs w:val="22"/>
        </w:rPr>
        <w:t>Menabuoi</w:t>
      </w:r>
      <w:proofErr w:type="spellEnd"/>
      <w:r w:rsidRPr="0082006E">
        <w:rPr>
          <w:color w:val="auto"/>
          <w:sz w:val="22"/>
          <w:szCs w:val="22"/>
        </w:rPr>
        <w:t xml:space="preserve">, (c. 1350), </w:t>
      </w:r>
      <w:r>
        <w:rPr>
          <w:color w:val="auto"/>
          <w:sz w:val="22"/>
          <w:szCs w:val="22"/>
        </w:rPr>
        <w:t xml:space="preserve">Padua Baptistery ceiling, </w:t>
      </w:r>
      <w:r w:rsidR="007B7C40">
        <w:rPr>
          <w:color w:val="auto"/>
          <w:sz w:val="22"/>
          <w:szCs w:val="22"/>
        </w:rPr>
        <w:t xml:space="preserve">fresco, </w:t>
      </w:r>
      <w:r>
        <w:rPr>
          <w:color w:val="auto"/>
          <w:sz w:val="22"/>
          <w:szCs w:val="22"/>
        </w:rPr>
        <w:t>showing Paradise, The Virgin, The Creation of the World and The Crucifixion</w:t>
      </w:r>
      <w:r w:rsidRPr="0082006E">
        <w:rPr>
          <w:color w:val="auto"/>
          <w:sz w:val="22"/>
          <w:szCs w:val="22"/>
        </w:rPr>
        <w:t xml:space="preserve">. Photo: </w:t>
      </w:r>
      <w:r>
        <w:rPr>
          <w:color w:val="auto"/>
          <w:sz w:val="22"/>
          <w:szCs w:val="22"/>
        </w:rPr>
        <w:t xml:space="preserve">Mauro </w:t>
      </w:r>
      <w:proofErr w:type="spellStart"/>
      <w:r>
        <w:rPr>
          <w:color w:val="auto"/>
          <w:sz w:val="22"/>
          <w:szCs w:val="22"/>
        </w:rPr>
        <w:t>Magliani</w:t>
      </w:r>
      <w:proofErr w:type="spellEnd"/>
      <w:r>
        <w:rPr>
          <w:color w:val="auto"/>
          <w:sz w:val="22"/>
          <w:szCs w:val="22"/>
        </w:rPr>
        <w:t>.</w:t>
      </w:r>
    </w:p>
    <w:p w14:paraId="2E580069" w14:textId="77777777" w:rsidR="006036EF" w:rsidRDefault="006036EF" w:rsidP="006036EF">
      <w:pPr>
        <w:pStyle w:val="Heading1"/>
        <w:spacing w:before="0"/>
      </w:pPr>
    </w:p>
    <w:p w14:paraId="01149922" w14:textId="71A2EDF4" w:rsidR="006036EF" w:rsidRDefault="006036EF" w:rsidP="006036EF">
      <w:pPr>
        <w:pStyle w:val="Heading1"/>
        <w:spacing w:before="0"/>
      </w:pPr>
      <w:r>
        <w:t>CONCLUSION</w:t>
      </w:r>
    </w:p>
    <w:p w14:paraId="0E4370CA" w14:textId="77777777" w:rsidR="006036EF" w:rsidRDefault="006036EF" w:rsidP="006036EF"/>
    <w:p w14:paraId="4C4ABB24" w14:textId="3864CC7D" w:rsidR="006036EF" w:rsidRDefault="006036EF" w:rsidP="006036EF">
      <w:r>
        <w:t>Two primary source documents were used, both artworks, to discuss the role of astrology in the Medieval Age: Giusto de</w:t>
      </w:r>
      <w:r w:rsidR="008D4CE0">
        <w:t xml:space="preserve">’ </w:t>
      </w:r>
      <w:proofErr w:type="spellStart"/>
      <w:r w:rsidR="008D4CE0">
        <w:t>Menabuoi’s</w:t>
      </w:r>
      <w:proofErr w:type="spellEnd"/>
      <w:r w:rsidR="008D4CE0">
        <w:t xml:space="preserve"> </w:t>
      </w:r>
      <w:r w:rsidRPr="0008754B">
        <w:rPr>
          <w:i/>
        </w:rPr>
        <w:t>The Creation of the World</w:t>
      </w:r>
      <w:r>
        <w:t xml:space="preserve"> in the Padua Baptistery and </w:t>
      </w:r>
      <w:r w:rsidR="008D4CE0">
        <w:t>t</w:t>
      </w:r>
      <w:r>
        <w:t xml:space="preserve">he </w:t>
      </w:r>
      <w:r w:rsidRPr="008D4CE0">
        <w:rPr>
          <w:i/>
        </w:rPr>
        <w:t>Room of the Arts and Planets</w:t>
      </w:r>
      <w:r>
        <w:t xml:space="preserve">, painter unknown, in </w:t>
      </w:r>
      <w:proofErr w:type="spellStart"/>
      <w:r>
        <w:t>Foligno</w:t>
      </w:r>
      <w:proofErr w:type="spellEnd"/>
      <w:r>
        <w:t>. Both artworks were shown to have been made in a milieu that was steeped in the new astrological learning that flooded European cultural centres in the 12</w:t>
      </w:r>
      <w:r w:rsidRPr="001D741F">
        <w:rPr>
          <w:vertAlign w:val="superscript"/>
        </w:rPr>
        <w:t>th</w:t>
      </w:r>
      <w:r>
        <w:t xml:space="preserve"> century and it was therefore assumed that these artworks not only represented this learning but were made to be understood and contemplated by their audience. </w:t>
      </w:r>
    </w:p>
    <w:p w14:paraId="4C0FBCE8" w14:textId="77777777" w:rsidR="008E6BDF" w:rsidRDefault="008E6BDF" w:rsidP="006036EF"/>
    <w:p w14:paraId="69FA3D8A" w14:textId="14706AA7" w:rsidR="006036EF" w:rsidRDefault="006036EF" w:rsidP="006036EF">
      <w:r>
        <w:t xml:space="preserve">The role of </w:t>
      </w:r>
      <w:r w:rsidR="008D4CE0">
        <w:t>a</w:t>
      </w:r>
      <w:r>
        <w:t xml:space="preserve">strology as medieval science was discussed through the representation of the structure of the universe and planetary influences on mankind in </w:t>
      </w:r>
      <w:r w:rsidRPr="00DB74D3">
        <w:rPr>
          <w:i/>
        </w:rPr>
        <w:t>The Creation</w:t>
      </w:r>
      <w:r>
        <w:t xml:space="preserve"> as well as some aspects of astrology’s </w:t>
      </w:r>
      <w:r w:rsidR="008D4CE0">
        <w:t>relationship</w:t>
      </w:r>
      <w:r>
        <w:t xml:space="preserve"> with Christian theology. Also discussed was </w:t>
      </w:r>
      <w:r w:rsidR="008D4CE0">
        <w:t>a</w:t>
      </w:r>
      <w:r>
        <w:t xml:space="preserve">strology’s role in the functioning – and understanding – of Time in all its manifestations, through the compositions in </w:t>
      </w:r>
      <w:r w:rsidRPr="00DB74D3">
        <w:rPr>
          <w:i/>
        </w:rPr>
        <w:t>the Room of the Arts and Planets</w:t>
      </w:r>
      <w:r>
        <w:t>, as well as the potent power of astrological concepts to unite seemingly disparate elements. Finally it was suggested that the astrological references in both works served to inspire the viewer to rise above the mundane in contemplating the perfect geometrical order of the Aristotelian cosmos, which was noted as a primary purpose of astrology in classical texts, and which in the Medieval period was merged with contemplation of the Christian God who stood outside the astrological influences and laws. In conclusion, these works demonstrate what Campion called the ‘extraordinary power’ of astrology in the Medieval ages as an overarching organizing principle, as well as a rich and potent symbolic language.</w:t>
      </w:r>
      <w:r>
        <w:rPr>
          <w:rStyle w:val="FootnoteReference"/>
        </w:rPr>
        <w:footnoteReference w:id="30"/>
      </w:r>
    </w:p>
    <w:p w14:paraId="4017B70B" w14:textId="77777777" w:rsidR="006036EF" w:rsidRDefault="006036EF" w:rsidP="006036EF"/>
    <w:p w14:paraId="68D5E7A7" w14:textId="77777777" w:rsidR="006036EF" w:rsidRDefault="006036EF" w:rsidP="006036EF"/>
    <w:p w14:paraId="7124D685" w14:textId="77777777" w:rsidR="006036EF" w:rsidRDefault="006036EF" w:rsidP="006036EF"/>
    <w:p w14:paraId="2D4698E4" w14:textId="77777777" w:rsidR="006036EF" w:rsidRDefault="006036EF" w:rsidP="006036EF"/>
    <w:p w14:paraId="08641DF3" w14:textId="77777777" w:rsidR="006036EF" w:rsidRDefault="006036EF" w:rsidP="006036EF">
      <w:pPr>
        <w:rPr>
          <w:sz w:val="24"/>
          <w:szCs w:val="24"/>
        </w:rPr>
      </w:pPr>
      <w:r>
        <w:rPr>
          <w:sz w:val="24"/>
          <w:szCs w:val="24"/>
        </w:rPr>
        <w:br w:type="page"/>
        <w:t xml:space="preserve"> </w:t>
      </w:r>
    </w:p>
    <w:p w14:paraId="03DDB2D2" w14:textId="77777777" w:rsidR="006036EF" w:rsidRDefault="006036EF" w:rsidP="006036EF">
      <w:pPr>
        <w:rPr>
          <w:sz w:val="24"/>
          <w:szCs w:val="24"/>
        </w:rPr>
      </w:pPr>
    </w:p>
    <w:p w14:paraId="6B21D6F6" w14:textId="77777777" w:rsidR="006036EF" w:rsidRPr="00A60B1B" w:rsidRDefault="006036EF" w:rsidP="006036EF">
      <w:pPr>
        <w:pStyle w:val="Heading1"/>
      </w:pPr>
      <w:r>
        <w:t>BIBLIOGRAPHY</w:t>
      </w:r>
    </w:p>
    <w:p w14:paraId="0C408FCF" w14:textId="77777777" w:rsidR="006036EF" w:rsidRPr="00B042E4" w:rsidRDefault="006036EF" w:rsidP="006036EF">
      <w:pPr>
        <w:rPr>
          <w:rStyle w:val="gb-title-box-title"/>
          <w:rFonts w:cstheme="minorHAnsi"/>
          <w:bCs/>
          <w:color w:val="000000"/>
          <w:sz w:val="24"/>
          <w:szCs w:val="24"/>
          <w:shd w:val="clear" w:color="auto" w:fill="FFFFFF"/>
        </w:rPr>
      </w:pPr>
    </w:p>
    <w:p w14:paraId="23D9B62B" w14:textId="77777777" w:rsidR="006036EF" w:rsidRPr="00D56CDC" w:rsidRDefault="006036EF" w:rsidP="006036EF">
      <w:pPr>
        <w:spacing w:after="160" w:line="259" w:lineRule="auto"/>
        <w:rPr>
          <w:rStyle w:val="gb-title-box-title"/>
          <w:rFonts w:cstheme="minorHAnsi"/>
          <w:bCs/>
          <w:color w:val="000000"/>
          <w:sz w:val="24"/>
          <w:szCs w:val="24"/>
          <w:shd w:val="clear" w:color="auto" w:fill="FFFFFF"/>
        </w:rPr>
      </w:pPr>
      <w:r w:rsidRPr="00B042E4">
        <w:rPr>
          <w:rFonts w:cstheme="minorHAnsi"/>
          <w:sz w:val="24"/>
          <w:szCs w:val="24"/>
        </w:rPr>
        <w:t xml:space="preserve">Blume, Dieter, ‘Francesco da </w:t>
      </w:r>
      <w:proofErr w:type="spellStart"/>
      <w:r w:rsidRPr="00B042E4">
        <w:rPr>
          <w:rFonts w:cstheme="minorHAnsi"/>
          <w:sz w:val="24"/>
          <w:szCs w:val="24"/>
        </w:rPr>
        <w:t>Barberino</w:t>
      </w:r>
      <w:proofErr w:type="spellEnd"/>
      <w:r w:rsidRPr="00B042E4">
        <w:rPr>
          <w:rFonts w:cstheme="minorHAnsi"/>
          <w:sz w:val="24"/>
          <w:szCs w:val="24"/>
        </w:rPr>
        <w:t xml:space="preserve">. The </w:t>
      </w:r>
      <w:proofErr w:type="spellStart"/>
      <w:r w:rsidRPr="00B042E4">
        <w:rPr>
          <w:rFonts w:cstheme="minorHAnsi"/>
          <w:sz w:val="24"/>
          <w:szCs w:val="24"/>
        </w:rPr>
        <w:t>Experinece</w:t>
      </w:r>
      <w:proofErr w:type="spellEnd"/>
      <w:r w:rsidRPr="00B042E4">
        <w:rPr>
          <w:rFonts w:cstheme="minorHAnsi"/>
          <w:sz w:val="24"/>
          <w:szCs w:val="24"/>
        </w:rPr>
        <w:t xml:space="preserve"> of Exile and the Allegory of Love’, in </w:t>
      </w:r>
      <w:r w:rsidRPr="00B042E4">
        <w:rPr>
          <w:rFonts w:cstheme="minorHAnsi"/>
          <w:i/>
          <w:sz w:val="24"/>
          <w:szCs w:val="24"/>
        </w:rPr>
        <w:t>Exile, Avignon and Italy during the first half of the 14</w:t>
      </w:r>
      <w:r w:rsidRPr="00B042E4">
        <w:rPr>
          <w:rFonts w:cstheme="minorHAnsi"/>
          <w:i/>
          <w:sz w:val="24"/>
          <w:szCs w:val="24"/>
          <w:vertAlign w:val="superscript"/>
        </w:rPr>
        <w:t>th</w:t>
      </w:r>
      <w:r w:rsidRPr="00B042E4">
        <w:rPr>
          <w:rFonts w:cstheme="minorHAnsi"/>
          <w:i/>
          <w:sz w:val="24"/>
          <w:szCs w:val="24"/>
        </w:rPr>
        <w:t xml:space="preserve"> Century</w:t>
      </w:r>
      <w:r w:rsidRPr="00B042E4">
        <w:rPr>
          <w:rFonts w:cstheme="minorHAnsi"/>
          <w:sz w:val="24"/>
          <w:szCs w:val="24"/>
        </w:rPr>
        <w:t xml:space="preserve">, ed. Elisa </w:t>
      </w:r>
      <w:proofErr w:type="spellStart"/>
      <w:r w:rsidRPr="00B042E4">
        <w:rPr>
          <w:rFonts w:cstheme="minorHAnsi"/>
          <w:sz w:val="24"/>
          <w:szCs w:val="24"/>
        </w:rPr>
        <w:t>Brilli</w:t>
      </w:r>
      <w:proofErr w:type="spellEnd"/>
      <w:r w:rsidRPr="00B042E4">
        <w:rPr>
          <w:rFonts w:cstheme="minorHAnsi"/>
          <w:sz w:val="24"/>
          <w:szCs w:val="24"/>
        </w:rPr>
        <w:t xml:space="preserve">, Laura </w:t>
      </w:r>
      <w:proofErr w:type="spellStart"/>
      <w:r w:rsidRPr="00B042E4">
        <w:rPr>
          <w:rFonts w:cstheme="minorHAnsi"/>
          <w:sz w:val="24"/>
          <w:szCs w:val="24"/>
        </w:rPr>
        <w:t>Fenelli</w:t>
      </w:r>
      <w:proofErr w:type="spellEnd"/>
      <w:r w:rsidRPr="00B042E4">
        <w:rPr>
          <w:rFonts w:cstheme="minorHAnsi"/>
          <w:sz w:val="24"/>
          <w:szCs w:val="24"/>
        </w:rPr>
        <w:t xml:space="preserve">, Gerhard Wolf, (Florence: </w:t>
      </w:r>
      <w:r w:rsidRPr="00B042E4">
        <w:rPr>
          <w:rFonts w:cstheme="minorHAnsi"/>
          <w:color w:val="000000"/>
          <w:sz w:val="24"/>
          <w:szCs w:val="24"/>
          <w:shd w:val="clear" w:color="auto" w:fill="FFFFFF"/>
        </w:rPr>
        <w:t xml:space="preserve">SISMEL · </w:t>
      </w:r>
      <w:proofErr w:type="spellStart"/>
      <w:r w:rsidRPr="00B042E4">
        <w:rPr>
          <w:rFonts w:cstheme="minorHAnsi"/>
          <w:color w:val="000000"/>
          <w:sz w:val="24"/>
          <w:szCs w:val="24"/>
          <w:shd w:val="clear" w:color="auto" w:fill="FFFFFF"/>
        </w:rPr>
        <w:t>edizioni</w:t>
      </w:r>
      <w:proofErr w:type="spellEnd"/>
      <w:r w:rsidRPr="00B042E4">
        <w:rPr>
          <w:rFonts w:cstheme="minorHAnsi"/>
          <w:color w:val="000000"/>
          <w:sz w:val="24"/>
          <w:szCs w:val="24"/>
          <w:shd w:val="clear" w:color="auto" w:fill="FFFFFF"/>
        </w:rPr>
        <w:t xml:space="preserve"> del </w:t>
      </w:r>
      <w:proofErr w:type="spellStart"/>
      <w:r w:rsidRPr="00B042E4">
        <w:rPr>
          <w:rFonts w:cstheme="minorHAnsi"/>
          <w:color w:val="000000"/>
          <w:sz w:val="24"/>
          <w:szCs w:val="24"/>
          <w:shd w:val="clear" w:color="auto" w:fill="FFFFFF"/>
        </w:rPr>
        <w:t>Galluzzo</w:t>
      </w:r>
      <w:proofErr w:type="spellEnd"/>
      <w:r w:rsidRPr="00B042E4">
        <w:rPr>
          <w:rFonts w:cstheme="minorHAnsi"/>
          <w:color w:val="000000"/>
          <w:sz w:val="24"/>
          <w:szCs w:val="24"/>
          <w:shd w:val="clear" w:color="auto" w:fill="FFFFFF"/>
        </w:rPr>
        <w:t>,</w:t>
      </w:r>
      <w:r w:rsidRPr="00B042E4">
        <w:rPr>
          <w:rFonts w:cstheme="minorHAnsi"/>
          <w:sz w:val="24"/>
          <w:szCs w:val="24"/>
        </w:rPr>
        <w:t xml:space="preserve"> 2015), </w:t>
      </w:r>
      <w:r>
        <w:rPr>
          <w:rFonts w:cstheme="minorHAnsi"/>
          <w:sz w:val="24"/>
          <w:szCs w:val="24"/>
        </w:rPr>
        <w:t xml:space="preserve">pp. </w:t>
      </w:r>
      <w:r w:rsidRPr="00B042E4">
        <w:rPr>
          <w:rFonts w:cstheme="minorHAnsi"/>
          <w:sz w:val="24"/>
          <w:szCs w:val="24"/>
        </w:rPr>
        <w:t>171-192</w:t>
      </w:r>
    </w:p>
    <w:p w14:paraId="722E4B69" w14:textId="0F61AAD0" w:rsidR="006036EF" w:rsidRDefault="006036EF" w:rsidP="006036EF">
      <w:pPr>
        <w:rPr>
          <w:rFonts w:cstheme="minorHAnsi"/>
          <w:sz w:val="24"/>
          <w:szCs w:val="24"/>
        </w:rPr>
      </w:pPr>
      <w:r w:rsidRPr="00B042E4">
        <w:rPr>
          <w:rStyle w:val="gb-title-box-title"/>
          <w:rFonts w:cstheme="minorHAnsi"/>
          <w:bCs/>
          <w:color w:val="000000"/>
          <w:sz w:val="24"/>
          <w:szCs w:val="24"/>
          <w:shd w:val="clear" w:color="auto" w:fill="FFFFFF"/>
        </w:rPr>
        <w:t xml:space="preserve">Campion, Nicholas, </w:t>
      </w:r>
      <w:r w:rsidRPr="00B042E4">
        <w:rPr>
          <w:rStyle w:val="gb-title-box-title"/>
          <w:rFonts w:cstheme="minorHAnsi"/>
          <w:bCs/>
          <w:i/>
          <w:color w:val="000000"/>
          <w:sz w:val="24"/>
          <w:szCs w:val="24"/>
          <w:shd w:val="clear" w:color="auto" w:fill="FFFFFF"/>
        </w:rPr>
        <w:t>A History of Western Astrology Volume II, The Medieval and Modern Worlds</w:t>
      </w:r>
      <w:r w:rsidRPr="00B042E4">
        <w:rPr>
          <w:rStyle w:val="gb-title-box-dash"/>
          <w:rFonts w:cstheme="minorHAnsi"/>
          <w:color w:val="999999"/>
          <w:sz w:val="24"/>
          <w:szCs w:val="24"/>
          <w:shd w:val="clear" w:color="auto" w:fill="FFFFFF"/>
        </w:rPr>
        <w:t>, (</w:t>
      </w:r>
      <w:r w:rsidRPr="00B042E4">
        <w:rPr>
          <w:rFonts w:cstheme="minorHAnsi"/>
          <w:sz w:val="24"/>
          <w:szCs w:val="24"/>
        </w:rPr>
        <w:t>London: Continuum, 2009)</w:t>
      </w:r>
      <w:bookmarkStart w:id="1" w:name="_GoBack"/>
      <w:bookmarkEnd w:id="1"/>
    </w:p>
    <w:p w14:paraId="30E2A6A9" w14:textId="77777777" w:rsidR="007B7C40" w:rsidRPr="00B042E4" w:rsidRDefault="007B7C40" w:rsidP="006036EF">
      <w:pPr>
        <w:rPr>
          <w:rFonts w:cstheme="minorHAnsi"/>
          <w:sz w:val="24"/>
          <w:szCs w:val="24"/>
        </w:rPr>
      </w:pPr>
    </w:p>
    <w:p w14:paraId="750FF965" w14:textId="0220649C" w:rsidR="006036EF" w:rsidRDefault="006036EF" w:rsidP="006036EF">
      <w:pPr>
        <w:rPr>
          <w:rFonts w:cstheme="minorHAnsi"/>
          <w:color w:val="000000"/>
          <w:sz w:val="24"/>
          <w:szCs w:val="24"/>
          <w:shd w:val="clear" w:color="auto" w:fill="FFFFFF"/>
        </w:rPr>
      </w:pPr>
      <w:r w:rsidRPr="00B042E4">
        <w:rPr>
          <w:rFonts w:cstheme="minorHAnsi"/>
          <w:sz w:val="24"/>
          <w:szCs w:val="24"/>
        </w:rPr>
        <w:t xml:space="preserve">Canova, </w:t>
      </w:r>
      <w:proofErr w:type="spellStart"/>
      <w:r w:rsidRPr="00B042E4">
        <w:rPr>
          <w:rFonts w:cstheme="minorHAnsi"/>
          <w:sz w:val="24"/>
          <w:szCs w:val="24"/>
        </w:rPr>
        <w:t>Giordana</w:t>
      </w:r>
      <w:proofErr w:type="spellEnd"/>
      <w:r w:rsidRPr="00B042E4">
        <w:rPr>
          <w:rFonts w:cstheme="minorHAnsi"/>
          <w:sz w:val="24"/>
          <w:szCs w:val="24"/>
        </w:rPr>
        <w:t xml:space="preserve"> </w:t>
      </w:r>
      <w:proofErr w:type="spellStart"/>
      <w:r w:rsidRPr="00B042E4">
        <w:rPr>
          <w:rFonts w:cstheme="minorHAnsi"/>
          <w:sz w:val="24"/>
          <w:szCs w:val="24"/>
        </w:rPr>
        <w:t>Mariani</w:t>
      </w:r>
      <w:proofErr w:type="spellEnd"/>
      <w:r w:rsidRPr="00B042E4">
        <w:rPr>
          <w:rFonts w:cstheme="minorHAnsi"/>
          <w:sz w:val="24"/>
          <w:szCs w:val="24"/>
        </w:rPr>
        <w:t xml:space="preserve"> Canova, ‘Padua and the Stars: Medieval Painting and Illuminated Manuscripts’, </w:t>
      </w:r>
      <w:r w:rsidRPr="00B042E4">
        <w:rPr>
          <w:rFonts w:cstheme="minorHAnsi"/>
          <w:i/>
          <w:color w:val="000000"/>
          <w:sz w:val="24"/>
          <w:szCs w:val="24"/>
          <w:shd w:val="clear" w:color="auto" w:fill="FFFFFF"/>
        </w:rPr>
        <w:t>The Inspiration of Astronomical Phenomena VI</w:t>
      </w:r>
      <w:r w:rsidRPr="00B042E4">
        <w:rPr>
          <w:rFonts w:cstheme="minorHAnsi"/>
          <w:color w:val="000000"/>
          <w:sz w:val="24"/>
          <w:szCs w:val="24"/>
          <w:shd w:val="clear" w:color="auto" w:fill="FFFFFF"/>
        </w:rPr>
        <w:t>, ASP Conference Series, Vol. 441. (San Francisco: Astronomical Society of the Pacific, 2011)</w:t>
      </w:r>
    </w:p>
    <w:p w14:paraId="2FC06587" w14:textId="77777777" w:rsidR="007B7C40" w:rsidRPr="00B042E4" w:rsidRDefault="007B7C40" w:rsidP="006036EF">
      <w:pPr>
        <w:rPr>
          <w:rFonts w:cstheme="minorHAnsi"/>
          <w:sz w:val="24"/>
          <w:szCs w:val="24"/>
        </w:rPr>
      </w:pPr>
    </w:p>
    <w:p w14:paraId="00DF9A72" w14:textId="0303B002" w:rsidR="006036EF" w:rsidRDefault="006036EF" w:rsidP="006036EF">
      <w:pPr>
        <w:rPr>
          <w:rFonts w:cstheme="minorHAnsi"/>
          <w:sz w:val="24"/>
          <w:szCs w:val="24"/>
        </w:rPr>
      </w:pPr>
      <w:r w:rsidRPr="00B042E4">
        <w:rPr>
          <w:rFonts w:cstheme="minorHAnsi"/>
          <w:sz w:val="24"/>
          <w:szCs w:val="24"/>
        </w:rPr>
        <w:t xml:space="preserve">Dunlop, Anne, </w:t>
      </w:r>
      <w:r w:rsidRPr="00B042E4">
        <w:rPr>
          <w:rFonts w:cstheme="minorHAnsi"/>
          <w:i/>
          <w:sz w:val="24"/>
          <w:szCs w:val="24"/>
        </w:rPr>
        <w:t>Painted Palaces: The Rise of Secular Art in Early Renaissance Italy</w:t>
      </w:r>
      <w:r w:rsidRPr="00B042E4">
        <w:rPr>
          <w:rFonts w:cstheme="minorHAnsi"/>
          <w:sz w:val="24"/>
          <w:szCs w:val="24"/>
        </w:rPr>
        <w:t>, (Pennsylvania: Pennsylvania State University Press, 2009)</w:t>
      </w:r>
    </w:p>
    <w:p w14:paraId="3F83FD8A" w14:textId="77777777" w:rsidR="007B7C40" w:rsidRPr="00B042E4" w:rsidRDefault="007B7C40" w:rsidP="006036EF">
      <w:pPr>
        <w:rPr>
          <w:rFonts w:cstheme="minorHAnsi"/>
          <w:sz w:val="24"/>
          <w:szCs w:val="24"/>
        </w:rPr>
      </w:pPr>
    </w:p>
    <w:p w14:paraId="1D34B98B" w14:textId="45A2758B" w:rsidR="006036EF" w:rsidRDefault="006036EF" w:rsidP="006036EF">
      <w:pPr>
        <w:rPr>
          <w:rFonts w:cstheme="minorHAnsi"/>
          <w:sz w:val="24"/>
          <w:szCs w:val="24"/>
        </w:rPr>
      </w:pPr>
      <w:r w:rsidRPr="00B042E4">
        <w:rPr>
          <w:rFonts w:cstheme="minorHAnsi"/>
          <w:sz w:val="24"/>
          <w:szCs w:val="24"/>
        </w:rPr>
        <w:t xml:space="preserve">Edson, Evelyn, </w:t>
      </w:r>
      <w:r>
        <w:rPr>
          <w:rFonts w:cstheme="minorHAnsi"/>
          <w:sz w:val="24"/>
          <w:szCs w:val="24"/>
        </w:rPr>
        <w:t>‘</w:t>
      </w:r>
      <w:r w:rsidRPr="00B042E4">
        <w:rPr>
          <w:rFonts w:cstheme="minorHAnsi"/>
          <w:sz w:val="24"/>
          <w:szCs w:val="24"/>
        </w:rPr>
        <w:t>World Maps and Easter Tables: Medieval Maps in Context</w:t>
      </w:r>
      <w:r>
        <w:rPr>
          <w:rFonts w:cstheme="minorHAnsi"/>
          <w:sz w:val="24"/>
          <w:szCs w:val="24"/>
        </w:rPr>
        <w:t>’</w:t>
      </w:r>
      <w:r w:rsidRPr="00B042E4">
        <w:rPr>
          <w:rFonts w:cstheme="minorHAnsi"/>
          <w:sz w:val="24"/>
          <w:szCs w:val="24"/>
        </w:rPr>
        <w:t xml:space="preserve">, </w:t>
      </w:r>
      <w:r w:rsidRPr="00B042E4">
        <w:rPr>
          <w:rFonts w:cstheme="minorHAnsi"/>
          <w:i/>
          <w:sz w:val="24"/>
          <w:szCs w:val="24"/>
        </w:rPr>
        <w:t>Imago Mundi</w:t>
      </w:r>
      <w:r w:rsidRPr="00B042E4">
        <w:rPr>
          <w:rFonts w:cstheme="minorHAnsi"/>
          <w:sz w:val="24"/>
          <w:szCs w:val="24"/>
        </w:rPr>
        <w:t>, Vol. 48 (1996), 25-42</w:t>
      </w:r>
    </w:p>
    <w:p w14:paraId="0484413F" w14:textId="77777777" w:rsidR="007B7C40" w:rsidRPr="00B042E4" w:rsidRDefault="007B7C40" w:rsidP="006036EF">
      <w:pPr>
        <w:rPr>
          <w:rFonts w:cstheme="minorHAnsi"/>
          <w:sz w:val="24"/>
          <w:szCs w:val="24"/>
        </w:rPr>
      </w:pPr>
    </w:p>
    <w:p w14:paraId="0ABED0D5" w14:textId="60C7C901" w:rsidR="006036EF" w:rsidRDefault="006036EF" w:rsidP="006036EF">
      <w:pPr>
        <w:rPr>
          <w:rFonts w:cstheme="minorHAnsi"/>
          <w:sz w:val="24"/>
          <w:szCs w:val="24"/>
        </w:rPr>
      </w:pPr>
      <w:r w:rsidRPr="00B042E4">
        <w:rPr>
          <w:rFonts w:cstheme="minorHAnsi"/>
          <w:sz w:val="24"/>
          <w:szCs w:val="24"/>
        </w:rPr>
        <w:t xml:space="preserve">Evans, Richard, </w:t>
      </w:r>
      <w:r w:rsidRPr="00B042E4">
        <w:rPr>
          <w:rFonts w:cstheme="minorHAnsi"/>
          <w:i/>
          <w:sz w:val="24"/>
          <w:szCs w:val="24"/>
        </w:rPr>
        <w:t>In Defence of History</w:t>
      </w:r>
      <w:r w:rsidRPr="00B042E4">
        <w:rPr>
          <w:rFonts w:cstheme="minorHAnsi"/>
          <w:sz w:val="24"/>
          <w:szCs w:val="24"/>
        </w:rPr>
        <w:t xml:space="preserve">, (London: </w:t>
      </w:r>
      <w:proofErr w:type="spellStart"/>
      <w:r w:rsidRPr="00B042E4">
        <w:rPr>
          <w:rFonts w:cstheme="minorHAnsi"/>
          <w:sz w:val="24"/>
          <w:szCs w:val="24"/>
        </w:rPr>
        <w:t>Granta</w:t>
      </w:r>
      <w:proofErr w:type="spellEnd"/>
      <w:r w:rsidRPr="00B042E4">
        <w:rPr>
          <w:rFonts w:cstheme="minorHAnsi"/>
          <w:sz w:val="24"/>
          <w:szCs w:val="24"/>
        </w:rPr>
        <w:t xml:space="preserve"> Books 1997)</w:t>
      </w:r>
    </w:p>
    <w:p w14:paraId="6B771143" w14:textId="77777777" w:rsidR="007B7C40" w:rsidRPr="00B042E4" w:rsidRDefault="007B7C40" w:rsidP="006036EF">
      <w:pPr>
        <w:rPr>
          <w:rFonts w:cstheme="minorHAnsi"/>
          <w:sz w:val="24"/>
          <w:szCs w:val="24"/>
        </w:rPr>
      </w:pPr>
    </w:p>
    <w:p w14:paraId="555E375C" w14:textId="51DE38BE" w:rsidR="006036EF" w:rsidRPr="007B7C40" w:rsidRDefault="006036EF" w:rsidP="006036EF">
      <w:pPr>
        <w:rPr>
          <w:rStyle w:val="Emphasis"/>
          <w:rFonts w:cstheme="minorHAnsi"/>
          <w:sz w:val="24"/>
          <w:szCs w:val="24"/>
          <w:shd w:val="clear" w:color="auto" w:fill="FFFFFF"/>
        </w:rPr>
      </w:pPr>
      <w:proofErr w:type="spellStart"/>
      <w:r w:rsidRPr="00B042E4">
        <w:rPr>
          <w:rFonts w:cstheme="minorHAnsi"/>
          <w:sz w:val="24"/>
          <w:szCs w:val="24"/>
        </w:rPr>
        <w:t>Gunzburg</w:t>
      </w:r>
      <w:proofErr w:type="spellEnd"/>
      <w:r w:rsidRPr="00B042E4">
        <w:rPr>
          <w:rFonts w:cstheme="minorHAnsi"/>
          <w:sz w:val="24"/>
          <w:szCs w:val="24"/>
        </w:rPr>
        <w:t xml:space="preserve">, </w:t>
      </w:r>
      <w:proofErr w:type="spellStart"/>
      <w:r w:rsidRPr="00B042E4">
        <w:rPr>
          <w:rFonts w:cstheme="minorHAnsi"/>
          <w:sz w:val="24"/>
          <w:szCs w:val="24"/>
        </w:rPr>
        <w:t>Darrelyn</w:t>
      </w:r>
      <w:proofErr w:type="spellEnd"/>
      <w:r w:rsidRPr="00B042E4">
        <w:rPr>
          <w:rFonts w:cstheme="minorHAnsi"/>
          <w:sz w:val="24"/>
          <w:szCs w:val="24"/>
        </w:rPr>
        <w:t xml:space="preserve">, ‘Giotto’s Sky: The Fresco Paintings of the First Floor Salone of the Palazzo </w:t>
      </w:r>
      <w:proofErr w:type="spellStart"/>
      <w:r w:rsidRPr="00B042E4">
        <w:rPr>
          <w:rFonts w:cstheme="minorHAnsi"/>
          <w:sz w:val="24"/>
          <w:szCs w:val="24"/>
        </w:rPr>
        <w:t>della</w:t>
      </w:r>
      <w:proofErr w:type="spellEnd"/>
      <w:r w:rsidRPr="00B042E4">
        <w:rPr>
          <w:rFonts w:cstheme="minorHAnsi"/>
          <w:sz w:val="24"/>
          <w:szCs w:val="24"/>
        </w:rPr>
        <w:t xml:space="preserve"> </w:t>
      </w:r>
      <w:proofErr w:type="spellStart"/>
      <w:r w:rsidRPr="00B042E4">
        <w:rPr>
          <w:rFonts w:cstheme="minorHAnsi"/>
          <w:sz w:val="24"/>
          <w:szCs w:val="24"/>
        </w:rPr>
        <w:t>Ragione</w:t>
      </w:r>
      <w:proofErr w:type="spellEnd"/>
      <w:r w:rsidRPr="00B042E4">
        <w:rPr>
          <w:rFonts w:cstheme="minorHAnsi"/>
          <w:sz w:val="24"/>
          <w:szCs w:val="24"/>
        </w:rPr>
        <w:t xml:space="preserve">, Padua, Italy’, </w:t>
      </w:r>
      <w:r w:rsidRPr="00B042E4">
        <w:rPr>
          <w:rFonts w:cstheme="minorHAnsi"/>
          <w:i/>
          <w:sz w:val="24"/>
          <w:szCs w:val="24"/>
        </w:rPr>
        <w:t>Journal for the Study of Religion, Nature and Culture</w:t>
      </w:r>
      <w:r w:rsidRPr="00B042E4">
        <w:rPr>
          <w:rFonts w:cstheme="minorHAnsi"/>
          <w:sz w:val="24"/>
          <w:szCs w:val="24"/>
        </w:rPr>
        <w:t xml:space="preserve">, </w:t>
      </w:r>
      <w:hyperlink r:id="rId16" w:history="1">
        <w:r w:rsidRPr="007B7C40">
          <w:rPr>
            <w:rStyle w:val="Hyperlink"/>
            <w:rFonts w:cstheme="minorHAnsi"/>
            <w:iCs/>
            <w:color w:val="auto"/>
            <w:sz w:val="24"/>
            <w:szCs w:val="24"/>
            <w:u w:val="none"/>
            <w:shd w:val="clear" w:color="auto" w:fill="FFFFFF"/>
          </w:rPr>
          <w:t>Vol 7, No 4 (2013)</w:t>
        </w:r>
      </w:hyperlink>
      <w:r w:rsidRPr="007B7C40">
        <w:rPr>
          <w:rStyle w:val="Emphasis"/>
          <w:rFonts w:cstheme="minorHAnsi"/>
          <w:sz w:val="24"/>
          <w:szCs w:val="24"/>
          <w:shd w:val="clear" w:color="auto" w:fill="FFFFFF"/>
        </w:rPr>
        <w:t xml:space="preserve">  </w:t>
      </w:r>
    </w:p>
    <w:p w14:paraId="55339F2C" w14:textId="77777777" w:rsidR="007B7C40" w:rsidRPr="00B042E4" w:rsidRDefault="007B7C40" w:rsidP="006036EF">
      <w:pPr>
        <w:rPr>
          <w:rFonts w:cstheme="minorHAnsi"/>
          <w:sz w:val="24"/>
          <w:szCs w:val="24"/>
        </w:rPr>
      </w:pPr>
    </w:p>
    <w:p w14:paraId="1A7E9A8E" w14:textId="386E4622" w:rsidR="006036EF" w:rsidRDefault="006036EF" w:rsidP="006036EF">
      <w:pPr>
        <w:rPr>
          <w:rFonts w:cstheme="minorHAnsi"/>
          <w:sz w:val="24"/>
          <w:szCs w:val="24"/>
        </w:rPr>
      </w:pPr>
      <w:r w:rsidRPr="00B042E4">
        <w:rPr>
          <w:rFonts w:cstheme="minorHAnsi"/>
          <w:sz w:val="24"/>
          <w:szCs w:val="24"/>
        </w:rPr>
        <w:t>Lippincott, Kristen, ‘Giovanni di Paolo’s ‘Creation of the World’ and the Tradition of the ‘</w:t>
      </w:r>
      <w:proofErr w:type="spellStart"/>
      <w:r w:rsidRPr="00B042E4">
        <w:rPr>
          <w:rFonts w:cstheme="minorHAnsi"/>
          <w:sz w:val="24"/>
          <w:szCs w:val="24"/>
        </w:rPr>
        <w:t>Thema</w:t>
      </w:r>
      <w:proofErr w:type="spellEnd"/>
      <w:r w:rsidRPr="00B042E4">
        <w:rPr>
          <w:rFonts w:cstheme="minorHAnsi"/>
          <w:sz w:val="24"/>
          <w:szCs w:val="24"/>
        </w:rPr>
        <w:t xml:space="preserve"> Mundi’ in Late Medieval and Renaissance Art’, </w:t>
      </w:r>
      <w:r w:rsidRPr="00E26329">
        <w:rPr>
          <w:rFonts w:cstheme="minorHAnsi"/>
          <w:i/>
          <w:sz w:val="24"/>
          <w:szCs w:val="24"/>
        </w:rPr>
        <w:t>The Burlington Magazine</w:t>
      </w:r>
      <w:r w:rsidRPr="00B042E4">
        <w:rPr>
          <w:rFonts w:cstheme="minorHAnsi"/>
          <w:sz w:val="24"/>
          <w:szCs w:val="24"/>
        </w:rPr>
        <w:t>, Vol. 132, No. 1048 (</w:t>
      </w:r>
      <w:proofErr w:type="gramStart"/>
      <w:r w:rsidRPr="00B042E4">
        <w:rPr>
          <w:rFonts w:cstheme="minorHAnsi"/>
          <w:sz w:val="24"/>
          <w:szCs w:val="24"/>
        </w:rPr>
        <w:t>Jul.,</w:t>
      </w:r>
      <w:proofErr w:type="gramEnd"/>
      <w:r w:rsidRPr="00B042E4">
        <w:rPr>
          <w:rFonts w:cstheme="minorHAnsi"/>
          <w:sz w:val="24"/>
          <w:szCs w:val="24"/>
        </w:rPr>
        <w:t xml:space="preserve"> 1990) 460-468</w:t>
      </w:r>
    </w:p>
    <w:p w14:paraId="79855672" w14:textId="77777777" w:rsidR="007B7C40" w:rsidRPr="00B042E4" w:rsidRDefault="007B7C40" w:rsidP="006036EF">
      <w:pPr>
        <w:rPr>
          <w:rFonts w:cstheme="minorHAnsi"/>
          <w:sz w:val="24"/>
          <w:szCs w:val="24"/>
        </w:rPr>
      </w:pPr>
    </w:p>
    <w:p w14:paraId="05FBF861" w14:textId="0B525A4A" w:rsidR="006036EF" w:rsidRDefault="006036EF" w:rsidP="006036EF">
      <w:pPr>
        <w:rPr>
          <w:rFonts w:cstheme="minorHAnsi"/>
          <w:sz w:val="24"/>
          <w:szCs w:val="24"/>
        </w:rPr>
      </w:pPr>
      <w:r w:rsidRPr="00B042E4">
        <w:rPr>
          <w:rFonts w:cstheme="minorHAnsi"/>
          <w:sz w:val="24"/>
          <w:szCs w:val="24"/>
        </w:rPr>
        <w:t xml:space="preserve">Moyer, Ann, ‘The Astronomers’ Game: Astrology and University Culture in the Fifteenth and Sixteenth Centuries, </w:t>
      </w:r>
      <w:r w:rsidRPr="00B042E4">
        <w:rPr>
          <w:rFonts w:cstheme="minorHAnsi"/>
          <w:i/>
          <w:sz w:val="24"/>
          <w:szCs w:val="24"/>
        </w:rPr>
        <w:t>Early Science and Medicine</w:t>
      </w:r>
      <w:r w:rsidRPr="00B042E4">
        <w:rPr>
          <w:rFonts w:cstheme="minorHAnsi"/>
          <w:sz w:val="24"/>
          <w:szCs w:val="24"/>
        </w:rPr>
        <w:t>, Vol. 4, No. 3 (1999), 228-250</w:t>
      </w:r>
    </w:p>
    <w:p w14:paraId="715E7A8F" w14:textId="77777777" w:rsidR="007B7C40" w:rsidRDefault="007B7C40" w:rsidP="006036EF">
      <w:pPr>
        <w:rPr>
          <w:rFonts w:cstheme="minorHAnsi"/>
          <w:sz w:val="24"/>
          <w:szCs w:val="24"/>
        </w:rPr>
      </w:pPr>
    </w:p>
    <w:p w14:paraId="2E745CF5" w14:textId="5090AA32" w:rsidR="006036EF" w:rsidRDefault="006036EF" w:rsidP="006036EF">
      <w:pPr>
        <w:rPr>
          <w:rFonts w:cstheme="minorHAnsi"/>
          <w:sz w:val="24"/>
          <w:szCs w:val="24"/>
        </w:rPr>
      </w:pPr>
      <w:r w:rsidRPr="00E26329">
        <w:rPr>
          <w:rFonts w:cstheme="minorHAnsi"/>
          <w:sz w:val="24"/>
          <w:szCs w:val="24"/>
        </w:rPr>
        <w:t>Norman,</w:t>
      </w:r>
      <w:r>
        <w:rPr>
          <w:rFonts w:cstheme="minorHAnsi"/>
          <w:sz w:val="24"/>
          <w:szCs w:val="24"/>
        </w:rPr>
        <w:t xml:space="preserve"> Diana</w:t>
      </w:r>
      <w:r w:rsidRPr="00E26329">
        <w:rPr>
          <w:rFonts w:cstheme="minorHAnsi"/>
          <w:sz w:val="24"/>
          <w:szCs w:val="24"/>
        </w:rPr>
        <w:t xml:space="preserve"> ‘Astrology, antiquity and empiricism: art and learning’ in </w:t>
      </w:r>
      <w:r w:rsidRPr="00E26329">
        <w:rPr>
          <w:rFonts w:cstheme="minorHAnsi"/>
          <w:i/>
          <w:sz w:val="24"/>
          <w:szCs w:val="24"/>
        </w:rPr>
        <w:t xml:space="preserve">Siena, Florence, and Padua: Interpretative essays, </w:t>
      </w:r>
      <w:r w:rsidRPr="00E26329">
        <w:rPr>
          <w:rStyle w:val="addmd"/>
          <w:rFonts w:cstheme="minorHAnsi"/>
          <w:sz w:val="24"/>
          <w:szCs w:val="24"/>
          <w:shd w:val="clear" w:color="auto" w:fill="FFFFFF"/>
        </w:rPr>
        <w:t>ed. by Diana Norman</w:t>
      </w:r>
      <w:r w:rsidRPr="00E26329">
        <w:rPr>
          <w:rFonts w:cstheme="minorHAnsi"/>
          <w:sz w:val="24"/>
          <w:szCs w:val="24"/>
        </w:rPr>
        <w:t xml:space="preserve"> (Yale: Yale University Press, 1995)</w:t>
      </w:r>
    </w:p>
    <w:p w14:paraId="58DE2FE2" w14:textId="77777777" w:rsidR="007B7C40" w:rsidRPr="00B042E4" w:rsidRDefault="007B7C40" w:rsidP="006036EF">
      <w:pPr>
        <w:rPr>
          <w:rFonts w:cstheme="minorHAnsi"/>
          <w:sz w:val="24"/>
          <w:szCs w:val="24"/>
        </w:rPr>
      </w:pPr>
    </w:p>
    <w:p w14:paraId="411EF3ED" w14:textId="77777777" w:rsidR="006036EF" w:rsidRPr="00D56CDC" w:rsidRDefault="006036EF" w:rsidP="006036EF">
      <w:pPr>
        <w:shd w:val="clear" w:color="auto" w:fill="FFFFFF"/>
        <w:rPr>
          <w:rFonts w:eastAsia="Times New Roman" w:cstheme="minorHAnsi"/>
          <w:sz w:val="24"/>
          <w:szCs w:val="24"/>
          <w:lang w:eastAsia="en-CA"/>
        </w:rPr>
      </w:pPr>
      <w:r w:rsidRPr="00D56CDC">
        <w:rPr>
          <w:rFonts w:eastAsia="Times New Roman" w:cstheme="minorHAnsi"/>
          <w:sz w:val="24"/>
          <w:szCs w:val="24"/>
          <w:lang w:val="en-GB" w:eastAsia="en-CA"/>
        </w:rPr>
        <w:t>Plato, </w:t>
      </w:r>
      <w:r w:rsidRPr="00D56CDC">
        <w:rPr>
          <w:rFonts w:eastAsia="Times New Roman" w:cstheme="minorHAnsi"/>
          <w:i/>
          <w:iCs/>
          <w:sz w:val="24"/>
          <w:szCs w:val="24"/>
          <w:lang w:val="en-GB" w:eastAsia="en-CA"/>
        </w:rPr>
        <w:t>Timaeus</w:t>
      </w:r>
      <w:r w:rsidRPr="00D56CDC">
        <w:rPr>
          <w:rFonts w:eastAsia="Times New Roman" w:cstheme="minorHAnsi"/>
          <w:sz w:val="24"/>
          <w:szCs w:val="24"/>
          <w:lang w:val="en-GB" w:eastAsia="en-CA"/>
        </w:rPr>
        <w:t xml:space="preserve">, trans. </w:t>
      </w:r>
      <w:proofErr w:type="spellStart"/>
      <w:r w:rsidRPr="00D56CDC">
        <w:rPr>
          <w:rFonts w:eastAsia="Times New Roman" w:cstheme="minorHAnsi"/>
          <w:sz w:val="24"/>
          <w:szCs w:val="24"/>
          <w:lang w:val="en-GB" w:eastAsia="en-CA"/>
        </w:rPr>
        <w:t>R.</w:t>
      </w:r>
      <w:proofErr w:type="gramStart"/>
      <w:r w:rsidRPr="00D56CDC">
        <w:rPr>
          <w:rFonts w:eastAsia="Times New Roman" w:cstheme="minorHAnsi"/>
          <w:sz w:val="24"/>
          <w:szCs w:val="24"/>
          <w:lang w:val="en-GB" w:eastAsia="en-CA"/>
        </w:rPr>
        <w:t>G.Bury</w:t>
      </w:r>
      <w:proofErr w:type="spellEnd"/>
      <w:proofErr w:type="gramEnd"/>
      <w:r w:rsidRPr="00D56CDC">
        <w:rPr>
          <w:rFonts w:eastAsia="Times New Roman" w:cstheme="minorHAnsi"/>
          <w:sz w:val="24"/>
          <w:szCs w:val="24"/>
          <w:lang w:val="en-GB" w:eastAsia="en-CA"/>
        </w:rPr>
        <w:t>, Cambridge Mass., London: Harvard University Press, 1931</w:t>
      </w:r>
    </w:p>
    <w:p w14:paraId="5B80AB87" w14:textId="77777777" w:rsidR="006036EF" w:rsidRPr="00D56CDC" w:rsidRDefault="00AB14E7" w:rsidP="006036EF">
      <w:pPr>
        <w:shd w:val="clear" w:color="auto" w:fill="FFFFFF"/>
        <w:rPr>
          <w:rFonts w:cstheme="minorHAnsi"/>
          <w:sz w:val="24"/>
          <w:szCs w:val="24"/>
        </w:rPr>
      </w:pPr>
      <w:hyperlink r:id="rId17" w:history="1">
        <w:r w:rsidR="006036EF" w:rsidRPr="00D56CDC">
          <w:rPr>
            <w:rStyle w:val="Hyperlink"/>
            <w:rFonts w:cstheme="minorHAnsi"/>
            <w:color w:val="auto"/>
            <w:sz w:val="24"/>
            <w:szCs w:val="24"/>
            <w:shd w:val="clear" w:color="auto" w:fill="FFFFFF"/>
          </w:rPr>
          <w:t>http://classics.mit.edu/Plato/timaeus.html</w:t>
        </w:r>
      </w:hyperlink>
    </w:p>
    <w:p w14:paraId="7241517A" w14:textId="77777777" w:rsidR="006036EF" w:rsidRPr="00B042E4" w:rsidRDefault="006036EF" w:rsidP="006036EF">
      <w:pPr>
        <w:shd w:val="clear" w:color="auto" w:fill="FFFFFF"/>
        <w:rPr>
          <w:rFonts w:eastAsia="Times New Roman" w:cstheme="minorHAnsi"/>
          <w:color w:val="373A3C"/>
          <w:sz w:val="24"/>
          <w:szCs w:val="24"/>
          <w:lang w:eastAsia="en-CA"/>
        </w:rPr>
      </w:pPr>
    </w:p>
    <w:p w14:paraId="4EDFA3B0" w14:textId="77777777" w:rsidR="006036EF" w:rsidRPr="007B7C40" w:rsidRDefault="006036EF" w:rsidP="006036EF">
      <w:pPr>
        <w:shd w:val="clear" w:color="auto" w:fill="FFFFFF"/>
        <w:rPr>
          <w:rFonts w:eastAsia="Times New Roman" w:cstheme="minorHAnsi"/>
          <w:sz w:val="24"/>
          <w:szCs w:val="24"/>
          <w:lang w:eastAsia="en-CA"/>
        </w:rPr>
      </w:pPr>
      <w:r w:rsidRPr="007B7C40">
        <w:rPr>
          <w:rFonts w:eastAsia="Times New Roman" w:cstheme="minorHAnsi"/>
          <w:sz w:val="24"/>
          <w:szCs w:val="24"/>
          <w:lang w:eastAsia="en-CA"/>
        </w:rPr>
        <w:t>Ptolemy, Claudius, </w:t>
      </w:r>
      <w:proofErr w:type="spellStart"/>
      <w:r w:rsidRPr="007B7C40">
        <w:rPr>
          <w:rFonts w:eastAsia="Times New Roman" w:cstheme="minorHAnsi"/>
          <w:i/>
          <w:iCs/>
          <w:sz w:val="24"/>
          <w:szCs w:val="24"/>
          <w:lang w:eastAsia="en-CA"/>
        </w:rPr>
        <w:t>Tetrabiblos</w:t>
      </w:r>
      <w:proofErr w:type="spellEnd"/>
      <w:r w:rsidRPr="007B7C40">
        <w:rPr>
          <w:rFonts w:eastAsia="Times New Roman" w:cstheme="minorHAnsi"/>
          <w:sz w:val="24"/>
          <w:szCs w:val="24"/>
          <w:lang w:eastAsia="en-CA"/>
        </w:rPr>
        <w:t xml:space="preserve">, trans. </w:t>
      </w:r>
      <w:proofErr w:type="spellStart"/>
      <w:r w:rsidRPr="007B7C40">
        <w:rPr>
          <w:rFonts w:eastAsia="Times New Roman" w:cstheme="minorHAnsi"/>
          <w:sz w:val="24"/>
          <w:szCs w:val="24"/>
          <w:lang w:eastAsia="en-CA"/>
        </w:rPr>
        <w:t>F.</w:t>
      </w:r>
      <w:proofErr w:type="gramStart"/>
      <w:r w:rsidRPr="007B7C40">
        <w:rPr>
          <w:rFonts w:eastAsia="Times New Roman" w:cstheme="minorHAnsi"/>
          <w:sz w:val="24"/>
          <w:szCs w:val="24"/>
          <w:lang w:eastAsia="en-CA"/>
        </w:rPr>
        <w:t>E.Robbins</w:t>
      </w:r>
      <w:proofErr w:type="spellEnd"/>
      <w:proofErr w:type="gramEnd"/>
      <w:r w:rsidRPr="007B7C40">
        <w:rPr>
          <w:rFonts w:eastAsia="Times New Roman" w:cstheme="minorHAnsi"/>
          <w:sz w:val="24"/>
          <w:szCs w:val="24"/>
          <w:lang w:eastAsia="en-CA"/>
        </w:rPr>
        <w:t>, Cambridge Mass., London: Harvard University Press, 1930, Book 4, Chapter 10</w:t>
      </w:r>
    </w:p>
    <w:p w14:paraId="74978634" w14:textId="77777777" w:rsidR="006036EF" w:rsidRPr="007B7C40" w:rsidRDefault="00AB14E7" w:rsidP="006036EF">
      <w:pPr>
        <w:shd w:val="clear" w:color="auto" w:fill="FFFFFF"/>
        <w:rPr>
          <w:rFonts w:eastAsia="Times New Roman" w:cstheme="minorHAnsi"/>
          <w:sz w:val="24"/>
          <w:szCs w:val="24"/>
          <w:lang w:eastAsia="en-CA"/>
        </w:rPr>
      </w:pPr>
      <w:hyperlink r:id="rId18" w:history="1">
        <w:r w:rsidR="006036EF" w:rsidRPr="007B7C40">
          <w:rPr>
            <w:rFonts w:eastAsia="Times New Roman" w:cstheme="minorHAnsi"/>
            <w:sz w:val="24"/>
            <w:szCs w:val="24"/>
            <w:u w:val="single"/>
            <w:lang w:val="en-GB" w:eastAsia="en-CA"/>
          </w:rPr>
          <w:t>http://www.kronosofia.dk/frames/side/biblioteket/tetrabiblos/tetrabiblos.html</w:t>
        </w:r>
      </w:hyperlink>
    </w:p>
    <w:p w14:paraId="65AF411C" w14:textId="77777777" w:rsidR="007B7C40" w:rsidRPr="00B042E4" w:rsidRDefault="007B7C40" w:rsidP="006036EF">
      <w:pPr>
        <w:rPr>
          <w:rFonts w:cstheme="minorHAnsi"/>
          <w:sz w:val="24"/>
          <w:szCs w:val="24"/>
        </w:rPr>
      </w:pPr>
    </w:p>
    <w:p w14:paraId="4A6AED91" w14:textId="4065149D" w:rsidR="006036EF" w:rsidRDefault="006036EF" w:rsidP="006036EF">
      <w:pPr>
        <w:rPr>
          <w:rFonts w:cstheme="minorHAnsi"/>
          <w:sz w:val="24"/>
          <w:szCs w:val="24"/>
        </w:rPr>
      </w:pPr>
      <w:proofErr w:type="spellStart"/>
      <w:r w:rsidRPr="00B042E4">
        <w:rPr>
          <w:rFonts w:cstheme="minorHAnsi"/>
          <w:sz w:val="24"/>
          <w:szCs w:val="24"/>
        </w:rPr>
        <w:t>Poeschke</w:t>
      </w:r>
      <w:proofErr w:type="spellEnd"/>
      <w:r w:rsidRPr="00B042E4">
        <w:rPr>
          <w:rFonts w:cstheme="minorHAnsi"/>
          <w:sz w:val="24"/>
          <w:szCs w:val="24"/>
        </w:rPr>
        <w:t xml:space="preserve">, Joachim, </w:t>
      </w:r>
      <w:r w:rsidRPr="00B042E4">
        <w:rPr>
          <w:rFonts w:cstheme="minorHAnsi"/>
          <w:i/>
          <w:sz w:val="24"/>
          <w:szCs w:val="24"/>
        </w:rPr>
        <w:t>Italian Frescoes: The Age of Giotto 1280-1400</w:t>
      </w:r>
      <w:r w:rsidRPr="00B042E4">
        <w:rPr>
          <w:rFonts w:cstheme="minorHAnsi"/>
          <w:sz w:val="24"/>
          <w:szCs w:val="24"/>
        </w:rPr>
        <w:t xml:space="preserve">, (New York, London: </w:t>
      </w:r>
      <w:proofErr w:type="spellStart"/>
      <w:r w:rsidRPr="00B042E4">
        <w:rPr>
          <w:rFonts w:cstheme="minorHAnsi"/>
          <w:sz w:val="24"/>
          <w:szCs w:val="24"/>
        </w:rPr>
        <w:t>Abeville</w:t>
      </w:r>
      <w:proofErr w:type="spellEnd"/>
      <w:r w:rsidRPr="00B042E4">
        <w:rPr>
          <w:rFonts w:cstheme="minorHAnsi"/>
          <w:sz w:val="24"/>
          <w:szCs w:val="24"/>
        </w:rPr>
        <w:t xml:space="preserve"> Press Publishers, 2005)</w:t>
      </w:r>
    </w:p>
    <w:p w14:paraId="00D48F99" w14:textId="77777777" w:rsidR="007B7C40" w:rsidRPr="00B042E4" w:rsidRDefault="007B7C40" w:rsidP="006036EF">
      <w:pPr>
        <w:rPr>
          <w:rFonts w:cstheme="minorHAnsi"/>
          <w:sz w:val="24"/>
          <w:szCs w:val="24"/>
        </w:rPr>
      </w:pPr>
    </w:p>
    <w:p w14:paraId="0328AA5F" w14:textId="75959BC6" w:rsidR="006036EF" w:rsidRDefault="006036EF" w:rsidP="006036EF">
      <w:pPr>
        <w:rPr>
          <w:rFonts w:cstheme="minorHAnsi"/>
          <w:sz w:val="24"/>
          <w:szCs w:val="24"/>
          <w:shd w:val="clear" w:color="auto" w:fill="FFFFFF"/>
        </w:rPr>
      </w:pPr>
      <w:r w:rsidRPr="00B042E4">
        <w:rPr>
          <w:rFonts w:cstheme="minorHAnsi"/>
          <w:sz w:val="24"/>
          <w:szCs w:val="24"/>
          <w:shd w:val="clear" w:color="auto" w:fill="FFFFFF"/>
        </w:rPr>
        <w:t>Sears, Elizabeth, The Ages of Man: Medieval Interpretations of the Life Cycle, (New Jersey: Princeton University Press, 1986)</w:t>
      </w:r>
    </w:p>
    <w:p w14:paraId="0785E7CE" w14:textId="77777777" w:rsidR="007B7C40" w:rsidRDefault="007B7C40" w:rsidP="006036EF">
      <w:pPr>
        <w:rPr>
          <w:rFonts w:cstheme="minorHAnsi"/>
          <w:sz w:val="24"/>
          <w:szCs w:val="24"/>
          <w:shd w:val="clear" w:color="auto" w:fill="FFFFFF"/>
        </w:rPr>
      </w:pPr>
    </w:p>
    <w:p w14:paraId="4A1CB80E" w14:textId="371A8601" w:rsidR="006036EF" w:rsidRDefault="006036EF" w:rsidP="006036EF">
      <w:pPr>
        <w:rPr>
          <w:sz w:val="24"/>
          <w:szCs w:val="24"/>
        </w:rPr>
      </w:pPr>
      <w:proofErr w:type="spellStart"/>
      <w:r>
        <w:rPr>
          <w:sz w:val="24"/>
          <w:szCs w:val="24"/>
        </w:rPr>
        <w:t>Spiazzi</w:t>
      </w:r>
      <w:proofErr w:type="spellEnd"/>
      <w:r>
        <w:rPr>
          <w:sz w:val="24"/>
          <w:szCs w:val="24"/>
        </w:rPr>
        <w:t xml:space="preserve">, </w:t>
      </w:r>
      <w:r w:rsidRPr="00E26329">
        <w:rPr>
          <w:sz w:val="24"/>
          <w:szCs w:val="24"/>
        </w:rPr>
        <w:t xml:space="preserve">Anna Maria, ‘Giusto de’ </w:t>
      </w:r>
      <w:proofErr w:type="spellStart"/>
      <w:r w:rsidRPr="00E26329">
        <w:rPr>
          <w:sz w:val="24"/>
          <w:szCs w:val="24"/>
        </w:rPr>
        <w:t>Menabuoi</w:t>
      </w:r>
      <w:proofErr w:type="spellEnd"/>
      <w:r w:rsidRPr="00E26329">
        <w:rPr>
          <w:sz w:val="24"/>
          <w:szCs w:val="24"/>
        </w:rPr>
        <w:t xml:space="preserve">,’ in </w:t>
      </w:r>
      <w:r w:rsidRPr="00E26329">
        <w:rPr>
          <w:i/>
          <w:sz w:val="24"/>
          <w:szCs w:val="24"/>
        </w:rPr>
        <w:t xml:space="preserve">Giotto e </w:t>
      </w:r>
      <w:proofErr w:type="spellStart"/>
      <w:r w:rsidRPr="00E26329">
        <w:rPr>
          <w:i/>
          <w:sz w:val="24"/>
          <w:szCs w:val="24"/>
        </w:rPr>
        <w:t>il</w:t>
      </w:r>
      <w:proofErr w:type="spellEnd"/>
      <w:r w:rsidRPr="00E26329">
        <w:rPr>
          <w:i/>
          <w:sz w:val="24"/>
          <w:szCs w:val="24"/>
        </w:rPr>
        <w:t xml:space="preserve"> </w:t>
      </w:r>
      <w:proofErr w:type="spellStart"/>
      <w:r w:rsidRPr="00E26329">
        <w:rPr>
          <w:i/>
          <w:sz w:val="24"/>
          <w:szCs w:val="24"/>
        </w:rPr>
        <w:t>suo</w:t>
      </w:r>
      <w:proofErr w:type="spellEnd"/>
      <w:r w:rsidRPr="00E26329">
        <w:rPr>
          <w:i/>
          <w:sz w:val="24"/>
          <w:szCs w:val="24"/>
        </w:rPr>
        <w:t xml:space="preserve"> tempo</w:t>
      </w:r>
      <w:r w:rsidRPr="00E26329">
        <w:rPr>
          <w:sz w:val="24"/>
          <w:szCs w:val="24"/>
        </w:rPr>
        <w:t xml:space="preserve">, ed. by V. </w:t>
      </w:r>
      <w:proofErr w:type="spellStart"/>
      <w:r w:rsidRPr="00E26329">
        <w:rPr>
          <w:sz w:val="24"/>
          <w:szCs w:val="24"/>
        </w:rPr>
        <w:t>Sgarbi</w:t>
      </w:r>
      <w:proofErr w:type="spellEnd"/>
      <w:r w:rsidRPr="00E26329">
        <w:rPr>
          <w:sz w:val="24"/>
          <w:szCs w:val="24"/>
        </w:rPr>
        <w:t>, (Milan, 2000), pp. 190-204</w:t>
      </w:r>
    </w:p>
    <w:p w14:paraId="0F93A8BC" w14:textId="77777777" w:rsidR="007B7C40" w:rsidRPr="00E26329" w:rsidRDefault="007B7C40" w:rsidP="006036EF">
      <w:pPr>
        <w:rPr>
          <w:rFonts w:cstheme="minorHAnsi"/>
          <w:sz w:val="24"/>
          <w:szCs w:val="24"/>
          <w:shd w:val="clear" w:color="auto" w:fill="FFFFFF"/>
        </w:rPr>
      </w:pPr>
    </w:p>
    <w:p w14:paraId="4ACDDE1C" w14:textId="77777777" w:rsidR="006036EF" w:rsidRDefault="006036EF" w:rsidP="006036EF">
      <w:pPr>
        <w:pStyle w:val="Default"/>
        <w:rPr>
          <w:rFonts w:asciiTheme="minorHAnsi" w:hAnsiTheme="minorHAnsi" w:cstheme="minorHAnsi"/>
        </w:rPr>
      </w:pPr>
      <w:r w:rsidRPr="00B042E4">
        <w:rPr>
          <w:rFonts w:asciiTheme="minorHAnsi" w:hAnsiTheme="minorHAnsi" w:cstheme="minorHAnsi"/>
        </w:rPr>
        <w:t xml:space="preserve">Thorndike, Lynn, ‘The True Place of Astrology in the History of Science’, </w:t>
      </w:r>
      <w:r w:rsidRPr="00B042E4">
        <w:rPr>
          <w:rFonts w:asciiTheme="minorHAnsi" w:hAnsiTheme="minorHAnsi" w:cstheme="minorHAnsi"/>
          <w:i/>
        </w:rPr>
        <w:t>Isis</w:t>
      </w:r>
      <w:r w:rsidRPr="00B042E4">
        <w:rPr>
          <w:rFonts w:asciiTheme="minorHAnsi" w:hAnsiTheme="minorHAnsi" w:cstheme="minorHAnsi"/>
        </w:rPr>
        <w:t>, Vol. 46, No. 3 (Sep. 1955), 273-278</w:t>
      </w:r>
    </w:p>
    <w:p w14:paraId="56CEADAA" w14:textId="77777777" w:rsidR="006036EF" w:rsidRPr="00B042E4" w:rsidRDefault="006036EF" w:rsidP="006036EF">
      <w:pPr>
        <w:pStyle w:val="Default"/>
        <w:rPr>
          <w:rFonts w:asciiTheme="minorHAnsi" w:hAnsiTheme="minorHAnsi" w:cstheme="minorHAnsi"/>
        </w:rPr>
      </w:pPr>
    </w:p>
    <w:p w14:paraId="51E93643" w14:textId="77777777" w:rsidR="006036EF" w:rsidRPr="00B042E4" w:rsidRDefault="006036EF" w:rsidP="006036EF">
      <w:pPr>
        <w:rPr>
          <w:rFonts w:cstheme="minorHAnsi"/>
          <w:sz w:val="24"/>
          <w:szCs w:val="24"/>
        </w:rPr>
      </w:pPr>
      <w:r w:rsidRPr="00B042E4">
        <w:rPr>
          <w:rFonts w:cstheme="minorHAnsi"/>
          <w:sz w:val="24"/>
          <w:szCs w:val="24"/>
        </w:rPr>
        <w:t xml:space="preserve">Woodward, David, ‘Reality, Symbolism, Time, and Space in Medieval World Maps’, </w:t>
      </w:r>
      <w:r w:rsidRPr="00B042E4">
        <w:rPr>
          <w:rFonts w:cstheme="minorHAnsi"/>
          <w:i/>
          <w:sz w:val="24"/>
          <w:szCs w:val="24"/>
        </w:rPr>
        <w:t>Annals of the Association of American Geographers</w:t>
      </w:r>
      <w:r w:rsidRPr="00B042E4">
        <w:rPr>
          <w:rFonts w:cstheme="minorHAnsi"/>
          <w:sz w:val="24"/>
          <w:szCs w:val="24"/>
        </w:rPr>
        <w:t>, Vol. 75, No. 4 (</w:t>
      </w:r>
      <w:proofErr w:type="gramStart"/>
      <w:r w:rsidRPr="00B042E4">
        <w:rPr>
          <w:rFonts w:cstheme="minorHAnsi"/>
          <w:sz w:val="24"/>
          <w:szCs w:val="24"/>
        </w:rPr>
        <w:t>Dec,</w:t>
      </w:r>
      <w:proofErr w:type="gramEnd"/>
      <w:r w:rsidRPr="00B042E4">
        <w:rPr>
          <w:rFonts w:cstheme="minorHAnsi"/>
          <w:sz w:val="24"/>
          <w:szCs w:val="24"/>
        </w:rPr>
        <w:t xml:space="preserve"> 1985), 510-521  </w:t>
      </w:r>
    </w:p>
    <w:p w14:paraId="7AD38A91" w14:textId="77777777" w:rsidR="006036EF" w:rsidRPr="00721221" w:rsidRDefault="006036EF" w:rsidP="006036EF">
      <w:pPr>
        <w:rPr>
          <w:rFonts w:cstheme="minorHAnsi"/>
          <w:color w:val="999999"/>
          <w:shd w:val="clear" w:color="auto" w:fill="FFFFFF"/>
        </w:rPr>
      </w:pPr>
    </w:p>
    <w:p w14:paraId="7B17EEDF" w14:textId="77777777" w:rsidR="00E363D9" w:rsidRDefault="00E363D9" w:rsidP="006036EF">
      <w:pPr>
        <w:pStyle w:val="Title"/>
        <w:rPr>
          <w:rFonts w:ascii="Trebuchet MS" w:eastAsia="Times New Roman" w:hAnsi="Trebuchet MS" w:cs="Tahoma"/>
          <w:bCs/>
          <w:sz w:val="24"/>
          <w:szCs w:val="24"/>
          <w:lang w:eastAsia="en-CA"/>
        </w:rPr>
      </w:pPr>
    </w:p>
    <w:sectPr w:rsidR="00E363D9">
      <w:headerReference w:type="default" r:id="rId1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9A6FF7" w14:textId="77777777" w:rsidR="00AB14E7" w:rsidRDefault="00AB14E7" w:rsidP="0058405F">
      <w:r>
        <w:separator/>
      </w:r>
    </w:p>
  </w:endnote>
  <w:endnote w:type="continuationSeparator" w:id="0">
    <w:p w14:paraId="4C41CBB1" w14:textId="77777777" w:rsidR="00AB14E7" w:rsidRDefault="00AB14E7" w:rsidP="00584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de">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F6BC15" w14:textId="77777777" w:rsidR="00AB14E7" w:rsidRDefault="00AB14E7" w:rsidP="0058405F">
      <w:r>
        <w:separator/>
      </w:r>
    </w:p>
  </w:footnote>
  <w:footnote w:type="continuationSeparator" w:id="0">
    <w:p w14:paraId="18B68CAC" w14:textId="77777777" w:rsidR="00AB14E7" w:rsidRDefault="00AB14E7" w:rsidP="0058405F">
      <w:r>
        <w:continuationSeparator/>
      </w:r>
    </w:p>
  </w:footnote>
  <w:footnote w:id="1">
    <w:p w14:paraId="696318EA" w14:textId="77777777" w:rsidR="008E6BDF" w:rsidRPr="00CF2FB0" w:rsidRDefault="008E6BDF" w:rsidP="006036EF">
      <w:pPr>
        <w:pStyle w:val="FootnoteText"/>
      </w:pPr>
      <w:r w:rsidRPr="00CF2FB0">
        <w:rPr>
          <w:rStyle w:val="FootnoteReference"/>
        </w:rPr>
        <w:footnoteRef/>
      </w:r>
      <w:r w:rsidRPr="00CF2FB0">
        <w:t xml:space="preserve"> </w:t>
      </w:r>
      <w:r w:rsidRPr="00CF2FB0">
        <w:rPr>
          <w:rStyle w:val="gb-title-box-title"/>
          <w:rFonts w:cstheme="minorHAnsi"/>
          <w:bCs/>
          <w:color w:val="000000"/>
          <w:shd w:val="clear" w:color="auto" w:fill="FFFFFF"/>
        </w:rPr>
        <w:t>Nicholas</w:t>
      </w:r>
      <w:r>
        <w:rPr>
          <w:rStyle w:val="gb-title-box-title"/>
          <w:rFonts w:cstheme="minorHAnsi"/>
          <w:bCs/>
          <w:color w:val="000000"/>
          <w:shd w:val="clear" w:color="auto" w:fill="FFFFFF"/>
        </w:rPr>
        <w:t xml:space="preserve"> Campion</w:t>
      </w:r>
      <w:r w:rsidRPr="00CF2FB0">
        <w:rPr>
          <w:rStyle w:val="gb-title-box-title"/>
          <w:rFonts w:cstheme="minorHAnsi"/>
          <w:bCs/>
          <w:color w:val="000000"/>
          <w:shd w:val="clear" w:color="auto" w:fill="FFFFFF"/>
        </w:rPr>
        <w:t xml:space="preserve">, </w:t>
      </w:r>
      <w:r w:rsidRPr="00CF2FB0">
        <w:rPr>
          <w:rStyle w:val="gb-title-box-title"/>
          <w:rFonts w:cstheme="minorHAnsi"/>
          <w:bCs/>
          <w:i/>
          <w:color w:val="000000"/>
          <w:shd w:val="clear" w:color="auto" w:fill="FFFFFF"/>
        </w:rPr>
        <w:t>A History of Western Astrology Volume II, The Medieval and Modern Worlds</w:t>
      </w:r>
      <w:r w:rsidRPr="00CF2FB0">
        <w:rPr>
          <w:rStyle w:val="gb-title-box-dash"/>
          <w:rFonts w:cstheme="minorHAnsi"/>
          <w:color w:val="999999"/>
          <w:shd w:val="clear" w:color="auto" w:fill="FFFFFF"/>
        </w:rPr>
        <w:t>, (</w:t>
      </w:r>
      <w:r w:rsidRPr="00CF2FB0">
        <w:t>London: Continuum, 2009), p.30</w:t>
      </w:r>
      <w:r>
        <w:t xml:space="preserve">, </w:t>
      </w:r>
      <w:r w:rsidRPr="00D32ECA">
        <w:rPr>
          <w:rFonts w:cstheme="minorHAnsi"/>
        </w:rPr>
        <w:t xml:space="preserve">Lynn Thorndike, ‘The True Place of Astrology in the History of Science’, </w:t>
      </w:r>
      <w:r w:rsidRPr="00D32ECA">
        <w:rPr>
          <w:rFonts w:cstheme="minorHAnsi"/>
          <w:i/>
        </w:rPr>
        <w:t>Isis</w:t>
      </w:r>
      <w:r w:rsidRPr="00D32ECA">
        <w:rPr>
          <w:rFonts w:cstheme="minorHAnsi"/>
        </w:rPr>
        <w:t>, Vol. 46, No. 3, (Sep. 1955), p. 273.</w:t>
      </w:r>
    </w:p>
  </w:footnote>
  <w:footnote w:id="2">
    <w:p w14:paraId="19BFB9C7" w14:textId="77777777" w:rsidR="008E6BDF" w:rsidRPr="00CF2FB0" w:rsidRDefault="008E6BDF" w:rsidP="006036EF">
      <w:pPr>
        <w:rPr>
          <w:sz w:val="20"/>
          <w:szCs w:val="20"/>
        </w:rPr>
      </w:pPr>
      <w:r w:rsidRPr="00CF2FB0">
        <w:rPr>
          <w:rStyle w:val="FootnoteReference"/>
          <w:sz w:val="20"/>
          <w:szCs w:val="20"/>
        </w:rPr>
        <w:footnoteRef/>
      </w:r>
      <w:r w:rsidRPr="00CF2FB0">
        <w:rPr>
          <w:sz w:val="20"/>
          <w:szCs w:val="20"/>
        </w:rPr>
        <w:t xml:space="preserve"> </w:t>
      </w:r>
      <w:proofErr w:type="spellStart"/>
      <w:r>
        <w:rPr>
          <w:sz w:val="20"/>
          <w:szCs w:val="20"/>
        </w:rPr>
        <w:t>Darrelyn</w:t>
      </w:r>
      <w:proofErr w:type="spellEnd"/>
      <w:r>
        <w:rPr>
          <w:sz w:val="20"/>
          <w:szCs w:val="20"/>
        </w:rPr>
        <w:t xml:space="preserve"> </w:t>
      </w:r>
      <w:proofErr w:type="spellStart"/>
      <w:r w:rsidRPr="00CF2FB0">
        <w:rPr>
          <w:sz w:val="20"/>
          <w:szCs w:val="20"/>
        </w:rPr>
        <w:t>Gunzbur</w:t>
      </w:r>
      <w:r>
        <w:rPr>
          <w:sz w:val="20"/>
          <w:szCs w:val="20"/>
        </w:rPr>
        <w:t>g</w:t>
      </w:r>
      <w:proofErr w:type="spellEnd"/>
      <w:r w:rsidRPr="00CF2FB0">
        <w:rPr>
          <w:sz w:val="20"/>
          <w:szCs w:val="20"/>
        </w:rPr>
        <w:t xml:space="preserve"> , ‘Giotto’s Sky: The Fresco Paintings of the First Floor Salone of the Palazzo </w:t>
      </w:r>
      <w:proofErr w:type="spellStart"/>
      <w:r w:rsidRPr="00CF2FB0">
        <w:rPr>
          <w:sz w:val="20"/>
          <w:szCs w:val="20"/>
        </w:rPr>
        <w:t>della</w:t>
      </w:r>
      <w:proofErr w:type="spellEnd"/>
      <w:r w:rsidRPr="00CF2FB0">
        <w:rPr>
          <w:sz w:val="20"/>
          <w:szCs w:val="20"/>
        </w:rPr>
        <w:t xml:space="preserve"> </w:t>
      </w:r>
      <w:proofErr w:type="spellStart"/>
      <w:r w:rsidRPr="00CF2FB0">
        <w:rPr>
          <w:sz w:val="20"/>
          <w:szCs w:val="20"/>
        </w:rPr>
        <w:t>Ragione</w:t>
      </w:r>
      <w:proofErr w:type="spellEnd"/>
      <w:r w:rsidRPr="00CF2FB0">
        <w:rPr>
          <w:sz w:val="20"/>
          <w:szCs w:val="20"/>
        </w:rPr>
        <w:t xml:space="preserve">, Padua, Italy’, </w:t>
      </w:r>
      <w:r w:rsidRPr="00CF2FB0">
        <w:rPr>
          <w:i/>
          <w:sz w:val="20"/>
          <w:szCs w:val="20"/>
        </w:rPr>
        <w:t>Journal for the Study of Religion, Nature and Culture</w:t>
      </w:r>
      <w:r w:rsidRPr="00CF2FB0">
        <w:rPr>
          <w:rFonts w:cstheme="minorHAnsi"/>
          <w:sz w:val="20"/>
          <w:szCs w:val="20"/>
        </w:rPr>
        <w:t xml:space="preserve">, </w:t>
      </w:r>
      <w:hyperlink r:id="rId1" w:history="1">
        <w:r w:rsidRPr="00CF2FB0">
          <w:rPr>
            <w:rStyle w:val="Hyperlink"/>
            <w:rFonts w:cstheme="minorHAnsi"/>
            <w:iCs/>
            <w:sz w:val="20"/>
            <w:szCs w:val="20"/>
            <w:shd w:val="clear" w:color="auto" w:fill="FFFFFF"/>
          </w:rPr>
          <w:t>Vol 7, No 4 (2013)</w:t>
        </w:r>
      </w:hyperlink>
      <w:r>
        <w:rPr>
          <w:rStyle w:val="Emphasis"/>
          <w:rFonts w:ascii="Arial" w:hAnsi="Arial" w:cs="Arial"/>
          <w:sz w:val="20"/>
          <w:szCs w:val="20"/>
          <w:shd w:val="clear" w:color="auto" w:fill="FFFFFF"/>
        </w:rPr>
        <w:t xml:space="preserve">, </w:t>
      </w:r>
      <w:r w:rsidRPr="00CF2FB0">
        <w:rPr>
          <w:sz w:val="20"/>
          <w:szCs w:val="20"/>
        </w:rPr>
        <w:t>408.</w:t>
      </w:r>
    </w:p>
  </w:footnote>
  <w:footnote w:id="3">
    <w:p w14:paraId="6B46C8EE" w14:textId="77777777" w:rsidR="008E6BDF" w:rsidRPr="00CF2FB0" w:rsidRDefault="008E6BDF" w:rsidP="006036EF">
      <w:pPr>
        <w:rPr>
          <w:sz w:val="20"/>
          <w:szCs w:val="20"/>
        </w:rPr>
      </w:pPr>
      <w:r>
        <w:rPr>
          <w:rStyle w:val="FootnoteReference"/>
        </w:rPr>
        <w:footnoteRef/>
      </w:r>
      <w:r>
        <w:t xml:space="preserve"> </w:t>
      </w:r>
      <w:r>
        <w:rPr>
          <w:rStyle w:val="gb-title-box-title"/>
          <w:rFonts w:cstheme="minorHAnsi"/>
          <w:bCs/>
          <w:color w:val="000000"/>
          <w:sz w:val="20"/>
          <w:szCs w:val="20"/>
          <w:shd w:val="clear" w:color="auto" w:fill="FFFFFF"/>
        </w:rPr>
        <w:t>Campion</w:t>
      </w:r>
      <w:r w:rsidRPr="00CF2FB0">
        <w:rPr>
          <w:rStyle w:val="gb-title-box-title"/>
          <w:rFonts w:cstheme="minorHAnsi"/>
          <w:bCs/>
          <w:color w:val="000000"/>
          <w:sz w:val="20"/>
          <w:szCs w:val="20"/>
          <w:shd w:val="clear" w:color="auto" w:fill="FFFFFF"/>
        </w:rPr>
        <w:t>,</w:t>
      </w:r>
      <w:r>
        <w:rPr>
          <w:rStyle w:val="gb-title-box-title"/>
          <w:rFonts w:cstheme="minorHAnsi"/>
          <w:bCs/>
          <w:color w:val="000000"/>
          <w:sz w:val="20"/>
          <w:szCs w:val="20"/>
          <w:shd w:val="clear" w:color="auto" w:fill="FFFFFF"/>
        </w:rPr>
        <w:t xml:space="preserve"> </w:t>
      </w:r>
      <w:r w:rsidRPr="00CF2FB0">
        <w:rPr>
          <w:rStyle w:val="gb-title-box-title"/>
          <w:rFonts w:cstheme="minorHAnsi"/>
          <w:bCs/>
          <w:i/>
          <w:color w:val="000000"/>
          <w:sz w:val="20"/>
          <w:szCs w:val="20"/>
          <w:shd w:val="clear" w:color="auto" w:fill="FFFFFF"/>
        </w:rPr>
        <w:t>History</w:t>
      </w:r>
      <w:r>
        <w:rPr>
          <w:rStyle w:val="gb-title-box-title"/>
          <w:rFonts w:cstheme="minorHAnsi"/>
          <w:bCs/>
          <w:i/>
          <w:color w:val="000000"/>
          <w:sz w:val="20"/>
          <w:szCs w:val="20"/>
          <w:shd w:val="clear" w:color="auto" w:fill="FFFFFF"/>
        </w:rPr>
        <w:t xml:space="preserve">, </w:t>
      </w:r>
      <w:r w:rsidRPr="00CF2FB0">
        <w:rPr>
          <w:sz w:val="20"/>
          <w:szCs w:val="20"/>
        </w:rPr>
        <w:t>p. 43.</w:t>
      </w:r>
    </w:p>
  </w:footnote>
  <w:footnote w:id="4">
    <w:p w14:paraId="159730CC" w14:textId="77777777" w:rsidR="008E6BDF" w:rsidRPr="00CF2FB0" w:rsidRDefault="008E6BDF" w:rsidP="006036EF">
      <w:pPr>
        <w:rPr>
          <w:sz w:val="20"/>
          <w:szCs w:val="20"/>
        </w:rPr>
      </w:pPr>
      <w:r w:rsidRPr="00CF2FB0">
        <w:rPr>
          <w:rStyle w:val="FootnoteReference"/>
          <w:sz w:val="20"/>
          <w:szCs w:val="20"/>
        </w:rPr>
        <w:footnoteRef/>
      </w:r>
      <w:r w:rsidRPr="00CF2FB0">
        <w:rPr>
          <w:sz w:val="20"/>
          <w:szCs w:val="20"/>
        </w:rPr>
        <w:t xml:space="preserve"> </w:t>
      </w:r>
      <w:proofErr w:type="spellStart"/>
      <w:r w:rsidRPr="004E7E66">
        <w:rPr>
          <w:sz w:val="20"/>
          <w:szCs w:val="20"/>
        </w:rPr>
        <w:t>Giordana</w:t>
      </w:r>
      <w:proofErr w:type="spellEnd"/>
      <w:r w:rsidRPr="004E7E66">
        <w:rPr>
          <w:sz w:val="20"/>
          <w:szCs w:val="20"/>
        </w:rPr>
        <w:t xml:space="preserve"> </w:t>
      </w:r>
      <w:proofErr w:type="spellStart"/>
      <w:r w:rsidRPr="004E7E66">
        <w:rPr>
          <w:sz w:val="20"/>
          <w:szCs w:val="20"/>
        </w:rPr>
        <w:t>Mariani</w:t>
      </w:r>
      <w:proofErr w:type="spellEnd"/>
      <w:r w:rsidRPr="004E7E66">
        <w:rPr>
          <w:sz w:val="20"/>
          <w:szCs w:val="20"/>
        </w:rPr>
        <w:t xml:space="preserve"> Canova, ‘Padua and the Stars: Medieval Painting and Illuminated Manuscripts’, </w:t>
      </w:r>
      <w:r w:rsidRPr="004E7E66">
        <w:rPr>
          <w:i/>
          <w:color w:val="000000"/>
          <w:sz w:val="20"/>
          <w:szCs w:val="20"/>
          <w:shd w:val="clear" w:color="auto" w:fill="FFFFFF"/>
        </w:rPr>
        <w:t>The Inspiration of Astronomical Phenomena VI</w:t>
      </w:r>
      <w:r w:rsidRPr="004E7E66">
        <w:rPr>
          <w:color w:val="000000"/>
          <w:sz w:val="20"/>
          <w:szCs w:val="20"/>
          <w:shd w:val="clear" w:color="auto" w:fill="FFFFFF"/>
        </w:rPr>
        <w:t>, ASP Conference Series, Vol. 441. (San Francisco: Astronomical Society of the Pacific, 2011)</w:t>
      </w:r>
      <w:r>
        <w:rPr>
          <w:color w:val="000000"/>
          <w:sz w:val="20"/>
          <w:szCs w:val="20"/>
          <w:shd w:val="clear" w:color="auto" w:fill="FFFFFF"/>
        </w:rPr>
        <w:t xml:space="preserve">, </w:t>
      </w:r>
      <w:r w:rsidRPr="004E7E66">
        <w:rPr>
          <w:color w:val="000000"/>
          <w:sz w:val="20"/>
          <w:szCs w:val="20"/>
          <w:shd w:val="clear" w:color="auto" w:fill="FFFFFF"/>
        </w:rPr>
        <w:t>111</w:t>
      </w:r>
      <w:r>
        <w:rPr>
          <w:color w:val="000000"/>
          <w:sz w:val="20"/>
          <w:szCs w:val="20"/>
          <w:shd w:val="clear" w:color="auto" w:fill="FFFFFF"/>
        </w:rPr>
        <w:t>.</w:t>
      </w:r>
    </w:p>
  </w:footnote>
  <w:footnote w:id="5">
    <w:p w14:paraId="6437CFF5" w14:textId="77777777" w:rsidR="008E6BDF" w:rsidRDefault="008E6BDF" w:rsidP="006036EF">
      <w:r w:rsidRPr="00CF2FB0">
        <w:rPr>
          <w:rStyle w:val="FootnoteReference"/>
          <w:sz w:val="20"/>
          <w:szCs w:val="20"/>
        </w:rPr>
        <w:footnoteRef/>
      </w:r>
      <w:r w:rsidRPr="00CF2FB0">
        <w:rPr>
          <w:sz w:val="20"/>
          <w:szCs w:val="20"/>
        </w:rPr>
        <w:t xml:space="preserve"> Dunlop, Anne, </w:t>
      </w:r>
      <w:r w:rsidRPr="00CF2FB0">
        <w:rPr>
          <w:i/>
          <w:sz w:val="20"/>
          <w:szCs w:val="20"/>
        </w:rPr>
        <w:t>Painted Palaces: The Rise of Secular Art in Early Renaissance Italy</w:t>
      </w:r>
      <w:r w:rsidRPr="00CF2FB0">
        <w:rPr>
          <w:sz w:val="20"/>
          <w:szCs w:val="20"/>
        </w:rPr>
        <w:t>, (Pennsylvania: Pennsylvania State University Press, 2009)</w:t>
      </w:r>
      <w:r>
        <w:rPr>
          <w:sz w:val="20"/>
          <w:szCs w:val="20"/>
        </w:rPr>
        <w:t>,</w:t>
      </w:r>
      <w:r w:rsidRPr="00CF2FB0">
        <w:rPr>
          <w:sz w:val="20"/>
          <w:szCs w:val="20"/>
        </w:rPr>
        <w:t xml:space="preserve"> p</w:t>
      </w:r>
      <w:r>
        <w:rPr>
          <w:sz w:val="20"/>
          <w:szCs w:val="20"/>
        </w:rPr>
        <w:t xml:space="preserve">. </w:t>
      </w:r>
      <w:r w:rsidRPr="00CF2FB0">
        <w:rPr>
          <w:sz w:val="20"/>
          <w:szCs w:val="20"/>
        </w:rPr>
        <w:t>85</w:t>
      </w:r>
      <w:r>
        <w:rPr>
          <w:sz w:val="20"/>
          <w:szCs w:val="20"/>
        </w:rPr>
        <w:t>.</w:t>
      </w:r>
    </w:p>
  </w:footnote>
  <w:footnote w:id="6">
    <w:p w14:paraId="4C31DFA4" w14:textId="77777777" w:rsidR="008E6BDF" w:rsidRPr="004E7E66" w:rsidRDefault="008E6BDF" w:rsidP="006036EF">
      <w:pPr>
        <w:rPr>
          <w:sz w:val="20"/>
          <w:szCs w:val="20"/>
        </w:rPr>
      </w:pPr>
      <w:r w:rsidRPr="004E7E66">
        <w:rPr>
          <w:rStyle w:val="FootnoteReference"/>
          <w:sz w:val="20"/>
          <w:szCs w:val="20"/>
        </w:rPr>
        <w:footnoteRef/>
      </w:r>
      <w:r w:rsidRPr="004E7E66">
        <w:rPr>
          <w:sz w:val="20"/>
          <w:szCs w:val="20"/>
        </w:rPr>
        <w:t xml:space="preserve"> Joachim </w:t>
      </w:r>
      <w:proofErr w:type="spellStart"/>
      <w:r w:rsidRPr="004E7E66">
        <w:rPr>
          <w:sz w:val="20"/>
          <w:szCs w:val="20"/>
        </w:rPr>
        <w:t>Poeschke</w:t>
      </w:r>
      <w:proofErr w:type="spellEnd"/>
      <w:r w:rsidRPr="004E7E66">
        <w:rPr>
          <w:sz w:val="20"/>
          <w:szCs w:val="20"/>
        </w:rPr>
        <w:t xml:space="preserve">, Joachim, </w:t>
      </w:r>
      <w:r w:rsidRPr="004E7E66">
        <w:rPr>
          <w:i/>
          <w:sz w:val="20"/>
          <w:szCs w:val="20"/>
        </w:rPr>
        <w:t>Italian Frescoes: The Age of Giotto 1280-1400</w:t>
      </w:r>
      <w:r w:rsidRPr="004E7E66">
        <w:rPr>
          <w:sz w:val="20"/>
          <w:szCs w:val="20"/>
        </w:rPr>
        <w:t xml:space="preserve">, (New York, London: </w:t>
      </w:r>
      <w:proofErr w:type="spellStart"/>
      <w:r w:rsidRPr="004E7E66">
        <w:rPr>
          <w:sz w:val="20"/>
          <w:szCs w:val="20"/>
        </w:rPr>
        <w:t>Abeville</w:t>
      </w:r>
      <w:proofErr w:type="spellEnd"/>
      <w:r w:rsidRPr="004E7E66">
        <w:rPr>
          <w:sz w:val="20"/>
          <w:szCs w:val="20"/>
        </w:rPr>
        <w:t xml:space="preserve"> Press Publishers, 2005), p. 404.</w:t>
      </w:r>
    </w:p>
  </w:footnote>
  <w:footnote w:id="7">
    <w:p w14:paraId="305D7729" w14:textId="77777777" w:rsidR="008E6BDF" w:rsidRPr="004E7E66" w:rsidRDefault="008E6BDF" w:rsidP="006036EF">
      <w:pPr>
        <w:pStyle w:val="Heading1"/>
        <w:shd w:val="clear" w:color="auto" w:fill="FFFFFF"/>
        <w:spacing w:before="0"/>
        <w:rPr>
          <w:rFonts w:asciiTheme="minorHAnsi" w:hAnsiTheme="minorHAnsi" w:cstheme="minorHAnsi"/>
          <w:i/>
          <w:color w:val="auto"/>
          <w:sz w:val="20"/>
          <w:szCs w:val="20"/>
        </w:rPr>
      </w:pPr>
      <w:r w:rsidRPr="004E7E66">
        <w:rPr>
          <w:rStyle w:val="FootnoteReference"/>
          <w:color w:val="auto"/>
          <w:sz w:val="20"/>
          <w:szCs w:val="20"/>
        </w:rPr>
        <w:footnoteRef/>
      </w:r>
      <w:r w:rsidRPr="004E7E66">
        <w:rPr>
          <w:color w:val="auto"/>
          <w:sz w:val="20"/>
          <w:szCs w:val="20"/>
        </w:rPr>
        <w:t xml:space="preserve"> </w:t>
      </w:r>
      <w:r w:rsidRPr="004E7E66">
        <w:rPr>
          <w:rFonts w:asciiTheme="minorHAnsi" w:hAnsiTheme="minorHAnsi" w:cstheme="minorHAnsi"/>
          <w:color w:val="auto"/>
          <w:sz w:val="20"/>
          <w:szCs w:val="20"/>
        </w:rPr>
        <w:t xml:space="preserve">Diana Norman, ‘Astrology, antiquity and empiricism: art and learning’ in </w:t>
      </w:r>
      <w:r w:rsidRPr="004E7E66">
        <w:rPr>
          <w:rFonts w:asciiTheme="minorHAnsi" w:hAnsiTheme="minorHAnsi" w:cstheme="minorHAnsi"/>
          <w:i/>
          <w:color w:val="auto"/>
          <w:sz w:val="20"/>
          <w:szCs w:val="20"/>
        </w:rPr>
        <w:t>Siena, Florence, and Padua: Interpretative essays,</w:t>
      </w:r>
      <w:r>
        <w:rPr>
          <w:rFonts w:asciiTheme="minorHAnsi" w:hAnsiTheme="minorHAnsi" w:cstheme="minorHAnsi"/>
          <w:i/>
          <w:color w:val="auto"/>
          <w:sz w:val="20"/>
          <w:szCs w:val="20"/>
        </w:rPr>
        <w:t xml:space="preserve"> </w:t>
      </w:r>
      <w:r>
        <w:rPr>
          <w:rStyle w:val="addmd"/>
          <w:rFonts w:asciiTheme="minorHAnsi" w:hAnsiTheme="minorHAnsi" w:cstheme="minorHAnsi"/>
          <w:color w:val="auto"/>
          <w:sz w:val="20"/>
          <w:szCs w:val="20"/>
          <w:shd w:val="clear" w:color="auto" w:fill="FFFFFF"/>
        </w:rPr>
        <w:t>e</w:t>
      </w:r>
      <w:r w:rsidRPr="004E7E66">
        <w:rPr>
          <w:rStyle w:val="addmd"/>
          <w:rFonts w:asciiTheme="minorHAnsi" w:hAnsiTheme="minorHAnsi" w:cstheme="minorHAnsi"/>
          <w:color w:val="auto"/>
          <w:sz w:val="20"/>
          <w:szCs w:val="20"/>
          <w:shd w:val="clear" w:color="auto" w:fill="FFFFFF"/>
        </w:rPr>
        <w:t>d. by Diana Norman</w:t>
      </w:r>
      <w:r w:rsidRPr="004E7E66">
        <w:rPr>
          <w:rFonts w:asciiTheme="minorHAnsi" w:hAnsiTheme="minorHAnsi" w:cstheme="minorHAnsi"/>
          <w:color w:val="auto"/>
          <w:sz w:val="20"/>
          <w:szCs w:val="20"/>
        </w:rPr>
        <w:t xml:space="preserve"> (Yale: Yale University Press, 1995), p. 210.</w:t>
      </w:r>
    </w:p>
  </w:footnote>
  <w:footnote w:id="8">
    <w:p w14:paraId="0CB13EE8" w14:textId="77777777" w:rsidR="008E6BDF" w:rsidRDefault="008E6BDF" w:rsidP="006036EF">
      <w:pPr>
        <w:pStyle w:val="FootnoteText"/>
      </w:pPr>
      <w:r>
        <w:rPr>
          <w:rStyle w:val="FootnoteReference"/>
        </w:rPr>
        <w:footnoteRef/>
      </w:r>
      <w:r>
        <w:t xml:space="preserve"> Anna Maria </w:t>
      </w:r>
      <w:proofErr w:type="spellStart"/>
      <w:r>
        <w:t>Spiazzi</w:t>
      </w:r>
      <w:proofErr w:type="spellEnd"/>
      <w:r>
        <w:t xml:space="preserve">, ‘Giusto de’ </w:t>
      </w:r>
      <w:proofErr w:type="spellStart"/>
      <w:r>
        <w:t>Menabuoi</w:t>
      </w:r>
      <w:proofErr w:type="spellEnd"/>
      <w:r>
        <w:t xml:space="preserve">,’ in </w:t>
      </w:r>
      <w:r w:rsidRPr="00627555">
        <w:rPr>
          <w:i/>
        </w:rPr>
        <w:t xml:space="preserve">Giotto e </w:t>
      </w:r>
      <w:proofErr w:type="spellStart"/>
      <w:r w:rsidRPr="00627555">
        <w:rPr>
          <w:i/>
        </w:rPr>
        <w:t>il</w:t>
      </w:r>
      <w:proofErr w:type="spellEnd"/>
      <w:r w:rsidRPr="00627555">
        <w:rPr>
          <w:i/>
        </w:rPr>
        <w:t xml:space="preserve"> </w:t>
      </w:r>
      <w:proofErr w:type="spellStart"/>
      <w:r w:rsidRPr="00627555">
        <w:rPr>
          <w:i/>
        </w:rPr>
        <w:t>suo</w:t>
      </w:r>
      <w:proofErr w:type="spellEnd"/>
      <w:r w:rsidRPr="00627555">
        <w:rPr>
          <w:i/>
        </w:rPr>
        <w:t xml:space="preserve"> tempo</w:t>
      </w:r>
      <w:r>
        <w:t xml:space="preserve">, ed. by V. </w:t>
      </w:r>
      <w:proofErr w:type="spellStart"/>
      <w:r>
        <w:t>Sgarbi</w:t>
      </w:r>
      <w:proofErr w:type="spellEnd"/>
      <w:r>
        <w:t xml:space="preserve">, (Milan, 2000), pp. 190-204, in </w:t>
      </w:r>
      <w:proofErr w:type="spellStart"/>
      <w:r>
        <w:t>Poeschke</w:t>
      </w:r>
      <w:proofErr w:type="spellEnd"/>
      <w:r>
        <w:t xml:space="preserve">, </w:t>
      </w:r>
      <w:r w:rsidRPr="00627555">
        <w:rPr>
          <w:i/>
        </w:rPr>
        <w:t>Italian Frescoes</w:t>
      </w:r>
      <w:r>
        <w:t>, p. 405.</w:t>
      </w:r>
    </w:p>
  </w:footnote>
  <w:footnote w:id="9">
    <w:p w14:paraId="06C70A0D" w14:textId="77777777" w:rsidR="008E6BDF" w:rsidRDefault="008E6BDF" w:rsidP="006036EF">
      <w:pPr>
        <w:pStyle w:val="FootnoteText"/>
      </w:pPr>
      <w:r>
        <w:rPr>
          <w:rStyle w:val="FootnoteReference"/>
        </w:rPr>
        <w:footnoteRef/>
      </w:r>
      <w:r>
        <w:t xml:space="preserve"> Dunlop, </w:t>
      </w:r>
      <w:r w:rsidRPr="00F105BC">
        <w:rPr>
          <w:i/>
        </w:rPr>
        <w:t>Painted Palaces</w:t>
      </w:r>
      <w:r>
        <w:t>, p. 75.</w:t>
      </w:r>
    </w:p>
  </w:footnote>
  <w:footnote w:id="10">
    <w:p w14:paraId="1CD937F1" w14:textId="77777777" w:rsidR="008E6BDF" w:rsidRDefault="008E6BDF" w:rsidP="006036EF">
      <w:pPr>
        <w:pStyle w:val="FootnoteText"/>
      </w:pPr>
      <w:r>
        <w:rPr>
          <w:rStyle w:val="FootnoteReference"/>
        </w:rPr>
        <w:footnoteRef/>
      </w:r>
      <w:r>
        <w:t xml:space="preserve"> Dunlop, </w:t>
      </w:r>
      <w:r w:rsidRPr="00F105BC">
        <w:rPr>
          <w:i/>
        </w:rPr>
        <w:t>Painted Palaces</w:t>
      </w:r>
      <w:r>
        <w:t xml:space="preserve"> p. 74.</w:t>
      </w:r>
    </w:p>
  </w:footnote>
  <w:footnote w:id="11">
    <w:p w14:paraId="5443DA43" w14:textId="77777777" w:rsidR="008E6BDF" w:rsidRDefault="008E6BDF" w:rsidP="006036EF">
      <w:pPr>
        <w:pStyle w:val="FootnoteText"/>
      </w:pPr>
      <w:r>
        <w:rPr>
          <w:rStyle w:val="FootnoteReference"/>
        </w:rPr>
        <w:footnoteRef/>
      </w:r>
      <w:r>
        <w:t xml:space="preserve"> Dunlop, </w:t>
      </w:r>
      <w:r w:rsidRPr="00F105BC">
        <w:rPr>
          <w:i/>
        </w:rPr>
        <w:t>Painted Palaces</w:t>
      </w:r>
      <w:r>
        <w:t xml:space="preserve"> p. 74.</w:t>
      </w:r>
    </w:p>
  </w:footnote>
  <w:footnote w:id="12">
    <w:p w14:paraId="4A1921A5" w14:textId="77777777" w:rsidR="008E6BDF" w:rsidRDefault="008E6BDF" w:rsidP="006036EF">
      <w:pPr>
        <w:pStyle w:val="FootnoteText"/>
      </w:pPr>
      <w:r w:rsidRPr="00AD312C">
        <w:rPr>
          <w:rStyle w:val="FootnoteReference"/>
        </w:rPr>
        <w:footnoteRef/>
      </w:r>
      <w:r w:rsidRPr="00AD312C">
        <w:t xml:space="preserve"> </w:t>
      </w:r>
      <w:proofErr w:type="spellStart"/>
      <w:r w:rsidRPr="00AD312C">
        <w:t>Poeschke</w:t>
      </w:r>
      <w:proofErr w:type="spellEnd"/>
      <w:r w:rsidRPr="00AD312C">
        <w:t xml:space="preserve">, </w:t>
      </w:r>
      <w:r w:rsidRPr="00AD312C">
        <w:rPr>
          <w:i/>
        </w:rPr>
        <w:t>Italian Frescoes</w:t>
      </w:r>
      <w:r w:rsidRPr="00AD312C">
        <w:t xml:space="preserve">, p. 404, </w:t>
      </w:r>
      <w:r w:rsidRPr="00010327">
        <w:t xml:space="preserve">Kristen Lippincott, ‘Giovanni di Paolo’s </w:t>
      </w:r>
      <w:r>
        <w:t>“</w:t>
      </w:r>
      <w:r w:rsidRPr="00010327">
        <w:t>Creation of the World</w:t>
      </w:r>
      <w:r>
        <w:t>”</w:t>
      </w:r>
      <w:r w:rsidRPr="00010327">
        <w:t xml:space="preserve"> and the Tradition of the </w:t>
      </w:r>
      <w:r>
        <w:t>“</w:t>
      </w:r>
      <w:proofErr w:type="spellStart"/>
      <w:r w:rsidRPr="00010327">
        <w:t>Thema</w:t>
      </w:r>
      <w:proofErr w:type="spellEnd"/>
      <w:r w:rsidRPr="00010327">
        <w:t xml:space="preserve"> Mundi</w:t>
      </w:r>
      <w:r>
        <w:t>”</w:t>
      </w:r>
      <w:r w:rsidRPr="00010327">
        <w:t xml:space="preserve"> in Late Medieval and Renaissance Art’, </w:t>
      </w:r>
      <w:r w:rsidRPr="00010327">
        <w:rPr>
          <w:i/>
        </w:rPr>
        <w:t>The Burlington Magazine</w:t>
      </w:r>
      <w:r w:rsidRPr="00010327">
        <w:t>, Vol. 132, No. 1048 (</w:t>
      </w:r>
      <w:proofErr w:type="gramStart"/>
      <w:r w:rsidRPr="00010327">
        <w:t>Jul,</w:t>
      </w:r>
      <w:proofErr w:type="gramEnd"/>
      <w:r w:rsidRPr="00010327">
        <w:t xml:space="preserve"> 1990) 467</w:t>
      </w:r>
      <w:r>
        <w:t>.</w:t>
      </w:r>
    </w:p>
  </w:footnote>
  <w:footnote w:id="13">
    <w:p w14:paraId="412C8099" w14:textId="77777777" w:rsidR="008E6BDF" w:rsidRPr="00AD312C" w:rsidRDefault="008E6BDF" w:rsidP="006036EF">
      <w:pPr>
        <w:pStyle w:val="FootnoteText"/>
        <w:contextualSpacing/>
      </w:pPr>
      <w:r w:rsidRPr="00AD312C">
        <w:rPr>
          <w:rStyle w:val="FootnoteReference"/>
        </w:rPr>
        <w:footnoteRef/>
      </w:r>
      <w:r w:rsidRPr="00AD312C">
        <w:t xml:space="preserve"> Lippincott, ‘Giovanni di Paolo’,467.</w:t>
      </w:r>
    </w:p>
  </w:footnote>
  <w:footnote w:id="14">
    <w:p w14:paraId="634E3643" w14:textId="77777777" w:rsidR="008E6BDF" w:rsidRDefault="008E6BDF" w:rsidP="006036EF">
      <w:pPr>
        <w:pStyle w:val="FootnoteText"/>
        <w:contextualSpacing/>
      </w:pPr>
    </w:p>
  </w:footnote>
  <w:footnote w:id="15">
    <w:p w14:paraId="4A848986" w14:textId="77777777" w:rsidR="008E6BDF" w:rsidRPr="00AD312C" w:rsidRDefault="008E6BDF" w:rsidP="006036EF">
      <w:pPr>
        <w:contextualSpacing/>
        <w:rPr>
          <w:rFonts w:cstheme="minorHAnsi"/>
          <w:sz w:val="18"/>
          <w:szCs w:val="18"/>
        </w:rPr>
      </w:pPr>
      <w:r w:rsidRPr="00AD312C">
        <w:rPr>
          <w:rStyle w:val="FootnoteReference"/>
          <w:sz w:val="18"/>
          <w:szCs w:val="18"/>
        </w:rPr>
        <w:footnoteRef/>
      </w:r>
      <w:r w:rsidRPr="00AD312C">
        <w:rPr>
          <w:sz w:val="18"/>
          <w:szCs w:val="18"/>
        </w:rPr>
        <w:t xml:space="preserve"> </w:t>
      </w:r>
      <w:proofErr w:type="spellStart"/>
      <w:r w:rsidRPr="00AD312C">
        <w:rPr>
          <w:sz w:val="18"/>
          <w:szCs w:val="18"/>
        </w:rPr>
        <w:t>Giordana</w:t>
      </w:r>
      <w:proofErr w:type="spellEnd"/>
      <w:r w:rsidRPr="00AD312C">
        <w:rPr>
          <w:sz w:val="18"/>
          <w:szCs w:val="18"/>
        </w:rPr>
        <w:t xml:space="preserve"> </w:t>
      </w:r>
      <w:proofErr w:type="spellStart"/>
      <w:r w:rsidRPr="00AD312C">
        <w:rPr>
          <w:sz w:val="18"/>
          <w:szCs w:val="18"/>
        </w:rPr>
        <w:t>Mariani</w:t>
      </w:r>
      <w:proofErr w:type="spellEnd"/>
      <w:r w:rsidRPr="00AD312C">
        <w:rPr>
          <w:sz w:val="18"/>
          <w:szCs w:val="18"/>
        </w:rPr>
        <w:t xml:space="preserve"> </w:t>
      </w:r>
      <w:r w:rsidRPr="00AD312C">
        <w:rPr>
          <w:rFonts w:cstheme="minorHAnsi"/>
          <w:sz w:val="18"/>
          <w:szCs w:val="18"/>
        </w:rPr>
        <w:t xml:space="preserve">Canova, ‘Padua and the Stars: Medieval Painting and Illuminated Manuscripts’, </w:t>
      </w:r>
      <w:r w:rsidRPr="00AD312C">
        <w:rPr>
          <w:rFonts w:cstheme="minorHAnsi"/>
          <w:i/>
          <w:color w:val="000000"/>
          <w:sz w:val="18"/>
          <w:szCs w:val="18"/>
          <w:shd w:val="clear" w:color="auto" w:fill="FFFFFF"/>
        </w:rPr>
        <w:t>The Inspiration of Astronomical Phenomena VI</w:t>
      </w:r>
      <w:r w:rsidRPr="00AD312C">
        <w:rPr>
          <w:rFonts w:cstheme="minorHAnsi"/>
          <w:color w:val="000000"/>
          <w:sz w:val="18"/>
          <w:szCs w:val="18"/>
          <w:shd w:val="clear" w:color="auto" w:fill="FFFFFF"/>
        </w:rPr>
        <w:t>, ASP Conference Series, Vol. 441. (San Francisco: Astronomical Society of the Pacific, 2011),</w:t>
      </w:r>
      <w:r w:rsidRPr="00AD312C">
        <w:rPr>
          <w:sz w:val="18"/>
          <w:szCs w:val="18"/>
        </w:rPr>
        <w:t xml:space="preserve"> p113.</w:t>
      </w:r>
    </w:p>
  </w:footnote>
  <w:footnote w:id="16">
    <w:p w14:paraId="599CA3B5" w14:textId="77777777" w:rsidR="008E6BDF" w:rsidRPr="00505BA7" w:rsidRDefault="008E6BDF" w:rsidP="006036EF">
      <w:pPr>
        <w:pStyle w:val="Heading1"/>
        <w:shd w:val="clear" w:color="auto" w:fill="FFFFFF"/>
        <w:spacing w:before="0"/>
        <w:rPr>
          <w:rFonts w:asciiTheme="minorHAnsi" w:hAnsiTheme="minorHAnsi" w:cstheme="minorHAnsi"/>
          <w:color w:val="auto"/>
          <w:sz w:val="18"/>
          <w:szCs w:val="18"/>
        </w:rPr>
      </w:pPr>
      <w:r w:rsidRPr="00505BA7">
        <w:rPr>
          <w:rStyle w:val="FootnoteReference"/>
          <w:rFonts w:asciiTheme="minorHAnsi" w:hAnsiTheme="minorHAnsi" w:cstheme="minorHAnsi"/>
          <w:color w:val="auto"/>
          <w:sz w:val="20"/>
          <w:szCs w:val="20"/>
        </w:rPr>
        <w:footnoteRef/>
      </w:r>
      <w:r w:rsidRPr="00E62EF4">
        <w:rPr>
          <w:color w:val="auto"/>
          <w:sz w:val="20"/>
          <w:szCs w:val="20"/>
        </w:rPr>
        <w:t xml:space="preserve">Albertus Magnus, in </w:t>
      </w:r>
      <w:proofErr w:type="spellStart"/>
      <w:r w:rsidRPr="00E62EF4">
        <w:rPr>
          <w:color w:val="auto"/>
          <w:sz w:val="20"/>
          <w:szCs w:val="20"/>
        </w:rPr>
        <w:t>Zambelli</w:t>
      </w:r>
      <w:proofErr w:type="spellEnd"/>
      <w:r w:rsidRPr="00E62EF4">
        <w:rPr>
          <w:color w:val="auto"/>
          <w:sz w:val="20"/>
          <w:szCs w:val="20"/>
        </w:rPr>
        <w:t xml:space="preserve">, </w:t>
      </w:r>
      <w:r w:rsidRPr="00E62EF4">
        <w:rPr>
          <w:i/>
          <w:color w:val="auto"/>
          <w:sz w:val="20"/>
          <w:szCs w:val="20"/>
        </w:rPr>
        <w:t xml:space="preserve">The Speculum </w:t>
      </w:r>
      <w:proofErr w:type="spellStart"/>
      <w:r w:rsidRPr="00E62EF4">
        <w:rPr>
          <w:i/>
          <w:color w:val="auto"/>
          <w:sz w:val="20"/>
          <w:szCs w:val="20"/>
        </w:rPr>
        <w:t>Astronomiae</w:t>
      </w:r>
      <w:proofErr w:type="spellEnd"/>
      <w:r w:rsidRPr="00E62EF4">
        <w:rPr>
          <w:color w:val="auto"/>
          <w:sz w:val="20"/>
          <w:szCs w:val="20"/>
        </w:rPr>
        <w:t xml:space="preserve">, p. 67, in Campion, </w:t>
      </w:r>
      <w:r w:rsidRPr="00E62EF4">
        <w:rPr>
          <w:i/>
          <w:color w:val="auto"/>
          <w:sz w:val="20"/>
          <w:szCs w:val="20"/>
        </w:rPr>
        <w:t>History</w:t>
      </w:r>
      <w:r w:rsidRPr="00E62EF4">
        <w:rPr>
          <w:color w:val="auto"/>
          <w:sz w:val="20"/>
          <w:szCs w:val="20"/>
        </w:rPr>
        <w:t xml:space="preserve">, p. 48, </w:t>
      </w:r>
      <w:r w:rsidRPr="00505BA7">
        <w:rPr>
          <w:rFonts w:asciiTheme="minorHAnsi" w:hAnsiTheme="minorHAnsi" w:cstheme="minorHAnsi"/>
          <w:color w:val="auto"/>
          <w:sz w:val="20"/>
          <w:szCs w:val="20"/>
        </w:rPr>
        <w:t xml:space="preserve">Thomas Aquinas, </w:t>
      </w:r>
      <w:r w:rsidRPr="00505BA7">
        <w:rPr>
          <w:rFonts w:asciiTheme="minorHAnsi" w:hAnsiTheme="minorHAnsi" w:cstheme="minorHAnsi"/>
          <w:i/>
          <w:color w:val="auto"/>
          <w:sz w:val="18"/>
          <w:szCs w:val="18"/>
        </w:rPr>
        <w:t>Summa Contra Gentiles</w:t>
      </w:r>
      <w:r w:rsidRPr="00505BA7">
        <w:rPr>
          <w:rFonts w:asciiTheme="minorHAnsi" w:hAnsiTheme="minorHAnsi" w:cstheme="minorHAnsi"/>
          <w:color w:val="auto"/>
          <w:sz w:val="18"/>
          <w:szCs w:val="18"/>
        </w:rPr>
        <w:t>: Book 3: Providence, Part 2, trans. Vernon J. Bourke, (Indiana: University of Notre Dame Press, 1975) Chapter 91, Paragraph 2.</w:t>
      </w:r>
    </w:p>
  </w:footnote>
  <w:footnote w:id="17">
    <w:p w14:paraId="69414246" w14:textId="77777777" w:rsidR="008E6BDF" w:rsidRDefault="008E6BDF" w:rsidP="006036EF">
      <w:pPr>
        <w:pStyle w:val="FootnoteText"/>
      </w:pPr>
      <w:r>
        <w:rPr>
          <w:rStyle w:val="FootnoteReference"/>
        </w:rPr>
        <w:footnoteRef/>
      </w:r>
      <w:r>
        <w:t xml:space="preserve"> Campion, p76.</w:t>
      </w:r>
    </w:p>
  </w:footnote>
  <w:footnote w:id="18">
    <w:p w14:paraId="07986A60" w14:textId="77777777" w:rsidR="008E6BDF" w:rsidRDefault="008E6BDF" w:rsidP="006036EF">
      <w:pPr>
        <w:pStyle w:val="FootnoteText"/>
      </w:pPr>
      <w:r>
        <w:rPr>
          <w:rStyle w:val="FootnoteReference"/>
        </w:rPr>
        <w:footnoteRef/>
      </w:r>
      <w:r>
        <w:t xml:space="preserve"> David Woodward, ‘Reality, Symbolism, Time, and Space in Medieval World Maps’, </w:t>
      </w:r>
      <w:r w:rsidRPr="00E0510F">
        <w:rPr>
          <w:i/>
        </w:rPr>
        <w:t>Annals of the Association of American Geographers</w:t>
      </w:r>
      <w:r>
        <w:t>, Vol. 75, No. 4 (</w:t>
      </w:r>
      <w:proofErr w:type="gramStart"/>
      <w:r>
        <w:t>Dec,</w:t>
      </w:r>
      <w:proofErr w:type="gramEnd"/>
      <w:r>
        <w:t xml:space="preserve"> 1985), p. 512 </w:t>
      </w:r>
    </w:p>
  </w:footnote>
  <w:footnote w:id="19">
    <w:p w14:paraId="7D358A69" w14:textId="77777777" w:rsidR="008E6BDF" w:rsidRDefault="008E6BDF" w:rsidP="006036EF">
      <w:pPr>
        <w:pStyle w:val="FootnoteText"/>
      </w:pPr>
      <w:r w:rsidRPr="00382F03">
        <w:rPr>
          <w:rStyle w:val="FootnoteReference"/>
        </w:rPr>
        <w:footnoteRef/>
      </w:r>
      <w:r w:rsidRPr="00382F03">
        <w:t xml:space="preserve"> Campion, </w:t>
      </w:r>
      <w:r w:rsidRPr="00382F03">
        <w:rPr>
          <w:i/>
        </w:rPr>
        <w:t>History</w:t>
      </w:r>
      <w:r w:rsidRPr="00382F03">
        <w:t>, p. 84</w:t>
      </w:r>
      <w:r>
        <w:t>.</w:t>
      </w:r>
    </w:p>
  </w:footnote>
  <w:footnote w:id="20">
    <w:p w14:paraId="0A0BDE6D" w14:textId="77777777" w:rsidR="008E6BDF" w:rsidRDefault="008E6BDF" w:rsidP="006036EF">
      <w:r w:rsidRPr="00505BA7">
        <w:rPr>
          <w:rStyle w:val="FootnoteReference"/>
        </w:rPr>
        <w:footnoteRef/>
      </w:r>
      <w:r w:rsidRPr="00505BA7">
        <w:t xml:space="preserve"> </w:t>
      </w:r>
      <w:r w:rsidRPr="00505BA7">
        <w:rPr>
          <w:sz w:val="20"/>
          <w:szCs w:val="20"/>
        </w:rPr>
        <w:t xml:space="preserve">Plato, </w:t>
      </w:r>
      <w:r w:rsidRPr="00505BA7">
        <w:rPr>
          <w:i/>
          <w:sz w:val="20"/>
          <w:szCs w:val="20"/>
        </w:rPr>
        <w:t>Timaeus</w:t>
      </w:r>
      <w:r w:rsidRPr="00505BA7">
        <w:rPr>
          <w:sz w:val="20"/>
          <w:szCs w:val="20"/>
        </w:rPr>
        <w:t xml:space="preserve">, trans. Benjamin Jowett </w:t>
      </w:r>
      <w:hyperlink r:id="rId2" w:history="1">
        <w:r w:rsidRPr="006E4428">
          <w:rPr>
            <w:rStyle w:val="Hyperlink"/>
            <w:sz w:val="20"/>
            <w:szCs w:val="20"/>
          </w:rPr>
          <w:t>http://classics.mit.edu/Plato/timaeus.html</w:t>
        </w:r>
      </w:hyperlink>
      <w:r>
        <w:rPr>
          <w:sz w:val="20"/>
          <w:szCs w:val="20"/>
        </w:rPr>
        <w:t xml:space="preserve"> [accessed 6 </w:t>
      </w:r>
      <w:proofErr w:type="gramStart"/>
      <w:r>
        <w:rPr>
          <w:sz w:val="20"/>
          <w:szCs w:val="20"/>
        </w:rPr>
        <w:t>July,</w:t>
      </w:r>
      <w:proofErr w:type="gramEnd"/>
      <w:r>
        <w:rPr>
          <w:sz w:val="20"/>
          <w:szCs w:val="20"/>
        </w:rPr>
        <w:t xml:space="preserve"> 2018]</w:t>
      </w:r>
    </w:p>
  </w:footnote>
  <w:footnote w:id="21">
    <w:p w14:paraId="0460ADE1" w14:textId="77777777" w:rsidR="008E6BDF" w:rsidRPr="005E0735" w:rsidRDefault="008E6BDF" w:rsidP="006036EF">
      <w:pPr>
        <w:rPr>
          <w:rFonts w:cstheme="minorHAnsi"/>
          <w:sz w:val="20"/>
          <w:szCs w:val="20"/>
          <w:shd w:val="clear" w:color="auto" w:fill="FFFFFF"/>
        </w:rPr>
      </w:pPr>
      <w:r w:rsidRPr="005E0735">
        <w:rPr>
          <w:rStyle w:val="FootnoteReference"/>
          <w:sz w:val="20"/>
          <w:szCs w:val="20"/>
        </w:rPr>
        <w:footnoteRef/>
      </w:r>
      <w:r w:rsidRPr="005E0735">
        <w:rPr>
          <w:sz w:val="20"/>
          <w:szCs w:val="20"/>
        </w:rPr>
        <w:t xml:space="preserve"> Elizabeth </w:t>
      </w:r>
      <w:r w:rsidRPr="005E0735">
        <w:rPr>
          <w:rFonts w:cstheme="minorHAnsi"/>
          <w:sz w:val="20"/>
          <w:szCs w:val="20"/>
          <w:shd w:val="clear" w:color="auto" w:fill="FFFFFF"/>
        </w:rPr>
        <w:t>Sears, The Ages of Man: Medieval Interpretations of the Life Cycle, (New Jersey: Princeton University Press, 1986)</w:t>
      </w:r>
      <w:r>
        <w:rPr>
          <w:rFonts w:cstheme="minorHAnsi"/>
          <w:sz w:val="20"/>
          <w:szCs w:val="20"/>
          <w:shd w:val="clear" w:color="auto" w:fill="FFFFFF"/>
        </w:rPr>
        <w:t xml:space="preserve"> </w:t>
      </w:r>
      <w:r w:rsidRPr="005E0735">
        <w:rPr>
          <w:sz w:val="20"/>
          <w:szCs w:val="20"/>
        </w:rPr>
        <w:t>p.48.</w:t>
      </w:r>
    </w:p>
  </w:footnote>
  <w:footnote w:id="22">
    <w:p w14:paraId="0BFB3FA6" w14:textId="77777777" w:rsidR="008E6BDF" w:rsidRPr="007B7C40" w:rsidRDefault="008E6BDF" w:rsidP="006036EF">
      <w:pPr>
        <w:shd w:val="clear" w:color="auto" w:fill="FFFFFF"/>
        <w:rPr>
          <w:rFonts w:eastAsia="Times New Roman" w:cstheme="minorHAnsi"/>
          <w:color w:val="373A3C"/>
          <w:sz w:val="18"/>
          <w:szCs w:val="18"/>
          <w:highlight w:val="yellow"/>
          <w:lang w:eastAsia="en-CA"/>
        </w:rPr>
      </w:pPr>
      <w:r w:rsidRPr="007B7C40">
        <w:rPr>
          <w:rStyle w:val="FootnoteReference"/>
          <w:rFonts w:cstheme="minorHAnsi"/>
          <w:sz w:val="18"/>
          <w:szCs w:val="18"/>
        </w:rPr>
        <w:footnoteRef/>
      </w:r>
      <w:r w:rsidRPr="007B7C40">
        <w:rPr>
          <w:rFonts w:cstheme="minorHAnsi"/>
          <w:sz w:val="18"/>
          <w:szCs w:val="18"/>
        </w:rPr>
        <w:t xml:space="preserve"> </w:t>
      </w:r>
      <w:r w:rsidRPr="007B7C40">
        <w:rPr>
          <w:rFonts w:eastAsia="Times New Roman" w:cstheme="minorHAnsi"/>
          <w:sz w:val="18"/>
          <w:szCs w:val="18"/>
          <w:lang w:eastAsia="en-CA"/>
        </w:rPr>
        <w:t>Ptolemy, Claudius, </w:t>
      </w:r>
      <w:proofErr w:type="spellStart"/>
      <w:r w:rsidRPr="007B7C40">
        <w:rPr>
          <w:rFonts w:eastAsia="Times New Roman" w:cstheme="minorHAnsi"/>
          <w:i/>
          <w:iCs/>
          <w:sz w:val="18"/>
          <w:szCs w:val="18"/>
          <w:lang w:eastAsia="en-CA"/>
        </w:rPr>
        <w:t>Tetrabiblos</w:t>
      </w:r>
      <w:proofErr w:type="spellEnd"/>
      <w:r w:rsidRPr="007B7C40">
        <w:rPr>
          <w:rFonts w:eastAsia="Times New Roman" w:cstheme="minorHAnsi"/>
          <w:sz w:val="18"/>
          <w:szCs w:val="18"/>
          <w:lang w:eastAsia="en-CA"/>
        </w:rPr>
        <w:t xml:space="preserve">, trans. </w:t>
      </w:r>
      <w:proofErr w:type="spellStart"/>
      <w:r w:rsidRPr="007B7C40">
        <w:rPr>
          <w:rFonts w:eastAsia="Times New Roman" w:cstheme="minorHAnsi"/>
          <w:sz w:val="18"/>
          <w:szCs w:val="18"/>
          <w:lang w:eastAsia="en-CA"/>
        </w:rPr>
        <w:t>F.</w:t>
      </w:r>
      <w:proofErr w:type="gramStart"/>
      <w:r w:rsidRPr="007B7C40">
        <w:rPr>
          <w:rFonts w:eastAsia="Times New Roman" w:cstheme="minorHAnsi"/>
          <w:sz w:val="18"/>
          <w:szCs w:val="18"/>
          <w:lang w:eastAsia="en-CA"/>
        </w:rPr>
        <w:t>E.Robbins</w:t>
      </w:r>
      <w:proofErr w:type="spellEnd"/>
      <w:proofErr w:type="gramEnd"/>
      <w:r w:rsidRPr="007B7C40">
        <w:rPr>
          <w:rFonts w:eastAsia="Times New Roman" w:cstheme="minorHAnsi"/>
          <w:sz w:val="18"/>
          <w:szCs w:val="18"/>
          <w:lang w:eastAsia="en-CA"/>
        </w:rPr>
        <w:t>, Cambridge Mass., London: Harvard University Press, 1930, Book 4, Chapter 10.</w:t>
      </w:r>
    </w:p>
  </w:footnote>
  <w:footnote w:id="23">
    <w:p w14:paraId="40C56B8B" w14:textId="77777777" w:rsidR="008E6BDF" w:rsidRDefault="008E6BDF" w:rsidP="006036EF">
      <w:pPr>
        <w:pStyle w:val="FootnoteText"/>
      </w:pPr>
      <w:r>
        <w:rPr>
          <w:rStyle w:val="FootnoteReference"/>
        </w:rPr>
        <w:footnoteRef/>
      </w:r>
      <w:r>
        <w:t xml:space="preserve"> Evans, </w:t>
      </w:r>
      <w:r w:rsidRPr="005E0735">
        <w:rPr>
          <w:i/>
        </w:rPr>
        <w:t>In Defence</w:t>
      </w:r>
      <w:r>
        <w:t>, p104</w:t>
      </w:r>
    </w:p>
  </w:footnote>
  <w:footnote w:id="24">
    <w:p w14:paraId="70BB7BB9" w14:textId="77777777" w:rsidR="008E6BDF" w:rsidRDefault="008E6BDF" w:rsidP="006036EF">
      <w:pPr>
        <w:pStyle w:val="FootnoteText"/>
      </w:pPr>
      <w:r>
        <w:rPr>
          <w:rStyle w:val="FootnoteReference"/>
        </w:rPr>
        <w:footnoteRef/>
      </w:r>
      <w:r>
        <w:t xml:space="preserve">Dieter Blume, ‘Francesco da </w:t>
      </w:r>
      <w:proofErr w:type="spellStart"/>
      <w:r>
        <w:t>Barberino</w:t>
      </w:r>
      <w:proofErr w:type="spellEnd"/>
      <w:r>
        <w:t xml:space="preserve">. The </w:t>
      </w:r>
      <w:proofErr w:type="spellStart"/>
      <w:r>
        <w:t>Experinece</w:t>
      </w:r>
      <w:proofErr w:type="spellEnd"/>
      <w:r>
        <w:t xml:space="preserve"> of Exile and the Allegory of Love’, in </w:t>
      </w:r>
      <w:r w:rsidRPr="00F35123">
        <w:rPr>
          <w:i/>
        </w:rPr>
        <w:t>Exile, Avignon and Italy during the first half of the 14</w:t>
      </w:r>
      <w:r w:rsidRPr="00F35123">
        <w:rPr>
          <w:i/>
          <w:vertAlign w:val="superscript"/>
        </w:rPr>
        <w:t>th</w:t>
      </w:r>
      <w:r w:rsidRPr="00F35123">
        <w:rPr>
          <w:i/>
        </w:rPr>
        <w:t xml:space="preserve"> Century</w:t>
      </w:r>
      <w:r>
        <w:t xml:space="preserve">, ed. Elisa </w:t>
      </w:r>
      <w:proofErr w:type="spellStart"/>
      <w:r>
        <w:t>Brilli</w:t>
      </w:r>
      <w:proofErr w:type="spellEnd"/>
      <w:r>
        <w:t xml:space="preserve">, Laura </w:t>
      </w:r>
      <w:proofErr w:type="spellStart"/>
      <w:r>
        <w:t>Fenelli</w:t>
      </w:r>
      <w:proofErr w:type="spellEnd"/>
      <w:r>
        <w:t xml:space="preserve">, Gerhard Wolf, (Florence: </w:t>
      </w:r>
      <w:r w:rsidRPr="00F35123">
        <w:rPr>
          <w:rFonts w:cstheme="minorHAnsi"/>
          <w:color w:val="000000"/>
          <w:shd w:val="clear" w:color="auto" w:fill="FFFFFF"/>
        </w:rPr>
        <w:t xml:space="preserve">SISMEL · </w:t>
      </w:r>
      <w:proofErr w:type="spellStart"/>
      <w:r w:rsidRPr="00F35123">
        <w:rPr>
          <w:rFonts w:cstheme="minorHAnsi"/>
          <w:color w:val="000000"/>
          <w:shd w:val="clear" w:color="auto" w:fill="FFFFFF"/>
        </w:rPr>
        <w:t>edizioni</w:t>
      </w:r>
      <w:proofErr w:type="spellEnd"/>
      <w:r w:rsidRPr="00F35123">
        <w:rPr>
          <w:rFonts w:cstheme="minorHAnsi"/>
          <w:color w:val="000000"/>
          <w:shd w:val="clear" w:color="auto" w:fill="FFFFFF"/>
        </w:rPr>
        <w:t xml:space="preserve"> del </w:t>
      </w:r>
      <w:proofErr w:type="spellStart"/>
      <w:r w:rsidRPr="00F35123">
        <w:rPr>
          <w:rFonts w:cstheme="minorHAnsi"/>
          <w:color w:val="000000"/>
          <w:shd w:val="clear" w:color="auto" w:fill="FFFFFF"/>
        </w:rPr>
        <w:t>Galluzzo</w:t>
      </w:r>
      <w:proofErr w:type="spellEnd"/>
      <w:r>
        <w:rPr>
          <w:rFonts w:ascii="Arial" w:hAnsi="Arial" w:cs="Arial"/>
          <w:color w:val="000000"/>
          <w:shd w:val="clear" w:color="auto" w:fill="FFFFFF"/>
        </w:rPr>
        <w:t>,</w:t>
      </w:r>
      <w:r>
        <w:t xml:space="preserve"> 2015), 171-192, pp. 20-21.</w:t>
      </w:r>
    </w:p>
  </w:footnote>
  <w:footnote w:id="25">
    <w:p w14:paraId="63866C4E" w14:textId="77777777" w:rsidR="008E6BDF" w:rsidRDefault="008E6BDF" w:rsidP="006036EF">
      <w:pPr>
        <w:pStyle w:val="FootnoteText"/>
      </w:pPr>
      <w:r w:rsidRPr="00382F03">
        <w:rPr>
          <w:rStyle w:val="FootnoteReference"/>
        </w:rPr>
        <w:footnoteRef/>
      </w:r>
      <w:r w:rsidRPr="00382F03">
        <w:t xml:space="preserve"> Dunlop, </w:t>
      </w:r>
      <w:r w:rsidRPr="00382F03">
        <w:rPr>
          <w:i/>
        </w:rPr>
        <w:t>Painted Palaces</w:t>
      </w:r>
      <w:r w:rsidRPr="00382F03">
        <w:t xml:space="preserve"> p. 75.</w:t>
      </w:r>
    </w:p>
  </w:footnote>
  <w:footnote w:id="26">
    <w:p w14:paraId="36F5CF2B" w14:textId="77777777" w:rsidR="008E6BDF" w:rsidRPr="00FD21E7" w:rsidRDefault="008E6BDF" w:rsidP="006036EF">
      <w:r w:rsidRPr="00F35123">
        <w:rPr>
          <w:rStyle w:val="FootnoteReference"/>
          <w:sz w:val="20"/>
          <w:szCs w:val="20"/>
        </w:rPr>
        <w:footnoteRef/>
      </w:r>
      <w:r w:rsidRPr="00F35123">
        <w:rPr>
          <w:sz w:val="20"/>
          <w:szCs w:val="20"/>
        </w:rPr>
        <w:t xml:space="preserve"> </w:t>
      </w:r>
      <w:proofErr w:type="spellStart"/>
      <w:r>
        <w:rPr>
          <w:sz w:val="20"/>
          <w:szCs w:val="20"/>
        </w:rPr>
        <w:t>Gunzburg</w:t>
      </w:r>
      <w:proofErr w:type="spellEnd"/>
      <w:r>
        <w:rPr>
          <w:sz w:val="20"/>
          <w:szCs w:val="20"/>
        </w:rPr>
        <w:t xml:space="preserve">, ‘Giotto’s Sky’, </w:t>
      </w:r>
      <w:r w:rsidRPr="00FD21E7">
        <w:rPr>
          <w:color w:val="000000"/>
          <w:sz w:val="20"/>
          <w:szCs w:val="20"/>
          <w:shd w:val="clear" w:color="auto" w:fill="FFFFFF"/>
        </w:rPr>
        <w:t>p</w:t>
      </w:r>
      <w:r>
        <w:rPr>
          <w:color w:val="000000"/>
          <w:sz w:val="20"/>
          <w:szCs w:val="20"/>
          <w:shd w:val="clear" w:color="auto" w:fill="FFFFFF"/>
        </w:rPr>
        <w:t>p</w:t>
      </w:r>
      <w:r w:rsidRPr="00FD21E7">
        <w:rPr>
          <w:color w:val="000000"/>
          <w:sz w:val="20"/>
          <w:szCs w:val="20"/>
          <w:shd w:val="clear" w:color="auto" w:fill="FFFFFF"/>
        </w:rPr>
        <w:t>.</w:t>
      </w:r>
      <w:r w:rsidRPr="00FD21E7">
        <w:rPr>
          <w:sz w:val="20"/>
          <w:szCs w:val="20"/>
        </w:rPr>
        <w:t>122</w:t>
      </w:r>
      <w:r>
        <w:rPr>
          <w:sz w:val="20"/>
          <w:szCs w:val="20"/>
        </w:rPr>
        <w:t>,</w:t>
      </w:r>
      <w:r w:rsidRPr="00FD21E7">
        <w:rPr>
          <w:sz w:val="20"/>
          <w:szCs w:val="20"/>
        </w:rPr>
        <w:t xml:space="preserve"> 127</w:t>
      </w:r>
      <w:r>
        <w:rPr>
          <w:sz w:val="20"/>
          <w:szCs w:val="20"/>
        </w:rPr>
        <w:t>.</w:t>
      </w:r>
      <w:r>
        <w:t xml:space="preserve"> </w:t>
      </w:r>
    </w:p>
  </w:footnote>
  <w:footnote w:id="27">
    <w:p w14:paraId="0F196E81" w14:textId="77777777" w:rsidR="008E6BDF" w:rsidRDefault="008E6BDF" w:rsidP="006036EF">
      <w:pPr>
        <w:pStyle w:val="FootnoteText"/>
      </w:pPr>
      <w:r w:rsidRPr="00652B01">
        <w:rPr>
          <w:rStyle w:val="FootnoteReference"/>
        </w:rPr>
        <w:footnoteRef/>
      </w:r>
      <w:r w:rsidRPr="00652B01">
        <w:t xml:space="preserve"> </w:t>
      </w:r>
      <w:r w:rsidRPr="00505BA7">
        <w:t xml:space="preserve">Plato, </w:t>
      </w:r>
      <w:r w:rsidRPr="00505BA7">
        <w:rPr>
          <w:i/>
        </w:rPr>
        <w:t>Timaeus</w:t>
      </w:r>
      <w:r w:rsidRPr="00505BA7">
        <w:t xml:space="preserve">, trans. Benjamin Jowett </w:t>
      </w:r>
      <w:hyperlink r:id="rId3" w:history="1">
        <w:r w:rsidRPr="006E4428">
          <w:rPr>
            <w:rStyle w:val="Hyperlink"/>
          </w:rPr>
          <w:t>http://classics.mit.edu/Plato/timaeus.html</w:t>
        </w:r>
      </w:hyperlink>
      <w:r>
        <w:t xml:space="preserve"> [accessed 6 </w:t>
      </w:r>
      <w:proofErr w:type="gramStart"/>
      <w:r>
        <w:t>July,</w:t>
      </w:r>
      <w:proofErr w:type="gramEnd"/>
      <w:r>
        <w:t xml:space="preserve"> 2018]</w:t>
      </w:r>
    </w:p>
  </w:footnote>
  <w:footnote w:id="28">
    <w:p w14:paraId="5DB10215" w14:textId="77777777" w:rsidR="008E6BDF" w:rsidRDefault="008E6BDF" w:rsidP="006036EF">
      <w:pPr>
        <w:pStyle w:val="FootnoteText"/>
      </w:pPr>
      <w:r>
        <w:rPr>
          <w:rStyle w:val="FootnoteReference"/>
        </w:rPr>
        <w:footnoteRef/>
      </w:r>
      <w:r>
        <w:t xml:space="preserve"> Sears, </w:t>
      </w:r>
      <w:r w:rsidRPr="00F35123">
        <w:rPr>
          <w:i/>
        </w:rPr>
        <w:t>The Ages</w:t>
      </w:r>
      <w:r>
        <w:t>, p. 106.</w:t>
      </w:r>
    </w:p>
  </w:footnote>
  <w:footnote w:id="29">
    <w:p w14:paraId="6AA9DACF" w14:textId="77777777" w:rsidR="008E6BDF" w:rsidRDefault="008E6BDF" w:rsidP="006036EF">
      <w:pPr>
        <w:pStyle w:val="FootnoteText"/>
      </w:pPr>
      <w:r w:rsidRPr="00382F03">
        <w:rPr>
          <w:rStyle w:val="FootnoteReference"/>
        </w:rPr>
        <w:footnoteRef/>
      </w:r>
      <w:r w:rsidRPr="00382F03">
        <w:t xml:space="preserve"> Dunlop, </w:t>
      </w:r>
      <w:r w:rsidRPr="00382F03">
        <w:rPr>
          <w:i/>
        </w:rPr>
        <w:t>Painted Palaces</w:t>
      </w:r>
      <w:r w:rsidRPr="00382F03">
        <w:t xml:space="preserve"> p. 75.</w:t>
      </w:r>
    </w:p>
  </w:footnote>
  <w:footnote w:id="30">
    <w:p w14:paraId="113C28B8" w14:textId="77777777" w:rsidR="008E6BDF" w:rsidRPr="00CF2FB0" w:rsidRDefault="008E6BDF" w:rsidP="006036EF">
      <w:pPr>
        <w:pStyle w:val="FootnoteText"/>
      </w:pPr>
      <w:r>
        <w:rPr>
          <w:rStyle w:val="FootnoteReference"/>
        </w:rPr>
        <w:footnoteRef/>
      </w:r>
      <w:r>
        <w:t xml:space="preserve"> </w:t>
      </w:r>
      <w:r w:rsidRPr="00CF2FB0">
        <w:t xml:space="preserve">Campion, </w:t>
      </w:r>
      <w:r w:rsidRPr="00CF2FB0">
        <w:rPr>
          <w:i/>
        </w:rPr>
        <w:t>History</w:t>
      </w:r>
      <w:r w:rsidRPr="00CF2FB0">
        <w:t>, p.30.</w:t>
      </w:r>
    </w:p>
    <w:p w14:paraId="4BF2D570" w14:textId="77777777" w:rsidR="008E6BDF" w:rsidRDefault="008E6BDF" w:rsidP="006036EF">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381352"/>
      <w:docPartObj>
        <w:docPartGallery w:val="Page Numbers (Top of Page)"/>
        <w:docPartUnique/>
      </w:docPartObj>
    </w:sdtPr>
    <w:sdtEndPr/>
    <w:sdtContent>
      <w:p w14:paraId="3CD3E543" w14:textId="77777777" w:rsidR="008E6BDF" w:rsidRDefault="008E6BDF">
        <w:pPr>
          <w:pStyle w:val="Header"/>
          <w:rPr>
            <w:rFonts w:ascii="Arial" w:hAnsi="Arial" w:cs="Arial"/>
          </w:rPr>
        </w:pPr>
        <w:r>
          <w:t xml:space="preserve">Anne Louise Day-Jones, </w:t>
        </w:r>
        <w:r w:rsidRPr="00126E09">
          <w:rPr>
            <w:rFonts w:ascii="Arial" w:hAnsi="Arial" w:cs="Arial"/>
          </w:rPr>
          <w:t>1704596</w:t>
        </w:r>
        <w:r>
          <w:rPr>
            <w:rFonts w:ascii="Arial" w:hAnsi="Arial" w:cs="Arial"/>
          </w:rPr>
          <w:t xml:space="preserve">, </w:t>
        </w:r>
      </w:p>
      <w:p w14:paraId="6CA37447" w14:textId="3FF1DDB9" w:rsidR="008E6BDF" w:rsidRDefault="008E6BDF">
        <w:pPr>
          <w:pStyle w:val="Head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w:t>
        </w:r>
        <w:r>
          <w:rPr>
            <w:b/>
            <w:bCs/>
            <w:sz w:val="24"/>
            <w:szCs w:val="24"/>
          </w:rPr>
          <w:fldChar w:fldCharType="end"/>
        </w:r>
      </w:p>
    </w:sdtContent>
  </w:sdt>
  <w:p w14:paraId="77CECF31" w14:textId="77777777" w:rsidR="008E6BDF" w:rsidRDefault="008E6B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76BA7"/>
    <w:multiLevelType w:val="multilevel"/>
    <w:tmpl w:val="735292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9711FE"/>
    <w:multiLevelType w:val="multilevel"/>
    <w:tmpl w:val="D938B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C5627"/>
    <w:multiLevelType w:val="multilevel"/>
    <w:tmpl w:val="D0725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880B22"/>
    <w:multiLevelType w:val="multilevel"/>
    <w:tmpl w:val="89B09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105B92"/>
    <w:multiLevelType w:val="multilevel"/>
    <w:tmpl w:val="991A016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D368BE"/>
    <w:multiLevelType w:val="multilevel"/>
    <w:tmpl w:val="FE30FC2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CA6811"/>
    <w:multiLevelType w:val="multilevel"/>
    <w:tmpl w:val="43F0C6A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E96B82"/>
    <w:multiLevelType w:val="multilevel"/>
    <w:tmpl w:val="68C60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9E2A3A"/>
    <w:multiLevelType w:val="multilevel"/>
    <w:tmpl w:val="5192BF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731BFE"/>
    <w:multiLevelType w:val="multilevel"/>
    <w:tmpl w:val="0D04AB4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2F433F"/>
    <w:multiLevelType w:val="multilevel"/>
    <w:tmpl w:val="277AC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695130"/>
    <w:multiLevelType w:val="multilevel"/>
    <w:tmpl w:val="C156A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9451AF"/>
    <w:multiLevelType w:val="multilevel"/>
    <w:tmpl w:val="EFCE3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60475D"/>
    <w:multiLevelType w:val="multilevel"/>
    <w:tmpl w:val="D6D6604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886C1D"/>
    <w:multiLevelType w:val="multilevel"/>
    <w:tmpl w:val="E62A7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EC5AF9"/>
    <w:multiLevelType w:val="multilevel"/>
    <w:tmpl w:val="7F16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F477C51"/>
    <w:multiLevelType w:val="multilevel"/>
    <w:tmpl w:val="14E4B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AF7A53"/>
    <w:multiLevelType w:val="multilevel"/>
    <w:tmpl w:val="0858892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45264AF"/>
    <w:multiLevelType w:val="multilevel"/>
    <w:tmpl w:val="C62E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F8472A"/>
    <w:multiLevelType w:val="multilevel"/>
    <w:tmpl w:val="BDB8A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19224F"/>
    <w:multiLevelType w:val="multilevel"/>
    <w:tmpl w:val="C88E6D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7974C0A"/>
    <w:multiLevelType w:val="multilevel"/>
    <w:tmpl w:val="B2C4AC0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0F04CA"/>
    <w:multiLevelType w:val="multilevel"/>
    <w:tmpl w:val="DA1C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392390"/>
    <w:multiLevelType w:val="multilevel"/>
    <w:tmpl w:val="1278E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5168D9"/>
    <w:multiLevelType w:val="multilevel"/>
    <w:tmpl w:val="2516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53396D"/>
    <w:multiLevelType w:val="multilevel"/>
    <w:tmpl w:val="B8B0B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294F24"/>
    <w:multiLevelType w:val="multilevel"/>
    <w:tmpl w:val="C0E80C1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83E3E80"/>
    <w:multiLevelType w:val="multilevel"/>
    <w:tmpl w:val="FBBCE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0703CF"/>
    <w:multiLevelType w:val="multilevel"/>
    <w:tmpl w:val="AC8E4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CD60D1"/>
    <w:multiLevelType w:val="multilevel"/>
    <w:tmpl w:val="1D42F75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82E3679"/>
    <w:multiLevelType w:val="multilevel"/>
    <w:tmpl w:val="21AAC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D87C4D"/>
    <w:multiLevelType w:val="multilevel"/>
    <w:tmpl w:val="B290F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E4493E"/>
    <w:multiLevelType w:val="multilevel"/>
    <w:tmpl w:val="16344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E76603"/>
    <w:multiLevelType w:val="multilevel"/>
    <w:tmpl w:val="85AEE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706033"/>
    <w:multiLevelType w:val="multilevel"/>
    <w:tmpl w:val="A9FA6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5C56F4"/>
    <w:multiLevelType w:val="multilevel"/>
    <w:tmpl w:val="4A46E4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1"/>
  </w:num>
  <w:num w:numId="3">
    <w:abstractNumId w:val="30"/>
  </w:num>
  <w:num w:numId="4">
    <w:abstractNumId w:val="36"/>
  </w:num>
  <w:num w:numId="5">
    <w:abstractNumId w:val="32"/>
  </w:num>
  <w:num w:numId="6">
    <w:abstractNumId w:val="8"/>
    <w:lvlOverride w:ilvl="0">
      <w:lvl w:ilvl="0">
        <w:numFmt w:val="decimal"/>
        <w:lvlText w:val="%1."/>
        <w:lvlJc w:val="left"/>
      </w:lvl>
    </w:lvlOverride>
  </w:num>
  <w:num w:numId="7">
    <w:abstractNumId w:val="33"/>
  </w:num>
  <w:num w:numId="8">
    <w:abstractNumId w:val="0"/>
    <w:lvlOverride w:ilvl="0">
      <w:lvl w:ilvl="0">
        <w:numFmt w:val="decimal"/>
        <w:lvlText w:val="%1."/>
        <w:lvlJc w:val="left"/>
      </w:lvl>
    </w:lvlOverride>
  </w:num>
  <w:num w:numId="9">
    <w:abstractNumId w:val="20"/>
  </w:num>
  <w:num w:numId="10">
    <w:abstractNumId w:val="22"/>
    <w:lvlOverride w:ilvl="0">
      <w:lvl w:ilvl="0">
        <w:numFmt w:val="decimal"/>
        <w:lvlText w:val="%1."/>
        <w:lvlJc w:val="left"/>
      </w:lvl>
    </w:lvlOverride>
  </w:num>
  <w:num w:numId="11">
    <w:abstractNumId w:val="21"/>
  </w:num>
  <w:num w:numId="12">
    <w:abstractNumId w:val="3"/>
  </w:num>
  <w:num w:numId="13">
    <w:abstractNumId w:val="17"/>
    <w:lvlOverride w:ilvl="0">
      <w:lvl w:ilvl="0">
        <w:numFmt w:val="decimal"/>
        <w:lvlText w:val="%1."/>
        <w:lvlJc w:val="left"/>
      </w:lvl>
    </w:lvlOverride>
  </w:num>
  <w:num w:numId="14">
    <w:abstractNumId w:val="28"/>
    <w:lvlOverride w:ilvl="0">
      <w:lvl w:ilvl="0">
        <w:numFmt w:val="decimal"/>
        <w:lvlText w:val="%1."/>
        <w:lvlJc w:val="left"/>
      </w:lvl>
    </w:lvlOverride>
  </w:num>
  <w:num w:numId="15">
    <w:abstractNumId w:val="12"/>
  </w:num>
  <w:num w:numId="16">
    <w:abstractNumId w:val="37"/>
    <w:lvlOverride w:ilvl="0">
      <w:lvl w:ilvl="0">
        <w:numFmt w:val="decimal"/>
        <w:lvlText w:val="%1."/>
        <w:lvlJc w:val="left"/>
      </w:lvl>
    </w:lvlOverride>
  </w:num>
  <w:num w:numId="17">
    <w:abstractNumId w:val="2"/>
  </w:num>
  <w:num w:numId="18">
    <w:abstractNumId w:val="18"/>
  </w:num>
  <w:num w:numId="19">
    <w:abstractNumId w:val="15"/>
    <w:lvlOverride w:ilvl="0">
      <w:lvl w:ilvl="0">
        <w:numFmt w:val="decimal"/>
        <w:lvlText w:val="%1."/>
        <w:lvlJc w:val="left"/>
      </w:lvl>
    </w:lvlOverride>
  </w:num>
  <w:num w:numId="20">
    <w:abstractNumId w:val="25"/>
  </w:num>
  <w:num w:numId="21">
    <w:abstractNumId w:val="23"/>
    <w:lvlOverride w:ilvl="0">
      <w:lvl w:ilvl="0">
        <w:numFmt w:val="decimal"/>
        <w:lvlText w:val="%1."/>
        <w:lvlJc w:val="left"/>
      </w:lvl>
    </w:lvlOverride>
  </w:num>
  <w:num w:numId="22">
    <w:abstractNumId w:val="11"/>
  </w:num>
  <w:num w:numId="23">
    <w:abstractNumId w:val="4"/>
    <w:lvlOverride w:ilvl="0">
      <w:lvl w:ilvl="0">
        <w:numFmt w:val="decimal"/>
        <w:lvlText w:val="%1."/>
        <w:lvlJc w:val="left"/>
      </w:lvl>
    </w:lvlOverride>
  </w:num>
  <w:num w:numId="24">
    <w:abstractNumId w:val="24"/>
  </w:num>
  <w:num w:numId="25">
    <w:abstractNumId w:val="13"/>
  </w:num>
  <w:num w:numId="26">
    <w:abstractNumId w:val="5"/>
    <w:lvlOverride w:ilvl="0">
      <w:lvl w:ilvl="0">
        <w:numFmt w:val="decimal"/>
        <w:lvlText w:val="%1."/>
        <w:lvlJc w:val="left"/>
      </w:lvl>
    </w:lvlOverride>
  </w:num>
  <w:num w:numId="27">
    <w:abstractNumId w:val="27"/>
  </w:num>
  <w:num w:numId="28">
    <w:abstractNumId w:val="6"/>
    <w:lvlOverride w:ilvl="0">
      <w:lvl w:ilvl="0">
        <w:numFmt w:val="decimal"/>
        <w:lvlText w:val="%1."/>
        <w:lvlJc w:val="left"/>
      </w:lvl>
    </w:lvlOverride>
  </w:num>
  <w:num w:numId="29">
    <w:abstractNumId w:val="7"/>
  </w:num>
  <w:num w:numId="30">
    <w:abstractNumId w:val="10"/>
    <w:lvlOverride w:ilvl="0">
      <w:lvl w:ilvl="0">
        <w:numFmt w:val="decimal"/>
        <w:lvlText w:val="%1."/>
        <w:lvlJc w:val="left"/>
      </w:lvl>
    </w:lvlOverride>
  </w:num>
  <w:num w:numId="31">
    <w:abstractNumId w:val="34"/>
  </w:num>
  <w:num w:numId="32">
    <w:abstractNumId w:val="19"/>
    <w:lvlOverride w:ilvl="0">
      <w:lvl w:ilvl="0">
        <w:numFmt w:val="decimal"/>
        <w:lvlText w:val="%1."/>
        <w:lvlJc w:val="left"/>
      </w:lvl>
    </w:lvlOverride>
  </w:num>
  <w:num w:numId="33">
    <w:abstractNumId w:val="29"/>
  </w:num>
  <w:num w:numId="34">
    <w:abstractNumId w:val="31"/>
    <w:lvlOverride w:ilvl="0">
      <w:lvl w:ilvl="0">
        <w:numFmt w:val="decimal"/>
        <w:lvlText w:val="%1."/>
        <w:lvlJc w:val="left"/>
      </w:lvl>
    </w:lvlOverride>
  </w:num>
  <w:num w:numId="35">
    <w:abstractNumId w:val="26"/>
  </w:num>
  <w:num w:numId="36">
    <w:abstractNumId w:val="35"/>
  </w:num>
  <w:num w:numId="37">
    <w:abstractNumId w:val="14"/>
  </w:num>
  <w:num w:numId="38">
    <w:abstractNumId w:val="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411"/>
    <w:rsid w:val="0001114C"/>
    <w:rsid w:val="000127E9"/>
    <w:rsid w:val="00014B43"/>
    <w:rsid w:val="000206C4"/>
    <w:rsid w:val="000215E9"/>
    <w:rsid w:val="0002447E"/>
    <w:rsid w:val="00026A3A"/>
    <w:rsid w:val="00035E66"/>
    <w:rsid w:val="00036190"/>
    <w:rsid w:val="00065254"/>
    <w:rsid w:val="00071B09"/>
    <w:rsid w:val="00080278"/>
    <w:rsid w:val="000828CD"/>
    <w:rsid w:val="00084E7C"/>
    <w:rsid w:val="00097033"/>
    <w:rsid w:val="000A09A3"/>
    <w:rsid w:val="000A42B4"/>
    <w:rsid w:val="000B4E7E"/>
    <w:rsid w:val="000C0EDE"/>
    <w:rsid w:val="000C6838"/>
    <w:rsid w:val="000D351F"/>
    <w:rsid w:val="000D59B4"/>
    <w:rsid w:val="000E0B44"/>
    <w:rsid w:val="000E1172"/>
    <w:rsid w:val="000E1320"/>
    <w:rsid w:val="000E769D"/>
    <w:rsid w:val="000F32C1"/>
    <w:rsid w:val="000F3B2E"/>
    <w:rsid w:val="00104945"/>
    <w:rsid w:val="00105A9B"/>
    <w:rsid w:val="00106053"/>
    <w:rsid w:val="00111C40"/>
    <w:rsid w:val="00130EEF"/>
    <w:rsid w:val="00130EF4"/>
    <w:rsid w:val="00144B55"/>
    <w:rsid w:val="00146CC4"/>
    <w:rsid w:val="00155B75"/>
    <w:rsid w:val="00156EDA"/>
    <w:rsid w:val="00166359"/>
    <w:rsid w:val="00170D86"/>
    <w:rsid w:val="001774C6"/>
    <w:rsid w:val="00180488"/>
    <w:rsid w:val="001805A8"/>
    <w:rsid w:val="001812B6"/>
    <w:rsid w:val="001853BD"/>
    <w:rsid w:val="00186D2D"/>
    <w:rsid w:val="00186FD8"/>
    <w:rsid w:val="001921D9"/>
    <w:rsid w:val="001A2416"/>
    <w:rsid w:val="001A61DD"/>
    <w:rsid w:val="001A6B2B"/>
    <w:rsid w:val="001B47D8"/>
    <w:rsid w:val="001C347B"/>
    <w:rsid w:val="001C5AC4"/>
    <w:rsid w:val="001D2B8B"/>
    <w:rsid w:val="001F1421"/>
    <w:rsid w:val="001F251F"/>
    <w:rsid w:val="001F3004"/>
    <w:rsid w:val="001F303A"/>
    <w:rsid w:val="001F3857"/>
    <w:rsid w:val="001F61F0"/>
    <w:rsid w:val="0020618E"/>
    <w:rsid w:val="00221042"/>
    <w:rsid w:val="00224268"/>
    <w:rsid w:val="0023084A"/>
    <w:rsid w:val="00232548"/>
    <w:rsid w:val="00232E5B"/>
    <w:rsid w:val="00233250"/>
    <w:rsid w:val="00237E9B"/>
    <w:rsid w:val="00240490"/>
    <w:rsid w:val="00245BA9"/>
    <w:rsid w:val="00266053"/>
    <w:rsid w:val="00271D2C"/>
    <w:rsid w:val="0027304C"/>
    <w:rsid w:val="00277B1B"/>
    <w:rsid w:val="00280F6C"/>
    <w:rsid w:val="00285239"/>
    <w:rsid w:val="00293389"/>
    <w:rsid w:val="00294A2B"/>
    <w:rsid w:val="002B1491"/>
    <w:rsid w:val="002B5411"/>
    <w:rsid w:val="002B735B"/>
    <w:rsid w:val="002B7DF4"/>
    <w:rsid w:val="002C0A35"/>
    <w:rsid w:val="002C16B2"/>
    <w:rsid w:val="002C28DC"/>
    <w:rsid w:val="002C3C55"/>
    <w:rsid w:val="002C41D1"/>
    <w:rsid w:val="002C787D"/>
    <w:rsid w:val="002D3B88"/>
    <w:rsid w:val="002D613B"/>
    <w:rsid w:val="002E1F8F"/>
    <w:rsid w:val="00304175"/>
    <w:rsid w:val="00313D37"/>
    <w:rsid w:val="00317C71"/>
    <w:rsid w:val="00321494"/>
    <w:rsid w:val="003219A3"/>
    <w:rsid w:val="00324066"/>
    <w:rsid w:val="00325B85"/>
    <w:rsid w:val="003315CA"/>
    <w:rsid w:val="003358FB"/>
    <w:rsid w:val="00335B70"/>
    <w:rsid w:val="003413BD"/>
    <w:rsid w:val="00346D72"/>
    <w:rsid w:val="00365B48"/>
    <w:rsid w:val="00370C26"/>
    <w:rsid w:val="00372365"/>
    <w:rsid w:val="00373B6E"/>
    <w:rsid w:val="00395FA6"/>
    <w:rsid w:val="003A6740"/>
    <w:rsid w:val="003B0025"/>
    <w:rsid w:val="003B66A8"/>
    <w:rsid w:val="003E4A54"/>
    <w:rsid w:val="003E5E4E"/>
    <w:rsid w:val="00410BAE"/>
    <w:rsid w:val="00411BC9"/>
    <w:rsid w:val="00415F82"/>
    <w:rsid w:val="004235D6"/>
    <w:rsid w:val="00431A96"/>
    <w:rsid w:val="004476F4"/>
    <w:rsid w:val="004558D4"/>
    <w:rsid w:val="00456B61"/>
    <w:rsid w:val="00462D5D"/>
    <w:rsid w:val="00497791"/>
    <w:rsid w:val="004A0738"/>
    <w:rsid w:val="004C5F6C"/>
    <w:rsid w:val="004C6947"/>
    <w:rsid w:val="004C6C40"/>
    <w:rsid w:val="004D178E"/>
    <w:rsid w:val="004D2A6D"/>
    <w:rsid w:val="004D4572"/>
    <w:rsid w:val="004D6BF5"/>
    <w:rsid w:val="004D73FB"/>
    <w:rsid w:val="004E533B"/>
    <w:rsid w:val="004E541A"/>
    <w:rsid w:val="004E7303"/>
    <w:rsid w:val="004F4DD1"/>
    <w:rsid w:val="00503E0F"/>
    <w:rsid w:val="00506253"/>
    <w:rsid w:val="005119C7"/>
    <w:rsid w:val="00511B8F"/>
    <w:rsid w:val="005125E5"/>
    <w:rsid w:val="00513A82"/>
    <w:rsid w:val="00517EFB"/>
    <w:rsid w:val="0052115E"/>
    <w:rsid w:val="00521E83"/>
    <w:rsid w:val="00535EEF"/>
    <w:rsid w:val="00553D71"/>
    <w:rsid w:val="005625BB"/>
    <w:rsid w:val="00570ADE"/>
    <w:rsid w:val="005745C0"/>
    <w:rsid w:val="0057544B"/>
    <w:rsid w:val="00583655"/>
    <w:rsid w:val="0058405F"/>
    <w:rsid w:val="005968B9"/>
    <w:rsid w:val="005A3DA7"/>
    <w:rsid w:val="005A5B96"/>
    <w:rsid w:val="005B4997"/>
    <w:rsid w:val="005E67E2"/>
    <w:rsid w:val="005E6C05"/>
    <w:rsid w:val="005F3F04"/>
    <w:rsid w:val="00601D12"/>
    <w:rsid w:val="006036EF"/>
    <w:rsid w:val="00604A7B"/>
    <w:rsid w:val="00610FB7"/>
    <w:rsid w:val="00613B9C"/>
    <w:rsid w:val="006155D2"/>
    <w:rsid w:val="006241A3"/>
    <w:rsid w:val="00632ED8"/>
    <w:rsid w:val="00642759"/>
    <w:rsid w:val="00661115"/>
    <w:rsid w:val="00662BFB"/>
    <w:rsid w:val="00662F59"/>
    <w:rsid w:val="006721EC"/>
    <w:rsid w:val="006754E4"/>
    <w:rsid w:val="006829E8"/>
    <w:rsid w:val="00685E23"/>
    <w:rsid w:val="006924CB"/>
    <w:rsid w:val="00694664"/>
    <w:rsid w:val="006B1D10"/>
    <w:rsid w:val="006C3EF6"/>
    <w:rsid w:val="006D355B"/>
    <w:rsid w:val="006D3F06"/>
    <w:rsid w:val="006E170A"/>
    <w:rsid w:val="006E1BF7"/>
    <w:rsid w:val="006E556A"/>
    <w:rsid w:val="006E585D"/>
    <w:rsid w:val="006E6E9E"/>
    <w:rsid w:val="006F1E23"/>
    <w:rsid w:val="006F2DED"/>
    <w:rsid w:val="006F58DF"/>
    <w:rsid w:val="006F61C2"/>
    <w:rsid w:val="007026F6"/>
    <w:rsid w:val="0070417B"/>
    <w:rsid w:val="00713D7D"/>
    <w:rsid w:val="007206B4"/>
    <w:rsid w:val="00721696"/>
    <w:rsid w:val="00723F85"/>
    <w:rsid w:val="00724477"/>
    <w:rsid w:val="0074505C"/>
    <w:rsid w:val="00745CF8"/>
    <w:rsid w:val="00746081"/>
    <w:rsid w:val="007460C7"/>
    <w:rsid w:val="00751C10"/>
    <w:rsid w:val="00760F9C"/>
    <w:rsid w:val="00761F66"/>
    <w:rsid w:val="00770A00"/>
    <w:rsid w:val="0078486D"/>
    <w:rsid w:val="00791E61"/>
    <w:rsid w:val="007A7F30"/>
    <w:rsid w:val="007B2B4F"/>
    <w:rsid w:val="007B7A74"/>
    <w:rsid w:val="007B7C40"/>
    <w:rsid w:val="007C0C45"/>
    <w:rsid w:val="007C54B3"/>
    <w:rsid w:val="007D0211"/>
    <w:rsid w:val="007D07A9"/>
    <w:rsid w:val="007E080E"/>
    <w:rsid w:val="007E50AE"/>
    <w:rsid w:val="007E51A2"/>
    <w:rsid w:val="007F5AFB"/>
    <w:rsid w:val="0080394C"/>
    <w:rsid w:val="00805029"/>
    <w:rsid w:val="00806A4D"/>
    <w:rsid w:val="00807BCC"/>
    <w:rsid w:val="00820AF9"/>
    <w:rsid w:val="0082759B"/>
    <w:rsid w:val="00832B3D"/>
    <w:rsid w:val="0083455F"/>
    <w:rsid w:val="00834E46"/>
    <w:rsid w:val="00841248"/>
    <w:rsid w:val="00841582"/>
    <w:rsid w:val="00856FF9"/>
    <w:rsid w:val="0085753B"/>
    <w:rsid w:val="00860A8E"/>
    <w:rsid w:val="00861ACD"/>
    <w:rsid w:val="00863173"/>
    <w:rsid w:val="008641CD"/>
    <w:rsid w:val="008656C0"/>
    <w:rsid w:val="008731AB"/>
    <w:rsid w:val="0088112B"/>
    <w:rsid w:val="008A1824"/>
    <w:rsid w:val="008A2291"/>
    <w:rsid w:val="008B6715"/>
    <w:rsid w:val="008C2C5E"/>
    <w:rsid w:val="008C6A1B"/>
    <w:rsid w:val="008D06BE"/>
    <w:rsid w:val="008D4715"/>
    <w:rsid w:val="008D4CE0"/>
    <w:rsid w:val="008D4EFB"/>
    <w:rsid w:val="008E3334"/>
    <w:rsid w:val="008E6BDF"/>
    <w:rsid w:val="008F0255"/>
    <w:rsid w:val="008F3EDC"/>
    <w:rsid w:val="0090143A"/>
    <w:rsid w:val="00903E32"/>
    <w:rsid w:val="00903E7B"/>
    <w:rsid w:val="0090636E"/>
    <w:rsid w:val="00906861"/>
    <w:rsid w:val="00910B18"/>
    <w:rsid w:val="00916E4A"/>
    <w:rsid w:val="00917048"/>
    <w:rsid w:val="00927D18"/>
    <w:rsid w:val="00945234"/>
    <w:rsid w:val="00953B4E"/>
    <w:rsid w:val="00960953"/>
    <w:rsid w:val="00960CC2"/>
    <w:rsid w:val="0096461D"/>
    <w:rsid w:val="009702A6"/>
    <w:rsid w:val="009764EF"/>
    <w:rsid w:val="00977C6B"/>
    <w:rsid w:val="0098195D"/>
    <w:rsid w:val="0099467D"/>
    <w:rsid w:val="00995093"/>
    <w:rsid w:val="009A130F"/>
    <w:rsid w:val="009A57CF"/>
    <w:rsid w:val="009A7CAE"/>
    <w:rsid w:val="009A7DDC"/>
    <w:rsid w:val="009B3073"/>
    <w:rsid w:val="009B7F26"/>
    <w:rsid w:val="009C2797"/>
    <w:rsid w:val="009C4DE9"/>
    <w:rsid w:val="009D3A01"/>
    <w:rsid w:val="009D3F65"/>
    <w:rsid w:val="009F53AB"/>
    <w:rsid w:val="009F5B11"/>
    <w:rsid w:val="00A02543"/>
    <w:rsid w:val="00A03FBB"/>
    <w:rsid w:val="00A04158"/>
    <w:rsid w:val="00A06843"/>
    <w:rsid w:val="00A142C2"/>
    <w:rsid w:val="00A1632E"/>
    <w:rsid w:val="00A16C2D"/>
    <w:rsid w:val="00A1753D"/>
    <w:rsid w:val="00A37159"/>
    <w:rsid w:val="00A3770F"/>
    <w:rsid w:val="00A419B3"/>
    <w:rsid w:val="00A4452F"/>
    <w:rsid w:val="00A45EC5"/>
    <w:rsid w:val="00A57A4E"/>
    <w:rsid w:val="00A71089"/>
    <w:rsid w:val="00A740DF"/>
    <w:rsid w:val="00A85594"/>
    <w:rsid w:val="00A90EB8"/>
    <w:rsid w:val="00A91EF6"/>
    <w:rsid w:val="00A95098"/>
    <w:rsid w:val="00AA6179"/>
    <w:rsid w:val="00AB14E7"/>
    <w:rsid w:val="00AB26F9"/>
    <w:rsid w:val="00AC02DC"/>
    <w:rsid w:val="00AC0FD3"/>
    <w:rsid w:val="00AC19E6"/>
    <w:rsid w:val="00AD4DD1"/>
    <w:rsid w:val="00AE0BC7"/>
    <w:rsid w:val="00AE0EF2"/>
    <w:rsid w:val="00AE1BD6"/>
    <w:rsid w:val="00AE28DF"/>
    <w:rsid w:val="00AE558C"/>
    <w:rsid w:val="00AF5308"/>
    <w:rsid w:val="00B1510C"/>
    <w:rsid w:val="00B15248"/>
    <w:rsid w:val="00B20BC6"/>
    <w:rsid w:val="00B21138"/>
    <w:rsid w:val="00B23F96"/>
    <w:rsid w:val="00B34D46"/>
    <w:rsid w:val="00B43B05"/>
    <w:rsid w:val="00B4480A"/>
    <w:rsid w:val="00B46850"/>
    <w:rsid w:val="00B51006"/>
    <w:rsid w:val="00B51394"/>
    <w:rsid w:val="00B52CD8"/>
    <w:rsid w:val="00B56CF2"/>
    <w:rsid w:val="00B56EDC"/>
    <w:rsid w:val="00B60BBC"/>
    <w:rsid w:val="00B65EF0"/>
    <w:rsid w:val="00B7659C"/>
    <w:rsid w:val="00B81D50"/>
    <w:rsid w:val="00B865DE"/>
    <w:rsid w:val="00B87202"/>
    <w:rsid w:val="00B95130"/>
    <w:rsid w:val="00B953B2"/>
    <w:rsid w:val="00B95BAA"/>
    <w:rsid w:val="00BA2AC7"/>
    <w:rsid w:val="00BB3CB2"/>
    <w:rsid w:val="00BB5576"/>
    <w:rsid w:val="00BC18D6"/>
    <w:rsid w:val="00BD3967"/>
    <w:rsid w:val="00BD607A"/>
    <w:rsid w:val="00BE4104"/>
    <w:rsid w:val="00BE5AEA"/>
    <w:rsid w:val="00BE787F"/>
    <w:rsid w:val="00BF374E"/>
    <w:rsid w:val="00BF49F5"/>
    <w:rsid w:val="00BF5ACC"/>
    <w:rsid w:val="00C10AE8"/>
    <w:rsid w:val="00C116CB"/>
    <w:rsid w:val="00C14ACA"/>
    <w:rsid w:val="00C212F7"/>
    <w:rsid w:val="00C24AB4"/>
    <w:rsid w:val="00C35D02"/>
    <w:rsid w:val="00C415D8"/>
    <w:rsid w:val="00C42DBD"/>
    <w:rsid w:val="00C532A1"/>
    <w:rsid w:val="00C5462B"/>
    <w:rsid w:val="00C57D9D"/>
    <w:rsid w:val="00C63BDD"/>
    <w:rsid w:val="00C66FD8"/>
    <w:rsid w:val="00C674A3"/>
    <w:rsid w:val="00C67D58"/>
    <w:rsid w:val="00C85DE3"/>
    <w:rsid w:val="00CA114E"/>
    <w:rsid w:val="00CA20CF"/>
    <w:rsid w:val="00CB41A5"/>
    <w:rsid w:val="00CB4C14"/>
    <w:rsid w:val="00CD3223"/>
    <w:rsid w:val="00CD3E19"/>
    <w:rsid w:val="00CE11FE"/>
    <w:rsid w:val="00CE31D4"/>
    <w:rsid w:val="00CE6707"/>
    <w:rsid w:val="00D00DDB"/>
    <w:rsid w:val="00D01B9F"/>
    <w:rsid w:val="00D0209A"/>
    <w:rsid w:val="00D14177"/>
    <w:rsid w:val="00D23F9D"/>
    <w:rsid w:val="00D26602"/>
    <w:rsid w:val="00D346B3"/>
    <w:rsid w:val="00D364FC"/>
    <w:rsid w:val="00D40E2E"/>
    <w:rsid w:val="00D61159"/>
    <w:rsid w:val="00D703B3"/>
    <w:rsid w:val="00D72FD6"/>
    <w:rsid w:val="00D73F86"/>
    <w:rsid w:val="00D7436C"/>
    <w:rsid w:val="00D752BC"/>
    <w:rsid w:val="00D80992"/>
    <w:rsid w:val="00D81A11"/>
    <w:rsid w:val="00D82662"/>
    <w:rsid w:val="00D928F1"/>
    <w:rsid w:val="00DA0D86"/>
    <w:rsid w:val="00DA77F0"/>
    <w:rsid w:val="00DB51B7"/>
    <w:rsid w:val="00DB6859"/>
    <w:rsid w:val="00DC14F8"/>
    <w:rsid w:val="00DD2009"/>
    <w:rsid w:val="00DF5526"/>
    <w:rsid w:val="00DF6CF1"/>
    <w:rsid w:val="00DF7592"/>
    <w:rsid w:val="00E04DD5"/>
    <w:rsid w:val="00E05BA6"/>
    <w:rsid w:val="00E05EEA"/>
    <w:rsid w:val="00E22971"/>
    <w:rsid w:val="00E22D74"/>
    <w:rsid w:val="00E24A1E"/>
    <w:rsid w:val="00E363D9"/>
    <w:rsid w:val="00E41197"/>
    <w:rsid w:val="00E47E55"/>
    <w:rsid w:val="00E50755"/>
    <w:rsid w:val="00E63106"/>
    <w:rsid w:val="00E6320F"/>
    <w:rsid w:val="00E67444"/>
    <w:rsid w:val="00E70913"/>
    <w:rsid w:val="00E84FF5"/>
    <w:rsid w:val="00E90367"/>
    <w:rsid w:val="00E90495"/>
    <w:rsid w:val="00E9075A"/>
    <w:rsid w:val="00E92AD3"/>
    <w:rsid w:val="00E93C0F"/>
    <w:rsid w:val="00EA3FAC"/>
    <w:rsid w:val="00EA61E8"/>
    <w:rsid w:val="00EB4110"/>
    <w:rsid w:val="00EB712A"/>
    <w:rsid w:val="00ED408B"/>
    <w:rsid w:val="00EE04BA"/>
    <w:rsid w:val="00EE79AC"/>
    <w:rsid w:val="00F0342F"/>
    <w:rsid w:val="00F11056"/>
    <w:rsid w:val="00F24345"/>
    <w:rsid w:val="00F249F7"/>
    <w:rsid w:val="00F331B1"/>
    <w:rsid w:val="00F35512"/>
    <w:rsid w:val="00F42F13"/>
    <w:rsid w:val="00F44FEE"/>
    <w:rsid w:val="00F47268"/>
    <w:rsid w:val="00F55748"/>
    <w:rsid w:val="00F6743B"/>
    <w:rsid w:val="00F8164D"/>
    <w:rsid w:val="00F84BCC"/>
    <w:rsid w:val="00F92617"/>
    <w:rsid w:val="00F94B7C"/>
    <w:rsid w:val="00FA2975"/>
    <w:rsid w:val="00FA5AB8"/>
    <w:rsid w:val="00FA6917"/>
    <w:rsid w:val="00FA7945"/>
    <w:rsid w:val="00FB3840"/>
    <w:rsid w:val="00FB5531"/>
    <w:rsid w:val="00FD20E1"/>
    <w:rsid w:val="00FF2ECB"/>
    <w:rsid w:val="00FF62C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6A42D0"/>
  <w15:chartTrackingRefBased/>
  <w15:docId w15:val="{9FF683D0-2B3E-497E-B8A8-5D2E696F0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DF552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660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A1824"/>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unhideWhenUsed/>
    <w:qFormat/>
    <w:rsid w:val="003A6740"/>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F6743B"/>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F552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2660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A182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9"/>
    <w:rsid w:val="003A674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F6743B"/>
    <w:rPr>
      <w:rFonts w:asciiTheme="majorHAnsi" w:eastAsiaTheme="majorEastAsia" w:hAnsiTheme="majorHAnsi" w:cstheme="majorBidi"/>
      <w:color w:val="2F5496" w:themeColor="accent1" w:themeShade="BF"/>
    </w:rPr>
  </w:style>
  <w:style w:type="character" w:customStyle="1" w:styleId="foreign">
    <w:name w:val="foreign"/>
    <w:basedOn w:val="DefaultParagraphFont"/>
    <w:rsid w:val="00373B6E"/>
  </w:style>
  <w:style w:type="paragraph" w:styleId="ListParagraph">
    <w:name w:val="List Paragraph"/>
    <w:basedOn w:val="Normal"/>
    <w:uiPriority w:val="34"/>
    <w:qFormat/>
    <w:rsid w:val="00373B6E"/>
    <w:pPr>
      <w:ind w:left="720"/>
      <w:contextualSpacing/>
    </w:pPr>
  </w:style>
  <w:style w:type="paragraph" w:styleId="BalloonText">
    <w:name w:val="Balloon Text"/>
    <w:basedOn w:val="Normal"/>
    <w:link w:val="BalloonTextChar"/>
    <w:uiPriority w:val="99"/>
    <w:semiHidden/>
    <w:unhideWhenUsed/>
    <w:rsid w:val="00DF552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5526"/>
    <w:rPr>
      <w:rFonts w:ascii="Segoe UI" w:hAnsi="Segoe UI" w:cs="Segoe UI"/>
      <w:sz w:val="18"/>
      <w:szCs w:val="18"/>
    </w:rPr>
  </w:style>
  <w:style w:type="character" w:styleId="Hyperlink">
    <w:name w:val="Hyperlink"/>
    <w:basedOn w:val="DefaultParagraphFont"/>
    <w:uiPriority w:val="99"/>
    <w:unhideWhenUsed/>
    <w:rsid w:val="0074505C"/>
    <w:rPr>
      <w:color w:val="0000FF"/>
      <w:u w:val="single"/>
    </w:rPr>
  </w:style>
  <w:style w:type="character" w:styleId="UnresolvedMention">
    <w:name w:val="Unresolved Mention"/>
    <w:basedOn w:val="DefaultParagraphFont"/>
    <w:uiPriority w:val="99"/>
    <w:semiHidden/>
    <w:unhideWhenUsed/>
    <w:rsid w:val="006C3EF6"/>
    <w:rPr>
      <w:color w:val="808080"/>
      <w:shd w:val="clear" w:color="auto" w:fill="E6E6E6"/>
    </w:rPr>
  </w:style>
  <w:style w:type="paragraph" w:styleId="NormalWeb">
    <w:name w:val="Normal (Web)"/>
    <w:basedOn w:val="Normal"/>
    <w:uiPriority w:val="99"/>
    <w:unhideWhenUsed/>
    <w:rsid w:val="00E63106"/>
    <w:pPr>
      <w:spacing w:before="100" w:beforeAutospacing="1" w:after="100" w:afterAutospacing="1"/>
    </w:pPr>
    <w:rPr>
      <w:rFonts w:ascii="Times New Roman" w:eastAsia="Times New Roman" w:hAnsi="Times New Roman" w:cs="Times New Roman"/>
      <w:sz w:val="24"/>
      <w:szCs w:val="24"/>
      <w:lang w:eastAsia="en-CA"/>
    </w:rPr>
  </w:style>
  <w:style w:type="paragraph" w:customStyle="1" w:styleId="Default">
    <w:name w:val="Default"/>
    <w:rsid w:val="00841248"/>
    <w:pPr>
      <w:autoSpaceDE w:val="0"/>
      <w:autoSpaceDN w:val="0"/>
      <w:adjustRightInd w:val="0"/>
    </w:pPr>
    <w:rPr>
      <w:rFonts w:ascii="Code" w:hAnsi="Code" w:cs="Code"/>
      <w:color w:val="000000"/>
      <w:sz w:val="24"/>
      <w:szCs w:val="24"/>
    </w:rPr>
  </w:style>
  <w:style w:type="paragraph" w:styleId="FootnoteText">
    <w:name w:val="footnote text"/>
    <w:aliases w:val="Footnote Text Char Char,Footnote Text Char Char Char Char Char Char Char Char,Footnote Text Char Char Char Char Char Char Char,Footnote Text Char Char Char Char Char Char,Footnote Text Char Char Char Char Char"/>
    <w:basedOn w:val="Normal"/>
    <w:link w:val="FootnoteTextChar"/>
    <w:uiPriority w:val="99"/>
    <w:unhideWhenUsed/>
    <w:rsid w:val="0058405F"/>
    <w:rPr>
      <w:sz w:val="20"/>
      <w:szCs w:val="20"/>
    </w:rPr>
  </w:style>
  <w:style w:type="character" w:customStyle="1" w:styleId="FootnoteTextChar">
    <w:name w:val="Footnote Text Char"/>
    <w:aliases w:val="Footnote Text Char Char Char1,Footnote Text Char Char Char Char Char Char Char Char Char1,Footnote Text Char Char Char Char Char Char Char Char2,Footnote Text Char Char Char Char Char Char Char2"/>
    <w:basedOn w:val="DefaultParagraphFont"/>
    <w:link w:val="FootnoteText"/>
    <w:uiPriority w:val="99"/>
    <w:rsid w:val="0058405F"/>
    <w:rPr>
      <w:sz w:val="20"/>
      <w:szCs w:val="20"/>
    </w:rPr>
  </w:style>
  <w:style w:type="character" w:styleId="FootnoteReference">
    <w:name w:val="footnote reference"/>
    <w:basedOn w:val="DefaultParagraphFont"/>
    <w:uiPriority w:val="99"/>
    <w:semiHidden/>
    <w:unhideWhenUsed/>
    <w:rsid w:val="0058405F"/>
    <w:rPr>
      <w:vertAlign w:val="superscript"/>
    </w:rPr>
  </w:style>
  <w:style w:type="paragraph" w:styleId="EndnoteText">
    <w:name w:val="endnote text"/>
    <w:basedOn w:val="Normal"/>
    <w:link w:val="EndnoteTextChar"/>
    <w:uiPriority w:val="99"/>
    <w:semiHidden/>
    <w:unhideWhenUsed/>
    <w:rsid w:val="00807BCC"/>
    <w:rPr>
      <w:sz w:val="20"/>
      <w:szCs w:val="20"/>
    </w:rPr>
  </w:style>
  <w:style w:type="character" w:customStyle="1" w:styleId="EndnoteTextChar">
    <w:name w:val="Endnote Text Char"/>
    <w:basedOn w:val="DefaultParagraphFont"/>
    <w:link w:val="EndnoteText"/>
    <w:uiPriority w:val="99"/>
    <w:semiHidden/>
    <w:rsid w:val="00807BCC"/>
    <w:rPr>
      <w:sz w:val="20"/>
      <w:szCs w:val="20"/>
    </w:rPr>
  </w:style>
  <w:style w:type="character" w:styleId="EndnoteReference">
    <w:name w:val="endnote reference"/>
    <w:basedOn w:val="DefaultParagraphFont"/>
    <w:uiPriority w:val="99"/>
    <w:semiHidden/>
    <w:unhideWhenUsed/>
    <w:rsid w:val="00807BCC"/>
    <w:rPr>
      <w:vertAlign w:val="superscript"/>
    </w:rPr>
  </w:style>
  <w:style w:type="paragraph" w:styleId="Title">
    <w:name w:val="Title"/>
    <w:basedOn w:val="Normal"/>
    <w:next w:val="Normal"/>
    <w:link w:val="TitleChar"/>
    <w:uiPriority w:val="10"/>
    <w:qFormat/>
    <w:rsid w:val="00AD4DD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4DD1"/>
    <w:rPr>
      <w:rFonts w:asciiTheme="majorHAnsi" w:eastAsiaTheme="majorEastAsia" w:hAnsiTheme="majorHAnsi" w:cstheme="majorBidi"/>
      <w:spacing w:val="-10"/>
      <w:kern w:val="28"/>
      <w:sz w:val="56"/>
      <w:szCs w:val="56"/>
    </w:rPr>
  </w:style>
  <w:style w:type="character" w:styleId="FollowedHyperlink">
    <w:name w:val="FollowedHyperlink"/>
    <w:basedOn w:val="DefaultParagraphFont"/>
    <w:uiPriority w:val="99"/>
    <w:semiHidden/>
    <w:unhideWhenUsed/>
    <w:rsid w:val="008A1824"/>
    <w:rPr>
      <w:color w:val="954F72" w:themeColor="followedHyperlink"/>
      <w:u w:val="single"/>
    </w:rPr>
  </w:style>
  <w:style w:type="character" w:styleId="Strong">
    <w:name w:val="Strong"/>
    <w:basedOn w:val="DefaultParagraphFont"/>
    <w:uiPriority w:val="22"/>
    <w:qFormat/>
    <w:rsid w:val="00BE787F"/>
    <w:rPr>
      <w:b/>
      <w:bCs/>
    </w:rPr>
  </w:style>
  <w:style w:type="paragraph" w:styleId="Header">
    <w:name w:val="header"/>
    <w:basedOn w:val="Normal"/>
    <w:link w:val="HeaderChar"/>
    <w:uiPriority w:val="99"/>
    <w:unhideWhenUsed/>
    <w:rsid w:val="00BE787F"/>
    <w:pPr>
      <w:tabs>
        <w:tab w:val="center" w:pos="4680"/>
        <w:tab w:val="right" w:pos="9360"/>
      </w:tabs>
    </w:pPr>
  </w:style>
  <w:style w:type="character" w:customStyle="1" w:styleId="HeaderChar">
    <w:name w:val="Header Char"/>
    <w:basedOn w:val="DefaultParagraphFont"/>
    <w:link w:val="Header"/>
    <w:uiPriority w:val="99"/>
    <w:rsid w:val="00BE787F"/>
  </w:style>
  <w:style w:type="paragraph" w:styleId="Footer">
    <w:name w:val="footer"/>
    <w:basedOn w:val="Normal"/>
    <w:link w:val="FooterChar"/>
    <w:uiPriority w:val="99"/>
    <w:unhideWhenUsed/>
    <w:rsid w:val="00BE787F"/>
    <w:pPr>
      <w:tabs>
        <w:tab w:val="center" w:pos="4680"/>
        <w:tab w:val="right" w:pos="9360"/>
      </w:tabs>
    </w:pPr>
  </w:style>
  <w:style w:type="character" w:customStyle="1" w:styleId="FooterChar">
    <w:name w:val="Footer Char"/>
    <w:basedOn w:val="DefaultParagraphFont"/>
    <w:link w:val="Footer"/>
    <w:uiPriority w:val="99"/>
    <w:rsid w:val="00BE787F"/>
  </w:style>
  <w:style w:type="character" w:customStyle="1" w:styleId="vcard">
    <w:name w:val="vcard"/>
    <w:basedOn w:val="DefaultParagraphFont"/>
    <w:rsid w:val="00E05EEA"/>
  </w:style>
  <w:style w:type="character" w:customStyle="1" w:styleId="Date1">
    <w:name w:val="Date1"/>
    <w:basedOn w:val="DefaultParagraphFont"/>
    <w:rsid w:val="00E05EEA"/>
  </w:style>
  <w:style w:type="character" w:customStyle="1" w:styleId="fwb">
    <w:name w:val="fwb"/>
    <w:basedOn w:val="DefaultParagraphFont"/>
    <w:rsid w:val="00F6743B"/>
  </w:style>
  <w:style w:type="character" w:customStyle="1" w:styleId="fsm">
    <w:name w:val="fsm"/>
    <w:basedOn w:val="DefaultParagraphFont"/>
    <w:rsid w:val="00F6743B"/>
  </w:style>
  <w:style w:type="character" w:customStyle="1" w:styleId="timestampcontent">
    <w:name w:val="timestampcontent"/>
    <w:basedOn w:val="DefaultParagraphFont"/>
    <w:rsid w:val="00F6743B"/>
  </w:style>
  <w:style w:type="paragraph" w:customStyle="1" w:styleId="storydate">
    <w:name w:val="storydate"/>
    <w:basedOn w:val="Normal"/>
    <w:rsid w:val="00D26602"/>
    <w:pPr>
      <w:spacing w:before="100" w:beforeAutospacing="1" w:after="100" w:afterAutospacing="1"/>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D0209A"/>
    <w:rPr>
      <w:i/>
      <w:iCs/>
    </w:rPr>
  </w:style>
  <w:style w:type="character" w:customStyle="1" w:styleId="FootnoteTextChar1">
    <w:name w:val="Footnote Text Char1"/>
    <w:aliases w:val="Footnote Text Char Char Char,Footnote Text Char Char Char Char Char Char Char Char Char,Footnote Text Char Char Char Char Char Char Char Char1,Footnote Text Char Char Char Char Char Char Char1"/>
    <w:basedOn w:val="DefaultParagraphFont"/>
    <w:uiPriority w:val="99"/>
    <w:semiHidden/>
    <w:locked/>
    <w:rsid w:val="003A6740"/>
  </w:style>
  <w:style w:type="paragraph" w:styleId="BodyText2">
    <w:name w:val="Body Text 2"/>
    <w:basedOn w:val="Normal"/>
    <w:link w:val="BodyText2Char"/>
    <w:uiPriority w:val="99"/>
    <w:rsid w:val="00232548"/>
    <w:pPr>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232548"/>
    <w:rPr>
      <w:rFonts w:ascii="Times New Roman" w:eastAsia="Times New Roman" w:hAnsi="Times New Roman" w:cs="Times New Roman"/>
      <w:b/>
      <w:bCs/>
      <w:lang w:val="en-GB"/>
    </w:rPr>
  </w:style>
  <w:style w:type="paragraph" w:customStyle="1" w:styleId="deannah1">
    <w:name w:val="deannah1"/>
    <w:basedOn w:val="Normal"/>
    <w:uiPriority w:val="99"/>
    <w:rsid w:val="00232548"/>
    <w:pPr>
      <w:keepNext/>
      <w:spacing w:after="240"/>
    </w:pPr>
    <w:rPr>
      <w:rFonts w:ascii="Times New Roman" w:eastAsia="Times New Roman" w:hAnsi="Times New Roman" w:cs="Times New Roman"/>
      <w:b/>
      <w:bCs/>
      <w:sz w:val="24"/>
      <w:szCs w:val="24"/>
      <w:lang w:val="en-GB"/>
    </w:rPr>
  </w:style>
  <w:style w:type="table" w:styleId="TableGrid">
    <w:name w:val="Table Grid"/>
    <w:basedOn w:val="TableNormal"/>
    <w:uiPriority w:val="59"/>
    <w:rsid w:val="00232548"/>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232548"/>
    <w:rPr>
      <w:color w:val="535353"/>
      <w:u w:val="single"/>
      <w:effect w:val="none"/>
    </w:rPr>
  </w:style>
  <w:style w:type="paragraph" w:customStyle="1" w:styleId="NormalWeb1">
    <w:name w:val="Normal (Web)1"/>
    <w:basedOn w:val="Normal"/>
    <w:uiPriority w:val="99"/>
    <w:rsid w:val="00232548"/>
    <w:pPr>
      <w:spacing w:before="100" w:beforeAutospacing="1" w:after="300"/>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232548"/>
  </w:style>
  <w:style w:type="character" w:customStyle="1" w:styleId="CommentTextChar">
    <w:name w:val="Comment Text Char"/>
    <w:basedOn w:val="DefaultParagraphFont"/>
    <w:link w:val="CommentText"/>
    <w:uiPriority w:val="99"/>
    <w:semiHidden/>
    <w:rsid w:val="00232548"/>
    <w:rPr>
      <w:rFonts w:ascii="Times New Roman" w:eastAsia="Times New Roman" w:hAnsi="Times New Roman" w:cs="Times New Roman"/>
      <w:sz w:val="20"/>
      <w:szCs w:val="20"/>
      <w:lang w:val="en-GB"/>
    </w:rPr>
  </w:style>
  <w:style w:type="paragraph" w:styleId="CommentText">
    <w:name w:val="annotation text"/>
    <w:basedOn w:val="Normal"/>
    <w:link w:val="CommentTextChar"/>
    <w:uiPriority w:val="99"/>
    <w:semiHidden/>
    <w:unhideWhenUsed/>
    <w:rsid w:val="00232548"/>
    <w:rPr>
      <w:rFonts w:ascii="Times New Roman" w:eastAsia="Times New Roman" w:hAnsi="Times New Roman" w:cs="Times New Roman"/>
      <w:sz w:val="20"/>
      <w:szCs w:val="20"/>
      <w:lang w:val="en-GB"/>
    </w:rPr>
  </w:style>
  <w:style w:type="character" w:customStyle="1" w:styleId="CommentSubjectChar">
    <w:name w:val="Comment Subject Char"/>
    <w:basedOn w:val="CommentTextChar"/>
    <w:link w:val="CommentSubject"/>
    <w:uiPriority w:val="99"/>
    <w:semiHidden/>
    <w:rsid w:val="00232548"/>
    <w:rPr>
      <w:rFonts w:ascii="Times New Roman" w:eastAsia="Times New Roman" w:hAnsi="Times New Roman"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232548"/>
    <w:rPr>
      <w:b/>
      <w:bCs/>
    </w:rPr>
  </w:style>
  <w:style w:type="character" w:styleId="IntenseEmphasis">
    <w:name w:val="Intense Emphasis"/>
    <w:basedOn w:val="DefaultParagraphFont"/>
    <w:uiPriority w:val="21"/>
    <w:qFormat/>
    <w:rsid w:val="002C28DC"/>
    <w:rPr>
      <w:i/>
      <w:iCs/>
      <w:color w:val="4472C4" w:themeColor="accent1"/>
    </w:rPr>
  </w:style>
  <w:style w:type="paragraph" w:styleId="Subtitle">
    <w:name w:val="Subtitle"/>
    <w:basedOn w:val="Normal"/>
    <w:next w:val="Normal"/>
    <w:link w:val="SubtitleChar"/>
    <w:uiPriority w:val="11"/>
    <w:qFormat/>
    <w:rsid w:val="009A57CF"/>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A57CF"/>
    <w:rPr>
      <w:rFonts w:eastAsiaTheme="minorEastAsia"/>
      <w:color w:val="5A5A5A" w:themeColor="text1" w:themeTint="A5"/>
      <w:spacing w:val="15"/>
    </w:rPr>
  </w:style>
  <w:style w:type="character" w:customStyle="1" w:styleId="gb-title-box-title">
    <w:name w:val="gb-title-box-title"/>
    <w:basedOn w:val="DefaultParagraphFont"/>
    <w:rsid w:val="006036EF"/>
  </w:style>
  <w:style w:type="character" w:customStyle="1" w:styleId="gb-title-box-dash">
    <w:name w:val="gb-title-box-dash"/>
    <w:basedOn w:val="DefaultParagraphFont"/>
    <w:rsid w:val="006036EF"/>
  </w:style>
  <w:style w:type="character" w:customStyle="1" w:styleId="addmd">
    <w:name w:val="addmd"/>
    <w:basedOn w:val="DefaultParagraphFont"/>
    <w:rsid w:val="006036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002668">
      <w:bodyDiv w:val="1"/>
      <w:marLeft w:val="0"/>
      <w:marRight w:val="0"/>
      <w:marTop w:val="0"/>
      <w:marBottom w:val="0"/>
      <w:divBdr>
        <w:top w:val="none" w:sz="0" w:space="0" w:color="auto"/>
        <w:left w:val="none" w:sz="0" w:space="0" w:color="auto"/>
        <w:bottom w:val="none" w:sz="0" w:space="0" w:color="auto"/>
        <w:right w:val="none" w:sz="0" w:space="0" w:color="auto"/>
      </w:divBdr>
    </w:div>
    <w:div w:id="147522264">
      <w:bodyDiv w:val="1"/>
      <w:marLeft w:val="0"/>
      <w:marRight w:val="0"/>
      <w:marTop w:val="0"/>
      <w:marBottom w:val="0"/>
      <w:divBdr>
        <w:top w:val="none" w:sz="0" w:space="0" w:color="auto"/>
        <w:left w:val="none" w:sz="0" w:space="0" w:color="auto"/>
        <w:bottom w:val="none" w:sz="0" w:space="0" w:color="auto"/>
        <w:right w:val="none" w:sz="0" w:space="0" w:color="auto"/>
      </w:divBdr>
    </w:div>
    <w:div w:id="306738760">
      <w:bodyDiv w:val="1"/>
      <w:marLeft w:val="0"/>
      <w:marRight w:val="0"/>
      <w:marTop w:val="0"/>
      <w:marBottom w:val="0"/>
      <w:divBdr>
        <w:top w:val="none" w:sz="0" w:space="0" w:color="auto"/>
        <w:left w:val="none" w:sz="0" w:space="0" w:color="auto"/>
        <w:bottom w:val="none" w:sz="0" w:space="0" w:color="auto"/>
        <w:right w:val="none" w:sz="0" w:space="0" w:color="auto"/>
      </w:divBdr>
    </w:div>
    <w:div w:id="410200135">
      <w:bodyDiv w:val="1"/>
      <w:marLeft w:val="0"/>
      <w:marRight w:val="0"/>
      <w:marTop w:val="0"/>
      <w:marBottom w:val="0"/>
      <w:divBdr>
        <w:top w:val="none" w:sz="0" w:space="0" w:color="auto"/>
        <w:left w:val="none" w:sz="0" w:space="0" w:color="auto"/>
        <w:bottom w:val="none" w:sz="0" w:space="0" w:color="auto"/>
        <w:right w:val="none" w:sz="0" w:space="0" w:color="auto"/>
      </w:divBdr>
    </w:div>
    <w:div w:id="1335650987">
      <w:bodyDiv w:val="1"/>
      <w:marLeft w:val="0"/>
      <w:marRight w:val="0"/>
      <w:marTop w:val="0"/>
      <w:marBottom w:val="0"/>
      <w:divBdr>
        <w:top w:val="none" w:sz="0" w:space="0" w:color="auto"/>
        <w:left w:val="none" w:sz="0" w:space="0" w:color="auto"/>
        <w:bottom w:val="none" w:sz="0" w:space="0" w:color="auto"/>
        <w:right w:val="none" w:sz="0" w:space="0" w:color="auto"/>
      </w:divBdr>
      <w:divsChild>
        <w:div w:id="15351187">
          <w:marLeft w:val="0"/>
          <w:marRight w:val="0"/>
          <w:marTop w:val="0"/>
          <w:marBottom w:val="0"/>
          <w:divBdr>
            <w:top w:val="none" w:sz="0" w:space="0" w:color="auto"/>
            <w:left w:val="none" w:sz="0" w:space="0" w:color="auto"/>
            <w:bottom w:val="none" w:sz="0" w:space="0" w:color="auto"/>
            <w:right w:val="none" w:sz="0" w:space="0" w:color="auto"/>
          </w:divBdr>
          <w:divsChild>
            <w:div w:id="487137803">
              <w:marLeft w:val="0"/>
              <w:marRight w:val="0"/>
              <w:marTop w:val="0"/>
              <w:marBottom w:val="0"/>
              <w:divBdr>
                <w:top w:val="none" w:sz="0" w:space="0" w:color="auto"/>
                <w:left w:val="none" w:sz="0" w:space="0" w:color="auto"/>
                <w:bottom w:val="none" w:sz="0" w:space="0" w:color="auto"/>
                <w:right w:val="none" w:sz="0" w:space="0" w:color="auto"/>
              </w:divBdr>
              <w:divsChild>
                <w:div w:id="210270437">
                  <w:marLeft w:val="0"/>
                  <w:marRight w:val="0"/>
                  <w:marTop w:val="0"/>
                  <w:marBottom w:val="0"/>
                  <w:divBdr>
                    <w:top w:val="none" w:sz="0" w:space="0" w:color="auto"/>
                    <w:left w:val="none" w:sz="0" w:space="0" w:color="auto"/>
                    <w:bottom w:val="none" w:sz="0" w:space="0" w:color="auto"/>
                    <w:right w:val="none" w:sz="0" w:space="0" w:color="auto"/>
                  </w:divBdr>
                  <w:divsChild>
                    <w:div w:id="462160730">
                      <w:marLeft w:val="0"/>
                      <w:marRight w:val="0"/>
                      <w:marTop w:val="0"/>
                      <w:marBottom w:val="0"/>
                      <w:divBdr>
                        <w:top w:val="none" w:sz="0" w:space="0" w:color="auto"/>
                        <w:left w:val="none" w:sz="0" w:space="0" w:color="auto"/>
                        <w:bottom w:val="none" w:sz="0" w:space="0" w:color="auto"/>
                        <w:right w:val="none" w:sz="0" w:space="0" w:color="auto"/>
                      </w:divBdr>
                      <w:divsChild>
                        <w:div w:id="581255854">
                          <w:marLeft w:val="0"/>
                          <w:marRight w:val="0"/>
                          <w:marTop w:val="0"/>
                          <w:marBottom w:val="0"/>
                          <w:divBdr>
                            <w:top w:val="none" w:sz="0" w:space="0" w:color="auto"/>
                            <w:left w:val="none" w:sz="0" w:space="0" w:color="auto"/>
                            <w:bottom w:val="none" w:sz="0" w:space="0" w:color="auto"/>
                            <w:right w:val="none" w:sz="0" w:space="0" w:color="auto"/>
                          </w:divBdr>
                          <w:divsChild>
                            <w:div w:id="1855071512">
                              <w:marLeft w:val="0"/>
                              <w:marRight w:val="0"/>
                              <w:marTop w:val="0"/>
                              <w:marBottom w:val="0"/>
                              <w:divBdr>
                                <w:top w:val="none" w:sz="0" w:space="0" w:color="auto"/>
                                <w:left w:val="none" w:sz="0" w:space="0" w:color="auto"/>
                                <w:bottom w:val="none" w:sz="0" w:space="0" w:color="auto"/>
                                <w:right w:val="none" w:sz="0" w:space="0" w:color="auto"/>
                              </w:divBdr>
                              <w:divsChild>
                                <w:div w:id="1820417640">
                                  <w:marLeft w:val="0"/>
                                  <w:marRight w:val="0"/>
                                  <w:marTop w:val="0"/>
                                  <w:marBottom w:val="0"/>
                                  <w:divBdr>
                                    <w:top w:val="none" w:sz="0" w:space="0" w:color="auto"/>
                                    <w:left w:val="none" w:sz="0" w:space="0" w:color="auto"/>
                                    <w:bottom w:val="none" w:sz="0" w:space="0" w:color="auto"/>
                                    <w:right w:val="none" w:sz="0" w:space="0" w:color="auto"/>
                                  </w:divBdr>
                                  <w:divsChild>
                                    <w:div w:id="1574657083">
                                      <w:marLeft w:val="0"/>
                                      <w:marRight w:val="0"/>
                                      <w:marTop w:val="0"/>
                                      <w:marBottom w:val="0"/>
                                      <w:divBdr>
                                        <w:top w:val="none" w:sz="0" w:space="0" w:color="auto"/>
                                        <w:left w:val="none" w:sz="0" w:space="0" w:color="auto"/>
                                        <w:bottom w:val="none" w:sz="0" w:space="0" w:color="auto"/>
                                        <w:right w:val="none" w:sz="0" w:space="0" w:color="auto"/>
                                      </w:divBdr>
                                      <w:divsChild>
                                        <w:div w:id="115922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2265791">
      <w:bodyDiv w:val="1"/>
      <w:marLeft w:val="0"/>
      <w:marRight w:val="0"/>
      <w:marTop w:val="0"/>
      <w:marBottom w:val="0"/>
      <w:divBdr>
        <w:top w:val="none" w:sz="0" w:space="0" w:color="auto"/>
        <w:left w:val="none" w:sz="0" w:space="0" w:color="auto"/>
        <w:bottom w:val="none" w:sz="0" w:space="0" w:color="auto"/>
        <w:right w:val="none" w:sz="0" w:space="0" w:color="auto"/>
      </w:divBdr>
      <w:divsChild>
        <w:div w:id="1444611982">
          <w:marLeft w:val="0"/>
          <w:marRight w:val="0"/>
          <w:marTop w:val="0"/>
          <w:marBottom w:val="0"/>
          <w:divBdr>
            <w:top w:val="none" w:sz="0" w:space="0" w:color="auto"/>
            <w:left w:val="none" w:sz="0" w:space="0" w:color="auto"/>
            <w:bottom w:val="none" w:sz="0" w:space="0" w:color="auto"/>
            <w:right w:val="none" w:sz="0" w:space="0" w:color="auto"/>
          </w:divBdr>
        </w:div>
      </w:divsChild>
    </w:div>
    <w:div w:id="197456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hyperlink" Target="http://www.kronosofia.dk/frames/side/biblioteket/tetrabiblos/tetrabiblos.htm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classics.mit.edu/Plato/timaeus.html" TargetMode="External"/><Relationship Id="rId2" Type="http://schemas.openxmlformats.org/officeDocument/2006/relationships/numbering" Target="numbering.xml"/><Relationship Id="rId16" Type="http://schemas.openxmlformats.org/officeDocument/2006/relationships/hyperlink" Target="https://journals.equinoxpub.com/index.php/JSRNC/issue/view/148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jp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s>
</file>

<file path=word/_rels/footnotes.xml.rels><?xml version="1.0" encoding="UTF-8" standalone="yes"?>
<Relationships xmlns="http://schemas.openxmlformats.org/package/2006/relationships"><Relationship Id="rId3" Type="http://schemas.openxmlformats.org/officeDocument/2006/relationships/hyperlink" Target="http://classics.mit.edu/Plato/timaeus.html" TargetMode="External"/><Relationship Id="rId2" Type="http://schemas.openxmlformats.org/officeDocument/2006/relationships/hyperlink" Target="http://classics.mit.edu/Plato/timaeus.html" TargetMode="External"/><Relationship Id="rId1" Type="http://schemas.openxmlformats.org/officeDocument/2006/relationships/hyperlink" Target="https://journals.equinoxpub.com/index.php/JSRNC/issue/view/14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4713DD-082F-43FD-A640-F953C3A06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3480</Words>
  <Characters>19841</Characters>
  <Application>Microsoft Office Word</Application>
  <DocSecurity>0</DocSecurity>
  <Lines>165</Lines>
  <Paragraphs>46</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        THIS SHEET MUST BE THE FIRST PAGE OF THE ASSIGNMENT YOU ARE SUBMITTING  (DO NOT </vt:lpstr>
      <vt:lpstr>        </vt:lpstr>
      <vt:lpstr>Discuss the role of astrology in the European medieval world using at least two </vt:lpstr>
      <vt:lpstr>Introduction</vt:lpstr>
      <vt:lpstr>Introduction to Primary Sources </vt:lpstr>
      <vt:lpstr>The Creation of the World</vt:lpstr>
      <vt:lpstr>/ </vt:lpstr>
      <vt:lpstr>Figure 1. Giusto de’ Menabuoi, (c. 1350), The Creation of the World, fresco. Pho</vt:lpstr>
      <vt:lpstr>Room of the Arts and Planets</vt:lpstr>
      <vt:lpstr/>
      <vt:lpstr>/</vt:lpstr>
      <vt:lpstr>/</vt:lpstr>
      <vt:lpstr>Figure 6. Giusto de’ Menabuoi, (c. 1350), Padua Baptistery ceiling, fresco, show</vt:lpstr>
      <vt:lpstr>A Map of the Cosmos</vt:lpstr>
      <vt:lpstr>A Map of Time</vt:lpstr>
      <vt:lpstr>Astrology’s inspirational function</vt:lpstr>
      <vt:lpstr>Figure 7. Giusto de’ Menabuoi, (c. 1350), Padua Baptistery ceiling, fresco, show</vt:lpstr>
      <vt:lpstr/>
      <vt:lpstr>CONCLUSION</vt:lpstr>
      <vt:lpstr>BIBLIOGRAPHY</vt:lpstr>
    </vt:vector>
  </TitlesOfParts>
  <Company/>
  <LinksUpToDate>false</LinksUpToDate>
  <CharactersWithSpaces>23275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Day-jones (1704596)</dc:creator>
  <cp:keywords/>
  <dc:description/>
  <cp:lastModifiedBy>Anne Day-jones (1704596)</cp:lastModifiedBy>
  <cp:revision>3</cp:revision>
  <cp:lastPrinted>2018-06-04T15:44:00Z</cp:lastPrinted>
  <dcterms:created xsi:type="dcterms:W3CDTF">2018-07-15T06:36:00Z</dcterms:created>
  <dcterms:modified xsi:type="dcterms:W3CDTF">2018-07-15T06:43:00Z</dcterms:modified>
</cp:coreProperties>
</file>