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1ECDA" w14:textId="3EBD1CF2" w:rsidR="004A062C" w:rsidRDefault="219B1160" w:rsidP="009E7C9D">
      <w:pPr>
        <w:spacing w:line="360" w:lineRule="auto"/>
        <w:jc w:val="center"/>
        <w:rPr>
          <w:rFonts w:ascii="Times New Roman" w:hAnsi="Times New Roman" w:cs="Times New Roman"/>
          <w:b/>
          <w:bCs/>
          <w:color w:val="000000" w:themeColor="text1"/>
          <w:lang w:val="en-GB"/>
        </w:rPr>
      </w:pPr>
      <w:r>
        <w:rPr>
          <w:noProof/>
        </w:rPr>
        <w:drawing>
          <wp:inline distT="0" distB="0" distL="0" distR="0" wp14:anchorId="0704229A" wp14:editId="0B4EB849">
            <wp:extent cx="3962400" cy="5943600"/>
            <wp:effectExtent l="0" t="0" r="0" b="0"/>
            <wp:docPr id="852963630" name="drawing" descr="Eyeglasses with eye exam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3630" name="Picture 852963630"/>
                    <pic:cNvPicPr/>
                  </pic:nvPicPr>
                  <pic:blipFill>
                    <a:blip r:embed="rId8">
                      <a:extLst>
                        <a:ext uri="{28A0092B-C50C-407E-A947-70E740481C1C}">
                          <a14:useLocalDpi xmlns:a14="http://schemas.microsoft.com/office/drawing/2010/main"/>
                        </a:ext>
                      </a:extLst>
                    </a:blip>
                    <a:stretch>
                      <a:fillRect/>
                    </a:stretch>
                  </pic:blipFill>
                  <pic:spPr>
                    <a:xfrm>
                      <a:off x="0" y="0"/>
                      <a:ext cx="3962400" cy="5943600"/>
                    </a:xfrm>
                    <a:prstGeom prst="rect">
                      <a:avLst/>
                    </a:prstGeom>
                  </pic:spPr>
                </pic:pic>
              </a:graphicData>
            </a:graphic>
          </wp:inline>
        </w:drawing>
      </w:r>
    </w:p>
    <w:p w14:paraId="7A08F798" w14:textId="77777777" w:rsidR="004A062C" w:rsidRDefault="004A062C" w:rsidP="009E7C9D">
      <w:pPr>
        <w:spacing w:line="360" w:lineRule="auto"/>
        <w:jc w:val="center"/>
        <w:rPr>
          <w:rFonts w:ascii="Times New Roman" w:hAnsi="Times New Roman" w:cs="Times New Roman"/>
          <w:b/>
          <w:bCs/>
          <w:color w:val="000000" w:themeColor="text1"/>
          <w:lang w:val="en-GB"/>
        </w:rPr>
      </w:pPr>
    </w:p>
    <w:p w14:paraId="7EF15C37" w14:textId="5366B4F9" w:rsidR="004A062C" w:rsidRDefault="004B0A2C" w:rsidP="009E7C9D">
      <w:pPr>
        <w:spacing w:line="360" w:lineRule="auto"/>
        <w:jc w:val="center"/>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Written report for Ophthalmic Practitioner</w:t>
      </w:r>
    </w:p>
    <w:p w14:paraId="6908EB31" w14:textId="77777777" w:rsidR="004B0A2C" w:rsidRDefault="004B0A2C" w:rsidP="004B0A2C">
      <w:pPr>
        <w:spacing w:line="360" w:lineRule="auto"/>
        <w:rPr>
          <w:rFonts w:ascii="Times New Roman" w:hAnsi="Times New Roman" w:cs="Times New Roman"/>
          <w:b/>
          <w:bCs/>
          <w:color w:val="000000" w:themeColor="text1"/>
          <w:lang w:val="en-GB"/>
        </w:rPr>
      </w:pPr>
    </w:p>
    <w:p w14:paraId="58C6F59F" w14:textId="77777777" w:rsidR="004B0A2C" w:rsidRDefault="004B0A2C" w:rsidP="004B0A2C">
      <w:pPr>
        <w:spacing w:line="360" w:lineRule="auto"/>
        <w:rPr>
          <w:rFonts w:ascii="Times New Roman" w:hAnsi="Times New Roman" w:cs="Times New Roman"/>
          <w:b/>
          <w:bCs/>
          <w:color w:val="000000" w:themeColor="text1"/>
          <w:lang w:val="en-GB"/>
        </w:rPr>
      </w:pPr>
    </w:p>
    <w:p w14:paraId="4C055290" w14:textId="71DC8A43"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Valentino Fernando</w:t>
      </w:r>
    </w:p>
    <w:p w14:paraId="09186413" w14:textId="5665DF70"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2532545</w:t>
      </w:r>
    </w:p>
    <w:p w14:paraId="484DB52E" w14:textId="147624FA" w:rsidR="004B0A2C" w:rsidRDefault="004B0A2C" w:rsidP="004B0A2C">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lastRenderedPageBreak/>
        <w:t>LCHS4001-LON</w:t>
      </w:r>
    </w:p>
    <w:p w14:paraId="2A128370" w14:textId="3CB22E69" w:rsidR="009E7C9D" w:rsidRPr="004B0A2C" w:rsidRDefault="004B0A2C" w:rsidP="0B4CE237">
      <w:pPr>
        <w:spacing w:line="360" w:lineRule="auto"/>
        <w:rPr>
          <w:rFonts w:ascii="Times New Roman" w:hAnsi="Times New Roman" w:cs="Times New Roman"/>
          <w:b/>
          <w:bCs/>
          <w:color w:val="000000" w:themeColor="text1"/>
          <w:lang w:val="en-GB"/>
        </w:rPr>
      </w:pPr>
      <w:r w:rsidRPr="0B4CE237">
        <w:rPr>
          <w:rFonts w:ascii="Times New Roman" w:hAnsi="Times New Roman" w:cs="Times New Roman"/>
          <w:b/>
          <w:bCs/>
          <w:color w:val="000000" w:themeColor="text1"/>
          <w:lang w:val="en-GB"/>
        </w:rPr>
        <w:t>Academic teacher: Umma Sule</w:t>
      </w:r>
      <w:r w:rsidR="780B7197" w:rsidRPr="0B4CE237">
        <w:rPr>
          <w:rFonts w:ascii="Times New Roman" w:hAnsi="Times New Roman" w:cs="Times New Roman"/>
          <w:b/>
          <w:bCs/>
          <w:color w:val="000000" w:themeColor="text1"/>
          <w:lang w:val="en-GB"/>
        </w:rPr>
        <w:t>imam</w:t>
      </w:r>
    </w:p>
    <w:p w14:paraId="396AC7F5" w14:textId="112326E3"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71327BDD" w14:textId="1F7E9115"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69831EDA" w14:textId="47376F6F"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64F1153B" w14:textId="0D5AC5DE"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70673A88" w14:textId="04C4FECD"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4C1510E1" w14:textId="3EDAEC8A"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780AAB0A" w14:textId="6FD8B93B"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4BD01988" w14:textId="0D8E4238"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1AF669D8" w14:textId="055846CA"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44641581" w14:textId="0B2833AD"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7D27BB18" w14:textId="48EE0FD8"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11A017A9" w14:textId="14FCFE41"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37336513" w14:textId="61535396"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26BB745F" w14:textId="4612C772"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7E64F7AB" w14:textId="1F68DDFB"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1B1A6F01" w14:textId="090FED1F"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17240716" w14:textId="30F49018"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51D9D46A" w14:textId="4576D20D"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4C3D956B" w14:textId="5E89A26F" w:rsidR="009E7C9D" w:rsidRPr="004B0A2C" w:rsidRDefault="009E7C9D" w:rsidP="0B4CE237">
      <w:pPr>
        <w:tabs>
          <w:tab w:val="right" w:leader="dot" w:pos="9350"/>
        </w:tabs>
        <w:spacing w:after="100" w:line="276" w:lineRule="auto"/>
        <w:ind w:left="240"/>
        <w:rPr>
          <w:rFonts w:ascii="Arial" w:eastAsia="Arial" w:hAnsi="Arial" w:cs="Arial"/>
          <w:color w:val="467886"/>
          <w:sz w:val="22"/>
          <w:szCs w:val="22"/>
          <w:u w:val="single"/>
          <w:lang w:val="en-GB"/>
        </w:rPr>
      </w:pPr>
    </w:p>
    <w:p w14:paraId="59C4174B" w14:textId="3087D79A" w:rsidR="009E7C9D" w:rsidRPr="004B0A2C" w:rsidRDefault="055A8004" w:rsidP="0B4CE237">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0B8A3C0C" w:rsidRPr="10F235A8">
        <w:rPr>
          <w:rFonts w:ascii="Aptos" w:eastAsia="Aptos" w:hAnsi="Aptos" w:cs="Aptos"/>
          <w:color w:val="467886"/>
          <w:u w:val="single"/>
        </w:rPr>
        <w:t>Introduction</w:t>
      </w:r>
    </w:p>
    <w:p w14:paraId="43A9DEAE" w14:textId="19332D15" w:rsidR="568AC9F7" w:rsidRDefault="568AC9F7"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0B8A3C0C" w:rsidRPr="10F235A8">
        <w:rPr>
          <w:rFonts w:ascii="Aptos" w:eastAsia="Aptos" w:hAnsi="Aptos" w:cs="Aptos"/>
          <w:color w:val="467886"/>
          <w:u w:val="single"/>
        </w:rPr>
        <w:t>Role review</w:t>
      </w:r>
    </w:p>
    <w:p w14:paraId="62ACAFDB" w14:textId="0A32AE01" w:rsidR="20351675" w:rsidRDefault="20351675"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0B8A3C0C" w:rsidRPr="10F235A8">
        <w:rPr>
          <w:rFonts w:ascii="Aptos" w:eastAsia="Aptos" w:hAnsi="Aptos" w:cs="Aptos"/>
          <w:color w:val="467886"/>
          <w:u w:val="single"/>
        </w:rPr>
        <w:t>Skill 1 communication</w:t>
      </w:r>
    </w:p>
    <w:p w14:paraId="5A9962A7" w14:textId="0085C419" w:rsidR="2A9B84E4" w:rsidRDefault="2A9B84E4"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0B8A3C0C" w:rsidRPr="10F235A8">
        <w:rPr>
          <w:rFonts w:ascii="Aptos" w:eastAsia="Aptos" w:hAnsi="Aptos" w:cs="Aptos"/>
          <w:color w:val="467886"/>
          <w:u w:val="single"/>
        </w:rPr>
        <w:t>Strategies to improve communication</w:t>
      </w:r>
    </w:p>
    <w:p w14:paraId="25CE8BC4" w14:textId="3CCA272F" w:rsidR="61B50181" w:rsidRDefault="61B50181"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&gt;</w:t>
      </w:r>
      <w:r w:rsidR="28FC6B89" w:rsidRPr="10F235A8">
        <w:rPr>
          <w:rFonts w:ascii="Aptos" w:eastAsia="Aptos" w:hAnsi="Aptos" w:cs="Aptos"/>
          <w:color w:val="467886"/>
          <w:u w:val="single"/>
        </w:rPr>
        <w:t xml:space="preserve"> </w:t>
      </w:r>
      <w:r w:rsidR="0B8A3C0C" w:rsidRPr="10F235A8">
        <w:rPr>
          <w:rFonts w:ascii="Aptos" w:eastAsia="Aptos" w:hAnsi="Aptos" w:cs="Aptos"/>
          <w:color w:val="467886"/>
          <w:u w:val="single"/>
        </w:rPr>
        <w:t xml:space="preserve">Skill </w:t>
      </w:r>
      <w:proofErr w:type="gramStart"/>
      <w:r w:rsidR="0B8A3C0C" w:rsidRPr="10F235A8">
        <w:rPr>
          <w:rFonts w:ascii="Aptos" w:eastAsia="Aptos" w:hAnsi="Aptos" w:cs="Aptos"/>
          <w:color w:val="467886"/>
          <w:u w:val="single"/>
        </w:rPr>
        <w:t>2 :</w:t>
      </w:r>
      <w:proofErr w:type="gramEnd"/>
      <w:r w:rsidR="0B8A3C0C" w:rsidRPr="10F235A8">
        <w:rPr>
          <w:rFonts w:ascii="Aptos" w:eastAsia="Aptos" w:hAnsi="Aptos" w:cs="Aptos"/>
          <w:color w:val="467886"/>
          <w:u w:val="single"/>
        </w:rPr>
        <w:t xml:space="preserve"> Attention to detail</w:t>
      </w:r>
    </w:p>
    <w:p w14:paraId="2EA75C70" w14:textId="1D5DC3FA" w:rsidR="6EC5B460" w:rsidRDefault="6EC5B460"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5568DDC3" w:rsidRPr="10F235A8">
        <w:rPr>
          <w:rFonts w:ascii="Aptos" w:eastAsia="Aptos" w:hAnsi="Aptos" w:cs="Aptos"/>
          <w:color w:val="467886"/>
          <w:u w:val="single"/>
        </w:rPr>
        <w:t>Sstrategies to improve attention to detail</w:t>
      </w:r>
    </w:p>
    <w:p w14:paraId="052CF3B6" w14:textId="249956E3" w:rsidR="67E98438" w:rsidRDefault="67E98438"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5568DDC3" w:rsidRPr="10F235A8">
        <w:rPr>
          <w:rFonts w:ascii="Aptos" w:eastAsia="Aptos" w:hAnsi="Aptos" w:cs="Aptos"/>
          <w:color w:val="467886"/>
          <w:u w:val="single"/>
        </w:rPr>
        <w:t xml:space="preserve">Skill </w:t>
      </w:r>
      <w:proofErr w:type="gramStart"/>
      <w:r w:rsidR="5568DDC3" w:rsidRPr="10F235A8">
        <w:rPr>
          <w:rFonts w:ascii="Aptos" w:eastAsia="Aptos" w:hAnsi="Aptos" w:cs="Aptos"/>
          <w:color w:val="467886"/>
          <w:u w:val="single"/>
        </w:rPr>
        <w:t>3 :</w:t>
      </w:r>
      <w:proofErr w:type="gramEnd"/>
      <w:r w:rsidR="5568DDC3" w:rsidRPr="10F235A8">
        <w:rPr>
          <w:rFonts w:ascii="Aptos" w:eastAsia="Aptos" w:hAnsi="Aptos" w:cs="Aptos"/>
          <w:color w:val="467886"/>
          <w:u w:val="single"/>
        </w:rPr>
        <w:t xml:space="preserve"> Technical skills</w:t>
      </w:r>
    </w:p>
    <w:p w14:paraId="6503F552" w14:textId="1F6A35F9" w:rsidR="48208B47" w:rsidRDefault="48208B47"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5568DDC3" w:rsidRPr="10F235A8">
        <w:rPr>
          <w:rFonts w:ascii="Aptos" w:eastAsia="Aptos" w:hAnsi="Aptos" w:cs="Aptos"/>
          <w:color w:val="467886"/>
          <w:u w:val="single"/>
        </w:rPr>
        <w:t>Strategies to improve technical skills</w:t>
      </w:r>
    </w:p>
    <w:p w14:paraId="6CFC29BF" w14:textId="561451EF" w:rsidR="668A5A81" w:rsidRDefault="668A5A81"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lastRenderedPageBreak/>
        <w:t>&gt; Challenges</w:t>
      </w:r>
      <w:r w:rsidR="1122651F" w:rsidRPr="10F235A8">
        <w:rPr>
          <w:rFonts w:ascii="Aptos" w:eastAsia="Aptos" w:hAnsi="Aptos" w:cs="Aptos"/>
          <w:color w:val="467886"/>
          <w:u w:val="single"/>
        </w:rPr>
        <w:t xml:space="preserve"> in the role</w:t>
      </w:r>
    </w:p>
    <w:p w14:paraId="2D520988" w14:textId="7A784E6A" w:rsidR="7FEAC3D1" w:rsidRDefault="7FEAC3D1"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1122651F" w:rsidRPr="10F235A8">
        <w:rPr>
          <w:rFonts w:ascii="Aptos" w:eastAsia="Aptos" w:hAnsi="Aptos" w:cs="Aptos"/>
          <w:color w:val="467886"/>
          <w:u w:val="single"/>
        </w:rPr>
        <w:t>Professional development</w:t>
      </w:r>
    </w:p>
    <w:p w14:paraId="6DC3F9EC" w14:textId="4135CED8" w:rsidR="5E2FBE34" w:rsidRDefault="5E2FBE34"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1122651F" w:rsidRPr="10F235A8">
        <w:rPr>
          <w:rFonts w:ascii="Aptos" w:eastAsia="Aptos" w:hAnsi="Aptos" w:cs="Aptos"/>
          <w:color w:val="467886"/>
          <w:u w:val="single"/>
        </w:rPr>
        <w:t>Conclusion</w:t>
      </w:r>
    </w:p>
    <w:p w14:paraId="055AF862" w14:textId="6E4A16A0" w:rsidR="24FA7AE6" w:rsidRDefault="24FA7AE6" w:rsidP="10F235A8">
      <w:pPr>
        <w:tabs>
          <w:tab w:val="right" w:leader="dot" w:pos="9350"/>
        </w:tabs>
        <w:spacing w:after="100" w:line="276" w:lineRule="auto"/>
        <w:ind w:left="240"/>
        <w:rPr>
          <w:rFonts w:ascii="Aptos" w:eastAsia="Aptos" w:hAnsi="Aptos" w:cs="Aptos"/>
          <w:color w:val="467886"/>
          <w:u w:val="single"/>
        </w:rPr>
      </w:pPr>
      <w:r w:rsidRPr="10F235A8">
        <w:rPr>
          <w:rFonts w:ascii="Aptos" w:eastAsia="Aptos" w:hAnsi="Aptos" w:cs="Aptos"/>
          <w:color w:val="467886"/>
          <w:u w:val="single"/>
        </w:rPr>
        <w:t xml:space="preserve">&gt; </w:t>
      </w:r>
      <w:r w:rsidR="1122651F" w:rsidRPr="10F235A8">
        <w:rPr>
          <w:rFonts w:ascii="Aptos" w:eastAsia="Aptos" w:hAnsi="Aptos" w:cs="Aptos"/>
          <w:color w:val="467886"/>
          <w:u w:val="single"/>
        </w:rPr>
        <w:t>References</w:t>
      </w:r>
    </w:p>
    <w:p w14:paraId="59ED61E2" w14:textId="5E8E91C5" w:rsidR="009E7C9D" w:rsidRPr="004B0A2C" w:rsidRDefault="009E7C9D" w:rsidP="0B4CE237">
      <w:pPr>
        <w:tabs>
          <w:tab w:val="right" w:leader="dot" w:pos="9350"/>
        </w:tabs>
        <w:spacing w:after="100" w:line="276" w:lineRule="auto"/>
        <w:ind w:left="240"/>
        <w:rPr>
          <w:rFonts w:ascii="Aptos" w:eastAsia="Aptos" w:hAnsi="Aptos" w:cs="Aptos"/>
          <w:color w:val="467886"/>
          <w:u w:val="single"/>
          <w:lang w:val="en-GB"/>
        </w:rPr>
      </w:pPr>
    </w:p>
    <w:p w14:paraId="259A5D6F" w14:textId="3D20ED49" w:rsidR="009E7C9D" w:rsidRPr="004B0A2C" w:rsidRDefault="009E7C9D" w:rsidP="10F235A8">
      <w:pPr>
        <w:tabs>
          <w:tab w:val="right" w:leader="dot" w:pos="9350"/>
        </w:tabs>
        <w:spacing w:after="100" w:line="276" w:lineRule="auto"/>
        <w:ind w:left="240"/>
        <w:rPr>
          <w:rFonts w:ascii="Aptos" w:eastAsia="Aptos" w:hAnsi="Aptos" w:cs="Aptos"/>
          <w:color w:val="467886"/>
        </w:rPr>
      </w:pPr>
    </w:p>
    <w:p w14:paraId="08821928" w14:textId="2236A96C" w:rsidR="009E7C9D" w:rsidRPr="004B0A2C" w:rsidRDefault="009E7C9D" w:rsidP="10F235A8">
      <w:pPr>
        <w:tabs>
          <w:tab w:val="right" w:leader="dot" w:pos="9350"/>
        </w:tabs>
        <w:spacing w:after="100" w:line="276" w:lineRule="auto"/>
        <w:ind w:left="240"/>
        <w:rPr>
          <w:rFonts w:ascii="Aptos" w:eastAsia="Aptos" w:hAnsi="Aptos" w:cs="Aptos"/>
          <w:color w:val="467886"/>
        </w:rPr>
      </w:pPr>
    </w:p>
    <w:p w14:paraId="726879AF" w14:textId="27EC37D1" w:rsidR="009E7C9D" w:rsidRPr="004B0A2C" w:rsidRDefault="009E7C9D" w:rsidP="10F235A8">
      <w:pPr>
        <w:tabs>
          <w:tab w:val="right" w:leader="dot" w:pos="9350"/>
        </w:tabs>
        <w:spacing w:after="100" w:line="276" w:lineRule="auto"/>
        <w:ind w:left="240"/>
        <w:rPr>
          <w:rFonts w:ascii="Aptos" w:eastAsia="Aptos" w:hAnsi="Aptos" w:cs="Aptos"/>
          <w:color w:val="467886"/>
        </w:rPr>
      </w:pPr>
    </w:p>
    <w:p w14:paraId="2B8B8E1D" w14:textId="1FFF267F" w:rsidR="009E7C9D" w:rsidRPr="004B0A2C" w:rsidRDefault="009E7C9D" w:rsidP="10F235A8">
      <w:pPr>
        <w:tabs>
          <w:tab w:val="right" w:leader="dot" w:pos="9350"/>
        </w:tabs>
        <w:spacing w:after="100" w:line="276" w:lineRule="auto"/>
        <w:rPr>
          <w:rFonts w:ascii="Aptos" w:eastAsia="Aptos" w:hAnsi="Aptos" w:cs="Aptos"/>
          <w:color w:val="467886"/>
        </w:rPr>
      </w:pPr>
    </w:p>
    <w:p w14:paraId="0486277B" w14:textId="5370B136" w:rsidR="009E7C9D" w:rsidRPr="004B0A2C" w:rsidRDefault="009E7C9D" w:rsidP="0B4CE237">
      <w:pPr>
        <w:rPr>
          <w:lang w:val="en-GB"/>
        </w:rPr>
      </w:pPr>
    </w:p>
    <w:sdt>
      <w:sdtPr>
        <w:rPr>
          <w:rFonts w:asciiTheme="minorHAnsi" w:eastAsiaTheme="minorEastAsia" w:hAnsiTheme="minorHAnsi" w:cstheme="minorBidi"/>
          <w:color w:val="auto"/>
          <w:kern w:val="2"/>
          <w:sz w:val="24"/>
          <w:szCs w:val="24"/>
          <w14:ligatures w14:val="standardContextual"/>
        </w:rPr>
        <w:id w:val="-636260391"/>
        <w:docPartObj>
          <w:docPartGallery w:val="Table of Contents"/>
          <w:docPartUnique/>
        </w:docPartObj>
      </w:sdtPr>
      <w:sdtEndPr>
        <w:rPr>
          <w:b/>
          <w:bCs/>
          <w:noProof/>
        </w:rPr>
      </w:sdtEndPr>
      <w:sdtContent>
        <w:p w14:paraId="79772146" w14:textId="1A6EF65E" w:rsidR="00ED096B" w:rsidRDefault="00ED096B" w:rsidP="00ED096B">
          <w:pPr>
            <w:pStyle w:val="TOCHeading"/>
          </w:pPr>
        </w:p>
        <w:p w14:paraId="6A4470BD" w14:textId="35DE3727" w:rsidR="00840188" w:rsidRPr="00840188" w:rsidRDefault="00000000" w:rsidP="00840188">
          <w:pPr>
            <w:spacing w:line="360" w:lineRule="auto"/>
            <w:jc w:val="both"/>
            <w:rPr>
              <w:rFonts w:ascii="Times New Roman" w:hAnsi="Times New Roman" w:cs="Times New Roman"/>
            </w:rPr>
          </w:pPr>
        </w:p>
      </w:sdtContent>
    </w:sdt>
    <w:p w14:paraId="177ACE2A" w14:textId="16364D32" w:rsidR="00840188" w:rsidRPr="00ED096B" w:rsidRDefault="00840188">
      <w:pPr>
        <w:rPr>
          <w:rFonts w:ascii="Arial" w:hAnsi="Arial" w:cs="Arial"/>
          <w:b/>
          <w:bCs/>
          <w:color w:val="000000" w:themeColor="text1"/>
          <w:sz w:val="22"/>
          <w:szCs w:val="22"/>
          <w:lang w:val="en-GB"/>
        </w:rPr>
      </w:pPr>
      <w:r>
        <w:rPr>
          <w:rFonts w:ascii="Times New Roman" w:hAnsi="Times New Roman" w:cs="Times New Roman"/>
          <w:b/>
          <w:bCs/>
          <w:color w:val="000000" w:themeColor="text1"/>
          <w:lang w:val="en-GB"/>
        </w:rPr>
        <w:br w:type="page"/>
      </w:r>
    </w:p>
    <w:p w14:paraId="003108B9" w14:textId="77777777" w:rsidR="009E7C9D" w:rsidRPr="009E7C9D" w:rsidRDefault="009E7C9D" w:rsidP="009E7C9D">
      <w:pPr>
        <w:spacing w:line="360" w:lineRule="auto"/>
        <w:rPr>
          <w:rFonts w:ascii="Times New Roman" w:hAnsi="Times New Roman" w:cs="Times New Roman"/>
          <w:lang w:val="en-GB"/>
        </w:rPr>
      </w:pPr>
      <w:r w:rsidRPr="009E7C9D">
        <w:rPr>
          <w:rFonts w:ascii="Times New Roman" w:hAnsi="Times New Roman" w:cs="Times New Roman"/>
          <w:lang w:val="en-GB"/>
        </w:rPr>
        <w:lastRenderedPageBreak/>
        <w:br w:type="page"/>
      </w:r>
    </w:p>
    <w:p w14:paraId="3DB2CB75" w14:textId="77777777" w:rsidR="000B16FE" w:rsidRPr="009E7C9D" w:rsidRDefault="000B16FE" w:rsidP="009E7C9D">
      <w:pPr>
        <w:spacing w:line="360" w:lineRule="auto"/>
        <w:ind w:firstLine="720"/>
        <w:jc w:val="both"/>
        <w:rPr>
          <w:rFonts w:ascii="Times New Roman" w:hAnsi="Times New Roman" w:cs="Times New Roman"/>
          <w:lang w:val="en-GB"/>
        </w:rPr>
      </w:pPr>
    </w:p>
    <w:p w14:paraId="2B03664B" w14:textId="253523E4" w:rsidR="00CD0DEE" w:rsidRPr="00A34325" w:rsidRDefault="00CD0DEE" w:rsidP="009E7C9D">
      <w:pPr>
        <w:pStyle w:val="Heading2"/>
        <w:spacing w:line="360" w:lineRule="auto"/>
        <w:rPr>
          <w:rFonts w:ascii="Arial" w:hAnsi="Arial" w:cs="Arial"/>
          <w:sz w:val="22"/>
          <w:szCs w:val="22"/>
          <w:lang w:val="en-GB"/>
        </w:rPr>
      </w:pPr>
      <w:bookmarkStart w:id="0" w:name="_Toc225129492"/>
      <w:r w:rsidRPr="004B0A2C">
        <w:rPr>
          <w:rFonts w:ascii="Arial" w:hAnsi="Arial" w:cs="Arial"/>
          <w:sz w:val="22"/>
          <w:szCs w:val="22"/>
          <w:lang w:val="en-GB"/>
        </w:rPr>
        <w:t xml:space="preserve"> </w:t>
      </w:r>
      <w:r w:rsidRPr="00A34325">
        <w:rPr>
          <w:rFonts w:ascii="Arial" w:hAnsi="Arial" w:cs="Arial"/>
          <w:sz w:val="22"/>
          <w:szCs w:val="22"/>
          <w:lang w:val="en-GB"/>
        </w:rPr>
        <w:t>Introduction</w:t>
      </w:r>
      <w:bookmarkEnd w:id="0"/>
      <w:r w:rsidRPr="00A34325">
        <w:rPr>
          <w:rFonts w:ascii="Arial" w:hAnsi="Arial" w:cs="Arial"/>
          <w:sz w:val="22"/>
          <w:szCs w:val="22"/>
          <w:lang w:val="en-GB"/>
        </w:rPr>
        <w:t xml:space="preserve"> </w:t>
      </w:r>
    </w:p>
    <w:p w14:paraId="4C4E260B" w14:textId="77777777" w:rsidR="004B0A2C" w:rsidRPr="00A34325" w:rsidRDefault="00025ED8"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Health and social care can be defined as the services that increase the well-being of people, both physically and by their mental conditions, providing professional care and treatment (NHS, 2025). An ophthalmic practitioner is a type of a healthcare professional focused on vision analysis and identification of eye disorders (Henderson et al., 2021). The purpose of this report is to examine this role, three key skills, and recommend potential improvement strategies. As an illustration, practitioners make sure that their patients are managing vision issues</w:t>
      </w:r>
      <w:bookmarkStart w:id="1" w:name="_Toc225129493"/>
    </w:p>
    <w:p w14:paraId="41C929A0" w14:textId="4F640CDC" w:rsidR="00CD0DEE" w:rsidRPr="004B0A2C" w:rsidRDefault="00CD0DEE" w:rsidP="004B0A2C">
      <w:pPr>
        <w:spacing w:line="360" w:lineRule="auto"/>
        <w:jc w:val="both"/>
        <w:rPr>
          <w:rFonts w:ascii="Times New Roman" w:hAnsi="Times New Roman" w:cs="Times New Roman"/>
          <w:b/>
          <w:bCs/>
          <w:lang w:val="en-GB"/>
        </w:rPr>
      </w:pPr>
      <w:r w:rsidRPr="009E7C9D">
        <w:rPr>
          <w:lang w:val="en-GB"/>
        </w:rPr>
        <w:t xml:space="preserve"> </w:t>
      </w:r>
      <w:r w:rsidRPr="004B0A2C">
        <w:rPr>
          <w:b/>
          <w:bCs/>
          <w:lang w:val="en-GB"/>
        </w:rPr>
        <w:t>Role Overview</w:t>
      </w:r>
      <w:bookmarkEnd w:id="1"/>
      <w:r w:rsidRPr="004B0A2C">
        <w:rPr>
          <w:b/>
          <w:bCs/>
          <w:lang w:val="en-GB"/>
        </w:rPr>
        <w:t xml:space="preserve"> </w:t>
      </w:r>
    </w:p>
    <w:p w14:paraId="48646BEF" w14:textId="7F8ADF25" w:rsidR="00B57272" w:rsidRPr="009E7C9D" w:rsidRDefault="00CC1A52" w:rsidP="009E7C9D">
      <w:pPr>
        <w:spacing w:line="360" w:lineRule="auto"/>
        <w:ind w:firstLine="720"/>
        <w:jc w:val="both"/>
        <w:rPr>
          <w:rFonts w:ascii="Times New Roman" w:hAnsi="Times New Roman" w:cs="Times New Roman"/>
          <w:lang w:val="en-GB"/>
        </w:rPr>
      </w:pPr>
      <w:r w:rsidRPr="00A34325">
        <w:rPr>
          <w:rFonts w:ascii="Arial" w:hAnsi="Arial" w:cs="Arial"/>
          <w:sz w:val="22"/>
          <w:szCs w:val="22"/>
          <w:lang w:val="en-GB"/>
        </w:rPr>
        <w:t>An Ophthalmic practitioner is a medical practitioner tasked with the role of organizing eye examinations, diagnosing eyesight issues, and undertaking treatment or referral of the same. They work at hospitals, clinics and optical centres. They have a role to play with vision that includes examinations, diagnoses of visual impairment, prescriptions of corrective lenses, and specialised equipment (NHS, 2025c). As illustrated in the graph below, eye examinations are expected to grow even more in 2024 at 2.45 million under the impact of the steep decline in 2020, particularly in comparison to 2006, when they stood at approximately 1.6 million. They also make referrals to the ophthalmologists when required to refer patients. The position is associated with diagnosing diseases ahead of time, including glaucoma and cataracts (NHS, 2025b). WHO (2024) states that early childhood eye care is the best option to enhance the outcome</w:t>
      </w:r>
      <w:r w:rsidRPr="009E7C9D">
        <w:rPr>
          <w:rFonts w:ascii="Times New Roman" w:hAnsi="Times New Roman" w:cs="Times New Roman"/>
          <w:lang w:val="en-GB"/>
        </w:rPr>
        <w:t xml:space="preserve"> </w:t>
      </w:r>
      <w:r w:rsidRPr="00A34325">
        <w:rPr>
          <w:rFonts w:ascii="Arial" w:hAnsi="Arial" w:cs="Arial"/>
          <w:sz w:val="22"/>
          <w:szCs w:val="22"/>
          <w:lang w:val="en-GB"/>
        </w:rPr>
        <w:t>and preventable</w:t>
      </w:r>
      <w:r w:rsidRPr="009E7C9D">
        <w:rPr>
          <w:rFonts w:ascii="Times New Roman" w:hAnsi="Times New Roman" w:cs="Times New Roman"/>
          <w:lang w:val="en-GB"/>
        </w:rPr>
        <w:t xml:space="preserve"> </w:t>
      </w:r>
      <w:r w:rsidRPr="00A34325">
        <w:rPr>
          <w:rFonts w:ascii="Arial" w:hAnsi="Arial" w:cs="Arial"/>
          <w:sz w:val="22"/>
          <w:szCs w:val="22"/>
          <w:lang w:val="en-GB"/>
        </w:rPr>
        <w:t>blindness in most countries</w:t>
      </w:r>
      <w:r w:rsidR="00B57272" w:rsidRPr="00A34325">
        <w:rPr>
          <w:rFonts w:ascii="Arial" w:hAnsi="Arial" w:cs="Arial"/>
          <w:sz w:val="22"/>
          <w:szCs w:val="22"/>
          <w:lang w:val="en-GB"/>
        </w:rPr>
        <w:t>.</w:t>
      </w:r>
    </w:p>
    <w:p w14:paraId="7318772F" w14:textId="011ECF2E" w:rsidR="00077C44" w:rsidRPr="009E7C9D" w:rsidRDefault="00077C44"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noProof/>
          <w:lang w:val="en-GB"/>
        </w:rPr>
        <w:drawing>
          <wp:inline distT="0" distB="0" distL="0" distR="0" wp14:anchorId="15FED993" wp14:editId="20B68AEA">
            <wp:extent cx="4239010" cy="1716437"/>
            <wp:effectExtent l="0" t="0" r="9525" b="0"/>
            <wp:docPr id="104164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49058" name=""/>
                    <pic:cNvPicPr/>
                  </pic:nvPicPr>
                  <pic:blipFill>
                    <a:blip r:embed="rId9"/>
                    <a:stretch>
                      <a:fillRect/>
                    </a:stretch>
                  </pic:blipFill>
                  <pic:spPr>
                    <a:xfrm>
                      <a:off x="0" y="0"/>
                      <a:ext cx="4243851" cy="1718397"/>
                    </a:xfrm>
                    <a:prstGeom prst="rect">
                      <a:avLst/>
                    </a:prstGeom>
                  </pic:spPr>
                </pic:pic>
              </a:graphicData>
            </a:graphic>
          </wp:inline>
        </w:drawing>
      </w:r>
    </w:p>
    <w:p w14:paraId="022E36A0" w14:textId="26B6000E" w:rsidR="00077C44" w:rsidRPr="009E7C9D" w:rsidRDefault="00077C44"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001C3F46" w:rsidRPr="009E7C9D">
        <w:rPr>
          <w:rFonts w:ascii="Times New Roman" w:hAnsi="Times New Roman" w:cs="Times New Roman"/>
          <w:i/>
          <w:iCs/>
          <w:noProof/>
          <w:lang w:val="en-GB"/>
        </w:rPr>
        <w:t>5</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Growth in Eye Examination Services Over Time</w:t>
      </w:r>
    </w:p>
    <w:p w14:paraId="70829CA8" w14:textId="116E6EAD" w:rsidR="00077C44" w:rsidRPr="009E7C9D" w:rsidRDefault="00077C44"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(NHS., 2025b)</w:t>
      </w:r>
    </w:p>
    <w:p w14:paraId="05EB2571" w14:textId="6E9A3F0D" w:rsidR="00CD0DEE" w:rsidRPr="009E7C9D" w:rsidRDefault="00CD0DEE" w:rsidP="009E7C9D">
      <w:pPr>
        <w:pStyle w:val="Heading2"/>
        <w:spacing w:line="360" w:lineRule="auto"/>
        <w:rPr>
          <w:lang w:val="en-GB"/>
        </w:rPr>
      </w:pPr>
      <w:bookmarkStart w:id="2" w:name="_Toc225129494"/>
      <w:r w:rsidRPr="009E7C9D">
        <w:rPr>
          <w:lang w:val="en-GB"/>
        </w:rPr>
        <w:t xml:space="preserve"> Communication</w:t>
      </w:r>
      <w:bookmarkEnd w:id="2"/>
      <w:r w:rsidRPr="009E7C9D">
        <w:rPr>
          <w:lang w:val="en-GB"/>
        </w:rPr>
        <w:t xml:space="preserve"> </w:t>
      </w:r>
    </w:p>
    <w:p w14:paraId="5A94989F" w14:textId="50427CAC" w:rsidR="00FD5A75" w:rsidRPr="00A34325" w:rsidRDefault="00346095" w:rsidP="009E7C9D">
      <w:pPr>
        <w:spacing w:line="360" w:lineRule="auto"/>
        <w:ind w:firstLine="720"/>
        <w:jc w:val="both"/>
        <w:rPr>
          <w:rFonts w:ascii="Arial" w:hAnsi="Arial" w:cs="Arial"/>
          <w:sz w:val="22"/>
          <w:szCs w:val="22"/>
          <w:lang w:val="en-GB"/>
        </w:rPr>
      </w:pPr>
      <w:r w:rsidRPr="00A34325">
        <w:rPr>
          <w:rFonts w:ascii="Arial" w:hAnsi="Arial" w:cs="Arial"/>
          <w:sz w:val="22"/>
          <w:szCs w:val="22"/>
          <w:lang w:val="en-GB"/>
        </w:rPr>
        <w:lastRenderedPageBreak/>
        <w:t xml:space="preserve">Effective communication is a core competence that an ophthalmic practitioner </w:t>
      </w:r>
      <w:proofErr w:type="gramStart"/>
      <w:r w:rsidRPr="00A34325">
        <w:rPr>
          <w:rFonts w:ascii="Arial" w:hAnsi="Arial" w:cs="Arial"/>
          <w:sz w:val="22"/>
          <w:szCs w:val="22"/>
          <w:lang w:val="en-GB"/>
        </w:rPr>
        <w:t>has</w:t>
      </w:r>
      <w:proofErr w:type="gramEnd"/>
      <w:r w:rsidRPr="00A34325">
        <w:rPr>
          <w:rFonts w:ascii="Arial" w:hAnsi="Arial" w:cs="Arial"/>
          <w:sz w:val="22"/>
          <w:szCs w:val="22"/>
          <w:lang w:val="en-GB"/>
        </w:rPr>
        <w:t xml:space="preserve"> and it entails the exchange of information with patients both orally and non-orally. It assists the practitioners to describe the eye conditions, treatment plans, and test outcomes in understandable terms. As observed in the graph below, the outstanding percentage of frustration due to delay of information is the highest at 57%, then technical, at 17, indicates that communication barriers have a strong influence on healthcare coordination. Trust and patient understanding can be guaranteed with competent communication (</w:t>
      </w:r>
      <w:proofErr w:type="spellStart"/>
      <w:r w:rsidRPr="00A34325">
        <w:rPr>
          <w:rFonts w:ascii="Arial" w:hAnsi="Arial" w:cs="Arial"/>
          <w:sz w:val="22"/>
          <w:szCs w:val="22"/>
          <w:lang w:val="en-GB"/>
        </w:rPr>
        <w:t>Sermo</w:t>
      </w:r>
      <w:proofErr w:type="spellEnd"/>
      <w:r w:rsidRPr="00A34325">
        <w:rPr>
          <w:rFonts w:ascii="Arial" w:hAnsi="Arial" w:cs="Arial"/>
          <w:sz w:val="22"/>
          <w:szCs w:val="22"/>
          <w:lang w:val="en-GB"/>
        </w:rPr>
        <w:t xml:space="preserve">, 2025). </w:t>
      </w:r>
      <w:r w:rsidR="00E16E1F" w:rsidRPr="00A34325">
        <w:rPr>
          <w:rFonts w:ascii="Arial" w:hAnsi="Arial" w:cs="Arial"/>
          <w:sz w:val="22"/>
          <w:szCs w:val="22"/>
          <w:lang w:val="en-GB"/>
        </w:rPr>
        <w:t xml:space="preserve">An </w:t>
      </w:r>
      <w:r w:rsidRPr="00A34325">
        <w:rPr>
          <w:rFonts w:ascii="Arial" w:hAnsi="Arial" w:cs="Arial"/>
          <w:sz w:val="22"/>
          <w:szCs w:val="22"/>
          <w:lang w:val="en-GB"/>
        </w:rPr>
        <w:t>example, older patients need straightforward explanations to acquire knowledge about treatment. Moreover, effective communication enhances the level of patient satisfaction. Hence, quality care and positive working relationships with patients cannot have been provided without strong communication skills (Scheffer et al., 2025).</w:t>
      </w:r>
    </w:p>
    <w:p w14:paraId="04FDAE89" w14:textId="1849EB1C" w:rsidR="00FD5A75" w:rsidRPr="009E7C9D" w:rsidRDefault="00FD5A75" w:rsidP="009E7C9D">
      <w:pPr>
        <w:spacing w:line="360" w:lineRule="auto"/>
        <w:jc w:val="center"/>
        <w:rPr>
          <w:rFonts w:ascii="Times New Roman" w:hAnsi="Times New Roman" w:cs="Times New Roman"/>
          <w:lang w:val="en-GB"/>
        </w:rPr>
      </w:pPr>
      <w:r w:rsidRPr="009E7C9D">
        <w:rPr>
          <w:rFonts w:ascii="Times New Roman" w:hAnsi="Times New Roman" w:cs="Times New Roman"/>
          <w:noProof/>
          <w:lang w:val="en-GB"/>
        </w:rPr>
        <w:drawing>
          <wp:inline distT="0" distB="0" distL="0" distR="0" wp14:anchorId="66CD42EC" wp14:editId="38A965FE">
            <wp:extent cx="3232331" cy="2112411"/>
            <wp:effectExtent l="0" t="0" r="6350" b="2540"/>
            <wp:docPr id="957860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60188" name=""/>
                    <pic:cNvPicPr/>
                  </pic:nvPicPr>
                  <pic:blipFill>
                    <a:blip r:embed="rId10"/>
                    <a:stretch>
                      <a:fillRect/>
                    </a:stretch>
                  </pic:blipFill>
                  <pic:spPr>
                    <a:xfrm>
                      <a:off x="0" y="0"/>
                      <a:ext cx="3238160" cy="2116221"/>
                    </a:xfrm>
                    <a:prstGeom prst="rect">
                      <a:avLst/>
                    </a:prstGeom>
                  </pic:spPr>
                </pic:pic>
              </a:graphicData>
            </a:graphic>
          </wp:inline>
        </w:drawing>
      </w:r>
    </w:p>
    <w:p w14:paraId="546FB5C9" w14:textId="5E58C5CE" w:rsidR="00FD5A75" w:rsidRPr="009E7C9D" w:rsidRDefault="00FD5A75"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001C3F46" w:rsidRPr="009E7C9D">
        <w:rPr>
          <w:rFonts w:ascii="Times New Roman" w:hAnsi="Times New Roman" w:cs="Times New Roman"/>
          <w:i/>
          <w:iCs/>
          <w:noProof/>
          <w:lang w:val="en-GB"/>
        </w:rPr>
        <w:t>6</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Impact of communication on patient satisfaction in healthcare</w:t>
      </w:r>
    </w:p>
    <w:p w14:paraId="23FCB6AD" w14:textId="5F986EF1" w:rsidR="00FD5A75" w:rsidRPr="009E7C9D" w:rsidRDefault="00FD5A75"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w:t>
      </w:r>
      <w:proofErr w:type="spellStart"/>
      <w:r w:rsidRPr="009E7C9D">
        <w:rPr>
          <w:rFonts w:ascii="Times New Roman" w:hAnsi="Times New Roman" w:cs="Times New Roman"/>
          <w:i/>
          <w:iCs/>
          <w:lang w:val="en-GB"/>
        </w:rPr>
        <w:t>Sermo</w:t>
      </w:r>
      <w:proofErr w:type="spellEnd"/>
      <w:r w:rsidRPr="009E7C9D">
        <w:rPr>
          <w:rFonts w:ascii="Times New Roman" w:hAnsi="Times New Roman" w:cs="Times New Roman"/>
          <w:i/>
          <w:iCs/>
          <w:lang w:val="en-GB"/>
        </w:rPr>
        <w:t>, 2025)</w:t>
      </w:r>
    </w:p>
    <w:p w14:paraId="5E2D5C8F" w14:textId="764C2209" w:rsidR="00CD0DEE" w:rsidRPr="009E7C9D" w:rsidRDefault="00CD0DEE" w:rsidP="009E7C9D">
      <w:pPr>
        <w:pStyle w:val="Heading2"/>
        <w:spacing w:line="360" w:lineRule="auto"/>
        <w:rPr>
          <w:lang w:val="en-GB"/>
        </w:rPr>
      </w:pPr>
      <w:bookmarkStart w:id="3" w:name="_Toc225129495"/>
      <w:r w:rsidRPr="009E7C9D">
        <w:rPr>
          <w:lang w:val="en-GB"/>
        </w:rPr>
        <w:t>Strategies to Improve Communication</w:t>
      </w:r>
      <w:bookmarkEnd w:id="3"/>
      <w:r w:rsidRPr="009E7C9D">
        <w:rPr>
          <w:lang w:val="en-GB"/>
        </w:rPr>
        <w:t xml:space="preserve"> </w:t>
      </w:r>
    </w:p>
    <w:p w14:paraId="492CF825" w14:textId="77777777" w:rsidR="004B0A2C" w:rsidRPr="00A34325" w:rsidRDefault="000D1BC8"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To enhance the communication skills, ophthalmic practitioners may participate in training seminars devoted to the practice of communicating with a patient and clinical communication. These are workshops that aid in the enhancement of clear speaking and listening skills. The practice of active listening does also play an important role because it makes patients feel understood and respected (Mannis et al., 2025). As an </w:t>
      </w:r>
      <w:r w:rsidR="00330E55" w:rsidRPr="00A34325">
        <w:rPr>
          <w:rFonts w:ascii="Arial" w:hAnsi="Arial" w:cs="Arial"/>
          <w:sz w:val="22"/>
          <w:szCs w:val="22"/>
          <w:lang w:val="en-GB"/>
        </w:rPr>
        <w:t>example</w:t>
      </w:r>
      <w:r w:rsidRPr="00A34325">
        <w:rPr>
          <w:rFonts w:ascii="Arial" w:hAnsi="Arial" w:cs="Arial"/>
          <w:sz w:val="22"/>
          <w:szCs w:val="22"/>
          <w:lang w:val="en-GB"/>
        </w:rPr>
        <w:t>, trust and diagnosis can be better diagnosed by listening carefully to the concerns of an elderly patient. Moreover, clinical practice experience also contributes to the enhancement of confidence and clarity during communication</w:t>
      </w:r>
      <w:r w:rsidRPr="009E7C9D">
        <w:rPr>
          <w:rFonts w:ascii="Times New Roman" w:hAnsi="Times New Roman" w:cs="Times New Roman"/>
          <w:lang w:val="en-GB"/>
        </w:rPr>
        <w:t xml:space="preserve"> </w:t>
      </w:r>
      <w:r w:rsidRPr="00A34325">
        <w:rPr>
          <w:rFonts w:ascii="Arial" w:hAnsi="Arial" w:cs="Arial"/>
          <w:sz w:val="22"/>
          <w:szCs w:val="22"/>
          <w:lang w:val="en-GB"/>
        </w:rPr>
        <w:lastRenderedPageBreak/>
        <w:t>by providing the patient contact experience (Ferrey, Moore and Jolly, 2022). It is stated that proper communication leads to better patient satisfaction and treatment outcomes (NHS, 2025a)</w:t>
      </w:r>
      <w:r w:rsidR="00ED2004" w:rsidRPr="00A34325">
        <w:rPr>
          <w:rFonts w:ascii="Arial" w:hAnsi="Arial" w:cs="Arial"/>
          <w:sz w:val="22"/>
          <w:szCs w:val="22"/>
          <w:lang w:val="en-GB"/>
        </w:rPr>
        <w:t>.</w:t>
      </w:r>
      <w:bookmarkStart w:id="4" w:name="_Toc225129496"/>
    </w:p>
    <w:p w14:paraId="3B629110" w14:textId="1C66AF0F" w:rsidR="00CD0DEE" w:rsidRPr="00A34325" w:rsidRDefault="00CD0DEE" w:rsidP="00600C1D">
      <w:pPr>
        <w:pStyle w:val="Heading1"/>
        <w:rPr>
          <w:lang w:val="en-GB"/>
        </w:rPr>
      </w:pPr>
      <w:r w:rsidRPr="00A34325">
        <w:rPr>
          <w:lang w:val="en-GB"/>
        </w:rPr>
        <w:t xml:space="preserve">  Attention to Detail</w:t>
      </w:r>
      <w:bookmarkEnd w:id="4"/>
      <w:r w:rsidRPr="00A34325">
        <w:rPr>
          <w:lang w:val="en-GB"/>
        </w:rPr>
        <w:t xml:space="preserve"> </w:t>
      </w:r>
    </w:p>
    <w:p w14:paraId="3DE9FC5E" w14:textId="3BF8C466" w:rsidR="00563E6D" w:rsidRPr="009E7C9D" w:rsidRDefault="00C26F62" w:rsidP="009E7C9D">
      <w:pPr>
        <w:spacing w:line="360" w:lineRule="auto"/>
        <w:ind w:firstLine="720"/>
        <w:jc w:val="both"/>
        <w:rPr>
          <w:rFonts w:ascii="Times New Roman" w:hAnsi="Times New Roman" w:cs="Times New Roman"/>
          <w:lang w:val="en-GB"/>
        </w:rPr>
      </w:pPr>
      <w:r w:rsidRPr="00A34325">
        <w:rPr>
          <w:rFonts w:ascii="Arial" w:hAnsi="Arial" w:cs="Arial"/>
          <w:sz w:val="22"/>
          <w:szCs w:val="22"/>
          <w:lang w:val="en-GB"/>
        </w:rPr>
        <w:t xml:space="preserve">One of the skills that an ophthalmic practitioner must consider carefully is attention to detail since this will mean that the conditions of the eye </w:t>
      </w:r>
      <w:r w:rsidR="00DB58B7" w:rsidRPr="00A34325">
        <w:rPr>
          <w:rFonts w:ascii="Arial" w:hAnsi="Arial" w:cs="Arial"/>
          <w:sz w:val="22"/>
          <w:szCs w:val="22"/>
          <w:lang w:val="en-GB"/>
        </w:rPr>
        <w:t>has been</w:t>
      </w:r>
      <w:r w:rsidRPr="00A34325">
        <w:rPr>
          <w:rFonts w:ascii="Arial" w:hAnsi="Arial" w:cs="Arial"/>
          <w:sz w:val="22"/>
          <w:szCs w:val="22"/>
          <w:lang w:val="en-GB"/>
        </w:rPr>
        <w:t xml:space="preserve"> correctly diagnosed. It is a skill that can assist practitioners to detect any minor changes in vision that can mean significant problems (</w:t>
      </w:r>
      <w:proofErr w:type="spellStart"/>
      <w:r w:rsidRPr="00A34325">
        <w:rPr>
          <w:rFonts w:ascii="Arial" w:hAnsi="Arial" w:cs="Arial"/>
          <w:sz w:val="22"/>
          <w:szCs w:val="22"/>
          <w:lang w:val="en-GB"/>
        </w:rPr>
        <w:t>Brunyé</w:t>
      </w:r>
      <w:proofErr w:type="spellEnd"/>
      <w:r w:rsidRPr="00A34325">
        <w:rPr>
          <w:rFonts w:ascii="Arial" w:hAnsi="Arial" w:cs="Arial"/>
          <w:sz w:val="22"/>
          <w:szCs w:val="22"/>
          <w:lang w:val="en-GB"/>
        </w:rPr>
        <w:t xml:space="preserve"> et al., 2019). As observed on the graph below, agreeability between AI and clinicians (0.81 to 0.86), moderate between AI and DEWS (0.52 to 0.58), and at the same time, DED-type agreement shows a low level of agreement at all the levels of observations. It will play a role in helping to avoid medical errors and enhance the safety of patients (Mejia-Salgado et al., 2025). As an illustration, the fact that a slight change in the vision imaging can be detected </w:t>
      </w:r>
      <w:proofErr w:type="gramStart"/>
      <w:r w:rsidRPr="00A34325">
        <w:rPr>
          <w:rFonts w:ascii="Arial" w:hAnsi="Arial" w:cs="Arial"/>
          <w:sz w:val="22"/>
          <w:szCs w:val="22"/>
          <w:lang w:val="en-GB"/>
        </w:rPr>
        <w:t>in the course of</w:t>
      </w:r>
      <w:proofErr w:type="gramEnd"/>
      <w:r w:rsidRPr="00A34325">
        <w:rPr>
          <w:rFonts w:ascii="Arial" w:hAnsi="Arial" w:cs="Arial"/>
          <w:sz w:val="22"/>
          <w:szCs w:val="22"/>
          <w:lang w:val="en-GB"/>
        </w:rPr>
        <w:t xml:space="preserve"> an eye test can be used to diagnose the early </w:t>
      </w:r>
      <w:r w:rsidR="00DB58B7" w:rsidRPr="00A34325">
        <w:rPr>
          <w:rFonts w:ascii="Arial" w:hAnsi="Arial" w:cs="Arial"/>
          <w:sz w:val="22"/>
          <w:szCs w:val="22"/>
          <w:lang w:val="en-GB"/>
        </w:rPr>
        <w:t>stages</w:t>
      </w:r>
      <w:r w:rsidRPr="00A34325">
        <w:rPr>
          <w:rFonts w:ascii="Arial" w:hAnsi="Arial" w:cs="Arial"/>
          <w:sz w:val="22"/>
          <w:szCs w:val="22"/>
          <w:lang w:val="en-GB"/>
        </w:rPr>
        <w:t xml:space="preserve"> of glaucoma (Stein et al., 2021</w:t>
      </w:r>
      <w:r w:rsidRPr="009E7C9D">
        <w:rPr>
          <w:rFonts w:ascii="Times New Roman" w:hAnsi="Times New Roman" w:cs="Times New Roman"/>
          <w:lang w:val="en-GB"/>
        </w:rPr>
        <w:t>).</w:t>
      </w:r>
    </w:p>
    <w:p w14:paraId="747E06D5" w14:textId="77777777" w:rsidR="00571B76" w:rsidRPr="009E7C9D" w:rsidRDefault="00571B76" w:rsidP="009E7C9D">
      <w:pPr>
        <w:spacing w:line="360" w:lineRule="auto"/>
        <w:ind w:firstLine="720"/>
        <w:jc w:val="both"/>
        <w:rPr>
          <w:rFonts w:ascii="Times New Roman" w:hAnsi="Times New Roman" w:cs="Times New Roman"/>
          <w:lang w:val="en-GB"/>
        </w:rPr>
      </w:pPr>
    </w:p>
    <w:p w14:paraId="203E804F" w14:textId="78413FE4" w:rsidR="00571B76" w:rsidRPr="004B0A2C" w:rsidRDefault="00571B76" w:rsidP="009E7C9D">
      <w:pPr>
        <w:spacing w:line="360" w:lineRule="auto"/>
        <w:ind w:firstLine="720"/>
        <w:jc w:val="center"/>
        <w:rPr>
          <w:rFonts w:ascii="Arial" w:hAnsi="Arial" w:cs="Arial"/>
          <w:i/>
          <w:iCs/>
          <w:sz w:val="22"/>
          <w:szCs w:val="22"/>
          <w:lang w:val="en-GB"/>
        </w:rPr>
      </w:pPr>
      <w:r w:rsidRPr="009E7C9D">
        <w:rPr>
          <w:rFonts w:ascii="Times New Roman" w:hAnsi="Times New Roman" w:cs="Times New Roman"/>
          <w:i/>
          <w:iCs/>
          <w:noProof/>
          <w:lang w:val="en-GB"/>
        </w:rPr>
        <w:drawing>
          <wp:inline distT="0" distB="0" distL="0" distR="0" wp14:anchorId="4E38DBB5" wp14:editId="18765470">
            <wp:extent cx="3323158" cy="3985304"/>
            <wp:effectExtent l="0" t="0" r="0" b="0"/>
            <wp:docPr id="1074817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9704" cy="3993155"/>
                    </a:xfrm>
                    <a:prstGeom prst="rect">
                      <a:avLst/>
                    </a:prstGeom>
                    <a:noFill/>
                    <a:ln>
                      <a:noFill/>
                    </a:ln>
                  </pic:spPr>
                </pic:pic>
              </a:graphicData>
            </a:graphic>
          </wp:inline>
        </w:drawing>
      </w:r>
    </w:p>
    <w:p w14:paraId="168F69B8" w14:textId="22D7F2C4" w:rsidR="00571B76" w:rsidRPr="009E7C9D" w:rsidRDefault="00571B76"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lastRenderedPageBreak/>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001C3F46" w:rsidRPr="009E7C9D">
        <w:rPr>
          <w:rFonts w:ascii="Times New Roman" w:hAnsi="Times New Roman" w:cs="Times New Roman"/>
          <w:i/>
          <w:iCs/>
          <w:noProof/>
          <w:lang w:val="en-GB"/>
        </w:rPr>
        <w:t>7</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 Accuracy and Agreement in DED Diagnosis Between AI Models and Healthcare Professionals</w:t>
      </w:r>
    </w:p>
    <w:p w14:paraId="7481D75A" w14:textId="77777777" w:rsidR="004B0A2C" w:rsidRDefault="00571B76" w:rsidP="004B0A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Source: (Mejía-Salgado et al., 2025)</w:t>
      </w:r>
      <w:bookmarkStart w:id="5" w:name="_Toc225129497"/>
    </w:p>
    <w:p w14:paraId="546FEFE0" w14:textId="342F841E" w:rsidR="00CD0DEE" w:rsidRPr="004B0A2C" w:rsidRDefault="00CD0DEE" w:rsidP="00A34325">
      <w:pPr>
        <w:pStyle w:val="Heading2"/>
        <w:rPr>
          <w:i/>
          <w:iCs/>
          <w:lang w:val="en-GB"/>
        </w:rPr>
      </w:pPr>
      <w:r w:rsidRPr="009E7C9D">
        <w:rPr>
          <w:lang w:val="en-GB"/>
        </w:rPr>
        <w:t xml:space="preserve"> Strategies to Improve Attention to Detail</w:t>
      </w:r>
      <w:bookmarkEnd w:id="5"/>
      <w:r w:rsidRPr="009E7C9D">
        <w:rPr>
          <w:lang w:val="en-GB"/>
        </w:rPr>
        <w:t xml:space="preserve"> </w:t>
      </w:r>
    </w:p>
    <w:p w14:paraId="56051402" w14:textId="77777777" w:rsidR="004B0A2C" w:rsidRDefault="00CF5ACB" w:rsidP="004B0A2C">
      <w:pPr>
        <w:spacing w:line="360" w:lineRule="auto"/>
        <w:ind w:firstLine="720"/>
        <w:jc w:val="both"/>
        <w:rPr>
          <w:rFonts w:ascii="Times New Roman" w:hAnsi="Times New Roman" w:cs="Times New Roman"/>
          <w:lang w:val="en-GB"/>
        </w:rPr>
      </w:pPr>
      <w:r w:rsidRPr="00A34325">
        <w:rPr>
          <w:rFonts w:ascii="Arial" w:hAnsi="Arial" w:cs="Arial"/>
          <w:sz w:val="22"/>
          <w:szCs w:val="22"/>
          <w:lang w:val="en-GB"/>
        </w:rPr>
        <w:t xml:space="preserve">Practice-based learning and continuous clinical training can be involved in improving the practice of attention to detail. Checklists can be used when carrying out eye examinations to make sure that all the procedures are done correctly. Accuracy can also be enhanced through frequent evaluation and feedback. As an illustration, consideration of cases involving the patient may facilitate the detection of errors (Ghattas, 2025). NHS (2024) </w:t>
      </w:r>
      <w:r w:rsidR="00092C85" w:rsidRPr="00A34325">
        <w:rPr>
          <w:rFonts w:ascii="Arial" w:hAnsi="Arial" w:cs="Arial"/>
          <w:sz w:val="22"/>
          <w:szCs w:val="22"/>
          <w:lang w:val="en-GB"/>
        </w:rPr>
        <w:t>demonstrates</w:t>
      </w:r>
      <w:r w:rsidRPr="00A34325">
        <w:rPr>
          <w:rFonts w:ascii="Arial" w:hAnsi="Arial" w:cs="Arial"/>
          <w:sz w:val="22"/>
          <w:szCs w:val="22"/>
          <w:lang w:val="en-GB"/>
        </w:rPr>
        <w:t xml:space="preserve"> that in a healthcare facility, structured practice enhances clinical accuracy and minimizes health care errors</w:t>
      </w:r>
      <w:r w:rsidR="00C65A80" w:rsidRPr="009E7C9D">
        <w:rPr>
          <w:rFonts w:ascii="Times New Roman" w:hAnsi="Times New Roman" w:cs="Times New Roman"/>
          <w:lang w:val="en-GB"/>
        </w:rPr>
        <w:t>.</w:t>
      </w:r>
      <w:bookmarkStart w:id="6" w:name="_Toc225129498"/>
    </w:p>
    <w:p w14:paraId="72335361" w14:textId="616CC0E2" w:rsidR="00CD0DEE" w:rsidRPr="004B0A2C" w:rsidRDefault="00CD0DEE" w:rsidP="00A214C4">
      <w:pPr>
        <w:pStyle w:val="Heading2"/>
        <w:rPr>
          <w:lang w:val="en-GB"/>
        </w:rPr>
      </w:pPr>
      <w:r w:rsidRPr="009E7C9D">
        <w:rPr>
          <w:lang w:val="en-GB"/>
        </w:rPr>
        <w:t xml:space="preserve"> Technical Skills</w:t>
      </w:r>
      <w:bookmarkEnd w:id="6"/>
      <w:r w:rsidRPr="009E7C9D">
        <w:rPr>
          <w:lang w:val="en-GB"/>
        </w:rPr>
        <w:t xml:space="preserve"> </w:t>
      </w:r>
    </w:p>
    <w:p w14:paraId="0F0212CF" w14:textId="4EA794C0" w:rsidR="00704D42" w:rsidRPr="00A34325" w:rsidRDefault="00092C85" w:rsidP="009E7C9D">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Ophthalmic practitioners require technical skills because they have been trained to work with specialised equipment needed to analyse eyes and diagnose illnesses. These competencies guarantee appropriate diagnosis and quality treatment. The increase in market value is reported to be between $13.5 billion in 2020 and 22.2 billion in 2035, which reflects growing dependence on diagnostic technologies on the global level (Fact MR, 2025). An example includes the use of slit lamps to see the vision issues clearly. In addition, health care practices using medical equipment can enhance the quality of patient care and clinical outcomes in medical departments (Shu, Wang and Hu, 2019). </w:t>
      </w:r>
    </w:p>
    <w:p w14:paraId="64DDD045" w14:textId="77777777" w:rsidR="00704D42" w:rsidRPr="009E7C9D" w:rsidRDefault="00704D42" w:rsidP="009E7C9D">
      <w:pPr>
        <w:spacing w:line="360" w:lineRule="auto"/>
        <w:jc w:val="both"/>
        <w:rPr>
          <w:rFonts w:ascii="Times New Roman" w:hAnsi="Times New Roman" w:cs="Times New Roman"/>
          <w:lang w:val="en-GB"/>
        </w:rPr>
      </w:pPr>
    </w:p>
    <w:p w14:paraId="5E1A8486" w14:textId="3EE147AB" w:rsidR="001F3EB1" w:rsidRPr="009E7C9D" w:rsidRDefault="001F3EB1" w:rsidP="009E7C9D">
      <w:pPr>
        <w:spacing w:line="360" w:lineRule="auto"/>
        <w:jc w:val="center"/>
        <w:rPr>
          <w:rFonts w:ascii="Times New Roman" w:hAnsi="Times New Roman" w:cs="Times New Roman"/>
          <w:lang w:val="en-GB"/>
        </w:rPr>
      </w:pPr>
      <w:r w:rsidRPr="009E7C9D">
        <w:rPr>
          <w:rFonts w:ascii="Times New Roman" w:hAnsi="Times New Roman" w:cs="Times New Roman"/>
          <w:noProof/>
          <w:lang w:val="en-GB"/>
        </w:rPr>
        <w:drawing>
          <wp:inline distT="0" distB="0" distL="0" distR="0" wp14:anchorId="63874063" wp14:editId="1568E179">
            <wp:extent cx="3692969" cy="2093077"/>
            <wp:effectExtent l="0" t="0" r="3175" b="2540"/>
            <wp:docPr id="5635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8345" name=""/>
                    <pic:cNvPicPr/>
                  </pic:nvPicPr>
                  <pic:blipFill>
                    <a:blip r:embed="rId12"/>
                    <a:stretch>
                      <a:fillRect/>
                    </a:stretch>
                  </pic:blipFill>
                  <pic:spPr>
                    <a:xfrm>
                      <a:off x="0" y="0"/>
                      <a:ext cx="3696022" cy="2094808"/>
                    </a:xfrm>
                    <a:prstGeom prst="rect">
                      <a:avLst/>
                    </a:prstGeom>
                  </pic:spPr>
                </pic:pic>
              </a:graphicData>
            </a:graphic>
          </wp:inline>
        </w:drawing>
      </w:r>
    </w:p>
    <w:p w14:paraId="0F85A3C3" w14:textId="629DE09D" w:rsidR="001C3F46" w:rsidRPr="009E7C9D" w:rsidRDefault="001C3F46" w:rsidP="009E7C9D">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t xml:space="preserve">Figure </w:t>
      </w:r>
      <w:r w:rsidRPr="009E7C9D">
        <w:rPr>
          <w:rFonts w:ascii="Times New Roman" w:hAnsi="Times New Roman" w:cs="Times New Roman"/>
          <w:i/>
          <w:iCs/>
          <w:lang w:val="en-GB"/>
        </w:rPr>
        <w:fldChar w:fldCharType="begin"/>
      </w:r>
      <w:r w:rsidRPr="009E7C9D">
        <w:rPr>
          <w:rFonts w:ascii="Times New Roman" w:hAnsi="Times New Roman" w:cs="Times New Roman"/>
          <w:i/>
          <w:iCs/>
          <w:lang w:val="en-GB"/>
        </w:rPr>
        <w:instrText xml:space="preserve"> SEQ Figure \* ARABIC </w:instrText>
      </w:r>
      <w:r w:rsidRPr="009E7C9D">
        <w:rPr>
          <w:rFonts w:ascii="Times New Roman" w:hAnsi="Times New Roman" w:cs="Times New Roman"/>
          <w:i/>
          <w:iCs/>
          <w:lang w:val="en-GB"/>
        </w:rPr>
        <w:fldChar w:fldCharType="separate"/>
      </w:r>
      <w:r w:rsidRPr="009E7C9D">
        <w:rPr>
          <w:rFonts w:ascii="Times New Roman" w:hAnsi="Times New Roman" w:cs="Times New Roman"/>
          <w:i/>
          <w:iCs/>
          <w:lang w:val="en-GB"/>
        </w:rPr>
        <w:t>8</w:t>
      </w:r>
      <w:r w:rsidRPr="009E7C9D">
        <w:rPr>
          <w:rFonts w:ascii="Times New Roman" w:hAnsi="Times New Roman" w:cs="Times New Roman"/>
          <w:i/>
          <w:iCs/>
          <w:lang w:val="en-GB"/>
        </w:rPr>
        <w:fldChar w:fldCharType="end"/>
      </w:r>
      <w:r w:rsidRPr="009E7C9D">
        <w:rPr>
          <w:rFonts w:ascii="Times New Roman" w:hAnsi="Times New Roman" w:cs="Times New Roman"/>
          <w:i/>
          <w:iCs/>
          <w:lang w:val="en-GB"/>
        </w:rPr>
        <w:t>:</w:t>
      </w:r>
      <w:r w:rsidR="00B0134F" w:rsidRPr="009E7C9D">
        <w:rPr>
          <w:rFonts w:ascii="Times New Roman" w:hAnsi="Times New Roman" w:cs="Times New Roman"/>
          <w:i/>
          <w:iCs/>
          <w:lang w:val="en-GB"/>
        </w:rPr>
        <w:t xml:space="preserve"> Ophthalmic Diagnostic Devices Market</w:t>
      </w:r>
    </w:p>
    <w:p w14:paraId="66977CB1" w14:textId="77777777" w:rsidR="004B0A2C" w:rsidRDefault="001C3F46" w:rsidP="004B0A2C">
      <w:pPr>
        <w:spacing w:line="360" w:lineRule="auto"/>
        <w:ind w:firstLine="720"/>
        <w:jc w:val="center"/>
        <w:rPr>
          <w:rFonts w:ascii="Times New Roman" w:hAnsi="Times New Roman" w:cs="Times New Roman"/>
          <w:i/>
          <w:iCs/>
          <w:lang w:val="en-GB"/>
        </w:rPr>
      </w:pPr>
      <w:r w:rsidRPr="009E7C9D">
        <w:rPr>
          <w:rFonts w:ascii="Times New Roman" w:hAnsi="Times New Roman" w:cs="Times New Roman"/>
          <w:i/>
          <w:iCs/>
          <w:lang w:val="en-GB"/>
        </w:rPr>
        <w:lastRenderedPageBreak/>
        <w:t>Source: (Fact MR, 2025)</w:t>
      </w:r>
      <w:bookmarkStart w:id="7" w:name="_Toc225129499"/>
    </w:p>
    <w:p w14:paraId="361297B7" w14:textId="78847588" w:rsidR="00CD0DEE" w:rsidRPr="004B0A2C" w:rsidRDefault="00CD0DEE" w:rsidP="00A34325">
      <w:pPr>
        <w:pStyle w:val="Heading2"/>
        <w:rPr>
          <w:i/>
          <w:iCs/>
          <w:lang w:val="en-GB"/>
        </w:rPr>
      </w:pPr>
      <w:r w:rsidRPr="009E7C9D">
        <w:rPr>
          <w:lang w:val="en-GB"/>
        </w:rPr>
        <w:t xml:space="preserve"> Technical </w:t>
      </w:r>
      <w:r w:rsidR="00A214C4" w:rsidRPr="009E7C9D">
        <w:rPr>
          <w:lang w:val="en-GB"/>
        </w:rPr>
        <w:t xml:space="preserve">Strategies to Improve </w:t>
      </w:r>
      <w:r w:rsidRPr="009E7C9D">
        <w:rPr>
          <w:lang w:val="en-GB"/>
        </w:rPr>
        <w:t>Skills</w:t>
      </w:r>
      <w:bookmarkEnd w:id="7"/>
    </w:p>
    <w:p w14:paraId="71AD6CEE" w14:textId="775BA9E0" w:rsidR="004B0A2C" w:rsidRPr="00A34325" w:rsidRDefault="005A1F0F"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It is possible to enhance the technical skills of employees utilizing practical training and working in a clinical environment. Participation in workshops will assist practitioners to understand how to handle the modern equipment used in eye care. Strong commitment to the continuous development of the skills also makes sure that the skills are </w:t>
      </w:r>
      <w:r w:rsidR="00A34325" w:rsidRPr="00A34325">
        <w:rPr>
          <w:rFonts w:ascii="Arial" w:hAnsi="Arial" w:cs="Arial"/>
          <w:sz w:val="22"/>
          <w:szCs w:val="22"/>
          <w:lang w:val="en-GB"/>
        </w:rPr>
        <w:t>up to date</w:t>
      </w:r>
      <w:r w:rsidRPr="00A34325">
        <w:rPr>
          <w:rFonts w:ascii="Arial" w:hAnsi="Arial" w:cs="Arial"/>
          <w:sz w:val="22"/>
          <w:szCs w:val="22"/>
          <w:lang w:val="en-GB"/>
        </w:rPr>
        <w:t xml:space="preserve">. As an illustration, accuracy is enhanced when regular training on diagnostic equipment is conducted (Garg, Reddy and Nelluri, 2024). To sustain the high standards of the healthcare practice, Mlambo, </w:t>
      </w:r>
      <w:proofErr w:type="spellStart"/>
      <w:r w:rsidRPr="00A34325">
        <w:rPr>
          <w:rFonts w:ascii="Arial" w:hAnsi="Arial" w:cs="Arial"/>
          <w:sz w:val="22"/>
          <w:szCs w:val="22"/>
          <w:lang w:val="en-GB"/>
        </w:rPr>
        <w:t>Silén</w:t>
      </w:r>
      <w:proofErr w:type="spellEnd"/>
      <w:r w:rsidRPr="00A34325">
        <w:rPr>
          <w:rFonts w:ascii="Arial" w:hAnsi="Arial" w:cs="Arial"/>
          <w:sz w:val="22"/>
          <w:szCs w:val="22"/>
          <w:lang w:val="en-GB"/>
        </w:rPr>
        <w:t xml:space="preserve"> and McGrath (2021) explain that continual learning is necessary</w:t>
      </w:r>
      <w:r w:rsidR="00454A99" w:rsidRPr="00A34325">
        <w:rPr>
          <w:rFonts w:ascii="Arial" w:hAnsi="Arial" w:cs="Arial"/>
          <w:sz w:val="22"/>
          <w:szCs w:val="22"/>
          <w:lang w:val="en-GB"/>
        </w:rPr>
        <w:t>.</w:t>
      </w:r>
      <w:bookmarkStart w:id="8" w:name="_Toc225129500"/>
    </w:p>
    <w:p w14:paraId="608C8AEE" w14:textId="3B456E83" w:rsidR="00CD0DEE" w:rsidRPr="004B0A2C" w:rsidRDefault="00CD0DEE" w:rsidP="00A214C4">
      <w:pPr>
        <w:pStyle w:val="Heading2"/>
        <w:rPr>
          <w:lang w:val="en-GB"/>
        </w:rPr>
      </w:pPr>
      <w:r w:rsidRPr="009E7C9D">
        <w:rPr>
          <w:lang w:val="en-GB"/>
        </w:rPr>
        <w:t xml:space="preserve"> Challenges in Role</w:t>
      </w:r>
      <w:bookmarkEnd w:id="8"/>
      <w:r w:rsidRPr="009E7C9D">
        <w:rPr>
          <w:lang w:val="en-GB"/>
        </w:rPr>
        <w:t xml:space="preserve"> </w:t>
      </w:r>
    </w:p>
    <w:p w14:paraId="644C31B4" w14:textId="0017FC3C" w:rsidR="004B0A2C" w:rsidRPr="00A34325" w:rsidRDefault="00E30694"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 xml:space="preserve">Some of the difficulties that ophthalmic practitioners are exposed to in their line of work include handling not </w:t>
      </w:r>
      <w:r w:rsidR="00A34325" w:rsidRPr="00A34325">
        <w:rPr>
          <w:rFonts w:ascii="Arial" w:hAnsi="Arial" w:cs="Arial"/>
          <w:sz w:val="22"/>
          <w:szCs w:val="22"/>
          <w:lang w:val="en-GB"/>
        </w:rPr>
        <w:t>easily managed</w:t>
      </w:r>
      <w:r w:rsidRPr="00A34325">
        <w:rPr>
          <w:rFonts w:ascii="Arial" w:hAnsi="Arial" w:cs="Arial"/>
          <w:sz w:val="22"/>
          <w:szCs w:val="22"/>
          <w:lang w:val="en-GB"/>
        </w:rPr>
        <w:t xml:space="preserve"> patients and handling a high level of responsibility during diagnosis. As an </w:t>
      </w:r>
      <w:r w:rsidR="00A34325" w:rsidRPr="00A34325">
        <w:rPr>
          <w:rFonts w:ascii="Arial" w:hAnsi="Arial" w:cs="Arial"/>
          <w:sz w:val="22"/>
          <w:szCs w:val="22"/>
          <w:lang w:val="en-GB"/>
        </w:rPr>
        <w:t>illustration, there</w:t>
      </w:r>
      <w:r w:rsidRPr="00A34325">
        <w:rPr>
          <w:rFonts w:ascii="Arial" w:hAnsi="Arial" w:cs="Arial"/>
          <w:sz w:val="22"/>
          <w:szCs w:val="22"/>
          <w:lang w:val="en-GB"/>
        </w:rPr>
        <w:t xml:space="preserve"> are certain patients who might be nervous during eye checkups and therefore they might not communicate well. Moreover, the rapid transformation in technologies </w:t>
      </w:r>
      <w:r w:rsidR="00A84704" w:rsidRPr="00A34325">
        <w:rPr>
          <w:rFonts w:ascii="Arial" w:hAnsi="Arial" w:cs="Arial"/>
          <w:sz w:val="22"/>
          <w:szCs w:val="22"/>
          <w:lang w:val="en-GB"/>
        </w:rPr>
        <w:t>assumes</w:t>
      </w:r>
      <w:r w:rsidRPr="00A34325">
        <w:rPr>
          <w:rFonts w:ascii="Arial" w:hAnsi="Arial" w:cs="Arial"/>
          <w:sz w:val="22"/>
          <w:szCs w:val="22"/>
          <w:lang w:val="en-GB"/>
        </w:rPr>
        <w:t xml:space="preserve"> permanent learning as an update that will keep pace with the latest equipment (Cicinelli, </w:t>
      </w:r>
      <w:proofErr w:type="spellStart"/>
      <w:r w:rsidRPr="00A34325">
        <w:rPr>
          <w:rFonts w:ascii="Arial" w:hAnsi="Arial" w:cs="Arial"/>
          <w:sz w:val="22"/>
          <w:szCs w:val="22"/>
          <w:lang w:val="en-GB"/>
        </w:rPr>
        <w:t>Marmamula</w:t>
      </w:r>
      <w:proofErr w:type="spellEnd"/>
      <w:r w:rsidRPr="00A34325">
        <w:rPr>
          <w:rFonts w:ascii="Arial" w:hAnsi="Arial" w:cs="Arial"/>
          <w:sz w:val="22"/>
          <w:szCs w:val="22"/>
          <w:lang w:val="en-GB"/>
        </w:rPr>
        <w:t xml:space="preserve"> and Khanna, 2020).</w:t>
      </w:r>
      <w:r w:rsidR="00F52A67" w:rsidRPr="00A34325">
        <w:rPr>
          <w:rFonts w:ascii="Arial" w:hAnsi="Arial" w:cs="Arial"/>
          <w:sz w:val="22"/>
          <w:szCs w:val="22"/>
          <w:lang w:val="en-GB"/>
        </w:rPr>
        <w:t xml:space="preserve"> </w:t>
      </w:r>
      <w:bookmarkStart w:id="9" w:name="_Toc225129501"/>
    </w:p>
    <w:p w14:paraId="39D58DAD" w14:textId="1FAA5359" w:rsidR="00CD0DEE" w:rsidRPr="004B0A2C" w:rsidRDefault="00CD0DEE" w:rsidP="00A34325">
      <w:pPr>
        <w:pStyle w:val="Heading2"/>
        <w:rPr>
          <w:lang w:val="en-GB"/>
        </w:rPr>
      </w:pPr>
      <w:r w:rsidRPr="009E7C9D">
        <w:rPr>
          <w:lang w:val="en-GB"/>
        </w:rPr>
        <w:t xml:space="preserve"> Professional Development</w:t>
      </w:r>
      <w:bookmarkEnd w:id="9"/>
      <w:r w:rsidRPr="009E7C9D">
        <w:rPr>
          <w:lang w:val="en-GB"/>
        </w:rPr>
        <w:t xml:space="preserve"> </w:t>
      </w:r>
    </w:p>
    <w:p w14:paraId="4DB5072A" w14:textId="77777777" w:rsidR="004B0A2C" w:rsidRPr="00A34325" w:rsidRDefault="00BF136F" w:rsidP="004B0A2C">
      <w:pPr>
        <w:spacing w:line="360" w:lineRule="auto"/>
        <w:ind w:firstLine="720"/>
        <w:jc w:val="both"/>
        <w:rPr>
          <w:rFonts w:ascii="Arial" w:hAnsi="Arial" w:cs="Arial"/>
          <w:sz w:val="22"/>
          <w:szCs w:val="22"/>
          <w:lang w:val="en-GB"/>
        </w:rPr>
      </w:pPr>
      <w:r w:rsidRPr="00A34325">
        <w:rPr>
          <w:rFonts w:ascii="Arial" w:hAnsi="Arial" w:cs="Arial"/>
          <w:sz w:val="22"/>
          <w:szCs w:val="22"/>
          <w:lang w:val="en-GB"/>
        </w:rPr>
        <w:t>Ophthalmic practitioners need to practice with high quality standards, which is why professional development is significant. Lifelong learning will be helpful in enabling the practitioners to keep up with they learn and invent new technologies. Clinical competence and confidence are enhanced through Certifications and training programmes. As an illustration, the ability to improve practical skills by participating in workshops about new diagnostic tools (</w:t>
      </w:r>
      <w:proofErr w:type="spellStart"/>
      <w:r w:rsidRPr="00A34325">
        <w:rPr>
          <w:rFonts w:ascii="Arial" w:hAnsi="Arial" w:cs="Arial"/>
          <w:sz w:val="22"/>
          <w:szCs w:val="22"/>
          <w:lang w:val="en-GB"/>
        </w:rPr>
        <w:t>Sharbini</w:t>
      </w:r>
      <w:proofErr w:type="spellEnd"/>
      <w:r w:rsidRPr="00A34325">
        <w:rPr>
          <w:rFonts w:ascii="Arial" w:hAnsi="Arial" w:cs="Arial"/>
          <w:sz w:val="22"/>
          <w:szCs w:val="22"/>
          <w:lang w:val="en-GB"/>
        </w:rPr>
        <w:t>, Abdul-Mumin and McKenna, 2025). Al-Mutairi et al. (2024) report that continuous professional development is associated with efficient healthcare provision and positively changes patient outcomes in the clinical practice</w:t>
      </w:r>
      <w:r w:rsidR="00F52A67" w:rsidRPr="00A34325">
        <w:rPr>
          <w:rFonts w:ascii="Arial" w:hAnsi="Arial" w:cs="Arial"/>
          <w:sz w:val="22"/>
          <w:szCs w:val="22"/>
          <w:lang w:val="en-GB"/>
        </w:rPr>
        <w:t>.</w:t>
      </w:r>
      <w:bookmarkStart w:id="10" w:name="_Toc225129502"/>
    </w:p>
    <w:p w14:paraId="50A909E0" w14:textId="30587CB5" w:rsidR="00CD0DEE" w:rsidRPr="004B0A2C" w:rsidRDefault="00CD0DEE" w:rsidP="00A214C4">
      <w:pPr>
        <w:pStyle w:val="Heading1"/>
        <w:rPr>
          <w:lang w:val="en-GB"/>
        </w:rPr>
      </w:pPr>
      <w:r w:rsidRPr="009E7C9D">
        <w:rPr>
          <w:lang w:val="en-GB"/>
        </w:rPr>
        <w:t xml:space="preserve"> Conclusion</w:t>
      </w:r>
      <w:bookmarkEnd w:id="10"/>
      <w:r w:rsidRPr="009E7C9D">
        <w:rPr>
          <w:lang w:val="en-GB"/>
        </w:rPr>
        <w:t xml:space="preserve"> </w:t>
      </w:r>
    </w:p>
    <w:p w14:paraId="15C22BE9" w14:textId="0842D6D5" w:rsidR="00F52A67" w:rsidRPr="00A34325" w:rsidRDefault="00CD79C5" w:rsidP="009E7C9D">
      <w:pPr>
        <w:spacing w:line="360" w:lineRule="auto"/>
        <w:ind w:firstLine="720"/>
        <w:jc w:val="both"/>
        <w:rPr>
          <w:rFonts w:ascii="Arial" w:hAnsi="Arial" w:cs="Arial"/>
          <w:sz w:val="22"/>
          <w:szCs w:val="22"/>
          <w:lang w:val="en-GB"/>
        </w:rPr>
      </w:pPr>
      <w:r w:rsidRPr="00A34325">
        <w:rPr>
          <w:rFonts w:ascii="Arial" w:hAnsi="Arial" w:cs="Arial"/>
          <w:sz w:val="22"/>
          <w:szCs w:val="22"/>
        </w:rPr>
        <w:t xml:space="preserve">An ophthalmic practitioner can play a crucial role in enhancing the outcome of patients, as well as in the prompt diagnosis and treatment of eye diseases. The skills which are required are major skills like communication, attention to detail and technical skills which can be essential to practice. An example would be that vision loss can be avoided through proper diagnosis. To </w:t>
      </w:r>
      <w:r w:rsidRPr="00A34325">
        <w:rPr>
          <w:rFonts w:ascii="Arial" w:hAnsi="Arial" w:cs="Arial"/>
          <w:sz w:val="22"/>
          <w:szCs w:val="22"/>
        </w:rPr>
        <w:lastRenderedPageBreak/>
        <w:t>ensure high standards, it needs continuous professional development. In addition, talented medical staff members enhance the general health standards of the population</w:t>
      </w:r>
      <w:r w:rsidR="00F52A67" w:rsidRPr="00A34325">
        <w:rPr>
          <w:rFonts w:ascii="Arial" w:hAnsi="Arial" w:cs="Arial"/>
          <w:sz w:val="22"/>
          <w:szCs w:val="22"/>
          <w:lang w:val="en-GB"/>
        </w:rPr>
        <w:t>.</w:t>
      </w:r>
    </w:p>
    <w:p w14:paraId="4CA22770" w14:textId="688C4F47" w:rsidR="00D66477" w:rsidRPr="009E7C9D" w:rsidRDefault="00D66477" w:rsidP="009E7C9D">
      <w:pPr>
        <w:spacing w:line="360" w:lineRule="auto"/>
        <w:rPr>
          <w:rFonts w:ascii="Times New Roman" w:hAnsi="Times New Roman" w:cs="Times New Roman"/>
          <w:color w:val="000000" w:themeColor="text1"/>
          <w:lang w:val="en-GB"/>
        </w:rPr>
      </w:pPr>
      <w:r w:rsidRPr="009E7C9D">
        <w:rPr>
          <w:rFonts w:ascii="Times New Roman" w:hAnsi="Times New Roman" w:cs="Times New Roman"/>
          <w:color w:val="000000" w:themeColor="text1"/>
          <w:lang w:val="en-GB"/>
        </w:rPr>
        <w:br w:type="page"/>
      </w:r>
    </w:p>
    <w:p w14:paraId="49EE1F0D" w14:textId="508512C6" w:rsidR="009E7C9D" w:rsidRPr="009E7C9D" w:rsidRDefault="00CD0DEE" w:rsidP="009E7C9D">
      <w:pPr>
        <w:pStyle w:val="Heading1"/>
        <w:spacing w:line="360" w:lineRule="auto"/>
        <w:rPr>
          <w:lang w:val="en-GB"/>
        </w:rPr>
      </w:pPr>
      <w:bookmarkStart w:id="11" w:name="_Toc225129503"/>
      <w:r w:rsidRPr="009E7C9D">
        <w:rPr>
          <w:lang w:val="en-GB"/>
        </w:rPr>
        <w:lastRenderedPageBreak/>
        <w:t>References</w:t>
      </w:r>
      <w:bookmarkEnd w:id="11"/>
    </w:p>
    <w:p w14:paraId="767F3552" w14:textId="6D2EF783"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Al-Mutairi, D.S., Almutairi, R.G., </w:t>
      </w:r>
      <w:proofErr w:type="spellStart"/>
      <w:r w:rsidRPr="00192CEA">
        <w:rPr>
          <w:rFonts w:ascii="Arial" w:hAnsi="Arial" w:cs="Arial"/>
          <w:sz w:val="22"/>
          <w:szCs w:val="22"/>
          <w:lang w:val="en-GB"/>
        </w:rPr>
        <w:t>Aldusaeri</w:t>
      </w:r>
      <w:proofErr w:type="spellEnd"/>
      <w:r w:rsidRPr="00192CEA">
        <w:rPr>
          <w:rFonts w:ascii="Arial" w:hAnsi="Arial" w:cs="Arial"/>
          <w:sz w:val="22"/>
          <w:szCs w:val="22"/>
          <w:lang w:val="en-GB"/>
        </w:rPr>
        <w:t xml:space="preserve">, A.F., Aljaber, K.S., </w:t>
      </w:r>
      <w:proofErr w:type="spellStart"/>
      <w:r w:rsidRPr="00192CEA">
        <w:rPr>
          <w:rFonts w:ascii="Arial" w:hAnsi="Arial" w:cs="Arial"/>
          <w:sz w:val="22"/>
          <w:szCs w:val="22"/>
          <w:lang w:val="en-GB"/>
        </w:rPr>
        <w:t>Alzahed</w:t>
      </w:r>
      <w:proofErr w:type="spellEnd"/>
      <w:r w:rsidRPr="00192CEA">
        <w:rPr>
          <w:rFonts w:ascii="Arial" w:hAnsi="Arial" w:cs="Arial"/>
          <w:sz w:val="22"/>
          <w:szCs w:val="22"/>
          <w:lang w:val="en-GB"/>
        </w:rPr>
        <w:t xml:space="preserve">, L.A., Alzahrani, M.S., </w:t>
      </w:r>
      <w:proofErr w:type="spellStart"/>
      <w:r w:rsidRPr="00192CEA">
        <w:rPr>
          <w:rFonts w:ascii="Arial" w:hAnsi="Arial" w:cs="Arial"/>
          <w:sz w:val="22"/>
          <w:szCs w:val="22"/>
          <w:lang w:val="en-GB"/>
        </w:rPr>
        <w:t>Algarni</w:t>
      </w:r>
      <w:proofErr w:type="spellEnd"/>
      <w:r w:rsidRPr="00192CEA">
        <w:rPr>
          <w:rFonts w:ascii="Arial" w:hAnsi="Arial" w:cs="Arial"/>
          <w:sz w:val="22"/>
          <w:szCs w:val="22"/>
          <w:lang w:val="en-GB"/>
        </w:rPr>
        <w:t xml:space="preserve">, A.M.A. and </w:t>
      </w:r>
      <w:proofErr w:type="spellStart"/>
      <w:r w:rsidRPr="00192CEA">
        <w:rPr>
          <w:rFonts w:ascii="Arial" w:hAnsi="Arial" w:cs="Arial"/>
          <w:sz w:val="22"/>
          <w:szCs w:val="22"/>
          <w:lang w:val="en-GB"/>
        </w:rPr>
        <w:t>ALotaibe</w:t>
      </w:r>
      <w:proofErr w:type="spellEnd"/>
      <w:r w:rsidRPr="00192CEA">
        <w:rPr>
          <w:rFonts w:ascii="Arial" w:hAnsi="Arial" w:cs="Arial"/>
          <w:sz w:val="22"/>
          <w:szCs w:val="22"/>
          <w:lang w:val="en-GB"/>
        </w:rPr>
        <w:t>, M.J., 2024. The Role of Continuous Professional Development (CPD) in Enhancing Nursing Competence and Patient Care. </w:t>
      </w:r>
      <w:r w:rsidRPr="00192CEA">
        <w:rPr>
          <w:rFonts w:ascii="Arial" w:hAnsi="Arial" w:cs="Arial"/>
          <w:i/>
          <w:iCs/>
          <w:sz w:val="22"/>
          <w:szCs w:val="22"/>
          <w:lang w:val="en-GB"/>
        </w:rPr>
        <w:t>Journal of International Crisis and Risk Communication Research</w:t>
      </w:r>
      <w:r w:rsidRPr="00192CEA">
        <w:rPr>
          <w:rFonts w:ascii="Arial" w:hAnsi="Arial" w:cs="Arial"/>
          <w:sz w:val="22"/>
          <w:szCs w:val="22"/>
          <w:lang w:val="en-GB"/>
        </w:rPr>
        <w:t>, </w:t>
      </w:r>
      <w:r w:rsidRPr="00192CEA">
        <w:rPr>
          <w:rFonts w:ascii="Arial" w:hAnsi="Arial" w:cs="Arial"/>
          <w:i/>
          <w:iCs/>
          <w:sz w:val="22"/>
          <w:szCs w:val="22"/>
          <w:lang w:val="en-GB"/>
        </w:rPr>
        <w:t>7</w:t>
      </w:r>
      <w:r w:rsidRPr="00192CEA">
        <w:rPr>
          <w:rFonts w:ascii="Arial" w:hAnsi="Arial" w:cs="Arial"/>
          <w:sz w:val="22"/>
          <w:szCs w:val="22"/>
          <w:lang w:val="en-GB"/>
        </w:rPr>
        <w:t>(S3), p.553.</w:t>
      </w:r>
    </w:p>
    <w:p w14:paraId="092D8F1E" w14:textId="3DDA5706" w:rsidR="00840188" w:rsidRPr="00192CEA" w:rsidRDefault="00840188" w:rsidP="009E7C9D">
      <w:pPr>
        <w:spacing w:line="360" w:lineRule="auto"/>
        <w:ind w:left="720" w:hanging="720"/>
        <w:jc w:val="both"/>
        <w:rPr>
          <w:rFonts w:ascii="Arial" w:hAnsi="Arial" w:cs="Arial"/>
          <w:sz w:val="22"/>
          <w:szCs w:val="22"/>
          <w:lang w:val="en-GB"/>
        </w:rPr>
      </w:pPr>
      <w:proofErr w:type="spellStart"/>
      <w:r w:rsidRPr="00192CEA">
        <w:rPr>
          <w:rFonts w:ascii="Arial" w:hAnsi="Arial" w:cs="Arial"/>
          <w:sz w:val="22"/>
          <w:szCs w:val="22"/>
          <w:lang w:val="en-GB"/>
        </w:rPr>
        <w:t>Brunyé</w:t>
      </w:r>
      <w:proofErr w:type="spellEnd"/>
      <w:r w:rsidRPr="00192CEA">
        <w:rPr>
          <w:rFonts w:ascii="Arial" w:hAnsi="Arial" w:cs="Arial"/>
          <w:sz w:val="22"/>
          <w:szCs w:val="22"/>
          <w:lang w:val="en-GB"/>
        </w:rPr>
        <w:t>, T.T., Drew, T., Weaver, D.L. and Elmore, J.G., 2019. A review of eye tracking for understanding and improving diagnostic interpretation. </w:t>
      </w:r>
      <w:r w:rsidRPr="00192CEA">
        <w:rPr>
          <w:rFonts w:ascii="Arial" w:hAnsi="Arial" w:cs="Arial"/>
          <w:i/>
          <w:iCs/>
          <w:sz w:val="22"/>
          <w:szCs w:val="22"/>
          <w:lang w:val="en-GB"/>
        </w:rPr>
        <w:t>Cognitive research: principles and implications</w:t>
      </w:r>
      <w:r w:rsidRPr="00192CEA">
        <w:rPr>
          <w:rFonts w:ascii="Arial" w:hAnsi="Arial" w:cs="Arial"/>
          <w:sz w:val="22"/>
          <w:szCs w:val="22"/>
          <w:lang w:val="en-GB"/>
        </w:rPr>
        <w:t>, </w:t>
      </w:r>
      <w:r w:rsidRPr="00192CEA">
        <w:rPr>
          <w:rFonts w:ascii="Arial" w:hAnsi="Arial" w:cs="Arial"/>
          <w:i/>
          <w:iCs/>
          <w:sz w:val="22"/>
          <w:szCs w:val="22"/>
          <w:lang w:val="en-GB"/>
        </w:rPr>
        <w:t>4</w:t>
      </w:r>
      <w:r w:rsidRPr="00192CEA">
        <w:rPr>
          <w:rFonts w:ascii="Arial" w:hAnsi="Arial" w:cs="Arial"/>
          <w:sz w:val="22"/>
          <w:szCs w:val="22"/>
          <w:lang w:val="en-GB"/>
        </w:rPr>
        <w:t>(1), p.7.</w:t>
      </w:r>
    </w:p>
    <w:p w14:paraId="04DCB409" w14:textId="24162D6C"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Cicinelli, M.V., Marmamula, S. and Khanna, R.C., 2020. Comprehensive eye care-Issues, challenges, and way forward. </w:t>
      </w:r>
      <w:r w:rsidRPr="00192CEA">
        <w:rPr>
          <w:rFonts w:ascii="Arial" w:hAnsi="Arial" w:cs="Arial"/>
          <w:i/>
          <w:iCs/>
          <w:sz w:val="22"/>
          <w:szCs w:val="22"/>
          <w:lang w:val="en-GB"/>
        </w:rPr>
        <w:t>Indian journal of ophthalmology</w:t>
      </w:r>
      <w:r w:rsidRPr="00192CEA">
        <w:rPr>
          <w:rFonts w:ascii="Arial" w:hAnsi="Arial" w:cs="Arial"/>
          <w:sz w:val="22"/>
          <w:szCs w:val="22"/>
          <w:lang w:val="en-GB"/>
        </w:rPr>
        <w:t>, </w:t>
      </w:r>
      <w:r w:rsidRPr="00192CEA">
        <w:rPr>
          <w:rFonts w:ascii="Arial" w:hAnsi="Arial" w:cs="Arial"/>
          <w:i/>
          <w:iCs/>
          <w:sz w:val="22"/>
          <w:szCs w:val="22"/>
          <w:lang w:val="en-GB"/>
        </w:rPr>
        <w:t>68</w:t>
      </w:r>
      <w:r w:rsidRPr="00192CEA">
        <w:rPr>
          <w:rFonts w:ascii="Arial" w:hAnsi="Arial" w:cs="Arial"/>
          <w:sz w:val="22"/>
          <w:szCs w:val="22"/>
          <w:lang w:val="en-GB"/>
        </w:rPr>
        <w:t>(2), pp.316-323.</w:t>
      </w:r>
    </w:p>
    <w:p w14:paraId="607638BE" w14:textId="07669497" w:rsidR="00840188" w:rsidRPr="00192CEA" w:rsidRDefault="001B5C94"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w:t>
      </w:r>
      <w:r w:rsidR="00840188" w:rsidRPr="00192CEA">
        <w:rPr>
          <w:rFonts w:ascii="Arial" w:hAnsi="Arial" w:cs="Arial"/>
          <w:sz w:val="22"/>
          <w:szCs w:val="22"/>
          <w:lang w:val="en-GB"/>
        </w:rPr>
        <w:t xml:space="preserve">Fact MR., 2025. Ophthalmic Diagnostic Devices Market: Global Market Analysis Report - </w:t>
      </w:r>
      <w:proofErr w:type="gramStart"/>
      <w:r w:rsidR="00840188" w:rsidRPr="00192CEA">
        <w:rPr>
          <w:rFonts w:ascii="Arial" w:hAnsi="Arial" w:cs="Arial"/>
          <w:sz w:val="22"/>
          <w:szCs w:val="22"/>
          <w:lang w:val="en-GB"/>
        </w:rPr>
        <w:t>2035 ,</w:t>
      </w:r>
      <w:proofErr w:type="gramEnd"/>
      <w:r w:rsidR="00840188" w:rsidRPr="00192CEA">
        <w:rPr>
          <w:rFonts w:ascii="Arial" w:hAnsi="Arial" w:cs="Arial"/>
          <w:sz w:val="22"/>
          <w:szCs w:val="22"/>
          <w:lang w:val="en-GB"/>
        </w:rPr>
        <w:t xml:space="preserve"> Market Research Company. Available at: https://www.factmr.com/report/ophthalmic-diagnostic-devices-market (Accessed: 22 March 2026).</w:t>
      </w:r>
    </w:p>
    <w:p w14:paraId="326BC95C" w14:textId="3CAF53AA"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Ferrey, A., Moore, L. and Jolly, J.K., 2022. ‘It was like being hit with a brick’: a qualitative study on the effect of clinicians’ delivery of a diagnosis of eye disease for patients in primary and secondary care. </w:t>
      </w:r>
      <w:r w:rsidRPr="00192CEA">
        <w:rPr>
          <w:rFonts w:ascii="Arial" w:hAnsi="Arial" w:cs="Arial"/>
          <w:i/>
          <w:iCs/>
          <w:sz w:val="22"/>
          <w:szCs w:val="22"/>
          <w:lang w:val="en-GB"/>
        </w:rPr>
        <w:t>BMJ open</w:t>
      </w:r>
      <w:r w:rsidRPr="00192CEA">
        <w:rPr>
          <w:rFonts w:ascii="Arial" w:hAnsi="Arial" w:cs="Arial"/>
          <w:sz w:val="22"/>
          <w:szCs w:val="22"/>
          <w:lang w:val="en-GB"/>
        </w:rPr>
        <w:t>, </w:t>
      </w:r>
      <w:r w:rsidRPr="00192CEA">
        <w:rPr>
          <w:rFonts w:ascii="Arial" w:hAnsi="Arial" w:cs="Arial"/>
          <w:i/>
          <w:iCs/>
          <w:sz w:val="22"/>
          <w:szCs w:val="22"/>
          <w:lang w:val="en-GB"/>
        </w:rPr>
        <w:t>12</w:t>
      </w:r>
      <w:r w:rsidRPr="00192CEA">
        <w:rPr>
          <w:rFonts w:ascii="Arial" w:hAnsi="Arial" w:cs="Arial"/>
          <w:sz w:val="22"/>
          <w:szCs w:val="22"/>
          <w:lang w:val="en-GB"/>
        </w:rPr>
        <w:t>(7), p.e059970.</w:t>
      </w:r>
    </w:p>
    <w:p w14:paraId="075836E6" w14:textId="2B22B750"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Garg, P., Reddy, S. and Nelluri, C., 2024. Training the eye care team: principles and practice. </w:t>
      </w:r>
      <w:r w:rsidRPr="00192CEA">
        <w:rPr>
          <w:rFonts w:ascii="Arial" w:hAnsi="Arial" w:cs="Arial"/>
          <w:i/>
          <w:iCs/>
          <w:sz w:val="22"/>
          <w:szCs w:val="22"/>
          <w:lang w:val="en-GB"/>
        </w:rPr>
        <w:t>Middle East African journal of ophthalmology</w:t>
      </w:r>
      <w:r w:rsidRPr="00192CEA">
        <w:rPr>
          <w:rFonts w:ascii="Arial" w:hAnsi="Arial" w:cs="Arial"/>
          <w:sz w:val="22"/>
          <w:szCs w:val="22"/>
          <w:lang w:val="en-GB"/>
        </w:rPr>
        <w:t>, </w:t>
      </w:r>
      <w:r w:rsidRPr="00192CEA">
        <w:rPr>
          <w:rFonts w:ascii="Arial" w:hAnsi="Arial" w:cs="Arial"/>
          <w:i/>
          <w:iCs/>
          <w:sz w:val="22"/>
          <w:szCs w:val="22"/>
          <w:lang w:val="en-GB"/>
        </w:rPr>
        <w:t>21</w:t>
      </w:r>
      <w:r w:rsidRPr="00192CEA">
        <w:rPr>
          <w:rFonts w:ascii="Arial" w:hAnsi="Arial" w:cs="Arial"/>
          <w:sz w:val="22"/>
          <w:szCs w:val="22"/>
          <w:lang w:val="en-GB"/>
        </w:rPr>
        <w:t>(2), pp.128-133.</w:t>
      </w:r>
    </w:p>
    <w:p w14:paraId="5E3EBC71" w14:textId="6DDF4490"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Ghattas, A.H.S., 2025. Effect of eye care clinical guidelines training on nurses’ knowledge, attitude, and practice and eye complications among critically ill patients: </w:t>
      </w:r>
      <w:proofErr w:type="gramStart"/>
      <w:r w:rsidRPr="00192CEA">
        <w:rPr>
          <w:rFonts w:ascii="Arial" w:hAnsi="Arial" w:cs="Arial"/>
          <w:sz w:val="22"/>
          <w:szCs w:val="22"/>
          <w:lang w:val="en-GB"/>
        </w:rPr>
        <w:t>pre</w:t>
      </w:r>
      <w:proofErr w:type="gramEnd"/>
      <w:r w:rsidRPr="00192CEA">
        <w:rPr>
          <w:rFonts w:ascii="Arial" w:hAnsi="Arial" w:cs="Arial"/>
          <w:sz w:val="22"/>
          <w:szCs w:val="22"/>
          <w:lang w:val="en-GB"/>
        </w:rPr>
        <w:t xml:space="preserve"> and post-study design. </w:t>
      </w:r>
      <w:r w:rsidRPr="00192CEA">
        <w:rPr>
          <w:rFonts w:ascii="Arial" w:hAnsi="Arial" w:cs="Arial"/>
          <w:i/>
          <w:iCs/>
          <w:sz w:val="22"/>
          <w:szCs w:val="22"/>
          <w:lang w:val="en-GB"/>
        </w:rPr>
        <w:t>BMC nursing</w:t>
      </w:r>
      <w:r w:rsidRPr="00192CEA">
        <w:rPr>
          <w:rFonts w:ascii="Arial" w:hAnsi="Arial" w:cs="Arial"/>
          <w:sz w:val="22"/>
          <w:szCs w:val="22"/>
          <w:lang w:val="en-GB"/>
        </w:rPr>
        <w:t>, </w:t>
      </w:r>
      <w:r w:rsidRPr="00192CEA">
        <w:rPr>
          <w:rFonts w:ascii="Arial" w:hAnsi="Arial" w:cs="Arial"/>
          <w:i/>
          <w:iCs/>
          <w:sz w:val="22"/>
          <w:szCs w:val="22"/>
          <w:lang w:val="en-GB"/>
        </w:rPr>
        <w:t>24</w:t>
      </w:r>
      <w:r w:rsidRPr="00192CEA">
        <w:rPr>
          <w:rFonts w:ascii="Arial" w:hAnsi="Arial" w:cs="Arial"/>
          <w:sz w:val="22"/>
          <w:szCs w:val="22"/>
          <w:lang w:val="en-GB"/>
        </w:rPr>
        <w:t>(1), p.674.</w:t>
      </w:r>
    </w:p>
    <w:p w14:paraId="27D01F4E" w14:textId="2956339D"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Henderson, L., Bain, H., Allan, E. and Kennedy, C., 2021. Integrated health and social care in the community: A critical integrative review of the experiences and well</w:t>
      </w:r>
      <w:r w:rsidRPr="00192CEA">
        <w:rPr>
          <w:rFonts w:ascii="Cambria Math" w:hAnsi="Cambria Math" w:cs="Cambria Math"/>
          <w:sz w:val="22"/>
          <w:szCs w:val="22"/>
          <w:lang w:val="en-GB"/>
        </w:rPr>
        <w:t>‐</w:t>
      </w:r>
      <w:r w:rsidRPr="00192CEA">
        <w:rPr>
          <w:rFonts w:ascii="Arial" w:hAnsi="Arial" w:cs="Arial"/>
          <w:sz w:val="22"/>
          <w:szCs w:val="22"/>
          <w:lang w:val="en-GB"/>
        </w:rPr>
        <w:t>being needs of service users and their families. </w:t>
      </w:r>
      <w:r w:rsidRPr="00192CEA">
        <w:rPr>
          <w:rFonts w:ascii="Arial" w:hAnsi="Arial" w:cs="Arial"/>
          <w:i/>
          <w:iCs/>
          <w:sz w:val="22"/>
          <w:szCs w:val="22"/>
          <w:lang w:val="en-GB"/>
        </w:rPr>
        <w:t>Health &amp; social care in the community</w:t>
      </w:r>
      <w:r w:rsidRPr="00192CEA">
        <w:rPr>
          <w:rFonts w:ascii="Arial" w:hAnsi="Arial" w:cs="Arial"/>
          <w:sz w:val="22"/>
          <w:szCs w:val="22"/>
          <w:lang w:val="en-GB"/>
        </w:rPr>
        <w:t>, </w:t>
      </w:r>
      <w:r w:rsidRPr="00192CEA">
        <w:rPr>
          <w:rFonts w:ascii="Arial" w:hAnsi="Arial" w:cs="Arial"/>
          <w:i/>
          <w:iCs/>
          <w:sz w:val="22"/>
          <w:szCs w:val="22"/>
          <w:lang w:val="en-GB"/>
        </w:rPr>
        <w:t>29</w:t>
      </w:r>
      <w:r w:rsidRPr="00192CEA">
        <w:rPr>
          <w:rFonts w:ascii="Arial" w:hAnsi="Arial" w:cs="Arial"/>
          <w:sz w:val="22"/>
          <w:szCs w:val="22"/>
          <w:lang w:val="en-GB"/>
        </w:rPr>
        <w:t>(4), pp.1145-1168.</w:t>
      </w:r>
    </w:p>
    <w:p w14:paraId="764DCE85" w14:textId="7DDB8904" w:rsidR="00840188" w:rsidRPr="002F5C3F" w:rsidRDefault="00840188" w:rsidP="009E7C9D">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w:t>
      </w:r>
    </w:p>
    <w:p w14:paraId="21F8C6B2" w14:textId="4252CFF7" w:rsidR="00840188" w:rsidRPr="009E7C9D" w:rsidRDefault="00840188" w:rsidP="009E7C9D">
      <w:pPr>
        <w:spacing w:line="360" w:lineRule="auto"/>
        <w:ind w:left="720" w:hanging="720"/>
        <w:jc w:val="both"/>
        <w:rPr>
          <w:rFonts w:ascii="Times New Roman" w:hAnsi="Times New Roman" w:cs="Times New Roman"/>
          <w:lang w:val="en-GB"/>
        </w:rPr>
      </w:pPr>
      <w:r w:rsidRPr="009E7C9D">
        <w:rPr>
          <w:rFonts w:ascii="Times New Roman" w:hAnsi="Times New Roman" w:cs="Times New Roman"/>
          <w:lang w:val="en-GB"/>
        </w:rPr>
        <w:t>.</w:t>
      </w:r>
    </w:p>
    <w:p w14:paraId="5FEB503C" w14:textId="7E00FC56"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Mannis, M. J., Zadnik, K., Coral-Ghanem, C. and Kara-José, N. (2025). </w:t>
      </w:r>
      <w:hyperlink r:id="rId13" w:history="1">
        <w:proofErr w:type="spellStart"/>
        <w:r w:rsidRPr="00192CEA">
          <w:rPr>
            <w:rStyle w:val="Hyperlink"/>
            <w:rFonts w:ascii="Arial" w:hAnsi="Arial" w:cs="Arial"/>
            <w:sz w:val="22"/>
            <w:szCs w:val="22"/>
            <w:lang w:val="en-GB"/>
          </w:rPr>
          <w:t>doi</w:t>
        </w:r>
        <w:proofErr w:type="spellEnd"/>
        <w:r w:rsidRPr="00192CEA">
          <w:rPr>
            <w:rStyle w:val="Hyperlink"/>
            <w:rFonts w:ascii="Arial" w:hAnsi="Arial" w:cs="Arial"/>
            <w:sz w:val="22"/>
            <w:szCs w:val="22"/>
            <w:lang w:val="en-GB"/>
          </w:rPr>
          <w:t>: 10.1007/b97494.</w:t>
        </w:r>
      </w:hyperlink>
    </w:p>
    <w:p w14:paraId="61720921" w14:textId="06DD65A2"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Mejía-Salgado, G., Rojas-Carabali, W., Cifuentes-González, C., Bernal-Valencia, M.A., Saboya-Galindo, P., Soto-</w:t>
      </w:r>
      <w:proofErr w:type="spellStart"/>
      <w:r w:rsidRPr="00192CEA">
        <w:rPr>
          <w:rFonts w:ascii="Arial" w:hAnsi="Arial" w:cs="Arial"/>
          <w:sz w:val="22"/>
          <w:szCs w:val="22"/>
          <w:lang w:val="en-GB"/>
        </w:rPr>
        <w:t>Ariño</w:t>
      </w:r>
      <w:proofErr w:type="spellEnd"/>
      <w:r w:rsidRPr="00192CEA">
        <w:rPr>
          <w:rFonts w:ascii="Arial" w:hAnsi="Arial" w:cs="Arial"/>
          <w:sz w:val="22"/>
          <w:szCs w:val="22"/>
          <w:lang w:val="en-GB"/>
        </w:rPr>
        <w:t xml:space="preserve">, J., Dumar-Kerguelen, V., Marroquín-Gómez, G., Moreno-Pardo, </w:t>
      </w:r>
      <w:r w:rsidRPr="00192CEA">
        <w:rPr>
          <w:rFonts w:ascii="Arial" w:hAnsi="Arial" w:cs="Arial"/>
          <w:sz w:val="22"/>
          <w:szCs w:val="22"/>
          <w:lang w:val="en-GB"/>
        </w:rPr>
        <w:lastRenderedPageBreak/>
        <w:t>M.L., Tirado-Ángel, J. and Galor, A., 2025. Diagnostic accuracy in dry eye: Insights into clinical and artificial intelligence limitations: Limitations of diagnostic accuracy in dry eye. </w:t>
      </w:r>
      <w:r w:rsidRPr="00192CEA">
        <w:rPr>
          <w:rFonts w:ascii="Arial" w:hAnsi="Arial" w:cs="Arial"/>
          <w:i/>
          <w:iCs/>
          <w:sz w:val="22"/>
          <w:szCs w:val="22"/>
          <w:lang w:val="en-GB"/>
        </w:rPr>
        <w:t>Contact Lens and Anterior Eye</w:t>
      </w:r>
      <w:r w:rsidRPr="00192CEA">
        <w:rPr>
          <w:rFonts w:ascii="Arial" w:hAnsi="Arial" w:cs="Arial"/>
          <w:sz w:val="22"/>
          <w:szCs w:val="22"/>
          <w:lang w:val="en-GB"/>
        </w:rPr>
        <w:t>, p.102509.</w:t>
      </w:r>
    </w:p>
    <w:p w14:paraId="6ED51013" w14:textId="7690AB06"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Mlambo, M., Silén, C. and McGrath, C., 2021. Lifelong learning and nurses’ continuing professional development, a </w:t>
      </w:r>
      <w:proofErr w:type="spellStart"/>
      <w:r w:rsidRPr="00192CEA">
        <w:rPr>
          <w:rFonts w:ascii="Arial" w:hAnsi="Arial" w:cs="Arial"/>
          <w:sz w:val="22"/>
          <w:szCs w:val="22"/>
          <w:lang w:val="en-GB"/>
        </w:rPr>
        <w:t>metasynthesis</w:t>
      </w:r>
      <w:proofErr w:type="spellEnd"/>
      <w:r w:rsidRPr="00192CEA">
        <w:rPr>
          <w:rFonts w:ascii="Arial" w:hAnsi="Arial" w:cs="Arial"/>
          <w:sz w:val="22"/>
          <w:szCs w:val="22"/>
          <w:lang w:val="en-GB"/>
        </w:rPr>
        <w:t xml:space="preserve"> of the literature. </w:t>
      </w:r>
      <w:r w:rsidRPr="00192CEA">
        <w:rPr>
          <w:rFonts w:ascii="Arial" w:hAnsi="Arial" w:cs="Arial"/>
          <w:i/>
          <w:iCs/>
          <w:sz w:val="22"/>
          <w:szCs w:val="22"/>
          <w:lang w:val="en-GB"/>
        </w:rPr>
        <w:t>BMC nursing</w:t>
      </w:r>
      <w:r w:rsidRPr="00192CEA">
        <w:rPr>
          <w:rFonts w:ascii="Arial" w:hAnsi="Arial" w:cs="Arial"/>
          <w:sz w:val="22"/>
          <w:szCs w:val="22"/>
          <w:lang w:val="en-GB"/>
        </w:rPr>
        <w:t>, </w:t>
      </w:r>
      <w:r w:rsidRPr="00192CEA">
        <w:rPr>
          <w:rFonts w:ascii="Arial" w:hAnsi="Arial" w:cs="Arial"/>
          <w:i/>
          <w:iCs/>
          <w:sz w:val="22"/>
          <w:szCs w:val="22"/>
          <w:lang w:val="en-GB"/>
        </w:rPr>
        <w:t>20</w:t>
      </w:r>
      <w:r w:rsidRPr="00192CEA">
        <w:rPr>
          <w:rFonts w:ascii="Arial" w:hAnsi="Arial" w:cs="Arial"/>
          <w:sz w:val="22"/>
          <w:szCs w:val="22"/>
          <w:lang w:val="en-GB"/>
        </w:rPr>
        <w:t>(1), p.62.</w:t>
      </w:r>
    </w:p>
    <w:p w14:paraId="0BF7246D" w14:textId="45EAB32C"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NHS., 2025.  </w:t>
      </w:r>
      <w:r w:rsidRPr="00192CEA">
        <w:rPr>
          <w:rFonts w:ascii="Arial" w:hAnsi="Arial" w:cs="Arial"/>
          <w:i/>
          <w:iCs/>
          <w:sz w:val="22"/>
          <w:szCs w:val="22"/>
          <w:lang w:val="en-GB"/>
        </w:rPr>
        <w:t>NHS Choices</w:t>
      </w:r>
      <w:r w:rsidRPr="00192CEA">
        <w:rPr>
          <w:rFonts w:ascii="Arial" w:hAnsi="Arial" w:cs="Arial"/>
          <w:sz w:val="22"/>
          <w:szCs w:val="22"/>
          <w:lang w:val="en-GB"/>
        </w:rPr>
        <w:t>. NHS. Available at: https://www.healthcareers.nhs.uk/explore-roles/doctors/roles-doctors/ophthalmology (Accessed: 22 March 2026).</w:t>
      </w:r>
    </w:p>
    <w:p w14:paraId="233D0DCA" w14:textId="57E870BB"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 xml:space="preserve">NHS., 2025a. </w:t>
      </w:r>
      <w:r w:rsidRPr="00192CEA">
        <w:rPr>
          <w:rFonts w:ascii="Arial" w:hAnsi="Arial" w:cs="Arial"/>
          <w:i/>
          <w:iCs/>
          <w:sz w:val="22"/>
          <w:szCs w:val="22"/>
          <w:lang w:val="en-GB"/>
        </w:rPr>
        <w:t>NHS Choices</w:t>
      </w:r>
      <w:r w:rsidRPr="00192CEA">
        <w:rPr>
          <w:rFonts w:ascii="Arial" w:hAnsi="Arial" w:cs="Arial"/>
          <w:sz w:val="22"/>
          <w:szCs w:val="22"/>
          <w:lang w:val="en-GB"/>
        </w:rPr>
        <w:t>. NHS. Available at: https://www.hee.nhs.uk/our-work/cancer-diagnostics/cancer-communications-resource-hub/patient/how-good-communication-skills-benefit-patients-service-users-people-affected (Accessed: 22 March 2026).</w:t>
      </w:r>
    </w:p>
    <w:p w14:paraId="7846CDF4" w14:textId="0B39964C" w:rsidR="00840188" w:rsidRPr="00192CEA"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NHS., 2025b. Scotland, P. H. (no date) </w:t>
      </w:r>
      <w:r w:rsidRPr="00192CEA">
        <w:rPr>
          <w:rFonts w:ascii="Arial" w:hAnsi="Arial" w:cs="Arial"/>
          <w:i/>
          <w:iCs/>
          <w:sz w:val="22"/>
          <w:szCs w:val="22"/>
          <w:lang w:val="en-GB"/>
        </w:rPr>
        <w:t xml:space="preserve">Ophthalmic workload </w:t>
      </w:r>
      <w:proofErr w:type="spellStart"/>
      <w:r w:rsidRPr="00192CEA">
        <w:rPr>
          <w:rFonts w:ascii="Arial" w:hAnsi="Arial" w:cs="Arial"/>
          <w:i/>
          <w:iCs/>
          <w:sz w:val="22"/>
          <w:szCs w:val="22"/>
          <w:lang w:val="en-GB"/>
        </w:rPr>
        <w:t>statisticsStatistics</w:t>
      </w:r>
      <w:proofErr w:type="spellEnd"/>
      <w:r w:rsidRPr="00192CEA">
        <w:rPr>
          <w:rFonts w:ascii="Arial" w:hAnsi="Arial" w:cs="Arial"/>
          <w:i/>
          <w:iCs/>
          <w:sz w:val="22"/>
          <w:szCs w:val="22"/>
          <w:lang w:val="en-GB"/>
        </w:rPr>
        <w:t xml:space="preserve"> as at year ending March 2025</w:t>
      </w:r>
      <w:r w:rsidRPr="00192CEA">
        <w:rPr>
          <w:rFonts w:ascii="Arial" w:hAnsi="Arial" w:cs="Arial"/>
          <w:sz w:val="22"/>
          <w:szCs w:val="22"/>
          <w:lang w:val="en-GB"/>
        </w:rPr>
        <w:t>, </w:t>
      </w:r>
      <w:r w:rsidRPr="00192CEA">
        <w:rPr>
          <w:rFonts w:ascii="Arial" w:hAnsi="Arial" w:cs="Arial"/>
          <w:i/>
          <w:iCs/>
          <w:sz w:val="22"/>
          <w:szCs w:val="22"/>
          <w:lang w:val="en-GB"/>
        </w:rPr>
        <w:t>Ophthalmic workload statistics - Statistics as at year ending March 2025 - Ophthalmic workload statistics - Publications - Public Health Scotland</w:t>
      </w:r>
      <w:r w:rsidRPr="00192CEA">
        <w:rPr>
          <w:rFonts w:ascii="Arial" w:hAnsi="Arial" w:cs="Arial"/>
          <w:sz w:val="22"/>
          <w:szCs w:val="22"/>
          <w:lang w:val="en-GB"/>
        </w:rPr>
        <w:t>. Available at: https://publichealthscotland.scot/publications/ophthalmic-workload-statistics/ophthalmic-workload-statistics-statistics-as-at-year-ending-march-2025/ (Accessed: 22 March 2026).</w:t>
      </w:r>
    </w:p>
    <w:p w14:paraId="4F580619" w14:textId="3B47855A" w:rsidR="00840188" w:rsidRPr="00DD6A86" w:rsidRDefault="00840188" w:rsidP="009E7C9D">
      <w:pPr>
        <w:spacing w:line="360" w:lineRule="auto"/>
        <w:ind w:left="720" w:hanging="720"/>
        <w:jc w:val="both"/>
        <w:rPr>
          <w:rFonts w:ascii="Arial" w:hAnsi="Arial" w:cs="Arial"/>
          <w:sz w:val="22"/>
          <w:szCs w:val="22"/>
          <w:lang w:val="en-GB"/>
        </w:rPr>
      </w:pPr>
      <w:r w:rsidRPr="00192CEA">
        <w:rPr>
          <w:rFonts w:ascii="Arial" w:hAnsi="Arial" w:cs="Arial"/>
          <w:sz w:val="22"/>
          <w:szCs w:val="22"/>
          <w:lang w:val="en-GB"/>
        </w:rPr>
        <w:t>NHS., 2025c. </w:t>
      </w:r>
      <w:r w:rsidRPr="00192CEA">
        <w:rPr>
          <w:rFonts w:ascii="Arial" w:hAnsi="Arial" w:cs="Arial"/>
          <w:i/>
          <w:iCs/>
          <w:sz w:val="22"/>
          <w:szCs w:val="22"/>
          <w:lang w:val="en-GB"/>
        </w:rPr>
        <w:t>NHS Choices</w:t>
      </w:r>
      <w:r w:rsidRPr="00192CEA">
        <w:rPr>
          <w:rFonts w:ascii="Arial" w:hAnsi="Arial" w:cs="Arial"/>
          <w:sz w:val="22"/>
          <w:szCs w:val="22"/>
          <w:lang w:val="en-GB"/>
        </w:rPr>
        <w:t>. NHS. Available at: https://www.nhs.uk/nhs-services/opticians/visiting-an-optician/ (Accessed: 22 March 2026</w:t>
      </w:r>
      <w:r w:rsidRPr="00DD6A86">
        <w:rPr>
          <w:rFonts w:ascii="Arial" w:hAnsi="Arial" w:cs="Arial"/>
          <w:sz w:val="22"/>
          <w:szCs w:val="22"/>
          <w:lang w:val="en-GB"/>
        </w:rPr>
        <w:t>).</w:t>
      </w:r>
    </w:p>
    <w:p w14:paraId="27A2F0CF" w14:textId="5733FFC2" w:rsidR="00840188" w:rsidRPr="00DD6A86" w:rsidRDefault="00840188" w:rsidP="009E7C9D">
      <w:pPr>
        <w:spacing w:line="360" w:lineRule="auto"/>
        <w:ind w:left="720" w:hanging="720"/>
        <w:jc w:val="both"/>
        <w:rPr>
          <w:rFonts w:ascii="Arial" w:hAnsi="Arial" w:cs="Arial"/>
          <w:sz w:val="22"/>
          <w:szCs w:val="22"/>
          <w:lang w:val="en-GB"/>
        </w:rPr>
      </w:pPr>
    </w:p>
    <w:p w14:paraId="30FCEC93" w14:textId="00E7AABE"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Scheffer, M., Menting, J., Rausch</w:t>
      </w:r>
      <w:r w:rsidRPr="00DD6A86">
        <w:rPr>
          <w:rFonts w:ascii="Cambria Math" w:hAnsi="Cambria Math" w:cs="Cambria Math"/>
          <w:sz w:val="22"/>
          <w:szCs w:val="22"/>
          <w:lang w:val="en-GB"/>
        </w:rPr>
        <w:t>‐</w:t>
      </w:r>
      <w:r w:rsidRPr="00DD6A86">
        <w:rPr>
          <w:rFonts w:ascii="Arial" w:hAnsi="Arial" w:cs="Arial"/>
          <w:sz w:val="22"/>
          <w:szCs w:val="22"/>
          <w:lang w:val="en-GB"/>
        </w:rPr>
        <w:t xml:space="preserve">Koster, P., van </w:t>
      </w:r>
      <w:proofErr w:type="spellStart"/>
      <w:r w:rsidRPr="00DD6A86">
        <w:rPr>
          <w:rFonts w:ascii="Arial" w:hAnsi="Arial" w:cs="Arial"/>
          <w:sz w:val="22"/>
          <w:szCs w:val="22"/>
          <w:lang w:val="en-GB"/>
        </w:rPr>
        <w:t>Nispen</w:t>
      </w:r>
      <w:proofErr w:type="spellEnd"/>
      <w:r w:rsidRPr="00DD6A86">
        <w:rPr>
          <w:rFonts w:ascii="Arial" w:hAnsi="Arial" w:cs="Arial"/>
          <w:sz w:val="22"/>
          <w:szCs w:val="22"/>
          <w:lang w:val="en-GB"/>
        </w:rPr>
        <w:t xml:space="preserve">, R. and van </w:t>
      </w:r>
      <w:proofErr w:type="spellStart"/>
      <w:r w:rsidRPr="00DD6A86">
        <w:rPr>
          <w:rFonts w:ascii="Arial" w:hAnsi="Arial" w:cs="Arial"/>
          <w:sz w:val="22"/>
          <w:szCs w:val="22"/>
          <w:lang w:val="en-GB"/>
        </w:rPr>
        <w:t>Dulmen</w:t>
      </w:r>
      <w:proofErr w:type="spellEnd"/>
      <w:r w:rsidRPr="00DD6A86">
        <w:rPr>
          <w:rFonts w:ascii="Arial" w:hAnsi="Arial" w:cs="Arial"/>
          <w:sz w:val="22"/>
          <w:szCs w:val="22"/>
          <w:lang w:val="en-GB"/>
        </w:rPr>
        <w:t>, S., 2025. Looking beyond the eyes of the patient: The importance of effective communication in the treatment of age</w:t>
      </w:r>
      <w:r w:rsidRPr="00DD6A86">
        <w:rPr>
          <w:rFonts w:ascii="Cambria Math" w:hAnsi="Cambria Math" w:cs="Cambria Math"/>
          <w:sz w:val="22"/>
          <w:szCs w:val="22"/>
          <w:lang w:val="en-GB"/>
        </w:rPr>
        <w:t>‐</w:t>
      </w:r>
      <w:r w:rsidRPr="00DD6A86">
        <w:rPr>
          <w:rFonts w:ascii="Arial" w:hAnsi="Arial" w:cs="Arial"/>
          <w:sz w:val="22"/>
          <w:szCs w:val="22"/>
          <w:lang w:val="en-GB"/>
        </w:rPr>
        <w:t>related macular degeneration. </w:t>
      </w:r>
      <w:r w:rsidRPr="00DD6A86">
        <w:rPr>
          <w:rFonts w:ascii="Arial" w:hAnsi="Arial" w:cs="Arial"/>
          <w:i/>
          <w:iCs/>
          <w:sz w:val="22"/>
          <w:szCs w:val="22"/>
          <w:lang w:val="en-GB"/>
        </w:rPr>
        <w:t xml:space="preserve">Acta </w:t>
      </w:r>
      <w:proofErr w:type="spellStart"/>
      <w:r w:rsidRPr="00DD6A86">
        <w:rPr>
          <w:rFonts w:ascii="Arial" w:hAnsi="Arial" w:cs="Arial"/>
          <w:i/>
          <w:iCs/>
          <w:sz w:val="22"/>
          <w:szCs w:val="22"/>
          <w:lang w:val="en-GB"/>
        </w:rPr>
        <w:t>Ophthalmologica</w:t>
      </w:r>
      <w:proofErr w:type="spellEnd"/>
      <w:r w:rsidRPr="00DD6A86">
        <w:rPr>
          <w:rFonts w:ascii="Arial" w:hAnsi="Arial" w:cs="Arial"/>
          <w:sz w:val="22"/>
          <w:szCs w:val="22"/>
          <w:lang w:val="en-GB"/>
        </w:rPr>
        <w:t>, </w:t>
      </w:r>
      <w:r w:rsidRPr="00DD6A86">
        <w:rPr>
          <w:rFonts w:ascii="Arial" w:hAnsi="Arial" w:cs="Arial"/>
          <w:i/>
          <w:iCs/>
          <w:sz w:val="22"/>
          <w:szCs w:val="22"/>
          <w:lang w:val="en-GB"/>
        </w:rPr>
        <w:t>103</w:t>
      </w:r>
      <w:r w:rsidRPr="00DD6A86">
        <w:rPr>
          <w:rFonts w:ascii="Arial" w:hAnsi="Arial" w:cs="Arial"/>
          <w:sz w:val="22"/>
          <w:szCs w:val="22"/>
          <w:lang w:val="en-GB"/>
        </w:rPr>
        <w:t>(2), pp.205-214.</w:t>
      </w:r>
    </w:p>
    <w:p w14:paraId="720C7FCB" w14:textId="528DF8C3" w:rsidR="00840188" w:rsidRPr="00DD6A86" w:rsidRDefault="00840188" w:rsidP="009E7C9D">
      <w:pPr>
        <w:spacing w:line="360" w:lineRule="auto"/>
        <w:ind w:left="720" w:hanging="720"/>
        <w:jc w:val="both"/>
        <w:rPr>
          <w:rFonts w:ascii="Arial" w:hAnsi="Arial" w:cs="Arial"/>
          <w:sz w:val="22"/>
          <w:szCs w:val="22"/>
          <w:lang w:val="en-GB"/>
        </w:rPr>
      </w:pPr>
      <w:proofErr w:type="spellStart"/>
      <w:r w:rsidRPr="00DD6A86">
        <w:rPr>
          <w:rFonts w:ascii="Arial" w:hAnsi="Arial" w:cs="Arial"/>
          <w:sz w:val="22"/>
          <w:szCs w:val="22"/>
          <w:lang w:val="en-GB"/>
        </w:rPr>
        <w:t>Sermo</w:t>
      </w:r>
      <w:proofErr w:type="spellEnd"/>
      <w:r w:rsidRPr="00DD6A86">
        <w:rPr>
          <w:rFonts w:ascii="Arial" w:hAnsi="Arial" w:cs="Arial"/>
          <w:sz w:val="22"/>
          <w:szCs w:val="22"/>
          <w:lang w:val="en-GB"/>
        </w:rPr>
        <w:t xml:space="preserve">., 2025. </w:t>
      </w:r>
      <w:r w:rsidRPr="00DD6A86">
        <w:rPr>
          <w:rFonts w:ascii="Arial" w:hAnsi="Arial" w:cs="Arial"/>
          <w:i/>
          <w:iCs/>
          <w:sz w:val="22"/>
          <w:szCs w:val="22"/>
          <w:lang w:val="en-GB"/>
        </w:rPr>
        <w:t>Importance of effective communication in healthcare</w:t>
      </w:r>
      <w:r w:rsidRPr="00DD6A86">
        <w:rPr>
          <w:rFonts w:ascii="Arial" w:hAnsi="Arial" w:cs="Arial"/>
          <w:sz w:val="22"/>
          <w:szCs w:val="22"/>
          <w:lang w:val="en-GB"/>
        </w:rPr>
        <w:t>, </w:t>
      </w:r>
      <w:proofErr w:type="spellStart"/>
      <w:r w:rsidRPr="00DD6A86">
        <w:rPr>
          <w:rFonts w:ascii="Arial" w:hAnsi="Arial" w:cs="Arial"/>
          <w:i/>
          <w:iCs/>
          <w:sz w:val="22"/>
          <w:szCs w:val="22"/>
          <w:lang w:val="en-GB"/>
        </w:rPr>
        <w:t>Sermo</w:t>
      </w:r>
      <w:proofErr w:type="spellEnd"/>
      <w:r w:rsidRPr="00DD6A86">
        <w:rPr>
          <w:rFonts w:ascii="Arial" w:hAnsi="Arial" w:cs="Arial"/>
          <w:sz w:val="22"/>
          <w:szCs w:val="22"/>
          <w:lang w:val="en-GB"/>
        </w:rPr>
        <w:t>. Available at: https://www.sermo.com/en-gb/resources/importance-of-effective-communication-in-healthcare/ (Accessed: 22 March 2026).</w:t>
      </w:r>
    </w:p>
    <w:p w14:paraId="648F7805" w14:textId="2B8D4475"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Sharbini, S., Abdul-Mumin, K.H. and McKenna, L., 2025. Ophthalmic care education and training in nursing: A scoping review. </w:t>
      </w:r>
      <w:r w:rsidRPr="00DD6A86">
        <w:rPr>
          <w:rFonts w:ascii="Arial" w:hAnsi="Arial" w:cs="Arial"/>
          <w:i/>
          <w:iCs/>
          <w:sz w:val="22"/>
          <w:szCs w:val="22"/>
          <w:lang w:val="en-GB"/>
        </w:rPr>
        <w:t>Nurse Education Today</w:t>
      </w:r>
      <w:r w:rsidRPr="00DD6A86">
        <w:rPr>
          <w:rFonts w:ascii="Arial" w:hAnsi="Arial" w:cs="Arial"/>
          <w:sz w:val="22"/>
          <w:szCs w:val="22"/>
          <w:lang w:val="en-GB"/>
        </w:rPr>
        <w:t>, </w:t>
      </w:r>
      <w:r w:rsidRPr="00DD6A86">
        <w:rPr>
          <w:rFonts w:ascii="Arial" w:hAnsi="Arial" w:cs="Arial"/>
          <w:i/>
          <w:iCs/>
          <w:sz w:val="22"/>
          <w:szCs w:val="22"/>
          <w:lang w:val="en-GB"/>
        </w:rPr>
        <w:t>144</w:t>
      </w:r>
      <w:r w:rsidRPr="00DD6A86">
        <w:rPr>
          <w:rFonts w:ascii="Arial" w:hAnsi="Arial" w:cs="Arial"/>
          <w:sz w:val="22"/>
          <w:szCs w:val="22"/>
          <w:lang w:val="en-GB"/>
        </w:rPr>
        <w:t>, p.106484.</w:t>
      </w:r>
    </w:p>
    <w:p w14:paraId="6EFC3998" w14:textId="658805DB"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 xml:space="preserve">Shu, X., Wang, J. and Hu, L., 2019. A review of functional slit lamp </w:t>
      </w:r>
      <w:proofErr w:type="spellStart"/>
      <w:r w:rsidRPr="00DD6A86">
        <w:rPr>
          <w:rFonts w:ascii="Arial" w:hAnsi="Arial" w:cs="Arial"/>
          <w:sz w:val="22"/>
          <w:szCs w:val="22"/>
          <w:lang w:val="en-GB"/>
        </w:rPr>
        <w:t>biomicroscopy</w:t>
      </w:r>
      <w:proofErr w:type="spellEnd"/>
      <w:r w:rsidRPr="00DD6A86">
        <w:rPr>
          <w:rFonts w:ascii="Arial" w:hAnsi="Arial" w:cs="Arial"/>
          <w:sz w:val="22"/>
          <w:szCs w:val="22"/>
          <w:lang w:val="en-GB"/>
        </w:rPr>
        <w:t>. </w:t>
      </w:r>
      <w:r w:rsidRPr="00DD6A86">
        <w:rPr>
          <w:rFonts w:ascii="Arial" w:hAnsi="Arial" w:cs="Arial"/>
          <w:i/>
          <w:iCs/>
          <w:sz w:val="22"/>
          <w:szCs w:val="22"/>
          <w:lang w:val="en-GB"/>
        </w:rPr>
        <w:t>Eye and Vision</w:t>
      </w:r>
      <w:r w:rsidRPr="00DD6A86">
        <w:rPr>
          <w:rFonts w:ascii="Arial" w:hAnsi="Arial" w:cs="Arial"/>
          <w:sz w:val="22"/>
          <w:szCs w:val="22"/>
          <w:lang w:val="en-GB"/>
        </w:rPr>
        <w:t>, </w:t>
      </w:r>
      <w:r w:rsidRPr="00DD6A86">
        <w:rPr>
          <w:rFonts w:ascii="Arial" w:hAnsi="Arial" w:cs="Arial"/>
          <w:i/>
          <w:iCs/>
          <w:sz w:val="22"/>
          <w:szCs w:val="22"/>
          <w:lang w:val="en-GB"/>
        </w:rPr>
        <w:t>6</w:t>
      </w:r>
      <w:r w:rsidRPr="00DD6A86">
        <w:rPr>
          <w:rFonts w:ascii="Arial" w:hAnsi="Arial" w:cs="Arial"/>
          <w:sz w:val="22"/>
          <w:szCs w:val="22"/>
          <w:lang w:val="en-GB"/>
        </w:rPr>
        <w:t>(1), p.15.</w:t>
      </w:r>
    </w:p>
    <w:p w14:paraId="5D3A7DFE" w14:textId="2E559C18"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lastRenderedPageBreak/>
        <w:t>Stein, J.D., Khawaja, A.P. and Weizer, J.S., 2021. Glaucoma in adults—screening, diagnosis, and management: a review. </w:t>
      </w:r>
      <w:r w:rsidRPr="00DD6A86">
        <w:rPr>
          <w:rFonts w:ascii="Arial" w:hAnsi="Arial" w:cs="Arial"/>
          <w:i/>
          <w:iCs/>
          <w:sz w:val="22"/>
          <w:szCs w:val="22"/>
          <w:lang w:val="en-GB"/>
        </w:rPr>
        <w:t>Jama</w:t>
      </w:r>
      <w:r w:rsidRPr="00DD6A86">
        <w:rPr>
          <w:rFonts w:ascii="Arial" w:hAnsi="Arial" w:cs="Arial"/>
          <w:sz w:val="22"/>
          <w:szCs w:val="22"/>
          <w:lang w:val="en-GB"/>
        </w:rPr>
        <w:t>, </w:t>
      </w:r>
      <w:r w:rsidRPr="00DD6A86">
        <w:rPr>
          <w:rFonts w:ascii="Arial" w:hAnsi="Arial" w:cs="Arial"/>
          <w:i/>
          <w:iCs/>
          <w:sz w:val="22"/>
          <w:szCs w:val="22"/>
          <w:lang w:val="en-GB"/>
        </w:rPr>
        <w:t>325</w:t>
      </w:r>
      <w:r w:rsidRPr="00DD6A86">
        <w:rPr>
          <w:rFonts w:ascii="Arial" w:hAnsi="Arial" w:cs="Arial"/>
          <w:sz w:val="22"/>
          <w:szCs w:val="22"/>
          <w:lang w:val="en-GB"/>
        </w:rPr>
        <w:t>(2), pp.164-174.</w:t>
      </w:r>
    </w:p>
    <w:p w14:paraId="28006A31" w14:textId="2A689B51" w:rsidR="00840188" w:rsidRPr="00DD6A86" w:rsidRDefault="00840188" w:rsidP="009E7C9D">
      <w:pPr>
        <w:spacing w:line="360" w:lineRule="auto"/>
        <w:ind w:left="720" w:hanging="720"/>
        <w:jc w:val="both"/>
        <w:rPr>
          <w:rFonts w:ascii="Arial" w:hAnsi="Arial" w:cs="Arial"/>
          <w:sz w:val="22"/>
          <w:szCs w:val="22"/>
          <w:lang w:val="en-GB"/>
        </w:rPr>
      </w:pPr>
      <w:r w:rsidRPr="00DD6A86">
        <w:rPr>
          <w:rFonts w:ascii="Arial" w:hAnsi="Arial" w:cs="Arial"/>
          <w:sz w:val="22"/>
          <w:szCs w:val="22"/>
          <w:lang w:val="en-GB"/>
        </w:rPr>
        <w:t>WHO.,</w:t>
      </w:r>
      <w:r w:rsidR="00192CEA">
        <w:rPr>
          <w:rFonts w:ascii="Arial" w:hAnsi="Arial" w:cs="Arial"/>
          <w:sz w:val="22"/>
          <w:szCs w:val="22"/>
          <w:lang w:val="en-GB"/>
        </w:rPr>
        <w:t xml:space="preserve"> </w:t>
      </w:r>
      <w:r w:rsidRPr="00DD6A86">
        <w:rPr>
          <w:rFonts w:ascii="Arial" w:hAnsi="Arial" w:cs="Arial"/>
          <w:sz w:val="22"/>
          <w:szCs w:val="22"/>
          <w:lang w:val="en-GB"/>
        </w:rPr>
        <w:t>2024. World report on vision. https://www.who.int/docs/default-source/documents/publications/world-vision-report-accessible.pdf</w:t>
      </w:r>
    </w:p>
    <w:sectPr w:rsidR="00840188" w:rsidRPr="00DD6A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24BBB" w14:textId="77777777" w:rsidR="00BD6169" w:rsidRDefault="00BD6169" w:rsidP="000C163C">
      <w:pPr>
        <w:spacing w:after="0" w:line="240" w:lineRule="auto"/>
      </w:pPr>
      <w:r>
        <w:separator/>
      </w:r>
    </w:p>
  </w:endnote>
  <w:endnote w:type="continuationSeparator" w:id="0">
    <w:p w14:paraId="6EF29025" w14:textId="77777777" w:rsidR="00BD6169" w:rsidRDefault="00BD6169" w:rsidP="000C1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Yu Gothic Light">
    <w:panose1 w:val="020B0300000000000000"/>
    <w:charset w:val="80"/>
    <w:family w:val="swiss"/>
    <w:pitch w:val="variable"/>
    <w:sig w:usb0="E00002FF" w:usb1="2AC7FDFF" w:usb2="00000016" w:usb3="00000000" w:csb0="0002009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FE12D" w14:textId="77777777" w:rsidR="00BD6169" w:rsidRDefault="00BD6169" w:rsidP="000C163C">
      <w:pPr>
        <w:spacing w:after="0" w:line="240" w:lineRule="auto"/>
      </w:pPr>
      <w:r>
        <w:separator/>
      </w:r>
    </w:p>
  </w:footnote>
  <w:footnote w:type="continuationSeparator" w:id="0">
    <w:p w14:paraId="4F0C2779" w14:textId="77777777" w:rsidR="00BD6169" w:rsidRDefault="00BD6169" w:rsidP="000C16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A10"/>
    <w:multiLevelType w:val="multilevel"/>
    <w:tmpl w:val="B25A9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5427F"/>
    <w:multiLevelType w:val="multilevel"/>
    <w:tmpl w:val="72547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E36DE"/>
    <w:multiLevelType w:val="multilevel"/>
    <w:tmpl w:val="5EAC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3B017D"/>
    <w:multiLevelType w:val="multilevel"/>
    <w:tmpl w:val="B3E8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420F3C"/>
    <w:multiLevelType w:val="multilevel"/>
    <w:tmpl w:val="24AE8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90A61"/>
    <w:multiLevelType w:val="multilevel"/>
    <w:tmpl w:val="DF0E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B74A59"/>
    <w:multiLevelType w:val="multilevel"/>
    <w:tmpl w:val="E0A0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C0758C"/>
    <w:multiLevelType w:val="multilevel"/>
    <w:tmpl w:val="7786C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9E0D9D"/>
    <w:multiLevelType w:val="multilevel"/>
    <w:tmpl w:val="02D6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292770"/>
    <w:multiLevelType w:val="multilevel"/>
    <w:tmpl w:val="7F6C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4A0982"/>
    <w:multiLevelType w:val="multilevel"/>
    <w:tmpl w:val="0100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527E6B"/>
    <w:multiLevelType w:val="multilevel"/>
    <w:tmpl w:val="3074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496A87"/>
    <w:multiLevelType w:val="multilevel"/>
    <w:tmpl w:val="064AC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3A4C5D"/>
    <w:multiLevelType w:val="multilevel"/>
    <w:tmpl w:val="B50C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944722"/>
    <w:multiLevelType w:val="multilevel"/>
    <w:tmpl w:val="3A5AD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BD4F12"/>
    <w:multiLevelType w:val="multilevel"/>
    <w:tmpl w:val="78806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077709"/>
    <w:multiLevelType w:val="multilevel"/>
    <w:tmpl w:val="CBC2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B83655"/>
    <w:multiLevelType w:val="multilevel"/>
    <w:tmpl w:val="10BEC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9A7FAF"/>
    <w:multiLevelType w:val="multilevel"/>
    <w:tmpl w:val="67FC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6050BE"/>
    <w:multiLevelType w:val="multilevel"/>
    <w:tmpl w:val="B1EAF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4F4F2F"/>
    <w:multiLevelType w:val="multilevel"/>
    <w:tmpl w:val="EE22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800563"/>
    <w:multiLevelType w:val="multilevel"/>
    <w:tmpl w:val="CD2CA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BE2D52"/>
    <w:multiLevelType w:val="multilevel"/>
    <w:tmpl w:val="9DAE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8F72DC"/>
    <w:multiLevelType w:val="multilevel"/>
    <w:tmpl w:val="50DA0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4B66D2"/>
    <w:multiLevelType w:val="multilevel"/>
    <w:tmpl w:val="8C94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F21C31"/>
    <w:multiLevelType w:val="multilevel"/>
    <w:tmpl w:val="5DBA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8B12FE"/>
    <w:multiLevelType w:val="multilevel"/>
    <w:tmpl w:val="7B4A3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FF7ED6"/>
    <w:multiLevelType w:val="multilevel"/>
    <w:tmpl w:val="3AB6E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E659E0"/>
    <w:multiLevelType w:val="multilevel"/>
    <w:tmpl w:val="7B946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927F61"/>
    <w:multiLevelType w:val="multilevel"/>
    <w:tmpl w:val="FEF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BA6E6D"/>
    <w:multiLevelType w:val="multilevel"/>
    <w:tmpl w:val="101E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216606"/>
    <w:multiLevelType w:val="multilevel"/>
    <w:tmpl w:val="72467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0B20BE"/>
    <w:multiLevelType w:val="multilevel"/>
    <w:tmpl w:val="8E12B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88325E"/>
    <w:multiLevelType w:val="multilevel"/>
    <w:tmpl w:val="062E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3D42EF"/>
    <w:multiLevelType w:val="multilevel"/>
    <w:tmpl w:val="0F8A8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D76DD8"/>
    <w:multiLevelType w:val="multilevel"/>
    <w:tmpl w:val="9132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D8522E7"/>
    <w:multiLevelType w:val="multilevel"/>
    <w:tmpl w:val="733C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FC469FE"/>
    <w:multiLevelType w:val="multilevel"/>
    <w:tmpl w:val="264E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04E0BD0"/>
    <w:multiLevelType w:val="multilevel"/>
    <w:tmpl w:val="CFBC0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5D4017"/>
    <w:multiLevelType w:val="multilevel"/>
    <w:tmpl w:val="09D0B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E2613B9"/>
    <w:multiLevelType w:val="multilevel"/>
    <w:tmpl w:val="ACDC0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E9251AF"/>
    <w:multiLevelType w:val="multilevel"/>
    <w:tmpl w:val="F0F2F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256932"/>
    <w:multiLevelType w:val="multilevel"/>
    <w:tmpl w:val="F532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81484E"/>
    <w:multiLevelType w:val="multilevel"/>
    <w:tmpl w:val="28327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D11793B"/>
    <w:multiLevelType w:val="multilevel"/>
    <w:tmpl w:val="5A36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2D4CF7"/>
    <w:multiLevelType w:val="multilevel"/>
    <w:tmpl w:val="C8B20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0D14045"/>
    <w:multiLevelType w:val="multilevel"/>
    <w:tmpl w:val="D378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0E26A10"/>
    <w:multiLevelType w:val="multilevel"/>
    <w:tmpl w:val="5C8E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ED787E"/>
    <w:multiLevelType w:val="multilevel"/>
    <w:tmpl w:val="980E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B15E4E"/>
    <w:multiLevelType w:val="multilevel"/>
    <w:tmpl w:val="1DDA7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420526D"/>
    <w:multiLevelType w:val="multilevel"/>
    <w:tmpl w:val="E51C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7525584"/>
    <w:multiLevelType w:val="multilevel"/>
    <w:tmpl w:val="E134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939442E"/>
    <w:multiLevelType w:val="multilevel"/>
    <w:tmpl w:val="C240C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A404D42"/>
    <w:multiLevelType w:val="multilevel"/>
    <w:tmpl w:val="69AC7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AC06F9D"/>
    <w:multiLevelType w:val="multilevel"/>
    <w:tmpl w:val="49D8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E1075DD"/>
    <w:multiLevelType w:val="multilevel"/>
    <w:tmpl w:val="E178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0082321">
    <w:abstractNumId w:val="31"/>
  </w:num>
  <w:num w:numId="2" w16cid:durableId="263346266">
    <w:abstractNumId w:val="19"/>
  </w:num>
  <w:num w:numId="3" w16cid:durableId="1255699710">
    <w:abstractNumId w:val="29"/>
  </w:num>
  <w:num w:numId="4" w16cid:durableId="1478914558">
    <w:abstractNumId w:val="9"/>
  </w:num>
  <w:num w:numId="5" w16cid:durableId="423768393">
    <w:abstractNumId w:val="47"/>
  </w:num>
  <w:num w:numId="6" w16cid:durableId="271134760">
    <w:abstractNumId w:val="51"/>
  </w:num>
  <w:num w:numId="7" w16cid:durableId="164172525">
    <w:abstractNumId w:val="20"/>
  </w:num>
  <w:num w:numId="8" w16cid:durableId="992024621">
    <w:abstractNumId w:val="27"/>
  </w:num>
  <w:num w:numId="9" w16cid:durableId="800420584">
    <w:abstractNumId w:val="13"/>
  </w:num>
  <w:num w:numId="10" w16cid:durableId="394477810">
    <w:abstractNumId w:val="48"/>
  </w:num>
  <w:num w:numId="11" w16cid:durableId="1357390420">
    <w:abstractNumId w:val="26"/>
  </w:num>
  <w:num w:numId="12" w16cid:durableId="689910273">
    <w:abstractNumId w:val="18"/>
  </w:num>
  <w:num w:numId="13" w16cid:durableId="2024548995">
    <w:abstractNumId w:val="16"/>
  </w:num>
  <w:num w:numId="14" w16cid:durableId="599872465">
    <w:abstractNumId w:val="17"/>
  </w:num>
  <w:num w:numId="15" w16cid:durableId="132407112">
    <w:abstractNumId w:val="21"/>
  </w:num>
  <w:num w:numId="16" w16cid:durableId="355036350">
    <w:abstractNumId w:val="8"/>
  </w:num>
  <w:num w:numId="17" w16cid:durableId="944922325">
    <w:abstractNumId w:val="55"/>
  </w:num>
  <w:num w:numId="18" w16cid:durableId="1604726156">
    <w:abstractNumId w:val="38"/>
  </w:num>
  <w:num w:numId="19" w16cid:durableId="472335767">
    <w:abstractNumId w:val="15"/>
  </w:num>
  <w:num w:numId="20" w16cid:durableId="914515217">
    <w:abstractNumId w:val="46"/>
  </w:num>
  <w:num w:numId="21" w16cid:durableId="1845198435">
    <w:abstractNumId w:val="14"/>
  </w:num>
  <w:num w:numId="22" w16cid:durableId="1995790497">
    <w:abstractNumId w:val="45"/>
  </w:num>
  <w:num w:numId="23" w16cid:durableId="53313075">
    <w:abstractNumId w:val="44"/>
  </w:num>
  <w:num w:numId="24" w16cid:durableId="196040499">
    <w:abstractNumId w:val="37"/>
  </w:num>
  <w:num w:numId="25" w16cid:durableId="47264017">
    <w:abstractNumId w:val="53"/>
  </w:num>
  <w:num w:numId="26" w16cid:durableId="1455098181">
    <w:abstractNumId w:val="4"/>
  </w:num>
  <w:num w:numId="27" w16cid:durableId="1181702653">
    <w:abstractNumId w:val="32"/>
  </w:num>
  <w:num w:numId="28" w16cid:durableId="2092048087">
    <w:abstractNumId w:val="54"/>
  </w:num>
  <w:num w:numId="29" w16cid:durableId="1197354517">
    <w:abstractNumId w:val="40"/>
  </w:num>
  <w:num w:numId="30" w16cid:durableId="599534370">
    <w:abstractNumId w:val="12"/>
  </w:num>
  <w:num w:numId="31" w16cid:durableId="2115591861">
    <w:abstractNumId w:val="52"/>
  </w:num>
  <w:num w:numId="32" w16cid:durableId="1308392207">
    <w:abstractNumId w:val="5"/>
  </w:num>
  <w:num w:numId="33" w16cid:durableId="612782550">
    <w:abstractNumId w:val="39"/>
  </w:num>
  <w:num w:numId="34" w16cid:durableId="1223637732">
    <w:abstractNumId w:val="24"/>
  </w:num>
  <w:num w:numId="35" w16cid:durableId="499586702">
    <w:abstractNumId w:val="2"/>
  </w:num>
  <w:num w:numId="36" w16cid:durableId="769549669">
    <w:abstractNumId w:val="3"/>
  </w:num>
  <w:num w:numId="37" w16cid:durableId="800000235">
    <w:abstractNumId w:val="6"/>
  </w:num>
  <w:num w:numId="38" w16cid:durableId="2146463836">
    <w:abstractNumId w:val="30"/>
  </w:num>
  <w:num w:numId="39" w16cid:durableId="777454338">
    <w:abstractNumId w:val="35"/>
  </w:num>
  <w:num w:numId="40" w16cid:durableId="1986278301">
    <w:abstractNumId w:val="1"/>
  </w:num>
  <w:num w:numId="41" w16cid:durableId="878129597">
    <w:abstractNumId w:val="25"/>
  </w:num>
  <w:num w:numId="42" w16cid:durableId="1710447364">
    <w:abstractNumId w:val="43"/>
  </w:num>
  <w:num w:numId="43" w16cid:durableId="1393457468">
    <w:abstractNumId w:val="42"/>
  </w:num>
  <w:num w:numId="44" w16cid:durableId="1465808808">
    <w:abstractNumId w:val="28"/>
  </w:num>
  <w:num w:numId="45" w16cid:durableId="2082098502">
    <w:abstractNumId w:val="22"/>
  </w:num>
  <w:num w:numId="46" w16cid:durableId="665403775">
    <w:abstractNumId w:val="34"/>
  </w:num>
  <w:num w:numId="47" w16cid:durableId="1890022467">
    <w:abstractNumId w:val="41"/>
  </w:num>
  <w:num w:numId="48" w16cid:durableId="1324091540">
    <w:abstractNumId w:val="0"/>
  </w:num>
  <w:num w:numId="49" w16cid:durableId="932593190">
    <w:abstractNumId w:val="33"/>
  </w:num>
  <w:num w:numId="50" w16cid:durableId="1457523422">
    <w:abstractNumId w:val="50"/>
  </w:num>
  <w:num w:numId="51" w16cid:durableId="116727144">
    <w:abstractNumId w:val="10"/>
  </w:num>
  <w:num w:numId="52" w16cid:durableId="728384485">
    <w:abstractNumId w:val="36"/>
  </w:num>
  <w:num w:numId="53" w16cid:durableId="1943145580">
    <w:abstractNumId w:val="49"/>
  </w:num>
  <w:num w:numId="54" w16cid:durableId="1349674317">
    <w:abstractNumId w:val="23"/>
  </w:num>
  <w:num w:numId="55" w16cid:durableId="453600993">
    <w:abstractNumId w:val="7"/>
  </w:num>
  <w:num w:numId="56" w16cid:durableId="5416732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DEE"/>
    <w:rsid w:val="00025ED8"/>
    <w:rsid w:val="00027112"/>
    <w:rsid w:val="00034027"/>
    <w:rsid w:val="00043964"/>
    <w:rsid w:val="00054EC5"/>
    <w:rsid w:val="00065CB2"/>
    <w:rsid w:val="00077C44"/>
    <w:rsid w:val="00092C85"/>
    <w:rsid w:val="000948DE"/>
    <w:rsid w:val="000A35C9"/>
    <w:rsid w:val="000B16FE"/>
    <w:rsid w:val="000C163C"/>
    <w:rsid w:val="000D1BC8"/>
    <w:rsid w:val="000D4B42"/>
    <w:rsid w:val="000F4E70"/>
    <w:rsid w:val="0010763E"/>
    <w:rsid w:val="00174424"/>
    <w:rsid w:val="00186D70"/>
    <w:rsid w:val="00192CEA"/>
    <w:rsid w:val="001B5C94"/>
    <w:rsid w:val="001C0079"/>
    <w:rsid w:val="001C08D3"/>
    <w:rsid w:val="001C3F46"/>
    <w:rsid w:val="001F3EB1"/>
    <w:rsid w:val="0022742C"/>
    <w:rsid w:val="0023253A"/>
    <w:rsid w:val="002609FE"/>
    <w:rsid w:val="00276D9F"/>
    <w:rsid w:val="00292BA1"/>
    <w:rsid w:val="002A2BC0"/>
    <w:rsid w:val="002B414B"/>
    <w:rsid w:val="002D7587"/>
    <w:rsid w:val="002F5C3F"/>
    <w:rsid w:val="00330E55"/>
    <w:rsid w:val="00346095"/>
    <w:rsid w:val="00365BDA"/>
    <w:rsid w:val="003A79E8"/>
    <w:rsid w:val="003D59FD"/>
    <w:rsid w:val="003D72A2"/>
    <w:rsid w:val="003E0B1C"/>
    <w:rsid w:val="003F583C"/>
    <w:rsid w:val="00405219"/>
    <w:rsid w:val="00454A99"/>
    <w:rsid w:val="0045553C"/>
    <w:rsid w:val="0046426C"/>
    <w:rsid w:val="004713A9"/>
    <w:rsid w:val="004744EE"/>
    <w:rsid w:val="004838B4"/>
    <w:rsid w:val="004A062C"/>
    <w:rsid w:val="004B0A2C"/>
    <w:rsid w:val="004C574B"/>
    <w:rsid w:val="00500150"/>
    <w:rsid w:val="00501ADC"/>
    <w:rsid w:val="005074CD"/>
    <w:rsid w:val="00526C1B"/>
    <w:rsid w:val="0055105B"/>
    <w:rsid w:val="00563E6D"/>
    <w:rsid w:val="00565C6B"/>
    <w:rsid w:val="00571B76"/>
    <w:rsid w:val="0058777F"/>
    <w:rsid w:val="005A1F0F"/>
    <w:rsid w:val="005B7AA3"/>
    <w:rsid w:val="005D0C7B"/>
    <w:rsid w:val="005E5CA4"/>
    <w:rsid w:val="00600C1D"/>
    <w:rsid w:val="006171F0"/>
    <w:rsid w:val="0062537E"/>
    <w:rsid w:val="00651985"/>
    <w:rsid w:val="00663015"/>
    <w:rsid w:val="006654B1"/>
    <w:rsid w:val="006A51D4"/>
    <w:rsid w:val="006A7111"/>
    <w:rsid w:val="00704D42"/>
    <w:rsid w:val="00712F3E"/>
    <w:rsid w:val="00712F58"/>
    <w:rsid w:val="00713393"/>
    <w:rsid w:val="007356D7"/>
    <w:rsid w:val="007375ED"/>
    <w:rsid w:val="00757AA3"/>
    <w:rsid w:val="00777327"/>
    <w:rsid w:val="007A571B"/>
    <w:rsid w:val="007B571C"/>
    <w:rsid w:val="007D671D"/>
    <w:rsid w:val="007E2368"/>
    <w:rsid w:val="007F0079"/>
    <w:rsid w:val="00840188"/>
    <w:rsid w:val="00846F9D"/>
    <w:rsid w:val="008766B7"/>
    <w:rsid w:val="00891708"/>
    <w:rsid w:val="0089639D"/>
    <w:rsid w:val="008B3B1B"/>
    <w:rsid w:val="008C0D32"/>
    <w:rsid w:val="008D7F6C"/>
    <w:rsid w:val="008E4493"/>
    <w:rsid w:val="008E5677"/>
    <w:rsid w:val="008E721B"/>
    <w:rsid w:val="008F381C"/>
    <w:rsid w:val="00931418"/>
    <w:rsid w:val="00933C31"/>
    <w:rsid w:val="00972212"/>
    <w:rsid w:val="009B79B5"/>
    <w:rsid w:val="009E7C9D"/>
    <w:rsid w:val="009F3FDA"/>
    <w:rsid w:val="00A02088"/>
    <w:rsid w:val="00A05126"/>
    <w:rsid w:val="00A214C4"/>
    <w:rsid w:val="00A30737"/>
    <w:rsid w:val="00A3104E"/>
    <w:rsid w:val="00A31083"/>
    <w:rsid w:val="00A34325"/>
    <w:rsid w:val="00A5200B"/>
    <w:rsid w:val="00A62434"/>
    <w:rsid w:val="00A631BF"/>
    <w:rsid w:val="00A634FB"/>
    <w:rsid w:val="00A64BFA"/>
    <w:rsid w:val="00A73B81"/>
    <w:rsid w:val="00A81FC7"/>
    <w:rsid w:val="00A84704"/>
    <w:rsid w:val="00AD0EA3"/>
    <w:rsid w:val="00AD4E29"/>
    <w:rsid w:val="00AD5F4A"/>
    <w:rsid w:val="00AD6F72"/>
    <w:rsid w:val="00AF57E6"/>
    <w:rsid w:val="00B00BCB"/>
    <w:rsid w:val="00B0134F"/>
    <w:rsid w:val="00B06885"/>
    <w:rsid w:val="00B41208"/>
    <w:rsid w:val="00B4513D"/>
    <w:rsid w:val="00B57272"/>
    <w:rsid w:val="00BA19EC"/>
    <w:rsid w:val="00BB39A4"/>
    <w:rsid w:val="00BB43E3"/>
    <w:rsid w:val="00BC52D7"/>
    <w:rsid w:val="00BD1920"/>
    <w:rsid w:val="00BD6169"/>
    <w:rsid w:val="00BF136F"/>
    <w:rsid w:val="00C15817"/>
    <w:rsid w:val="00C23EA6"/>
    <w:rsid w:val="00C26F62"/>
    <w:rsid w:val="00C4129D"/>
    <w:rsid w:val="00C62601"/>
    <w:rsid w:val="00C65A80"/>
    <w:rsid w:val="00C740E7"/>
    <w:rsid w:val="00C76660"/>
    <w:rsid w:val="00CA661E"/>
    <w:rsid w:val="00CC0A2B"/>
    <w:rsid w:val="00CC1A52"/>
    <w:rsid w:val="00CD0DEE"/>
    <w:rsid w:val="00CD79C5"/>
    <w:rsid w:val="00CF4D6D"/>
    <w:rsid w:val="00CF5ACB"/>
    <w:rsid w:val="00D27EB2"/>
    <w:rsid w:val="00D31903"/>
    <w:rsid w:val="00D439FD"/>
    <w:rsid w:val="00D441E5"/>
    <w:rsid w:val="00D66196"/>
    <w:rsid w:val="00D66477"/>
    <w:rsid w:val="00DB58B7"/>
    <w:rsid w:val="00DC55A9"/>
    <w:rsid w:val="00DD0CC9"/>
    <w:rsid w:val="00DD6A86"/>
    <w:rsid w:val="00DE2F83"/>
    <w:rsid w:val="00DF016A"/>
    <w:rsid w:val="00E053A3"/>
    <w:rsid w:val="00E16E1F"/>
    <w:rsid w:val="00E23318"/>
    <w:rsid w:val="00E30694"/>
    <w:rsid w:val="00E340BF"/>
    <w:rsid w:val="00E422BD"/>
    <w:rsid w:val="00E4568B"/>
    <w:rsid w:val="00E613DC"/>
    <w:rsid w:val="00E63BE6"/>
    <w:rsid w:val="00E645EB"/>
    <w:rsid w:val="00E82F93"/>
    <w:rsid w:val="00EC1ED0"/>
    <w:rsid w:val="00ED096B"/>
    <w:rsid w:val="00ED0CAC"/>
    <w:rsid w:val="00ED1DAA"/>
    <w:rsid w:val="00ED2004"/>
    <w:rsid w:val="00EE1C2A"/>
    <w:rsid w:val="00EE6799"/>
    <w:rsid w:val="00EE7F0C"/>
    <w:rsid w:val="00EF2ABD"/>
    <w:rsid w:val="00F16712"/>
    <w:rsid w:val="00F52A67"/>
    <w:rsid w:val="00F575C1"/>
    <w:rsid w:val="00F760F1"/>
    <w:rsid w:val="00F83BEA"/>
    <w:rsid w:val="00F926AD"/>
    <w:rsid w:val="00FA4668"/>
    <w:rsid w:val="00FB2F52"/>
    <w:rsid w:val="00FC0347"/>
    <w:rsid w:val="00FC07F1"/>
    <w:rsid w:val="00FC67E7"/>
    <w:rsid w:val="00FD3F15"/>
    <w:rsid w:val="00FD5A75"/>
    <w:rsid w:val="00FD6C46"/>
    <w:rsid w:val="044682B4"/>
    <w:rsid w:val="055A8004"/>
    <w:rsid w:val="08F13951"/>
    <w:rsid w:val="0B4CE237"/>
    <w:rsid w:val="0B8A3C0C"/>
    <w:rsid w:val="0FCEA035"/>
    <w:rsid w:val="10F235A8"/>
    <w:rsid w:val="1122651F"/>
    <w:rsid w:val="19ECEB98"/>
    <w:rsid w:val="1C2C33B0"/>
    <w:rsid w:val="1E35D062"/>
    <w:rsid w:val="20351675"/>
    <w:rsid w:val="219B1160"/>
    <w:rsid w:val="2227F6CC"/>
    <w:rsid w:val="24ECF05F"/>
    <w:rsid w:val="24FA7AE6"/>
    <w:rsid w:val="2898742F"/>
    <w:rsid w:val="28FC6B89"/>
    <w:rsid w:val="2A9B84E4"/>
    <w:rsid w:val="2BD496DB"/>
    <w:rsid w:val="3352BC6E"/>
    <w:rsid w:val="3A70BC05"/>
    <w:rsid w:val="3A8CDB3E"/>
    <w:rsid w:val="3D46CD70"/>
    <w:rsid w:val="401DE4F2"/>
    <w:rsid w:val="48208B47"/>
    <w:rsid w:val="4854289B"/>
    <w:rsid w:val="4E6F37C8"/>
    <w:rsid w:val="50046413"/>
    <w:rsid w:val="5568DDC3"/>
    <w:rsid w:val="55F88739"/>
    <w:rsid w:val="568AC9F7"/>
    <w:rsid w:val="588F6C87"/>
    <w:rsid w:val="5E2FBE34"/>
    <w:rsid w:val="5F8164CF"/>
    <w:rsid w:val="61B50181"/>
    <w:rsid w:val="668A5A81"/>
    <w:rsid w:val="66FDEF23"/>
    <w:rsid w:val="67E98438"/>
    <w:rsid w:val="6EC5B460"/>
    <w:rsid w:val="780B7197"/>
    <w:rsid w:val="791D9F3F"/>
    <w:rsid w:val="7FEAC3D1"/>
  </w:rsids>
  <m:mathPr>
    <m:mathFont m:val="Cambria Math"/>
    <m:brkBin m:val="before"/>
    <m:brkBinSub m:val="--"/>
    <m:smallFrac m:val="0"/>
    <m:dispDef/>
    <m:lMargin m:val="0"/>
    <m:rMargin m:val="0"/>
    <m:defJc m:val="centerGroup"/>
    <m:wrapIndent m:val="1440"/>
    <m:intLim m:val="subSup"/>
    <m:naryLim m:val="undOvr"/>
  </m:mathPr>
  <w:themeFontLang w:val="en-US" w:eastAsia="ja-JP"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8DB67"/>
  <w15:chartTrackingRefBased/>
  <w15:docId w15:val="{79E156D9-1F19-4B0A-869A-089B13286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DEE"/>
  </w:style>
  <w:style w:type="paragraph" w:styleId="Heading1">
    <w:name w:val="heading 1"/>
    <w:basedOn w:val="Normal"/>
    <w:next w:val="Normal"/>
    <w:link w:val="Heading1Char"/>
    <w:uiPriority w:val="9"/>
    <w:qFormat/>
    <w:rsid w:val="00CD0DEE"/>
    <w:pPr>
      <w:keepNext/>
      <w:keepLines/>
      <w:spacing w:before="360" w:after="80"/>
      <w:outlineLvl w:val="0"/>
    </w:pPr>
    <w:rPr>
      <w:rFonts w:ascii="Times New Roman" w:eastAsiaTheme="majorEastAsia" w:hAnsi="Times New Roman" w:cs="Times New Roman"/>
      <w:b/>
      <w:bCs/>
      <w:color w:val="000000" w:themeColor="text1"/>
    </w:rPr>
  </w:style>
  <w:style w:type="paragraph" w:styleId="Heading2">
    <w:name w:val="heading 2"/>
    <w:basedOn w:val="Normal"/>
    <w:next w:val="Normal"/>
    <w:link w:val="Heading2Char"/>
    <w:uiPriority w:val="9"/>
    <w:unhideWhenUsed/>
    <w:qFormat/>
    <w:rsid w:val="00B4513D"/>
    <w:pPr>
      <w:spacing w:line="240" w:lineRule="auto"/>
      <w:outlineLvl w:val="1"/>
    </w:pPr>
    <w:rPr>
      <w:rFonts w:ascii="Times New Roman" w:hAnsi="Times New Roman" w:cs="Times New Roman"/>
      <w:b/>
      <w:bCs/>
      <w:color w:val="000000" w:themeColor="text1"/>
    </w:rPr>
  </w:style>
  <w:style w:type="paragraph" w:styleId="Heading3">
    <w:name w:val="heading 3"/>
    <w:basedOn w:val="Normal"/>
    <w:next w:val="Normal"/>
    <w:link w:val="Heading3Char"/>
    <w:uiPriority w:val="9"/>
    <w:semiHidden/>
    <w:unhideWhenUsed/>
    <w:qFormat/>
    <w:rsid w:val="00CD0D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D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D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D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D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D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D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DEE"/>
    <w:rPr>
      <w:rFonts w:ascii="Times New Roman" w:eastAsiaTheme="majorEastAsia" w:hAnsi="Times New Roman" w:cs="Times New Roman"/>
      <w:b/>
      <w:bCs/>
      <w:color w:val="000000" w:themeColor="text1"/>
    </w:rPr>
  </w:style>
  <w:style w:type="character" w:customStyle="1" w:styleId="Heading2Char">
    <w:name w:val="Heading 2 Char"/>
    <w:basedOn w:val="DefaultParagraphFont"/>
    <w:link w:val="Heading2"/>
    <w:uiPriority w:val="9"/>
    <w:rsid w:val="00B4513D"/>
    <w:rPr>
      <w:rFonts w:ascii="Times New Roman" w:hAnsi="Times New Roman" w:cs="Times New Roman"/>
      <w:b/>
      <w:bCs/>
      <w:color w:val="000000" w:themeColor="text1"/>
    </w:rPr>
  </w:style>
  <w:style w:type="character" w:customStyle="1" w:styleId="Heading3Char">
    <w:name w:val="Heading 3 Char"/>
    <w:basedOn w:val="DefaultParagraphFont"/>
    <w:link w:val="Heading3"/>
    <w:uiPriority w:val="9"/>
    <w:semiHidden/>
    <w:rsid w:val="00CD0D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D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D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D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D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D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DEE"/>
    <w:rPr>
      <w:rFonts w:eastAsiaTheme="majorEastAsia" w:cstheme="majorBidi"/>
      <w:color w:val="272727" w:themeColor="text1" w:themeTint="D8"/>
    </w:rPr>
  </w:style>
  <w:style w:type="paragraph" w:styleId="Title">
    <w:name w:val="Title"/>
    <w:basedOn w:val="Normal"/>
    <w:next w:val="Normal"/>
    <w:link w:val="TitleChar"/>
    <w:uiPriority w:val="10"/>
    <w:qFormat/>
    <w:rsid w:val="00CD0D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D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D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D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DEE"/>
    <w:pPr>
      <w:spacing w:before="160"/>
      <w:jc w:val="center"/>
    </w:pPr>
    <w:rPr>
      <w:i/>
      <w:iCs/>
      <w:color w:val="404040" w:themeColor="text1" w:themeTint="BF"/>
    </w:rPr>
  </w:style>
  <w:style w:type="character" w:customStyle="1" w:styleId="QuoteChar">
    <w:name w:val="Quote Char"/>
    <w:basedOn w:val="DefaultParagraphFont"/>
    <w:link w:val="Quote"/>
    <w:uiPriority w:val="29"/>
    <w:rsid w:val="00CD0DEE"/>
    <w:rPr>
      <w:i/>
      <w:iCs/>
      <w:color w:val="404040" w:themeColor="text1" w:themeTint="BF"/>
    </w:rPr>
  </w:style>
  <w:style w:type="paragraph" w:styleId="ListParagraph">
    <w:name w:val="List Paragraph"/>
    <w:basedOn w:val="Normal"/>
    <w:uiPriority w:val="34"/>
    <w:qFormat/>
    <w:rsid w:val="00CD0DEE"/>
    <w:pPr>
      <w:ind w:left="720"/>
      <w:contextualSpacing/>
    </w:pPr>
  </w:style>
  <w:style w:type="character" w:styleId="IntenseEmphasis">
    <w:name w:val="Intense Emphasis"/>
    <w:basedOn w:val="DefaultParagraphFont"/>
    <w:uiPriority w:val="21"/>
    <w:qFormat/>
    <w:rsid w:val="00CD0DEE"/>
    <w:rPr>
      <w:i/>
      <w:iCs/>
      <w:color w:val="0F4761" w:themeColor="accent1" w:themeShade="BF"/>
    </w:rPr>
  </w:style>
  <w:style w:type="paragraph" w:styleId="IntenseQuote">
    <w:name w:val="Intense Quote"/>
    <w:basedOn w:val="Normal"/>
    <w:next w:val="Normal"/>
    <w:link w:val="IntenseQuoteChar"/>
    <w:uiPriority w:val="30"/>
    <w:qFormat/>
    <w:rsid w:val="00CD0D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DEE"/>
    <w:rPr>
      <w:i/>
      <w:iCs/>
      <w:color w:val="0F4761" w:themeColor="accent1" w:themeShade="BF"/>
    </w:rPr>
  </w:style>
  <w:style w:type="character" w:styleId="IntenseReference">
    <w:name w:val="Intense Reference"/>
    <w:basedOn w:val="DefaultParagraphFont"/>
    <w:uiPriority w:val="32"/>
    <w:qFormat/>
    <w:rsid w:val="00CD0DEE"/>
    <w:rPr>
      <w:b/>
      <w:bCs/>
      <w:smallCaps/>
      <w:color w:val="0F4761" w:themeColor="accent1" w:themeShade="BF"/>
      <w:spacing w:val="5"/>
    </w:rPr>
  </w:style>
  <w:style w:type="paragraph" w:styleId="Caption">
    <w:name w:val="caption"/>
    <w:basedOn w:val="Normal"/>
    <w:next w:val="Normal"/>
    <w:uiPriority w:val="35"/>
    <w:unhideWhenUsed/>
    <w:qFormat/>
    <w:rsid w:val="00FB2F52"/>
    <w:pPr>
      <w:spacing w:after="200" w:line="240" w:lineRule="auto"/>
    </w:pPr>
    <w:rPr>
      <w:i/>
      <w:iCs/>
      <w:color w:val="0E2841" w:themeColor="text2"/>
      <w:sz w:val="18"/>
      <w:szCs w:val="18"/>
    </w:rPr>
  </w:style>
  <w:style w:type="character" w:styleId="Hyperlink">
    <w:name w:val="Hyperlink"/>
    <w:basedOn w:val="DefaultParagraphFont"/>
    <w:uiPriority w:val="99"/>
    <w:unhideWhenUsed/>
    <w:rsid w:val="00E63BE6"/>
    <w:rPr>
      <w:color w:val="467886" w:themeColor="hyperlink"/>
      <w:u w:val="single"/>
    </w:rPr>
  </w:style>
  <w:style w:type="character" w:styleId="UnresolvedMention">
    <w:name w:val="Unresolved Mention"/>
    <w:basedOn w:val="DefaultParagraphFont"/>
    <w:uiPriority w:val="99"/>
    <w:semiHidden/>
    <w:unhideWhenUsed/>
    <w:rsid w:val="00E63BE6"/>
    <w:rPr>
      <w:color w:val="605E5C"/>
      <w:shd w:val="clear" w:color="auto" w:fill="E1DFDD"/>
    </w:rPr>
  </w:style>
  <w:style w:type="table" w:styleId="TableGrid">
    <w:name w:val="Table Grid"/>
    <w:basedOn w:val="TableNormal"/>
    <w:uiPriority w:val="39"/>
    <w:rsid w:val="00876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0188"/>
    <w:pPr>
      <w:spacing w:before="240" w:after="0" w:line="259" w:lineRule="auto"/>
      <w:outlineLvl w:val="9"/>
    </w:pPr>
    <w:rPr>
      <w:rFonts w:asciiTheme="majorHAnsi"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40188"/>
    <w:pPr>
      <w:spacing w:after="100"/>
    </w:pPr>
  </w:style>
  <w:style w:type="paragraph" w:styleId="TOC2">
    <w:name w:val="toc 2"/>
    <w:basedOn w:val="Normal"/>
    <w:next w:val="Normal"/>
    <w:autoRedefine/>
    <w:uiPriority w:val="39"/>
    <w:unhideWhenUsed/>
    <w:rsid w:val="00840188"/>
    <w:pPr>
      <w:spacing w:after="100"/>
      <w:ind w:left="240"/>
    </w:pPr>
  </w:style>
  <w:style w:type="paragraph" w:styleId="Header">
    <w:name w:val="header"/>
    <w:basedOn w:val="Normal"/>
    <w:link w:val="HeaderChar"/>
    <w:uiPriority w:val="99"/>
    <w:unhideWhenUsed/>
    <w:rsid w:val="000C1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63C"/>
  </w:style>
  <w:style w:type="paragraph" w:styleId="Footer">
    <w:name w:val="footer"/>
    <w:basedOn w:val="Normal"/>
    <w:link w:val="FooterChar"/>
    <w:uiPriority w:val="99"/>
    <w:unhideWhenUsed/>
    <w:rsid w:val="000C1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link.springer.com/book/10.1007/b9749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114DF-C08B-4F8C-9DF7-BB2F052E3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2037</Words>
  <Characters>11613</Characters>
  <Application>Microsoft Office Word</Application>
  <DocSecurity>0</DocSecurity>
  <Lines>96</Lines>
  <Paragraphs>27</Paragraphs>
  <ScaleCrop>false</ScaleCrop>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
  <cp:lastModifiedBy>Valentino Rodriguez Fernando (2532545)</cp:lastModifiedBy>
  <cp:revision>2</cp:revision>
  <dcterms:created xsi:type="dcterms:W3CDTF">2026-04-19T15:08:00Z</dcterms:created>
  <dcterms:modified xsi:type="dcterms:W3CDTF">2026-04-19T15:08:00Z</dcterms:modified>
</cp:coreProperties>
</file>