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0D9FC8" w14:textId="7A7F67F2" w:rsidR="00FB3C7E" w:rsidRPr="00100B72" w:rsidRDefault="00FB3C7E" w:rsidP="00FB3C7E">
      <w:pPr>
        <w:jc w:val="center"/>
        <w:rPr>
          <w:rFonts w:asciiTheme="minorHAnsi" w:hAnsiTheme="minorHAnsi" w:cstheme="minorHAnsi"/>
          <w:b/>
          <w:bCs/>
          <w:u w:val="single"/>
        </w:rPr>
      </w:pPr>
      <w:r w:rsidRPr="00100B72">
        <w:rPr>
          <w:rFonts w:asciiTheme="minorHAnsi" w:hAnsiTheme="minorHAnsi" w:cstheme="minorHAnsi"/>
          <w:b/>
          <w:bCs/>
          <w:u w:val="single"/>
        </w:rPr>
        <w:t>A critical evaluation and the identification of the next teaching and learning steps focused on a case study of an individual learner or a group of learners, based on observed critical incident.</w:t>
      </w:r>
    </w:p>
    <w:p w14:paraId="24B77A26" w14:textId="77777777" w:rsidR="00FB3C7E" w:rsidRPr="00100B72" w:rsidRDefault="00FB3C7E" w:rsidP="00FB3C7E">
      <w:pPr>
        <w:rPr>
          <w:rFonts w:asciiTheme="minorHAnsi" w:hAnsiTheme="minorHAnsi" w:cstheme="minorHAnsi"/>
          <w:b/>
          <w:bCs/>
          <w:u w:val="single"/>
        </w:rPr>
      </w:pPr>
    </w:p>
    <w:p w14:paraId="2DD5CA04" w14:textId="77777777" w:rsidR="00FB3C7E" w:rsidRPr="00100B72" w:rsidRDefault="00FB3C7E" w:rsidP="00FB3C7E">
      <w:pPr>
        <w:rPr>
          <w:rFonts w:asciiTheme="minorHAnsi" w:hAnsiTheme="minorHAnsi" w:cstheme="minorHAnsi"/>
          <w:b/>
          <w:bCs/>
          <w:u w:val="single"/>
        </w:rPr>
      </w:pPr>
    </w:p>
    <w:p w14:paraId="7DB3B67E" w14:textId="77777777" w:rsidR="00FB3C7E" w:rsidRPr="00100B72" w:rsidRDefault="00FB3C7E" w:rsidP="00FB3C7E">
      <w:pPr>
        <w:rPr>
          <w:rFonts w:asciiTheme="minorHAnsi" w:hAnsiTheme="minorHAnsi" w:cstheme="minorHAnsi"/>
          <w:b/>
          <w:bCs/>
          <w:u w:val="single"/>
        </w:rPr>
      </w:pPr>
      <w:r w:rsidRPr="00100B72">
        <w:rPr>
          <w:rFonts w:asciiTheme="minorHAnsi" w:hAnsiTheme="minorHAnsi" w:cstheme="minorHAnsi"/>
          <w:b/>
          <w:bCs/>
          <w:u w:val="single"/>
        </w:rPr>
        <w:t xml:space="preserve">Introduction </w:t>
      </w:r>
    </w:p>
    <w:p w14:paraId="5400A0DE" w14:textId="034C7F6B" w:rsidR="00E26E11" w:rsidRPr="00100B72" w:rsidRDefault="00FB3C7E" w:rsidP="00FB3C7E">
      <w:pPr>
        <w:rPr>
          <w:rFonts w:asciiTheme="minorHAnsi" w:hAnsiTheme="minorHAnsi" w:cstheme="minorHAnsi"/>
        </w:rPr>
      </w:pPr>
      <w:r w:rsidRPr="00100B72">
        <w:rPr>
          <w:rFonts w:asciiTheme="minorHAnsi" w:hAnsiTheme="minorHAnsi" w:cstheme="minorHAnsi"/>
        </w:rPr>
        <w:t xml:space="preserve">In this assignment, I will be conducting a critical evaluation on an observed critical incident that occurred during a lesson observation during a year 2 parent-child cookery class. I had the opportunity to observe this over the ‘Bridging’ observation days at my lead network school. I am going to review and discuss findings from relevant theory and literature to guide and identify the next teaching steps and evaluate whether they meet the professional teaching standards and how they could be implemented into my own teaching practice. I will be looking at how the role of reflection on these critical incidents can help teachers continuously develop and enhance their teaching practise (Griffiths, 2008). </w:t>
      </w:r>
    </w:p>
    <w:p w14:paraId="20451850" w14:textId="77777777" w:rsidR="00E26E11" w:rsidRPr="00100B72" w:rsidRDefault="00E26E11" w:rsidP="00FB3C7E">
      <w:pPr>
        <w:rPr>
          <w:rFonts w:asciiTheme="minorHAnsi" w:hAnsiTheme="minorHAnsi" w:cstheme="minorHAnsi"/>
        </w:rPr>
      </w:pPr>
    </w:p>
    <w:p w14:paraId="726D0511" w14:textId="15C28563" w:rsidR="00FB3C7E" w:rsidRPr="00100B72" w:rsidRDefault="00FB3C7E" w:rsidP="00FB3C7E">
      <w:pPr>
        <w:rPr>
          <w:rFonts w:asciiTheme="minorHAnsi" w:hAnsiTheme="minorHAnsi" w:cstheme="minorHAnsi"/>
        </w:rPr>
      </w:pPr>
      <w:r w:rsidRPr="00100B72">
        <w:rPr>
          <w:rFonts w:asciiTheme="minorHAnsi" w:hAnsiTheme="minorHAnsi" w:cstheme="minorHAnsi"/>
        </w:rPr>
        <w:t xml:space="preserve">Finding critical incidents within a school or classroom environment was the first task within this assignment, although usually having a negative connotation the event itself in fact can be positive and is </w:t>
      </w:r>
      <w:r w:rsidR="00E26E11" w:rsidRPr="00100B72">
        <w:rPr>
          <w:rFonts w:asciiTheme="minorHAnsi" w:hAnsiTheme="minorHAnsi" w:cstheme="minorHAnsi"/>
        </w:rPr>
        <w:t xml:space="preserve">a </w:t>
      </w:r>
      <w:r w:rsidRPr="00100B72">
        <w:rPr>
          <w:rFonts w:asciiTheme="minorHAnsi" w:hAnsiTheme="minorHAnsi" w:cstheme="minorHAnsi"/>
        </w:rPr>
        <w:t xml:space="preserve">‘pivotal point’ between pupil and teacher. These incidents happen within both the school and classroom environment every day, with Tripp explaining that the meaning of the critical incident is the ‘interpretation of the significance and the valued judgement of an event that could otherwise seem mundane.’ (1993 p8). </w:t>
      </w:r>
    </w:p>
    <w:p w14:paraId="5B6862C6" w14:textId="715959E3" w:rsidR="00FB3C7E" w:rsidRPr="00100B72" w:rsidRDefault="00FB3C7E" w:rsidP="00FB3C7E">
      <w:pPr>
        <w:rPr>
          <w:rFonts w:asciiTheme="minorHAnsi" w:hAnsiTheme="minorHAnsi" w:cstheme="minorHAnsi"/>
        </w:rPr>
      </w:pPr>
      <w:r w:rsidRPr="00100B72">
        <w:rPr>
          <w:rFonts w:asciiTheme="minorHAnsi" w:hAnsiTheme="minorHAnsi" w:cstheme="minorHAnsi"/>
        </w:rPr>
        <w:t xml:space="preserve">This research will be conducted without the use of school or pupil names, although some information will be included for context that will not result directly or indirectly breach confidentiality or anonymity (BERA, 2018). </w:t>
      </w:r>
    </w:p>
    <w:p w14:paraId="4EA21AAC" w14:textId="77777777" w:rsidR="00FB3C7E" w:rsidRPr="00100B72" w:rsidRDefault="00FB3C7E" w:rsidP="00FB3C7E">
      <w:pPr>
        <w:rPr>
          <w:rFonts w:asciiTheme="minorHAnsi" w:hAnsiTheme="minorHAnsi" w:cstheme="minorHAnsi"/>
        </w:rPr>
      </w:pPr>
    </w:p>
    <w:p w14:paraId="1DDF4C71" w14:textId="18F1B244" w:rsidR="00FB3C7E" w:rsidRPr="00100B72" w:rsidRDefault="00FB3C7E" w:rsidP="00FB3C7E">
      <w:pPr>
        <w:rPr>
          <w:rFonts w:asciiTheme="minorHAnsi" w:hAnsiTheme="minorHAnsi" w:cstheme="minorHAnsi"/>
          <w:b/>
          <w:bCs/>
          <w:u w:val="single"/>
        </w:rPr>
      </w:pPr>
      <w:r w:rsidRPr="00100B72">
        <w:rPr>
          <w:rFonts w:asciiTheme="minorHAnsi" w:hAnsiTheme="minorHAnsi" w:cstheme="minorHAnsi"/>
          <w:b/>
          <w:bCs/>
          <w:u w:val="single"/>
        </w:rPr>
        <w:t xml:space="preserve">Role of critical reflection </w:t>
      </w:r>
    </w:p>
    <w:p w14:paraId="21573CD4" w14:textId="2AC56709" w:rsidR="00FB3C7E" w:rsidRPr="00100B72" w:rsidRDefault="00FB3C7E" w:rsidP="00FB3C7E">
      <w:pPr>
        <w:rPr>
          <w:rFonts w:asciiTheme="minorHAnsi" w:hAnsiTheme="minorHAnsi" w:cstheme="minorHAnsi"/>
          <w:b/>
          <w:bCs/>
          <w:u w:val="single"/>
        </w:rPr>
      </w:pPr>
    </w:p>
    <w:p w14:paraId="4929C03C" w14:textId="77777777" w:rsidR="00FB3C7E" w:rsidRPr="00100B72" w:rsidRDefault="00FB3C7E" w:rsidP="00FB3C7E">
      <w:pPr>
        <w:rPr>
          <w:rFonts w:asciiTheme="minorHAnsi" w:hAnsiTheme="minorHAnsi" w:cstheme="minorHAnsi"/>
        </w:rPr>
      </w:pPr>
      <w:r w:rsidRPr="00100B72">
        <w:rPr>
          <w:rFonts w:asciiTheme="minorHAnsi" w:hAnsiTheme="minorHAnsi" w:cstheme="minorHAnsi"/>
        </w:rPr>
        <w:t xml:space="preserve">Reflective practice within the teaching profession is imperative in aiding teachers to recurrently adapt their pedagogy based on their own classroom experiences to meet the needs of their pupils. In fact, reflection plays an incremental role in effectively meeting the Professional Teaching Standards for all school practitioners (Welsh Government 2019). It urges individuals to consciously recognise the impacts they have on learners and engage with Educational Research to inform future action. </w:t>
      </w:r>
    </w:p>
    <w:p w14:paraId="61C0A1E6" w14:textId="77777777" w:rsidR="00FB3C7E" w:rsidRPr="00100B72" w:rsidRDefault="00FB3C7E" w:rsidP="00FB3C7E">
      <w:pPr>
        <w:rPr>
          <w:rFonts w:asciiTheme="minorHAnsi" w:hAnsiTheme="minorHAnsi" w:cstheme="minorHAnsi"/>
        </w:rPr>
      </w:pPr>
      <w:r w:rsidRPr="00100B72">
        <w:rPr>
          <w:rFonts w:asciiTheme="minorHAnsi" w:hAnsiTheme="minorHAnsi" w:cstheme="minorHAnsi"/>
        </w:rPr>
        <w:t xml:space="preserve"> </w:t>
      </w:r>
    </w:p>
    <w:p w14:paraId="360FE82C" w14:textId="28C0CE31" w:rsidR="00FB3C7E" w:rsidRPr="00100B72" w:rsidRDefault="00FB3C7E" w:rsidP="00FB3C7E">
      <w:pPr>
        <w:rPr>
          <w:rFonts w:asciiTheme="minorHAnsi" w:hAnsiTheme="minorHAnsi" w:cstheme="minorHAnsi"/>
        </w:rPr>
      </w:pPr>
      <w:r w:rsidRPr="00100B72">
        <w:rPr>
          <w:rFonts w:asciiTheme="minorHAnsi" w:hAnsiTheme="minorHAnsi" w:cstheme="minorHAnsi"/>
        </w:rPr>
        <w:t xml:space="preserve">The definition of reflective practice is defined by Tripp as ‘a matter of maintaining an emotional awareness to guide our learning, and thereby our strategies and actions, towards maximising our sense of success’ (2010). There are different ways one can be reflective within their practice. Dewey believes that a person who is reflective holds three attributes which he describes to be, open-mindedness, responsibility and whole-heartedness (1933). To become these, we must first be aware that, as teachers or student-teachers, our attitudes toward how we act are predominantly based on assumptions from our previous experiences. Notably, we may see these assumptions to be true, but on the other hand, they may not be entirely accurate and objective. Teachers see their experiences initially through a single lens, and, in order to become truly adaptable in the interest of enhancing the learner experience, we must alter how we engage with our own experiences. Changing the way teaching and learning is implemented demands open-mindedness and ownership </w:t>
      </w:r>
      <w:r w:rsidRPr="00100B72">
        <w:rPr>
          <w:rFonts w:asciiTheme="minorHAnsi" w:hAnsiTheme="minorHAnsi" w:cstheme="minorHAnsi"/>
        </w:rPr>
        <w:lastRenderedPageBreak/>
        <w:t xml:space="preserve">for the learning of the class (Brookfield,2017, p2-3). Whole-heartedness may be promoted by conducting reflective analysis through Brookfield’s’ 4 lens focus </w:t>
      </w:r>
      <w:r w:rsidRPr="00100B72">
        <w:rPr>
          <w:rFonts w:asciiTheme="minorHAnsi" w:hAnsiTheme="minorHAnsi" w:cstheme="minorHAnsi"/>
          <w:i/>
          <w:iCs/>
        </w:rPr>
        <w:t>(</w:t>
      </w:r>
      <w:r w:rsidR="00E26E11" w:rsidRPr="00100B72">
        <w:rPr>
          <w:rFonts w:asciiTheme="minorHAnsi" w:hAnsiTheme="minorHAnsi" w:cstheme="minorHAnsi"/>
          <w:i/>
          <w:iCs/>
        </w:rPr>
        <w:t>2017, p2-3</w:t>
      </w:r>
      <w:r w:rsidRPr="00100B72">
        <w:rPr>
          <w:rFonts w:asciiTheme="minorHAnsi" w:hAnsiTheme="minorHAnsi" w:cstheme="minorHAnsi"/>
        </w:rPr>
        <w:t>)</w:t>
      </w:r>
      <w:r w:rsidRPr="00100B72">
        <w:rPr>
          <w:rFonts w:asciiTheme="minorHAnsi" w:hAnsiTheme="minorHAnsi" w:cstheme="minorHAnsi"/>
          <w:i/>
          <w:iCs/>
        </w:rPr>
        <w:t>.</w:t>
      </w:r>
    </w:p>
    <w:p w14:paraId="1B4A9DE1" w14:textId="77777777" w:rsidR="00FB3C7E" w:rsidRPr="00100B72" w:rsidRDefault="00FB3C7E" w:rsidP="00FB3C7E">
      <w:pPr>
        <w:rPr>
          <w:rFonts w:asciiTheme="minorHAnsi" w:hAnsiTheme="minorHAnsi" w:cstheme="minorHAnsi"/>
        </w:rPr>
      </w:pPr>
    </w:p>
    <w:p w14:paraId="18977591" w14:textId="3CA65D0F" w:rsidR="00FB3C7E" w:rsidRPr="00100B72" w:rsidRDefault="00FB3C7E" w:rsidP="00FB3C7E">
      <w:pPr>
        <w:rPr>
          <w:rFonts w:asciiTheme="minorHAnsi" w:hAnsiTheme="minorHAnsi" w:cstheme="minorHAnsi"/>
          <w:color w:val="FF0000"/>
        </w:rPr>
      </w:pPr>
      <w:r w:rsidRPr="00100B72">
        <w:rPr>
          <w:rFonts w:asciiTheme="minorHAnsi" w:hAnsiTheme="minorHAnsi" w:cstheme="minorHAnsi"/>
        </w:rPr>
        <w:t>The first ‘lens’ highlighted by Brookfield is through the student’s perspective. This focuses on how the learner is affected by different teaching techniques and perceives classroom occurrences, such as tone of voice and mannerisms (</w:t>
      </w:r>
      <w:r w:rsidR="00704798" w:rsidRPr="00100B72">
        <w:rPr>
          <w:rFonts w:asciiTheme="minorHAnsi" w:hAnsiTheme="minorHAnsi" w:cstheme="minorHAnsi"/>
          <w:color w:val="000000" w:themeColor="text1"/>
        </w:rPr>
        <w:t>Brookfield, 2017)</w:t>
      </w:r>
      <w:r w:rsidRPr="00100B72">
        <w:rPr>
          <w:rFonts w:asciiTheme="minorHAnsi" w:hAnsiTheme="minorHAnsi" w:cstheme="minorHAnsi"/>
        </w:rPr>
        <w:t>. The second lens looks at the viewpoint of peers or colleagues. This may include discussions outside of lessons, team teaching and observations where the teacher is open to receiving constructive feedback. At times, elements of a teacher’s lesson may be so embedded within their practice, that other professionals have a better perception of highlighting and recommending ways in which teachers can expand their teaching repertoire. This is because it may no longer be something the teacher realises</w:t>
      </w:r>
      <w:r w:rsidR="00AC2197" w:rsidRPr="00100B72">
        <w:rPr>
          <w:rFonts w:asciiTheme="minorHAnsi" w:hAnsiTheme="minorHAnsi" w:cstheme="minorHAnsi"/>
        </w:rPr>
        <w:t>,</w:t>
      </w:r>
      <w:r w:rsidRPr="00100B72">
        <w:rPr>
          <w:rFonts w:asciiTheme="minorHAnsi" w:hAnsiTheme="minorHAnsi" w:cstheme="minorHAnsi"/>
        </w:rPr>
        <w:t xml:space="preserve"> and is aware of</w:t>
      </w:r>
      <w:r w:rsidR="00AC2197" w:rsidRPr="00100B72">
        <w:rPr>
          <w:rFonts w:asciiTheme="minorHAnsi" w:hAnsiTheme="minorHAnsi" w:cstheme="minorHAnsi"/>
        </w:rPr>
        <w:t>,</w:t>
      </w:r>
      <w:r w:rsidRPr="00100B72">
        <w:rPr>
          <w:rFonts w:asciiTheme="minorHAnsi" w:hAnsiTheme="minorHAnsi" w:cstheme="minorHAnsi"/>
        </w:rPr>
        <w:t xml:space="preserve"> as affecting pupil progress. Personal Experience is the third lens, as a class teacher knows the pupils within their classroom, this insight is extremely valuable to the reflective process. It is important that the reflective practitioner is self-aware and recognises their perspective to be both valuable and subjective. Lastly, the fourth lens, encompasses all theory and research. This is partly a process of continuous professional development and provides an evidence-based insight into wider teaching contexts, as well as keeping teachers informed of relevant research and theories (</w:t>
      </w:r>
      <w:r w:rsidR="00AC2197" w:rsidRPr="00100B72">
        <w:rPr>
          <w:rFonts w:asciiTheme="minorHAnsi" w:hAnsiTheme="minorHAnsi" w:cstheme="minorHAnsi"/>
        </w:rPr>
        <w:t>Brookfield</w:t>
      </w:r>
      <w:r w:rsidRPr="00100B72">
        <w:rPr>
          <w:rFonts w:asciiTheme="minorHAnsi" w:hAnsiTheme="minorHAnsi" w:cstheme="minorHAnsi"/>
        </w:rPr>
        <w:t>,2017, p8).</w:t>
      </w:r>
    </w:p>
    <w:p w14:paraId="0585F154" w14:textId="77777777" w:rsidR="00FB3C7E" w:rsidRPr="00100B72" w:rsidRDefault="00FB3C7E" w:rsidP="00FB3C7E">
      <w:pPr>
        <w:rPr>
          <w:rFonts w:asciiTheme="minorHAnsi" w:hAnsiTheme="minorHAnsi" w:cstheme="minorHAnsi"/>
        </w:rPr>
      </w:pPr>
    </w:p>
    <w:p w14:paraId="7E87D916" w14:textId="1292828B" w:rsidR="00FB3C7E" w:rsidRPr="00100B72" w:rsidRDefault="00FB3C7E" w:rsidP="00FB3C7E">
      <w:pPr>
        <w:rPr>
          <w:rFonts w:asciiTheme="minorHAnsi" w:hAnsiTheme="minorHAnsi" w:cstheme="minorHAnsi"/>
        </w:rPr>
      </w:pPr>
      <w:r w:rsidRPr="00100B72">
        <w:rPr>
          <w:rFonts w:asciiTheme="minorHAnsi" w:hAnsiTheme="minorHAnsi" w:cstheme="minorHAnsi"/>
        </w:rPr>
        <w:t xml:space="preserve">Similarly, Kolb’s ‘cycle of reflection’ can be broken into 4 parts (Kolb, 1984). This model builds on each </w:t>
      </w:r>
      <w:r w:rsidR="00704798" w:rsidRPr="00100B72">
        <w:rPr>
          <w:rFonts w:asciiTheme="minorHAnsi" w:hAnsiTheme="minorHAnsi" w:cstheme="minorHAnsi"/>
        </w:rPr>
        <w:t>stage,</w:t>
      </w:r>
      <w:r w:rsidRPr="00100B72">
        <w:rPr>
          <w:rFonts w:asciiTheme="minorHAnsi" w:hAnsiTheme="minorHAnsi" w:cstheme="minorHAnsi"/>
        </w:rPr>
        <w:t xml:space="preserve"> and they work together. Kolb described Reflection as beginning with an ‘active experimentation</w:t>
      </w:r>
      <w:r w:rsidR="00AC2197" w:rsidRPr="00100B72">
        <w:rPr>
          <w:rFonts w:asciiTheme="minorHAnsi" w:hAnsiTheme="minorHAnsi" w:cstheme="minorHAnsi"/>
        </w:rPr>
        <w:t>’</w:t>
      </w:r>
      <w:r w:rsidRPr="00100B72">
        <w:rPr>
          <w:rFonts w:asciiTheme="minorHAnsi" w:hAnsiTheme="minorHAnsi" w:cstheme="minorHAnsi"/>
        </w:rPr>
        <w:t>, which is followed by a ‘concrete experience’ of a critical incident. After the teacher provides an initial ‘reflective observation’ and, later, ‘abstract conceptualisation’ which engages with theoretical literature, before returning to the beginning of the cycle (Kolb 1984). Both Brookfield and Kolb’s models lead those to believe that reflection is a post-occurrence process. However, Schon’s definition of reflective practice is the ability to think about actions “in an immediate and interactive way” (Griffiths 2000, p.541).  Being able to act and decide on the next steps momentarily is vital, as Schon describes reflection to happen naturally within the teaching practice. This is called ‘Reflection-in-Action’. However, this has been the brunt of certain criticisms, saying that many of Schon’s examples have not succeeded in providing evidence of reflection in action but of reflection on action). It is also notable that reflection in action examples were not relevant to school or classroom environments (</w:t>
      </w:r>
      <w:proofErr w:type="spellStart"/>
      <w:r w:rsidRPr="00100B72">
        <w:rPr>
          <w:rFonts w:asciiTheme="minorHAnsi" w:hAnsiTheme="minorHAnsi" w:cstheme="minorHAnsi"/>
        </w:rPr>
        <w:t>Eraut</w:t>
      </w:r>
      <w:proofErr w:type="spellEnd"/>
      <w:r w:rsidRPr="00100B72">
        <w:rPr>
          <w:rFonts w:asciiTheme="minorHAnsi" w:hAnsiTheme="minorHAnsi" w:cstheme="minorHAnsi"/>
        </w:rPr>
        <w:t>, 1995, p9-22)</w:t>
      </w:r>
      <w:r w:rsidR="00AC2197" w:rsidRPr="00100B72">
        <w:rPr>
          <w:rFonts w:asciiTheme="minorHAnsi" w:hAnsiTheme="minorHAnsi" w:cstheme="minorHAnsi"/>
        </w:rPr>
        <w:t>.</w:t>
      </w:r>
      <w:r w:rsidRPr="00100B72">
        <w:rPr>
          <w:rFonts w:asciiTheme="minorHAnsi" w:hAnsiTheme="minorHAnsi" w:cstheme="minorHAnsi"/>
        </w:rPr>
        <w:t xml:space="preserve"> Although </w:t>
      </w:r>
      <w:r w:rsidR="00AC2197" w:rsidRPr="00100B72">
        <w:rPr>
          <w:rFonts w:asciiTheme="minorHAnsi" w:hAnsiTheme="minorHAnsi" w:cstheme="minorHAnsi"/>
        </w:rPr>
        <w:t xml:space="preserve">it is </w:t>
      </w:r>
      <w:r w:rsidRPr="00100B72">
        <w:rPr>
          <w:rFonts w:asciiTheme="minorHAnsi" w:hAnsiTheme="minorHAnsi" w:cstheme="minorHAnsi"/>
        </w:rPr>
        <w:t>clear from the prior models discussed, the role of reflection is vital to the teaching profession in keeping a growth mindset and continuing professional development as to not become stagnant in practice. The relevance of Schon’s model of reflection for those teaching could be questioned based on the lack of examples within a school-based environments (1995</w:t>
      </w:r>
      <w:r w:rsidR="00AC2197" w:rsidRPr="00100B72">
        <w:rPr>
          <w:rFonts w:asciiTheme="minorHAnsi" w:hAnsiTheme="minorHAnsi" w:cstheme="minorHAnsi"/>
        </w:rPr>
        <w:t>, p-22</w:t>
      </w:r>
      <w:r w:rsidRPr="00100B72">
        <w:rPr>
          <w:rFonts w:asciiTheme="minorHAnsi" w:hAnsiTheme="minorHAnsi" w:cstheme="minorHAnsi"/>
        </w:rPr>
        <w:t>).</w:t>
      </w:r>
    </w:p>
    <w:p w14:paraId="3CA01C53" w14:textId="77777777" w:rsidR="00FB3C7E" w:rsidRPr="00100B72" w:rsidRDefault="00FB3C7E" w:rsidP="00FB3C7E">
      <w:pPr>
        <w:rPr>
          <w:rFonts w:asciiTheme="minorHAnsi" w:hAnsiTheme="minorHAnsi" w:cstheme="minorHAnsi"/>
        </w:rPr>
      </w:pPr>
    </w:p>
    <w:p w14:paraId="656B7564" w14:textId="32F14223" w:rsidR="00FB3C7E" w:rsidRPr="00100B72" w:rsidRDefault="00FB3C7E" w:rsidP="00FB3C7E">
      <w:pPr>
        <w:rPr>
          <w:rFonts w:asciiTheme="minorHAnsi" w:hAnsiTheme="minorHAnsi" w:cstheme="minorHAnsi"/>
          <w:color w:val="000000" w:themeColor="text1"/>
        </w:rPr>
      </w:pPr>
      <w:r w:rsidRPr="00100B72">
        <w:rPr>
          <w:rFonts w:asciiTheme="minorHAnsi" w:hAnsiTheme="minorHAnsi" w:cstheme="minorHAnsi"/>
          <w:color w:val="000000" w:themeColor="text1"/>
        </w:rPr>
        <w:t xml:space="preserve">Based on the information provided, for the purposes of this assignment, I will be utilising Brookfield’s lenses to consider the multiplicities of ways teaching affects learners. Moreso, I will formulate my own theoretical lens by engaging with educational literature to evaluate the incident in greater depth. I will also consider the outlook of the teacher as the lesson planner and a professional to whom has made active decisions in their teaching practice that has been formed by their own reflective journey. I will </w:t>
      </w:r>
      <w:r w:rsidR="00AC2197" w:rsidRPr="00100B72">
        <w:rPr>
          <w:rFonts w:asciiTheme="minorHAnsi" w:hAnsiTheme="minorHAnsi" w:cstheme="minorHAnsi"/>
          <w:color w:val="000000" w:themeColor="text1"/>
        </w:rPr>
        <w:t xml:space="preserve">also </w:t>
      </w:r>
      <w:r w:rsidRPr="00100B72">
        <w:rPr>
          <w:rFonts w:asciiTheme="minorHAnsi" w:hAnsiTheme="minorHAnsi" w:cstheme="minorHAnsi"/>
          <w:color w:val="000000" w:themeColor="text1"/>
        </w:rPr>
        <w:t xml:space="preserve">be following Kolb’s </w:t>
      </w:r>
      <w:r w:rsidR="00AC2197" w:rsidRPr="00100B72">
        <w:rPr>
          <w:rFonts w:asciiTheme="minorHAnsi" w:hAnsiTheme="minorHAnsi" w:cstheme="minorHAnsi"/>
          <w:color w:val="000000" w:themeColor="text1"/>
        </w:rPr>
        <w:t xml:space="preserve">(1984) </w:t>
      </w:r>
      <w:r w:rsidRPr="00100B72">
        <w:rPr>
          <w:rFonts w:asciiTheme="minorHAnsi" w:hAnsiTheme="minorHAnsi" w:cstheme="minorHAnsi"/>
          <w:color w:val="000000" w:themeColor="text1"/>
        </w:rPr>
        <w:lastRenderedPageBreak/>
        <w:t xml:space="preserve">four-stage cycle and use my findings to consider the ways I can </w:t>
      </w:r>
      <w:r w:rsidR="00100B72">
        <w:rPr>
          <w:rFonts w:asciiTheme="minorHAnsi" w:hAnsiTheme="minorHAnsi" w:cstheme="minorHAnsi"/>
          <w:color w:val="000000" w:themeColor="text1"/>
        </w:rPr>
        <w:t>A</w:t>
      </w:r>
      <w:r w:rsidRPr="00100B72">
        <w:rPr>
          <w:rFonts w:asciiTheme="minorHAnsi" w:hAnsiTheme="minorHAnsi" w:cstheme="minorHAnsi"/>
          <w:color w:val="000000" w:themeColor="text1"/>
        </w:rPr>
        <w:t>ctively Experiment. This follows Schon’s notions of Reflection-on-Action as oppose</w:t>
      </w:r>
      <w:r w:rsidR="00100B72">
        <w:rPr>
          <w:rFonts w:asciiTheme="minorHAnsi" w:hAnsiTheme="minorHAnsi" w:cstheme="minorHAnsi"/>
          <w:color w:val="000000" w:themeColor="text1"/>
        </w:rPr>
        <w:t>d</w:t>
      </w:r>
      <w:r w:rsidRPr="00100B72">
        <w:rPr>
          <w:rFonts w:asciiTheme="minorHAnsi" w:hAnsiTheme="minorHAnsi" w:cstheme="minorHAnsi"/>
          <w:color w:val="000000" w:themeColor="text1"/>
        </w:rPr>
        <w:t xml:space="preserve"> to Reflection-in-Action. </w:t>
      </w:r>
    </w:p>
    <w:p w14:paraId="232363CD" w14:textId="1FB86C51" w:rsidR="00FB3C7E" w:rsidRPr="00100B72" w:rsidRDefault="00FB3C7E" w:rsidP="00FB3C7E">
      <w:pPr>
        <w:rPr>
          <w:rFonts w:asciiTheme="minorHAnsi" w:hAnsiTheme="minorHAnsi" w:cstheme="minorHAnsi"/>
          <w:color w:val="000000" w:themeColor="text1"/>
        </w:rPr>
      </w:pPr>
    </w:p>
    <w:p w14:paraId="012025CA" w14:textId="49565900" w:rsidR="00FB3C7E" w:rsidRPr="00100B72" w:rsidRDefault="00FB3C7E" w:rsidP="00FB3C7E">
      <w:pPr>
        <w:rPr>
          <w:rFonts w:asciiTheme="minorHAnsi" w:hAnsiTheme="minorHAnsi" w:cstheme="minorHAnsi"/>
          <w:color w:val="000000" w:themeColor="text1"/>
        </w:rPr>
      </w:pPr>
    </w:p>
    <w:p w14:paraId="121610AD" w14:textId="0B508F62" w:rsidR="00FB3C7E" w:rsidRPr="00100B72" w:rsidRDefault="00FB3C7E" w:rsidP="00FB3C7E">
      <w:pPr>
        <w:rPr>
          <w:rFonts w:asciiTheme="minorHAnsi" w:hAnsiTheme="minorHAnsi" w:cstheme="minorHAnsi"/>
          <w:b/>
          <w:bCs/>
          <w:u w:val="single"/>
        </w:rPr>
      </w:pPr>
      <w:r w:rsidRPr="00100B72">
        <w:rPr>
          <w:rFonts w:asciiTheme="minorHAnsi" w:hAnsiTheme="minorHAnsi" w:cstheme="minorHAnsi"/>
          <w:b/>
          <w:bCs/>
          <w:u w:val="single"/>
        </w:rPr>
        <w:t xml:space="preserve">Observation School and Class Context </w:t>
      </w:r>
    </w:p>
    <w:p w14:paraId="738A7B7C" w14:textId="77777777" w:rsidR="00FB3C7E" w:rsidRPr="00100B72" w:rsidRDefault="00FB3C7E" w:rsidP="00FB3C7E">
      <w:pPr>
        <w:rPr>
          <w:rFonts w:asciiTheme="minorHAnsi" w:hAnsiTheme="minorHAnsi" w:cstheme="minorHAnsi"/>
        </w:rPr>
      </w:pPr>
      <w:r w:rsidRPr="00100B72">
        <w:rPr>
          <w:rFonts w:asciiTheme="minorHAnsi" w:hAnsiTheme="minorHAnsi" w:cstheme="minorHAnsi"/>
        </w:rPr>
        <w:t xml:space="preserve">During the bridging experience I had the opportunity to go to a Primary school situated in the Vale of Glamorgan. In 2017 there were 471 pupils on the roll and from this, around 36% were eligible for free school meals. Comparatively, the national average at the time of the report was 19% making this a very high proportion (Estyn, 2017). When meeting our network lead for the first time, they explained to us that 70% of parents were currently out of work. The Vale of Glamorgan, where the school is situated, reported an increase of 103% for unemployment related support (VoG Annual Report, 2021). </w:t>
      </w:r>
    </w:p>
    <w:p w14:paraId="22B03E8F" w14:textId="727B467A" w:rsidR="00FB3C7E" w:rsidRPr="00100B72" w:rsidRDefault="00FB3C7E" w:rsidP="00FB3C7E">
      <w:pPr>
        <w:rPr>
          <w:rFonts w:asciiTheme="minorHAnsi" w:hAnsiTheme="minorHAnsi" w:cstheme="minorHAnsi"/>
        </w:rPr>
      </w:pPr>
      <w:r w:rsidRPr="00100B72">
        <w:rPr>
          <w:rFonts w:asciiTheme="minorHAnsi" w:hAnsiTheme="minorHAnsi" w:cstheme="minorHAnsi"/>
        </w:rPr>
        <w:t>The school works closely with the families of pupils as the school highly values the impact of pupil’s well-being within their home environment and consider the influence it has on childhood learning (Estyn, 2018)</w:t>
      </w:r>
      <w:r w:rsidR="004A6C56" w:rsidRPr="00100B72">
        <w:rPr>
          <w:rFonts w:asciiTheme="minorHAnsi" w:hAnsiTheme="minorHAnsi" w:cstheme="minorHAnsi"/>
        </w:rPr>
        <w:t>.</w:t>
      </w:r>
      <w:r w:rsidRPr="00100B72">
        <w:rPr>
          <w:rFonts w:asciiTheme="minorHAnsi" w:hAnsiTheme="minorHAnsi" w:cstheme="minorHAnsi"/>
        </w:rPr>
        <w:t xml:space="preserve"> A family engagement session took place on the day of observation, and I was fortunate to observe a year 2 class utilise ‘The Barn’ space, where a market was set up and parents had the chance to do take a cooking class alongside their children. Reviewing their ‘Relationship Policy’, the school outlines their overall aim to ‘’Create a culture of healthy relationships throughout school and the community which will impact on the quality of teaching and learning.’ (</w:t>
      </w:r>
      <w:r w:rsidR="004A6C56" w:rsidRPr="00100B72">
        <w:rPr>
          <w:rFonts w:asciiTheme="minorHAnsi" w:hAnsiTheme="minorHAnsi" w:cstheme="minorHAnsi"/>
        </w:rPr>
        <w:t xml:space="preserve">School Relationship policy </w:t>
      </w:r>
      <w:r w:rsidRPr="00100B72">
        <w:rPr>
          <w:rFonts w:asciiTheme="minorHAnsi" w:hAnsiTheme="minorHAnsi" w:cstheme="minorHAnsi"/>
        </w:rPr>
        <w:t xml:space="preserve">2019 p4). Notably the school does not have a ‘behaviour policy’ but instead a ‘relationship </w:t>
      </w:r>
      <w:r w:rsidR="004A6C56" w:rsidRPr="00100B72">
        <w:rPr>
          <w:rFonts w:asciiTheme="minorHAnsi" w:hAnsiTheme="minorHAnsi" w:cstheme="minorHAnsi"/>
        </w:rPr>
        <w:t>policy</w:t>
      </w:r>
      <w:r w:rsidRPr="00100B72">
        <w:rPr>
          <w:rFonts w:asciiTheme="minorHAnsi" w:hAnsiTheme="minorHAnsi" w:cstheme="minorHAnsi"/>
        </w:rPr>
        <w:t xml:space="preserve">’. </w:t>
      </w:r>
    </w:p>
    <w:p w14:paraId="5E5CA6D3" w14:textId="7E4BA091" w:rsidR="00FB3C7E" w:rsidRPr="00100B72" w:rsidRDefault="00FB3C7E" w:rsidP="00FB3C7E">
      <w:pPr>
        <w:rPr>
          <w:rFonts w:asciiTheme="minorHAnsi" w:hAnsiTheme="minorHAnsi" w:cstheme="minorHAnsi"/>
        </w:rPr>
      </w:pPr>
      <w:r w:rsidRPr="00100B72">
        <w:rPr>
          <w:rFonts w:asciiTheme="minorHAnsi" w:hAnsiTheme="minorHAnsi" w:cstheme="minorHAnsi"/>
        </w:rPr>
        <w:t xml:space="preserve">The cooking classes that take place in this school are of valuable interest considering nationally, 75% of children who come from a family where 1 or more people work are still living in poverty (End Child Poverty.Org). Holding classes like these can help improve </w:t>
      </w:r>
      <w:proofErr w:type="gramStart"/>
      <w:r w:rsidRPr="00100B72">
        <w:rPr>
          <w:rFonts w:asciiTheme="minorHAnsi" w:hAnsiTheme="minorHAnsi" w:cstheme="minorHAnsi"/>
        </w:rPr>
        <w:t>famil</w:t>
      </w:r>
      <w:r w:rsidR="004A6C56" w:rsidRPr="00100B72">
        <w:rPr>
          <w:rFonts w:asciiTheme="minorHAnsi" w:hAnsiTheme="minorHAnsi" w:cstheme="minorHAnsi"/>
        </w:rPr>
        <w:t>ies</w:t>
      </w:r>
      <w:proofErr w:type="gramEnd"/>
      <w:r w:rsidRPr="00100B72">
        <w:rPr>
          <w:rFonts w:asciiTheme="minorHAnsi" w:hAnsiTheme="minorHAnsi" w:cstheme="minorHAnsi"/>
        </w:rPr>
        <w:t xml:space="preserve"> knowledge of food and nutrition since studies show poor nutrition affects cognitive function and academic potential (Albon and Mukherji, 2008). This demonstrates that the school is working to proactively support families in providing healthy, nutritional lifestyles for their children. </w:t>
      </w:r>
    </w:p>
    <w:p w14:paraId="5D61147E" w14:textId="77777777" w:rsidR="00645268" w:rsidRPr="00100B72" w:rsidRDefault="00645268" w:rsidP="00FB3C7E">
      <w:pPr>
        <w:rPr>
          <w:rFonts w:asciiTheme="minorHAnsi" w:hAnsiTheme="minorHAnsi" w:cstheme="minorHAnsi"/>
          <w:color w:val="000000" w:themeColor="text1"/>
        </w:rPr>
      </w:pPr>
    </w:p>
    <w:p w14:paraId="608BC53F" w14:textId="1546EF90" w:rsidR="00FB3C7E" w:rsidRPr="00100B72" w:rsidRDefault="00FB3C7E" w:rsidP="00FB3C7E">
      <w:pPr>
        <w:rPr>
          <w:rFonts w:asciiTheme="minorHAnsi" w:hAnsiTheme="minorHAnsi" w:cstheme="minorHAnsi"/>
          <w:b/>
          <w:bCs/>
          <w:u w:val="single"/>
        </w:rPr>
      </w:pPr>
      <w:r w:rsidRPr="00100B72">
        <w:rPr>
          <w:rFonts w:asciiTheme="minorHAnsi" w:hAnsiTheme="minorHAnsi" w:cstheme="minorHAnsi"/>
          <w:b/>
          <w:bCs/>
          <w:u w:val="single"/>
        </w:rPr>
        <w:t xml:space="preserve">Critical incident </w:t>
      </w:r>
    </w:p>
    <w:p w14:paraId="6D1ADE6C" w14:textId="77777777" w:rsidR="00FB3C7E" w:rsidRPr="00100B72" w:rsidRDefault="00FB3C7E" w:rsidP="00FB3C7E">
      <w:pPr>
        <w:rPr>
          <w:rFonts w:asciiTheme="minorHAnsi" w:hAnsiTheme="minorHAnsi" w:cstheme="minorHAnsi"/>
          <w:b/>
          <w:bCs/>
          <w:u w:val="single"/>
        </w:rPr>
      </w:pPr>
    </w:p>
    <w:p w14:paraId="5FFC013C" w14:textId="6D076206" w:rsidR="00FB3C7E" w:rsidRPr="00100B72" w:rsidRDefault="00FB3C7E" w:rsidP="00FB3C7E">
      <w:pPr>
        <w:rPr>
          <w:rFonts w:asciiTheme="minorHAnsi" w:hAnsiTheme="minorHAnsi" w:cstheme="minorHAnsi"/>
        </w:rPr>
      </w:pPr>
      <w:r w:rsidRPr="00100B72">
        <w:rPr>
          <w:rFonts w:asciiTheme="minorHAnsi" w:hAnsiTheme="minorHAnsi" w:cstheme="minorHAnsi"/>
        </w:rPr>
        <w:t>During the parent-child cooking class, I observed a critical incident while a food preparation activity was taking place in a space the school refers to as ‘The Barn’. In the corner of the room was a dining table with lots of different foods sorted upon it, an ‘L’ shaped kitchen equipped with a sink and an oven</w:t>
      </w:r>
      <w:r w:rsidR="004A6C56" w:rsidRPr="00100B72">
        <w:rPr>
          <w:rFonts w:asciiTheme="minorHAnsi" w:hAnsiTheme="minorHAnsi" w:cstheme="minorHAnsi"/>
        </w:rPr>
        <w:t>,</w:t>
      </w:r>
      <w:r w:rsidRPr="00100B72">
        <w:rPr>
          <w:rFonts w:asciiTheme="minorHAnsi" w:hAnsiTheme="minorHAnsi" w:cstheme="minorHAnsi"/>
        </w:rPr>
        <w:t xml:space="preserve"> then lots of smaller tables and chairs in </w:t>
      </w:r>
      <w:r w:rsidR="004A6C56" w:rsidRPr="00100B72">
        <w:rPr>
          <w:rFonts w:asciiTheme="minorHAnsi" w:hAnsiTheme="minorHAnsi" w:cstheme="minorHAnsi"/>
        </w:rPr>
        <w:t xml:space="preserve">a </w:t>
      </w:r>
      <w:r w:rsidRPr="00100B72">
        <w:rPr>
          <w:rFonts w:asciiTheme="minorHAnsi" w:hAnsiTheme="minorHAnsi" w:cstheme="minorHAnsi"/>
        </w:rPr>
        <w:t>semi-circle pointing toward the kitchen. There was also a market set up toward the back of the space</w:t>
      </w:r>
      <w:r w:rsidR="004A6C56" w:rsidRPr="00100B72">
        <w:rPr>
          <w:rFonts w:asciiTheme="minorHAnsi" w:hAnsiTheme="minorHAnsi" w:cstheme="minorHAnsi"/>
        </w:rPr>
        <w:t>,</w:t>
      </w:r>
      <w:r w:rsidRPr="00100B72">
        <w:rPr>
          <w:rFonts w:asciiTheme="minorHAnsi" w:hAnsiTheme="minorHAnsi" w:cstheme="minorHAnsi"/>
        </w:rPr>
        <w:t xml:space="preserve"> I was told this was </w:t>
      </w:r>
      <w:r w:rsidR="004A6C56" w:rsidRPr="00100B72">
        <w:rPr>
          <w:rFonts w:asciiTheme="minorHAnsi" w:hAnsiTheme="minorHAnsi" w:cstheme="minorHAnsi"/>
        </w:rPr>
        <w:t>to</w:t>
      </w:r>
      <w:r w:rsidRPr="00100B72">
        <w:rPr>
          <w:rFonts w:asciiTheme="minorHAnsi" w:hAnsiTheme="minorHAnsi" w:cstheme="minorHAnsi"/>
        </w:rPr>
        <w:t xml:space="preserve"> mimic Cardiff Market and that the children in year 2 had the opportunity to go there on a class trip</w:t>
      </w:r>
      <w:r w:rsidR="004A6C56" w:rsidRPr="00100B72">
        <w:rPr>
          <w:rFonts w:asciiTheme="minorHAnsi" w:hAnsiTheme="minorHAnsi" w:cstheme="minorHAnsi"/>
        </w:rPr>
        <w:t>,</w:t>
      </w:r>
      <w:r w:rsidRPr="00100B72">
        <w:rPr>
          <w:rFonts w:asciiTheme="minorHAnsi" w:hAnsiTheme="minorHAnsi" w:cstheme="minorHAnsi"/>
        </w:rPr>
        <w:t xml:space="preserve"> so it was part of the enhanced provision. Some children and parents were participating, others were on the </w:t>
      </w:r>
      <w:r w:rsidR="004A6C56" w:rsidRPr="00100B72">
        <w:rPr>
          <w:rFonts w:asciiTheme="minorHAnsi" w:hAnsiTheme="minorHAnsi" w:cstheme="minorHAnsi"/>
        </w:rPr>
        <w:t>edges</w:t>
      </w:r>
      <w:r w:rsidRPr="00100B72">
        <w:rPr>
          <w:rFonts w:asciiTheme="minorHAnsi" w:hAnsiTheme="minorHAnsi" w:cstheme="minorHAnsi"/>
        </w:rPr>
        <w:t xml:space="preserve"> observing. A member of staff (leading the class) approached a child and parent to demonstrate how to effectively and safely cut vegetables. The teacher was particularly calm and composed during the occurrence and consequently, the child altered how they were holding the utensil. The teacher then praised the child for making significant progress and then their parent reinforced the positive feedback by complementing them too. After, the child then offered the parent a piece of food that they had just cut holding it up to their mouth. Interestingly, the parent later seemed much more involved and the two started working together and interacting significantly more and relaxed into the exercise. This incident is </w:t>
      </w:r>
      <w:r w:rsidR="00100B72" w:rsidRPr="00100B72">
        <w:rPr>
          <w:rFonts w:asciiTheme="minorHAnsi" w:hAnsiTheme="minorHAnsi" w:cstheme="minorHAnsi"/>
        </w:rPr>
        <w:t>a</w:t>
      </w:r>
      <w:r w:rsidRPr="00100B72">
        <w:rPr>
          <w:rFonts w:asciiTheme="minorHAnsi" w:hAnsiTheme="minorHAnsi" w:cstheme="minorHAnsi"/>
        </w:rPr>
        <w:t xml:space="preserve"> </w:t>
      </w:r>
      <w:r w:rsidR="004A6C56" w:rsidRPr="00100B72">
        <w:rPr>
          <w:rFonts w:asciiTheme="minorHAnsi" w:hAnsiTheme="minorHAnsi" w:cstheme="minorHAnsi"/>
        </w:rPr>
        <w:t>good</w:t>
      </w:r>
      <w:r w:rsidRPr="00100B72">
        <w:rPr>
          <w:rFonts w:asciiTheme="minorHAnsi" w:hAnsiTheme="minorHAnsi" w:cstheme="minorHAnsi"/>
        </w:rPr>
        <w:t xml:space="preserve"> instance </w:t>
      </w:r>
      <w:r w:rsidRPr="00100B72">
        <w:rPr>
          <w:rFonts w:asciiTheme="minorHAnsi" w:hAnsiTheme="minorHAnsi" w:cstheme="minorHAnsi"/>
        </w:rPr>
        <w:lastRenderedPageBreak/>
        <w:t xml:space="preserve">of positive modelling. Positive praise and reinforcement are fundamental in encouraging a ‘Growth Mindset’ and self confidence in children. This aids </w:t>
      </w:r>
      <w:proofErr w:type="spellStart"/>
      <w:r w:rsidRPr="00100B72">
        <w:rPr>
          <w:rFonts w:asciiTheme="minorHAnsi" w:hAnsiTheme="minorHAnsi" w:cstheme="minorHAnsi"/>
        </w:rPr>
        <w:t>childrens</w:t>
      </w:r>
      <w:proofErr w:type="spellEnd"/>
      <w:r w:rsidR="006B711B" w:rsidRPr="00100B72">
        <w:rPr>
          <w:rFonts w:asciiTheme="minorHAnsi" w:hAnsiTheme="minorHAnsi" w:cstheme="minorHAnsi"/>
        </w:rPr>
        <w:t>’</w:t>
      </w:r>
      <w:r w:rsidRPr="00100B72">
        <w:rPr>
          <w:rFonts w:asciiTheme="minorHAnsi" w:hAnsiTheme="minorHAnsi" w:cstheme="minorHAnsi"/>
        </w:rPr>
        <w:t xml:space="preserve"> abilities to overcome criticism and become ambitious capable learners, as identified in Donaldson</w:t>
      </w:r>
      <w:r w:rsidR="006B711B" w:rsidRPr="00100B72">
        <w:rPr>
          <w:rFonts w:asciiTheme="minorHAnsi" w:hAnsiTheme="minorHAnsi" w:cstheme="minorHAnsi"/>
        </w:rPr>
        <w:t>'</w:t>
      </w:r>
      <w:r w:rsidRPr="00100B72">
        <w:rPr>
          <w:rFonts w:asciiTheme="minorHAnsi" w:hAnsiTheme="minorHAnsi" w:cstheme="minorHAnsi"/>
        </w:rPr>
        <w:t>s ‘Successful Futures’ (2015 p.29). Teaching both children and parents synchronically and while working together can give children and parents/care givers time to bond and possibly form more positive relationships (Emerson et al. 2012). This also helps the school construct and sustain more positives relationships with the parents/caregiver population</w:t>
      </w:r>
      <w:r w:rsidR="006B711B" w:rsidRPr="00100B72">
        <w:rPr>
          <w:rFonts w:asciiTheme="minorHAnsi" w:hAnsiTheme="minorHAnsi" w:cstheme="minorHAnsi"/>
        </w:rPr>
        <w:t xml:space="preserve"> (</w:t>
      </w:r>
      <w:r w:rsidRPr="00100B72">
        <w:rPr>
          <w:rFonts w:asciiTheme="minorHAnsi" w:hAnsiTheme="minorHAnsi" w:cstheme="minorHAnsi"/>
        </w:rPr>
        <w:t>Welsh Government, 2019</w:t>
      </w:r>
      <w:r w:rsidR="006B711B" w:rsidRPr="00100B72">
        <w:rPr>
          <w:rFonts w:asciiTheme="minorHAnsi" w:hAnsiTheme="minorHAnsi" w:cstheme="minorHAnsi"/>
        </w:rPr>
        <w:t>)</w:t>
      </w:r>
      <w:r w:rsidRPr="00100B72">
        <w:rPr>
          <w:rFonts w:asciiTheme="minorHAnsi" w:hAnsiTheme="minorHAnsi" w:cstheme="minorHAnsi"/>
        </w:rPr>
        <w:t>. Having these positive relationships between the children, the people surrounding them and their needs, such as food through the cooking classes will help children connect and apply their knowledge and skills to create products (in this case</w:t>
      </w:r>
      <w:r w:rsidR="006B711B" w:rsidRPr="00100B72">
        <w:rPr>
          <w:rFonts w:asciiTheme="minorHAnsi" w:hAnsiTheme="minorHAnsi" w:cstheme="minorHAnsi"/>
        </w:rPr>
        <w:t>,</w:t>
      </w:r>
      <w:r w:rsidRPr="00100B72">
        <w:rPr>
          <w:rFonts w:asciiTheme="minorHAnsi" w:hAnsiTheme="minorHAnsi" w:cstheme="minorHAnsi"/>
        </w:rPr>
        <w:t xml:space="preserve"> knowledge of food and culinary skills) (</w:t>
      </w:r>
      <w:r w:rsidR="006B711B" w:rsidRPr="00100B72">
        <w:rPr>
          <w:rFonts w:asciiTheme="minorHAnsi" w:hAnsiTheme="minorHAnsi" w:cstheme="minorHAnsi"/>
        </w:rPr>
        <w:t>ref</w:t>
      </w:r>
      <w:r w:rsidRPr="00100B72">
        <w:rPr>
          <w:rFonts w:asciiTheme="minorHAnsi" w:hAnsiTheme="minorHAnsi" w:cstheme="minorHAnsi"/>
        </w:rPr>
        <w:t xml:space="preserve">). </w:t>
      </w:r>
      <w:r w:rsidR="006B711B" w:rsidRPr="00100B72">
        <w:rPr>
          <w:rFonts w:asciiTheme="minorHAnsi" w:hAnsiTheme="minorHAnsi" w:cstheme="minorHAnsi"/>
        </w:rPr>
        <w:t>(</w:t>
      </w:r>
      <w:r w:rsidRPr="00100B72">
        <w:rPr>
          <w:rFonts w:asciiTheme="minorHAnsi" w:hAnsiTheme="minorHAnsi" w:cstheme="minorHAnsi"/>
          <w:color w:val="1F1F1F"/>
        </w:rPr>
        <w:t>Donaldson,2015</w:t>
      </w:r>
      <w:r w:rsidR="006B711B" w:rsidRPr="00100B72">
        <w:rPr>
          <w:rFonts w:asciiTheme="minorHAnsi" w:hAnsiTheme="minorHAnsi" w:cstheme="minorHAnsi"/>
          <w:color w:val="1F1F1F"/>
        </w:rPr>
        <w:t>).</w:t>
      </w:r>
    </w:p>
    <w:p w14:paraId="732DAAD6" w14:textId="0FCAF8B2" w:rsidR="00FB3C7E" w:rsidRPr="00100B72" w:rsidRDefault="00FB3C7E" w:rsidP="00FB3C7E">
      <w:pPr>
        <w:rPr>
          <w:rFonts w:asciiTheme="minorHAnsi" w:hAnsiTheme="minorHAnsi" w:cstheme="minorHAnsi"/>
        </w:rPr>
      </w:pPr>
      <w:r w:rsidRPr="00100B72">
        <w:rPr>
          <w:rFonts w:asciiTheme="minorHAnsi" w:hAnsiTheme="minorHAnsi" w:cstheme="minorHAnsi"/>
        </w:rPr>
        <w:t>It is notable that within this session two out of the four purposes that underpin the New Curriculum for Wales framework have been met (Donaldson, 2015).</w:t>
      </w:r>
    </w:p>
    <w:p w14:paraId="23A9DCBC" w14:textId="77777777" w:rsidR="00FB3C7E" w:rsidRPr="00100B72" w:rsidRDefault="00FB3C7E" w:rsidP="00FB3C7E">
      <w:pPr>
        <w:rPr>
          <w:rFonts w:asciiTheme="minorHAnsi" w:hAnsiTheme="minorHAnsi" w:cstheme="minorHAnsi"/>
        </w:rPr>
      </w:pPr>
    </w:p>
    <w:p w14:paraId="2A3CBC74" w14:textId="77777777" w:rsidR="00FB3C7E" w:rsidRPr="00100B72" w:rsidRDefault="00FB3C7E" w:rsidP="00FB3C7E">
      <w:pPr>
        <w:rPr>
          <w:rFonts w:asciiTheme="minorHAnsi" w:hAnsiTheme="minorHAnsi" w:cstheme="minorHAnsi"/>
        </w:rPr>
      </w:pPr>
      <w:r w:rsidRPr="00100B72">
        <w:rPr>
          <w:rFonts w:asciiTheme="minorHAnsi" w:hAnsiTheme="minorHAnsi" w:cstheme="minorHAnsi"/>
        </w:rPr>
        <w:t xml:space="preserve">The activity is built on pupil oracy, which sits within the progression steps of Language, Literacy and Communication. This was seen in the giving and listening to instructions and introduction of vocabulary based on cooking, which the children may not necessarily have been exposed to at home. This sits as a Cross-Curricular theme within the Health and Well-being AOLE that the session was designed for. Providing opportunities in authentic contexts enhances the learner’s experience and can teach skills that cannot be taught in a typical classroom environment (Hwb,2020). In the following literature review, the theories and pedagogies used within the critical incident should become clearer. I will evaluate possible next steps for teaching and learning based on the research and findings. </w:t>
      </w:r>
    </w:p>
    <w:p w14:paraId="77167326" w14:textId="77777777" w:rsidR="00FB3C7E" w:rsidRPr="00100B72" w:rsidRDefault="00FB3C7E" w:rsidP="00FB3C7E">
      <w:pPr>
        <w:rPr>
          <w:rFonts w:asciiTheme="minorHAnsi" w:hAnsiTheme="minorHAnsi" w:cstheme="minorHAnsi"/>
          <w:b/>
          <w:bCs/>
          <w:u w:val="single"/>
        </w:rPr>
      </w:pPr>
    </w:p>
    <w:p w14:paraId="164DDE61" w14:textId="0FC4C33F" w:rsidR="00FB3C7E" w:rsidRPr="00100B72" w:rsidRDefault="00FB3C7E" w:rsidP="00FB3C7E">
      <w:pPr>
        <w:rPr>
          <w:rFonts w:asciiTheme="minorHAnsi" w:hAnsiTheme="minorHAnsi" w:cstheme="minorHAnsi"/>
          <w:b/>
          <w:bCs/>
          <w:u w:val="single"/>
        </w:rPr>
      </w:pPr>
      <w:r w:rsidRPr="00100B72">
        <w:rPr>
          <w:rFonts w:asciiTheme="minorHAnsi" w:hAnsiTheme="minorHAnsi" w:cstheme="minorHAnsi"/>
          <w:b/>
          <w:bCs/>
          <w:u w:val="single"/>
        </w:rPr>
        <w:t xml:space="preserve">Literature review </w:t>
      </w:r>
    </w:p>
    <w:p w14:paraId="4458DEBE" w14:textId="77777777" w:rsidR="00FB3C7E" w:rsidRPr="00100B72" w:rsidRDefault="00FB3C7E" w:rsidP="00FB3C7E">
      <w:pPr>
        <w:rPr>
          <w:rFonts w:asciiTheme="minorHAnsi" w:hAnsiTheme="minorHAnsi" w:cstheme="minorHAnsi"/>
        </w:rPr>
      </w:pPr>
    </w:p>
    <w:p w14:paraId="2B30708C" w14:textId="3A806EAB" w:rsidR="00FB3C7E" w:rsidRPr="00100B72" w:rsidRDefault="00FB3C7E" w:rsidP="00FB3C7E">
      <w:pPr>
        <w:rPr>
          <w:rFonts w:asciiTheme="minorHAnsi" w:hAnsiTheme="minorHAnsi" w:cstheme="minorHAnsi"/>
        </w:rPr>
      </w:pPr>
      <w:r w:rsidRPr="00100B72">
        <w:rPr>
          <w:rFonts w:asciiTheme="minorHAnsi" w:hAnsiTheme="minorHAnsi" w:cstheme="minorHAnsi"/>
        </w:rPr>
        <w:t>The critical incident case study is based upon authentic context for learning and by using authentic contexts it benefits pupils by seizing the imagination of the learner forming knowledge and skills that can be transferred into their everyday life. (</w:t>
      </w:r>
      <w:r w:rsidRPr="00100B72">
        <w:rPr>
          <w:rFonts w:asciiTheme="minorHAnsi" w:hAnsiTheme="minorHAnsi" w:cstheme="minorHAnsi"/>
          <w:color w:val="333333"/>
          <w:shd w:val="clear" w:color="auto" w:fill="FCFCFC"/>
        </w:rPr>
        <w:t>Herrington et al, 2</w:t>
      </w:r>
      <w:r w:rsidRPr="00100B72">
        <w:rPr>
          <w:rFonts w:asciiTheme="minorHAnsi" w:hAnsiTheme="minorHAnsi" w:cstheme="minorHAnsi"/>
        </w:rPr>
        <w:t>014) Having cooking classes within a safe school context alongside parents provides learners and their families with the skills to take home and for the future, which is massively beneficial not only to the learner but the wider community as there is a skills shortage in Wales and as stated in the Skills, the Council for Economic renewal Skills, the recovery and growth document (2015) Agenda item 4 states that ‘higher intervention is needed in Wales to reduce the skills gap.’ Therefore, having classes where skills such as that mentioned in the case study will be valuable for learners later in life, which is key to ‘having the skills and knowledge to manage everyday life as independently as they can’ mentioned under the heading healthy, confident individuals found within the 4 purposes that drive the New Welsh Curriculum Framework (Donaldson,2015). Additionally, to learning skills about how to prepare food, having information about diet and nutrition was also provided by the staff running the class. As noted, 36% of the school roll are entitled to free school meals (Estyn,2017) this seems to support the high percentage of those seeking support due to unemployment in the area could possibly indicate a need for these classes to take place as First Minister Mark Drakeford commented “We know younger children are more likely to be living in relative income poverty.” (Gov. Wales Announcement, 2022) Children in this situation may not consuming the correct nutrients or the incorrect amounts which could lead to malnutrition or under</w:t>
      </w:r>
      <w:r w:rsidR="006B711B" w:rsidRPr="00100B72">
        <w:rPr>
          <w:rFonts w:asciiTheme="minorHAnsi" w:hAnsiTheme="minorHAnsi" w:cstheme="minorHAnsi"/>
        </w:rPr>
        <w:t>-</w:t>
      </w:r>
      <w:r w:rsidRPr="00100B72">
        <w:rPr>
          <w:rFonts w:asciiTheme="minorHAnsi" w:hAnsiTheme="minorHAnsi" w:cstheme="minorHAnsi"/>
        </w:rPr>
        <w:t>nutrition (Shetty, vol.31, 2002)</w:t>
      </w:r>
      <w:r w:rsidR="006B711B" w:rsidRPr="00100B72">
        <w:rPr>
          <w:rFonts w:asciiTheme="minorHAnsi" w:hAnsiTheme="minorHAnsi" w:cstheme="minorHAnsi"/>
        </w:rPr>
        <w:t>.</w:t>
      </w:r>
      <w:r w:rsidRPr="00100B72">
        <w:rPr>
          <w:rFonts w:asciiTheme="minorHAnsi" w:hAnsiTheme="minorHAnsi" w:cstheme="minorHAnsi"/>
        </w:rPr>
        <w:t xml:space="preserve"> This can not only effect </w:t>
      </w:r>
      <w:r w:rsidRPr="00100B72">
        <w:rPr>
          <w:rFonts w:asciiTheme="minorHAnsi" w:hAnsiTheme="minorHAnsi" w:cstheme="minorHAnsi"/>
        </w:rPr>
        <w:lastRenderedPageBreak/>
        <w:t>cognitive function and have negative consequences for a child academically (J. Rose, L. Gilbert, V. Richards, 2016) but also children with chronic malnutrition can become more anxious and have a higher dependency on those who care for them</w:t>
      </w:r>
      <w:r w:rsidR="006B711B" w:rsidRPr="00100B72">
        <w:rPr>
          <w:rFonts w:asciiTheme="minorHAnsi" w:hAnsiTheme="minorHAnsi" w:cstheme="minorHAnsi"/>
        </w:rPr>
        <w:t>,</w:t>
      </w:r>
      <w:r w:rsidRPr="00100B72">
        <w:rPr>
          <w:rFonts w:asciiTheme="minorHAnsi" w:hAnsiTheme="minorHAnsi" w:cstheme="minorHAnsi"/>
        </w:rPr>
        <w:t xml:space="preserve"> such as a parent or trusted adult (Barrett, D. E., Radke-Yarrow, M., Klein, R. E. 1982)</w:t>
      </w:r>
      <w:r w:rsidR="006B711B" w:rsidRPr="00100B72">
        <w:rPr>
          <w:rFonts w:asciiTheme="minorHAnsi" w:hAnsiTheme="minorHAnsi" w:cstheme="minorHAnsi"/>
        </w:rPr>
        <w:t>.</w:t>
      </w:r>
      <w:r w:rsidRPr="00100B72">
        <w:rPr>
          <w:rFonts w:asciiTheme="minorHAnsi" w:hAnsiTheme="minorHAnsi" w:cstheme="minorHAnsi"/>
        </w:rPr>
        <w:t xml:space="preserve"> Fostering positive relationships in addition to fostering independence seems like a near impossibility as children embark into the ‘concrete operational stage’ as determined by Piaget’s four stages of cognitive development (Cherry, K., 2022) At this stage of a child’s development it is important to allow the child to make their own choices based upon their own judgement and developing reasoning skills. By giving a child reasonable choice this usually ‘low-stake’ for the adult allows that feeling of independence while the adult still holds the control. Allowing these choices and providing empathy and active listening skills if things do not go in the desired direction for the child can increase their independence while also fostering a positive relationship (Anthony, 2016)</w:t>
      </w:r>
      <w:r w:rsidR="006B711B" w:rsidRPr="00100B72">
        <w:rPr>
          <w:rFonts w:asciiTheme="minorHAnsi" w:hAnsiTheme="minorHAnsi" w:cstheme="minorHAnsi"/>
        </w:rPr>
        <w:t>.</w:t>
      </w:r>
    </w:p>
    <w:p w14:paraId="744219AE" w14:textId="77777777" w:rsidR="00FB3C7E" w:rsidRPr="00100B72" w:rsidRDefault="00FB3C7E" w:rsidP="00FB3C7E">
      <w:pPr>
        <w:rPr>
          <w:rFonts w:asciiTheme="minorHAnsi" w:hAnsiTheme="minorHAnsi" w:cstheme="minorHAnsi"/>
        </w:rPr>
      </w:pPr>
    </w:p>
    <w:p w14:paraId="327D13EE" w14:textId="2F864D18" w:rsidR="00FB3C7E" w:rsidRPr="00100B72" w:rsidRDefault="00FB3C7E" w:rsidP="00FB3C7E">
      <w:pPr>
        <w:rPr>
          <w:rFonts w:asciiTheme="minorHAnsi" w:hAnsiTheme="minorHAnsi" w:cstheme="minorHAnsi"/>
          <w:color w:val="333333"/>
        </w:rPr>
      </w:pPr>
      <w:r w:rsidRPr="00100B72">
        <w:rPr>
          <w:rFonts w:asciiTheme="minorHAnsi" w:hAnsiTheme="minorHAnsi" w:cstheme="minorHAnsi"/>
        </w:rPr>
        <w:t>Relationships that are positive and secure with parents are often the foundation of a child’s social development (Shonkoff and Phillips, 2000). If children do not have this secure attachment, often referred to as an insecure attachment, having these insecure attachments can negatively impact not only their social development and can find it difficult to form positive and lasting relationships but also their potential to learn (Bomber, 2007). Understanding the effects of relationships and attachments is essential for teaching staff (Greenhalgh 1994)</w:t>
      </w:r>
      <w:r w:rsidR="006B711B" w:rsidRPr="00100B72">
        <w:rPr>
          <w:rFonts w:asciiTheme="minorHAnsi" w:hAnsiTheme="minorHAnsi" w:cstheme="minorHAnsi"/>
        </w:rPr>
        <w:t>.</w:t>
      </w:r>
      <w:r w:rsidRPr="00100B72">
        <w:rPr>
          <w:rFonts w:asciiTheme="minorHAnsi" w:hAnsiTheme="minorHAnsi" w:cstheme="minorHAnsi"/>
        </w:rPr>
        <w:t xml:space="preserve"> This led to the question what about the children whose parents cannot attend activities during the school day due to working commitments? </w:t>
      </w:r>
    </w:p>
    <w:p w14:paraId="3A013A99" w14:textId="77777777" w:rsidR="00FB3C7E" w:rsidRPr="00100B72" w:rsidRDefault="00FB3C7E" w:rsidP="00FB3C7E">
      <w:pPr>
        <w:rPr>
          <w:rFonts w:asciiTheme="minorHAnsi" w:hAnsiTheme="minorHAnsi" w:cstheme="minorHAnsi"/>
        </w:rPr>
      </w:pPr>
    </w:p>
    <w:p w14:paraId="479E5B86" w14:textId="72D0146F" w:rsidR="00FB3C7E" w:rsidRPr="00100B72" w:rsidRDefault="00FB3C7E" w:rsidP="00FB3C7E">
      <w:pPr>
        <w:rPr>
          <w:rFonts w:asciiTheme="minorHAnsi" w:hAnsiTheme="minorHAnsi" w:cstheme="minorHAnsi"/>
        </w:rPr>
      </w:pPr>
      <w:r w:rsidRPr="00100B72">
        <w:rPr>
          <w:rFonts w:asciiTheme="minorHAnsi" w:hAnsiTheme="minorHAnsi" w:cstheme="minorHAnsi"/>
        </w:rPr>
        <w:t>Parents who demonstrate high engagement with the child’s school overall have higher ‘attainment’ meaning those whose parents do not could potentially have lower ‘attainment’ than their peers. (Steinburg et al,1992) Although it could be argued that lack of engagement with school could be due to varying factors such as being a single parenthood or socioeconomic status and not only due to parents work commitments and is said that parents who are more involved with their child on holistically are more likely to be involved at a school level also this involves going into school for events such as parents evenings and volunteering (</w:t>
      </w:r>
      <w:proofErr w:type="spellStart"/>
      <w:r w:rsidRPr="00100B72">
        <w:rPr>
          <w:rFonts w:asciiTheme="minorHAnsi" w:hAnsiTheme="minorHAnsi" w:cstheme="minorHAnsi"/>
        </w:rPr>
        <w:t>Grolnick</w:t>
      </w:r>
      <w:proofErr w:type="spellEnd"/>
      <w:r w:rsidRPr="00100B72">
        <w:rPr>
          <w:rFonts w:asciiTheme="minorHAnsi" w:hAnsiTheme="minorHAnsi" w:cstheme="minorHAnsi"/>
        </w:rPr>
        <w:t xml:space="preserve"> et al,1997, P 544). This could indicate that parents who may shy away from school engagement are possibly the ones who could benefit the most from it. Building up the positive relationship at a parent-school level could help parent-child relationship (</w:t>
      </w:r>
      <w:proofErr w:type="spellStart"/>
      <w:r w:rsidRPr="00100B72">
        <w:rPr>
          <w:rFonts w:asciiTheme="minorHAnsi" w:hAnsiTheme="minorHAnsi" w:cstheme="minorHAnsi"/>
        </w:rPr>
        <w:t>Bojuwoye</w:t>
      </w:r>
      <w:proofErr w:type="spellEnd"/>
      <w:r w:rsidRPr="00100B72">
        <w:rPr>
          <w:rFonts w:asciiTheme="minorHAnsi" w:hAnsiTheme="minorHAnsi" w:cstheme="minorHAnsi"/>
        </w:rPr>
        <w:t xml:space="preserve">, 2015). </w:t>
      </w:r>
    </w:p>
    <w:p w14:paraId="6570AC26" w14:textId="77777777" w:rsidR="00FB3C7E" w:rsidRPr="00100B72" w:rsidRDefault="00FB3C7E" w:rsidP="00FB3C7E">
      <w:pPr>
        <w:rPr>
          <w:rFonts w:asciiTheme="minorHAnsi" w:hAnsiTheme="minorHAnsi" w:cstheme="minorHAnsi"/>
        </w:rPr>
      </w:pPr>
    </w:p>
    <w:p w14:paraId="5A27F46A" w14:textId="77777777" w:rsidR="00FB3C7E" w:rsidRPr="00100B72" w:rsidRDefault="00FB3C7E" w:rsidP="00FB3C7E">
      <w:pPr>
        <w:rPr>
          <w:rFonts w:asciiTheme="minorHAnsi" w:hAnsiTheme="minorHAnsi" w:cstheme="minorHAnsi"/>
        </w:rPr>
      </w:pPr>
    </w:p>
    <w:p w14:paraId="3E5AA6FC" w14:textId="1339668C" w:rsidR="00FB3C7E" w:rsidRPr="00100B72" w:rsidRDefault="00FB3C7E" w:rsidP="00FB3C7E">
      <w:pPr>
        <w:rPr>
          <w:rFonts w:asciiTheme="minorHAnsi" w:hAnsiTheme="minorHAnsi" w:cstheme="minorHAnsi"/>
        </w:rPr>
      </w:pPr>
      <w:r w:rsidRPr="00100B72">
        <w:rPr>
          <w:rFonts w:asciiTheme="minorHAnsi" w:hAnsiTheme="minorHAnsi" w:cstheme="minorHAnsi"/>
        </w:rPr>
        <w:t xml:space="preserve">Some conversations that have been overheard around schools by staff and parents may disagree that schools focus on healthy, positive relationships are unwarranted but looking at Bronfenbrenner’s ecological systems theory possibly indicates otherwise. This theory shows social and economic factors intersects with those surrounding it and therefore, impacts the child. (Guy-Evans, 2020) </w:t>
      </w:r>
      <w:r w:rsidR="006B711B" w:rsidRPr="00100B72">
        <w:rPr>
          <w:rFonts w:asciiTheme="minorHAnsi" w:hAnsiTheme="minorHAnsi" w:cstheme="minorHAnsi"/>
        </w:rPr>
        <w:t>Therefore</w:t>
      </w:r>
      <w:r w:rsidRPr="00100B72">
        <w:rPr>
          <w:rFonts w:asciiTheme="minorHAnsi" w:hAnsiTheme="minorHAnsi" w:cstheme="minorHAnsi"/>
        </w:rPr>
        <w:t xml:space="preserve">, the socioeconomic factors within the community in which the child is growing up can also play a significant role in their creating positive and </w:t>
      </w:r>
      <w:proofErr w:type="gramStart"/>
      <w:r w:rsidRPr="00100B72">
        <w:rPr>
          <w:rFonts w:asciiTheme="minorHAnsi" w:hAnsiTheme="minorHAnsi" w:cstheme="minorHAnsi"/>
        </w:rPr>
        <w:t>long lasting</w:t>
      </w:r>
      <w:proofErr w:type="gramEnd"/>
      <w:r w:rsidRPr="00100B72">
        <w:rPr>
          <w:rFonts w:asciiTheme="minorHAnsi" w:hAnsiTheme="minorHAnsi" w:cstheme="minorHAnsi"/>
        </w:rPr>
        <w:t xml:space="preserve"> relationships. If schools accept each person and their diversity</w:t>
      </w:r>
      <w:r w:rsidR="00B02546" w:rsidRPr="00100B72">
        <w:rPr>
          <w:rFonts w:asciiTheme="minorHAnsi" w:hAnsiTheme="minorHAnsi" w:cstheme="minorHAnsi"/>
        </w:rPr>
        <w:t>,</w:t>
      </w:r>
      <w:r w:rsidRPr="00100B72">
        <w:rPr>
          <w:rFonts w:asciiTheme="minorHAnsi" w:hAnsiTheme="minorHAnsi" w:cstheme="minorHAnsi"/>
        </w:rPr>
        <w:t xml:space="preserve"> this includes families plus staff members</w:t>
      </w:r>
      <w:r w:rsidR="00B02546" w:rsidRPr="00100B72">
        <w:rPr>
          <w:rFonts w:asciiTheme="minorHAnsi" w:hAnsiTheme="minorHAnsi" w:cstheme="minorHAnsi"/>
        </w:rPr>
        <w:t>,</w:t>
      </w:r>
      <w:r w:rsidRPr="00100B72">
        <w:rPr>
          <w:rFonts w:asciiTheme="minorHAnsi" w:hAnsiTheme="minorHAnsi" w:cstheme="minorHAnsi"/>
        </w:rPr>
        <w:t xml:space="preserve"> diversity </w:t>
      </w:r>
      <w:r w:rsidR="00B02546" w:rsidRPr="00100B72">
        <w:rPr>
          <w:rFonts w:asciiTheme="minorHAnsi" w:hAnsiTheme="minorHAnsi" w:cstheme="minorHAnsi"/>
        </w:rPr>
        <w:t xml:space="preserve">in </w:t>
      </w:r>
      <w:r w:rsidRPr="00100B72">
        <w:rPr>
          <w:rFonts w:asciiTheme="minorHAnsi" w:hAnsiTheme="minorHAnsi" w:cstheme="minorHAnsi"/>
        </w:rPr>
        <w:t xml:space="preserve">school relationships become stronger and therefore directly benefitting the children within the school setting. If a school position families and family engagement at the forefront of their policy, families will feel welcome, and engagement is likely to increase. (Roffery, 2011, P.148) With families and communities </w:t>
      </w:r>
      <w:r w:rsidRPr="00100B72">
        <w:rPr>
          <w:rFonts w:asciiTheme="minorHAnsi" w:hAnsiTheme="minorHAnsi" w:cstheme="minorHAnsi"/>
        </w:rPr>
        <w:lastRenderedPageBreak/>
        <w:t xml:space="preserve">having a much larger impact on pupil achievement the Welsh Government have created the Family and Community Engagement tool kit (Otherwise known as </w:t>
      </w:r>
      <w:proofErr w:type="spellStart"/>
      <w:r w:rsidRPr="00100B72">
        <w:rPr>
          <w:rFonts w:asciiTheme="minorHAnsi" w:hAnsiTheme="minorHAnsi" w:cstheme="minorHAnsi"/>
        </w:rPr>
        <w:t>FaCE</w:t>
      </w:r>
      <w:proofErr w:type="spellEnd"/>
      <w:r w:rsidRPr="00100B72">
        <w:rPr>
          <w:rFonts w:asciiTheme="minorHAnsi" w:hAnsiTheme="minorHAnsi" w:cstheme="minorHAnsi"/>
        </w:rPr>
        <w:t xml:space="preserve">). This outlines and agrees that parent/ career engagement supports and fosters more positive relationships as well as marked improvements in pupil attainment and in addition to a better sense of morale throughout the school and community. (Welsh Government, 2018, pg. 7) Having parental involvement also impacts children’s behaviours those children who feel family stress and those families who do engage with school have been found to have negative behaviour outcomes. (C.A. </w:t>
      </w:r>
      <w:proofErr w:type="spellStart"/>
      <w:r w:rsidRPr="00100B72">
        <w:rPr>
          <w:rFonts w:asciiTheme="minorHAnsi" w:hAnsiTheme="minorHAnsi" w:cstheme="minorHAnsi"/>
        </w:rPr>
        <w:t>Semke</w:t>
      </w:r>
      <w:proofErr w:type="spellEnd"/>
      <w:r w:rsidRPr="00100B72">
        <w:rPr>
          <w:rFonts w:asciiTheme="minorHAnsi" w:hAnsiTheme="minorHAnsi" w:cstheme="minorHAnsi"/>
        </w:rPr>
        <w:t xml:space="preserve">, </w:t>
      </w:r>
      <w:r w:rsidR="00100B72">
        <w:rPr>
          <w:rFonts w:asciiTheme="minorHAnsi" w:hAnsiTheme="minorHAnsi" w:cstheme="minorHAnsi"/>
        </w:rPr>
        <w:t>et al</w:t>
      </w:r>
      <w:r w:rsidRPr="00100B72">
        <w:rPr>
          <w:rFonts w:asciiTheme="minorHAnsi" w:hAnsiTheme="minorHAnsi" w:cstheme="minorHAnsi"/>
        </w:rPr>
        <w:t>, 2010, Vol. 48)</w:t>
      </w:r>
    </w:p>
    <w:p w14:paraId="36C4EE4F" w14:textId="77777777" w:rsidR="00FB3C7E" w:rsidRPr="00100B72" w:rsidRDefault="00FB3C7E" w:rsidP="00FB3C7E">
      <w:pPr>
        <w:rPr>
          <w:rFonts w:asciiTheme="minorHAnsi" w:hAnsiTheme="minorHAnsi" w:cstheme="minorHAnsi"/>
        </w:rPr>
      </w:pPr>
    </w:p>
    <w:p w14:paraId="3BF72198" w14:textId="2419450E" w:rsidR="00FB3C7E" w:rsidRPr="00100B72" w:rsidRDefault="00FB3C7E" w:rsidP="00FB3C7E">
      <w:pPr>
        <w:rPr>
          <w:rFonts w:asciiTheme="minorHAnsi" w:hAnsiTheme="minorHAnsi" w:cstheme="minorHAnsi"/>
        </w:rPr>
      </w:pPr>
      <w:r w:rsidRPr="00100B72">
        <w:rPr>
          <w:rFonts w:asciiTheme="minorHAnsi" w:hAnsiTheme="minorHAnsi" w:cstheme="minorHAnsi"/>
        </w:rPr>
        <w:t xml:space="preserve">Behaviour management strategies in school can play a vital role for children as this is where many believe that teachers and school staff prepare pupils for the future allowing them to become an active member of the community. As previously discussed, positive relationships between school staff and pupils as well as families holds an essential role in managing the behaviour in the class room. (Shelton, F., 2008) </w:t>
      </w:r>
    </w:p>
    <w:p w14:paraId="7A2E1EE9" w14:textId="48BB68A7" w:rsidR="00FB3C7E" w:rsidRPr="00100B72" w:rsidRDefault="00FB3C7E" w:rsidP="00FB3C7E">
      <w:pPr>
        <w:rPr>
          <w:rFonts w:asciiTheme="minorHAnsi" w:hAnsiTheme="minorHAnsi" w:cstheme="minorHAnsi"/>
          <w:color w:val="212121"/>
          <w:shd w:val="clear" w:color="auto" w:fill="FFFFFF"/>
        </w:rPr>
      </w:pPr>
      <w:r w:rsidRPr="00100B72">
        <w:rPr>
          <w:rFonts w:asciiTheme="minorHAnsi" w:hAnsiTheme="minorHAnsi" w:cstheme="minorHAnsi"/>
        </w:rPr>
        <w:t>Focusing and reaffirming positives using a whole school approach can encourage and demonstrate positive behaviours using consistent boundaries and positive reinforcement with praise can motivate children. (Ibid, 2008) Skinner’s look on behaviour was that positive reinforcement can strengthen behaviour while negative reinforcement (such a punishment) can weaken behaviour (</w:t>
      </w:r>
      <w:proofErr w:type="spellStart"/>
      <w:r w:rsidRPr="00100B72">
        <w:rPr>
          <w:rFonts w:asciiTheme="minorHAnsi" w:hAnsiTheme="minorHAnsi" w:cstheme="minorHAnsi"/>
        </w:rPr>
        <w:t>O’Donohue</w:t>
      </w:r>
      <w:proofErr w:type="spellEnd"/>
      <w:r w:rsidRPr="00100B72">
        <w:rPr>
          <w:rFonts w:asciiTheme="minorHAnsi" w:hAnsiTheme="minorHAnsi" w:cstheme="minorHAnsi"/>
        </w:rPr>
        <w:t xml:space="preserve"> and Ferguson, 2001). His work also provided insight into the frequency of these positive and negative reinforcers to how long it would be to change the behaviour with reinforcement schedules. (Gray, and </w:t>
      </w:r>
      <w:proofErr w:type="spellStart"/>
      <w:r w:rsidRPr="00100B72">
        <w:rPr>
          <w:rFonts w:asciiTheme="minorHAnsi" w:hAnsiTheme="minorHAnsi" w:cstheme="minorHAnsi"/>
        </w:rPr>
        <w:t>MacBlain</w:t>
      </w:r>
      <w:proofErr w:type="spellEnd"/>
      <w:r w:rsidRPr="00100B72">
        <w:rPr>
          <w:rFonts w:asciiTheme="minorHAnsi" w:hAnsiTheme="minorHAnsi" w:cstheme="minorHAnsi"/>
        </w:rPr>
        <w:t>, 2015) This can indicate that positive reinforcement even on a verbal scale works well when done often and consistently. Praise has been said to be a stronger motivator to alter undesired behaviour than punishment. Having praise immediately after the desired behaviour is said to quickest way to see a long-lasting change. (</w:t>
      </w:r>
      <w:r w:rsidRPr="00100B72">
        <w:rPr>
          <w:rFonts w:asciiTheme="minorHAnsi" w:hAnsiTheme="minorHAnsi" w:cstheme="minorHAnsi"/>
          <w:color w:val="212121"/>
          <w:shd w:val="clear" w:color="auto" w:fill="FFFFFF"/>
        </w:rPr>
        <w:t xml:space="preserve">Scott, Jain and Cogburn, 2022) These findings could prove favourable to that praising children can decrease unwanted behaviour </w:t>
      </w:r>
      <w:proofErr w:type="gramStart"/>
      <w:r w:rsidRPr="00100B72">
        <w:rPr>
          <w:rFonts w:asciiTheme="minorHAnsi" w:hAnsiTheme="minorHAnsi" w:cstheme="minorHAnsi"/>
          <w:color w:val="212121"/>
          <w:shd w:val="clear" w:color="auto" w:fill="FFFFFF"/>
        </w:rPr>
        <w:t>and also</w:t>
      </w:r>
      <w:proofErr w:type="gramEnd"/>
      <w:r w:rsidRPr="00100B72">
        <w:rPr>
          <w:rFonts w:asciiTheme="minorHAnsi" w:hAnsiTheme="minorHAnsi" w:cstheme="minorHAnsi"/>
          <w:color w:val="212121"/>
          <w:shd w:val="clear" w:color="auto" w:fill="FFFFFF"/>
        </w:rPr>
        <w:t xml:space="preserve"> benefit their well-being by building confidence therefore, helping them become confident individuals which is one of the four key principals driving the new curriculum for Wales. (Donaldson, 2015) Due to this, it can be believed that this is a beneficial technique that holds a significance when dealing with behaviours within a school setting.</w:t>
      </w:r>
    </w:p>
    <w:p w14:paraId="5664C502" w14:textId="77777777" w:rsidR="00FB3C7E" w:rsidRPr="00100B72" w:rsidRDefault="00FB3C7E" w:rsidP="00FB3C7E">
      <w:pPr>
        <w:tabs>
          <w:tab w:val="left" w:pos="2200"/>
        </w:tabs>
        <w:rPr>
          <w:rFonts w:asciiTheme="minorHAnsi" w:hAnsiTheme="minorHAnsi" w:cstheme="minorHAnsi"/>
        </w:rPr>
      </w:pPr>
      <w:r w:rsidRPr="00100B72">
        <w:rPr>
          <w:rFonts w:asciiTheme="minorHAnsi" w:hAnsiTheme="minorHAnsi" w:cstheme="minorHAnsi"/>
        </w:rPr>
        <w:tab/>
      </w:r>
    </w:p>
    <w:p w14:paraId="18A14167" w14:textId="77777777" w:rsidR="00FB3C7E" w:rsidRPr="00100B72" w:rsidRDefault="00FB3C7E" w:rsidP="00FB3C7E">
      <w:pPr>
        <w:tabs>
          <w:tab w:val="left" w:pos="2200"/>
        </w:tabs>
        <w:rPr>
          <w:rFonts w:asciiTheme="minorHAnsi" w:hAnsiTheme="minorHAnsi" w:cstheme="minorHAnsi"/>
          <w:b/>
          <w:bCs/>
          <w:u w:val="single"/>
        </w:rPr>
      </w:pPr>
      <w:r w:rsidRPr="00100B72">
        <w:rPr>
          <w:rFonts w:asciiTheme="minorHAnsi" w:hAnsiTheme="minorHAnsi" w:cstheme="minorHAnsi"/>
          <w:b/>
          <w:bCs/>
          <w:u w:val="single"/>
        </w:rPr>
        <w:t>Reflection/ Evaluation &amp; next steps (700)</w:t>
      </w:r>
    </w:p>
    <w:p w14:paraId="7D56C1B0" w14:textId="77777777" w:rsidR="00FB3C7E" w:rsidRPr="00100B72" w:rsidRDefault="00FB3C7E" w:rsidP="00FB3C7E">
      <w:pPr>
        <w:tabs>
          <w:tab w:val="left" w:pos="2200"/>
        </w:tabs>
        <w:rPr>
          <w:rFonts w:asciiTheme="minorHAnsi" w:hAnsiTheme="minorHAnsi" w:cstheme="minorHAnsi"/>
          <w:b/>
          <w:bCs/>
          <w:u w:val="single"/>
        </w:rPr>
      </w:pPr>
    </w:p>
    <w:p w14:paraId="045182C3" w14:textId="7AE72439" w:rsidR="00FB3C7E" w:rsidRPr="00100B72" w:rsidRDefault="00FB3C7E" w:rsidP="00FB3C7E">
      <w:pPr>
        <w:tabs>
          <w:tab w:val="left" w:pos="2200"/>
        </w:tabs>
        <w:rPr>
          <w:rFonts w:asciiTheme="minorHAnsi" w:hAnsiTheme="minorHAnsi" w:cstheme="minorHAnsi"/>
        </w:rPr>
      </w:pPr>
      <w:r w:rsidRPr="00100B72">
        <w:rPr>
          <w:rFonts w:asciiTheme="minorHAnsi" w:hAnsiTheme="minorHAnsi" w:cstheme="minorHAnsi"/>
        </w:rPr>
        <w:t>My findings have determined</w:t>
      </w:r>
      <w:r w:rsidR="00B02546" w:rsidRPr="00100B72">
        <w:rPr>
          <w:rFonts w:asciiTheme="minorHAnsi" w:hAnsiTheme="minorHAnsi" w:cstheme="minorHAnsi"/>
        </w:rPr>
        <w:t>,</w:t>
      </w:r>
      <w:r w:rsidRPr="00100B72">
        <w:rPr>
          <w:rFonts w:asciiTheme="minorHAnsi" w:hAnsiTheme="minorHAnsi" w:cstheme="minorHAnsi"/>
        </w:rPr>
        <w:t xml:space="preserve"> that focusing on children holistically seems to be the correct approach. A possible reflection strategy for this could be Brookfield’s four Lenses to help keep child well-being at the forefront of their education by using the lens of the learner before focusing on the self and realising that positive relationships at school and at home will create consistency for the child and open positive communication between the child, school and those in their home</w:t>
      </w:r>
      <w:r w:rsidR="00B02546" w:rsidRPr="00100B72">
        <w:rPr>
          <w:rFonts w:asciiTheme="minorHAnsi" w:hAnsiTheme="minorHAnsi" w:cstheme="minorHAnsi"/>
        </w:rPr>
        <w:t>.</w:t>
      </w:r>
      <w:r w:rsidRPr="00100B72">
        <w:rPr>
          <w:rFonts w:asciiTheme="minorHAnsi" w:hAnsiTheme="minorHAnsi" w:cstheme="minorHAnsi"/>
        </w:rPr>
        <w:t xml:space="preserve"> I suggest this within the self-lens as many teachers can reflect </w:t>
      </w:r>
      <w:r w:rsidR="00B02546" w:rsidRPr="00100B72">
        <w:rPr>
          <w:rFonts w:asciiTheme="minorHAnsi" w:hAnsiTheme="minorHAnsi" w:cstheme="minorHAnsi"/>
        </w:rPr>
        <w:t>on</w:t>
      </w:r>
      <w:r w:rsidRPr="00100B72">
        <w:rPr>
          <w:rFonts w:asciiTheme="minorHAnsi" w:hAnsiTheme="minorHAnsi" w:cstheme="minorHAnsi"/>
        </w:rPr>
        <w:t xml:space="preserve"> their own school experience or using the peer lens and speaking with colleagues or possibly parents themselves. By allowing parents to be involved with their child’s learning the child is witnessing co-operation between the school staff and their parents/care providers. This positive modelling of rich language and healthy communication provides them with an understanding of how to act in these social situations. Having community schools is beneficial for the children in providing a safe space outside the home as well as safe adults to whom the children can build positive relationships. I believe that these serve those within the community who need it the most </w:t>
      </w:r>
      <w:r w:rsidR="00B02546" w:rsidRPr="00100B72">
        <w:rPr>
          <w:rFonts w:asciiTheme="minorHAnsi" w:hAnsiTheme="minorHAnsi" w:cstheme="minorHAnsi"/>
        </w:rPr>
        <w:t xml:space="preserve">and </w:t>
      </w:r>
      <w:r w:rsidRPr="00100B72">
        <w:rPr>
          <w:rFonts w:asciiTheme="minorHAnsi" w:hAnsiTheme="minorHAnsi" w:cstheme="minorHAnsi"/>
        </w:rPr>
        <w:t xml:space="preserve">by showing kindness and a </w:t>
      </w:r>
      <w:r w:rsidRPr="00100B72">
        <w:rPr>
          <w:rFonts w:asciiTheme="minorHAnsi" w:hAnsiTheme="minorHAnsi" w:cstheme="minorHAnsi"/>
        </w:rPr>
        <w:lastRenderedPageBreak/>
        <w:t>willingness to work together</w:t>
      </w:r>
      <w:r w:rsidR="00B02546" w:rsidRPr="00100B72">
        <w:rPr>
          <w:rFonts w:asciiTheme="minorHAnsi" w:hAnsiTheme="minorHAnsi" w:cstheme="minorHAnsi"/>
        </w:rPr>
        <w:t>,</w:t>
      </w:r>
      <w:r w:rsidRPr="00100B72">
        <w:rPr>
          <w:rFonts w:asciiTheme="minorHAnsi" w:hAnsiTheme="minorHAnsi" w:cstheme="minorHAnsi"/>
        </w:rPr>
        <w:t xml:space="preserve"> schools and parents can work together for the child. Having this can take pressure of the parent if the school is told or knows about any support that could be needed. Feeling safe for both parent and child is vital as if a parent is</w:t>
      </w:r>
      <w:r w:rsidR="00B02546" w:rsidRPr="00100B72">
        <w:rPr>
          <w:rFonts w:asciiTheme="minorHAnsi" w:hAnsiTheme="minorHAnsi" w:cstheme="minorHAnsi"/>
        </w:rPr>
        <w:t xml:space="preserve"> not</w:t>
      </w:r>
      <w:r w:rsidRPr="00100B72">
        <w:rPr>
          <w:rFonts w:asciiTheme="minorHAnsi" w:hAnsiTheme="minorHAnsi" w:cstheme="minorHAnsi"/>
        </w:rPr>
        <w:t xml:space="preserve"> feeling safe</w:t>
      </w:r>
      <w:r w:rsidR="00B02546" w:rsidRPr="00100B72">
        <w:rPr>
          <w:rFonts w:asciiTheme="minorHAnsi" w:hAnsiTheme="minorHAnsi" w:cstheme="minorHAnsi"/>
        </w:rPr>
        <w:t>,</w:t>
      </w:r>
      <w:r w:rsidRPr="00100B72">
        <w:rPr>
          <w:rFonts w:asciiTheme="minorHAnsi" w:hAnsiTheme="minorHAnsi" w:cstheme="minorHAnsi"/>
        </w:rPr>
        <w:t xml:space="preserve"> children can pick up on those ques and become anxious. Feeling safe is a basic need for children (Maslow</w:t>
      </w:r>
      <w:r w:rsidR="00B02546" w:rsidRPr="00100B72">
        <w:rPr>
          <w:rFonts w:asciiTheme="minorHAnsi" w:hAnsiTheme="minorHAnsi" w:cstheme="minorHAnsi"/>
        </w:rPr>
        <w:t xml:space="preserve"> 2015</w:t>
      </w:r>
      <w:r w:rsidRPr="00100B72">
        <w:rPr>
          <w:rFonts w:asciiTheme="minorHAnsi" w:hAnsiTheme="minorHAnsi" w:cstheme="minorHAnsi"/>
        </w:rPr>
        <w:t>) I believe that the findings support the need for having these schools and open communication between school and home to benefit and support not only the child</w:t>
      </w:r>
      <w:r w:rsidR="00B02546" w:rsidRPr="00100B72">
        <w:rPr>
          <w:rFonts w:asciiTheme="minorHAnsi" w:hAnsiTheme="minorHAnsi" w:cstheme="minorHAnsi"/>
        </w:rPr>
        <w:t>,</w:t>
      </w:r>
      <w:r w:rsidRPr="00100B72">
        <w:rPr>
          <w:rFonts w:asciiTheme="minorHAnsi" w:hAnsiTheme="minorHAnsi" w:cstheme="minorHAnsi"/>
        </w:rPr>
        <w:t xml:space="preserve"> but in some cases the whole family. </w:t>
      </w:r>
    </w:p>
    <w:p w14:paraId="46123633" w14:textId="77777777" w:rsidR="00FB3C7E" w:rsidRPr="00100B72" w:rsidRDefault="00FB3C7E" w:rsidP="00FB3C7E">
      <w:pPr>
        <w:tabs>
          <w:tab w:val="left" w:pos="2200"/>
        </w:tabs>
        <w:rPr>
          <w:rFonts w:asciiTheme="minorHAnsi" w:hAnsiTheme="minorHAnsi" w:cstheme="minorHAnsi"/>
        </w:rPr>
      </w:pPr>
    </w:p>
    <w:p w14:paraId="43B627AE" w14:textId="10659878" w:rsidR="00FB3C7E" w:rsidRPr="00100B72" w:rsidRDefault="00FB3C7E" w:rsidP="00FB3C7E">
      <w:pPr>
        <w:tabs>
          <w:tab w:val="left" w:pos="2200"/>
        </w:tabs>
        <w:rPr>
          <w:rFonts w:asciiTheme="minorHAnsi" w:hAnsiTheme="minorHAnsi" w:cstheme="minorHAnsi"/>
        </w:rPr>
      </w:pPr>
      <w:r w:rsidRPr="00100B72">
        <w:rPr>
          <w:rFonts w:asciiTheme="minorHAnsi" w:hAnsiTheme="minorHAnsi" w:cstheme="minorHAnsi"/>
        </w:rPr>
        <w:t xml:space="preserve">As a student teacher I firmly feel that having open lines of communication for the positive and not just the negative will help build those home school relations and that the speaking to parents then is not seen as a punishment but rather could be an extrinsic motivation to also have praise from parents. Similarly, to the </w:t>
      </w:r>
      <w:r w:rsidR="00B02546" w:rsidRPr="00100B72">
        <w:rPr>
          <w:rFonts w:asciiTheme="minorHAnsi" w:hAnsiTheme="minorHAnsi" w:cstheme="minorHAnsi"/>
        </w:rPr>
        <w:t>c</w:t>
      </w:r>
      <w:r w:rsidRPr="00100B72">
        <w:rPr>
          <w:rFonts w:asciiTheme="minorHAnsi" w:hAnsiTheme="minorHAnsi" w:cstheme="minorHAnsi"/>
        </w:rPr>
        <w:t>ritical incident discussed</w:t>
      </w:r>
      <w:r w:rsidR="00B02546" w:rsidRPr="00100B72">
        <w:rPr>
          <w:rFonts w:asciiTheme="minorHAnsi" w:hAnsiTheme="minorHAnsi" w:cstheme="minorHAnsi"/>
        </w:rPr>
        <w:t>,</w:t>
      </w:r>
      <w:r w:rsidRPr="00100B72">
        <w:rPr>
          <w:rFonts w:asciiTheme="minorHAnsi" w:hAnsiTheme="minorHAnsi" w:cstheme="minorHAnsi"/>
        </w:rPr>
        <w:t xml:space="preserve"> perhaps workshops to positively model this praise</w:t>
      </w:r>
      <w:r w:rsidR="00B02546" w:rsidRPr="00100B72">
        <w:rPr>
          <w:rFonts w:asciiTheme="minorHAnsi" w:hAnsiTheme="minorHAnsi" w:cstheme="minorHAnsi"/>
        </w:rPr>
        <w:t>,</w:t>
      </w:r>
      <w:r w:rsidRPr="00100B72">
        <w:rPr>
          <w:rFonts w:asciiTheme="minorHAnsi" w:hAnsiTheme="minorHAnsi" w:cstheme="minorHAnsi"/>
        </w:rPr>
        <w:t xml:space="preserve"> and the interactions</w:t>
      </w:r>
      <w:r w:rsidR="00B02546" w:rsidRPr="00100B72">
        <w:rPr>
          <w:rFonts w:asciiTheme="minorHAnsi" w:hAnsiTheme="minorHAnsi" w:cstheme="minorHAnsi"/>
        </w:rPr>
        <w:t>,</w:t>
      </w:r>
      <w:r w:rsidRPr="00100B72">
        <w:rPr>
          <w:rFonts w:asciiTheme="minorHAnsi" w:hAnsiTheme="minorHAnsi" w:cstheme="minorHAnsi"/>
        </w:rPr>
        <w:t xml:space="preserve"> maybe beneficial for some</w:t>
      </w:r>
      <w:r w:rsidR="00B02546" w:rsidRPr="00100B72">
        <w:rPr>
          <w:rFonts w:asciiTheme="minorHAnsi" w:hAnsiTheme="minorHAnsi" w:cstheme="minorHAnsi"/>
        </w:rPr>
        <w:t>,</w:t>
      </w:r>
      <w:r w:rsidRPr="00100B72">
        <w:rPr>
          <w:rFonts w:asciiTheme="minorHAnsi" w:hAnsiTheme="minorHAnsi" w:cstheme="minorHAnsi"/>
        </w:rPr>
        <w:t xml:space="preserve"> so I think it could be something to consider when I </w:t>
      </w:r>
      <w:proofErr w:type="gramStart"/>
      <w:r w:rsidRPr="00100B72">
        <w:rPr>
          <w:rFonts w:asciiTheme="minorHAnsi" w:hAnsiTheme="minorHAnsi" w:cstheme="minorHAnsi"/>
        </w:rPr>
        <w:t>have the opportunity to</w:t>
      </w:r>
      <w:proofErr w:type="gramEnd"/>
      <w:r w:rsidRPr="00100B72">
        <w:rPr>
          <w:rFonts w:asciiTheme="minorHAnsi" w:hAnsiTheme="minorHAnsi" w:cstheme="minorHAnsi"/>
        </w:rPr>
        <w:t xml:space="preserve"> move forward with these next steps.</w:t>
      </w:r>
    </w:p>
    <w:p w14:paraId="3E1D204B" w14:textId="77777777" w:rsidR="00FB3C7E" w:rsidRPr="00100B72" w:rsidRDefault="00FB3C7E" w:rsidP="00FB3C7E">
      <w:pPr>
        <w:tabs>
          <w:tab w:val="left" w:pos="2200"/>
        </w:tabs>
        <w:rPr>
          <w:rFonts w:asciiTheme="minorHAnsi" w:hAnsiTheme="minorHAnsi" w:cstheme="minorHAnsi"/>
        </w:rPr>
      </w:pPr>
    </w:p>
    <w:p w14:paraId="2E6C2323" w14:textId="77777777" w:rsidR="009F3BB0" w:rsidRPr="00100B72" w:rsidRDefault="00FB3C7E" w:rsidP="00FB3C7E">
      <w:pPr>
        <w:tabs>
          <w:tab w:val="left" w:pos="2200"/>
        </w:tabs>
        <w:rPr>
          <w:rFonts w:asciiTheme="minorHAnsi" w:hAnsiTheme="minorHAnsi" w:cstheme="minorHAnsi"/>
        </w:rPr>
      </w:pPr>
      <w:r w:rsidRPr="00100B72">
        <w:rPr>
          <w:rFonts w:asciiTheme="minorHAnsi" w:hAnsiTheme="minorHAnsi" w:cstheme="minorHAnsi"/>
        </w:rPr>
        <w:t>Furthermore, from the examination of literacy</w:t>
      </w:r>
      <w:r w:rsidR="00B02546" w:rsidRPr="00100B72">
        <w:rPr>
          <w:rFonts w:asciiTheme="minorHAnsi" w:hAnsiTheme="minorHAnsi" w:cstheme="minorHAnsi"/>
        </w:rPr>
        <w:t>,</w:t>
      </w:r>
      <w:r w:rsidRPr="00100B72">
        <w:rPr>
          <w:rFonts w:asciiTheme="minorHAnsi" w:hAnsiTheme="minorHAnsi" w:cstheme="minorHAnsi"/>
        </w:rPr>
        <w:t xml:space="preserve"> I feel that including the health and well-being across different </w:t>
      </w:r>
      <w:proofErr w:type="spellStart"/>
      <w:r w:rsidRPr="00100B72">
        <w:rPr>
          <w:rFonts w:asciiTheme="minorHAnsi" w:hAnsiTheme="minorHAnsi" w:cstheme="minorHAnsi"/>
        </w:rPr>
        <w:t>ALoE</w:t>
      </w:r>
      <w:proofErr w:type="spellEnd"/>
      <w:r w:rsidRPr="00100B72">
        <w:rPr>
          <w:rFonts w:asciiTheme="minorHAnsi" w:hAnsiTheme="minorHAnsi" w:cstheme="minorHAnsi"/>
        </w:rPr>
        <w:t xml:space="preserve"> teachings will benefit children and families. This can be done similarly as discussed in the CI as a cooking class but also could look at the benefits of healthy diets, exercise and relationships that are all imperative to the children and adult’s lives. Differentiating </w:t>
      </w:r>
      <w:r w:rsidR="009F3BB0" w:rsidRPr="00100B72">
        <w:rPr>
          <w:rFonts w:asciiTheme="minorHAnsi" w:hAnsiTheme="minorHAnsi" w:cstheme="minorHAnsi"/>
        </w:rPr>
        <w:t xml:space="preserve">(ref) </w:t>
      </w:r>
      <w:r w:rsidRPr="00100B72">
        <w:rPr>
          <w:rFonts w:asciiTheme="minorHAnsi" w:hAnsiTheme="minorHAnsi" w:cstheme="minorHAnsi"/>
        </w:rPr>
        <w:t>for the stage that would be appropriate for those who were receiving the classes</w:t>
      </w:r>
      <w:r w:rsidR="009F3BB0" w:rsidRPr="00100B72">
        <w:rPr>
          <w:rFonts w:asciiTheme="minorHAnsi" w:hAnsiTheme="minorHAnsi" w:cstheme="minorHAnsi"/>
        </w:rPr>
        <w:t>,</w:t>
      </w:r>
      <w:r w:rsidRPr="00100B72">
        <w:rPr>
          <w:rFonts w:asciiTheme="minorHAnsi" w:hAnsiTheme="minorHAnsi" w:cstheme="minorHAnsi"/>
        </w:rPr>
        <w:t xml:space="preserve"> I believe would allow for further continued engagement and lessons that children would remember fondly due to creating authentic contexts as well as the knowledge and skills they can take into the future. </w:t>
      </w:r>
    </w:p>
    <w:p w14:paraId="01492E36" w14:textId="77777777" w:rsidR="009F3BB0" w:rsidRPr="00100B72" w:rsidRDefault="009F3BB0" w:rsidP="00FB3C7E">
      <w:pPr>
        <w:tabs>
          <w:tab w:val="left" w:pos="2200"/>
        </w:tabs>
        <w:rPr>
          <w:rFonts w:asciiTheme="minorHAnsi" w:hAnsiTheme="minorHAnsi" w:cstheme="minorHAnsi"/>
        </w:rPr>
      </w:pPr>
    </w:p>
    <w:p w14:paraId="164A7D81" w14:textId="697067CF" w:rsidR="00FB3C7E" w:rsidRPr="00100B72" w:rsidRDefault="00FB3C7E" w:rsidP="00FB3C7E">
      <w:pPr>
        <w:tabs>
          <w:tab w:val="left" w:pos="2200"/>
        </w:tabs>
        <w:rPr>
          <w:rFonts w:asciiTheme="minorHAnsi" w:hAnsiTheme="minorHAnsi" w:cstheme="minorHAnsi"/>
          <w:color w:val="000000" w:themeColor="text1"/>
        </w:rPr>
      </w:pPr>
      <w:r w:rsidRPr="00100B72">
        <w:rPr>
          <w:rFonts w:asciiTheme="minorHAnsi" w:hAnsiTheme="minorHAnsi" w:cstheme="minorHAnsi"/>
        </w:rPr>
        <w:t>As a student teacher I determinedly feel that providing these</w:t>
      </w:r>
      <w:r w:rsidR="009F3BB0" w:rsidRPr="00100B72">
        <w:rPr>
          <w:rFonts w:asciiTheme="minorHAnsi" w:hAnsiTheme="minorHAnsi" w:cstheme="minorHAnsi"/>
        </w:rPr>
        <w:t xml:space="preserve"> experiences</w:t>
      </w:r>
      <w:r w:rsidRPr="00100B72">
        <w:rPr>
          <w:rFonts w:asciiTheme="minorHAnsi" w:hAnsiTheme="minorHAnsi" w:cstheme="minorHAnsi"/>
        </w:rPr>
        <w:t xml:space="preserve"> to our learners will enhance their experience in school and in life</w:t>
      </w:r>
      <w:r w:rsidRPr="00100B72">
        <w:rPr>
          <w:rFonts w:asciiTheme="minorHAnsi" w:hAnsiTheme="minorHAnsi" w:cstheme="minorHAnsi"/>
          <w:color w:val="000000" w:themeColor="text1"/>
        </w:rPr>
        <w:t>. Having the opportunities during PTE and bridging to witness these community engagement and behaviour management strategies has been very informative to my learning as a student teacher. I understood from the literature that collaboration and open lines of communication</w:t>
      </w:r>
      <w:r w:rsidR="009F3BB0" w:rsidRPr="00100B72">
        <w:rPr>
          <w:rFonts w:asciiTheme="minorHAnsi" w:hAnsiTheme="minorHAnsi" w:cstheme="minorHAnsi"/>
          <w:color w:val="000000" w:themeColor="text1"/>
        </w:rPr>
        <w:t>,</w:t>
      </w:r>
      <w:r w:rsidRPr="00100B72">
        <w:rPr>
          <w:rFonts w:asciiTheme="minorHAnsi" w:hAnsiTheme="minorHAnsi" w:cstheme="minorHAnsi"/>
          <w:color w:val="000000" w:themeColor="text1"/>
        </w:rPr>
        <w:t xml:space="preserve"> along with extrinsic motivators</w:t>
      </w:r>
      <w:r w:rsidR="009F3BB0" w:rsidRPr="00100B72">
        <w:rPr>
          <w:rFonts w:asciiTheme="minorHAnsi" w:hAnsiTheme="minorHAnsi" w:cstheme="minorHAnsi"/>
          <w:color w:val="000000" w:themeColor="text1"/>
        </w:rPr>
        <w:t>,</w:t>
      </w:r>
      <w:r w:rsidRPr="00100B72">
        <w:rPr>
          <w:rFonts w:asciiTheme="minorHAnsi" w:hAnsiTheme="minorHAnsi" w:cstheme="minorHAnsi"/>
          <w:color w:val="000000" w:themeColor="text1"/>
        </w:rPr>
        <w:t xml:space="preserve"> such as praise</w:t>
      </w:r>
      <w:r w:rsidR="009F3BB0" w:rsidRPr="00100B72">
        <w:rPr>
          <w:rFonts w:asciiTheme="minorHAnsi" w:hAnsiTheme="minorHAnsi" w:cstheme="minorHAnsi"/>
          <w:color w:val="000000" w:themeColor="text1"/>
        </w:rPr>
        <w:t>,</w:t>
      </w:r>
      <w:r w:rsidRPr="00100B72">
        <w:rPr>
          <w:rFonts w:asciiTheme="minorHAnsi" w:hAnsiTheme="minorHAnsi" w:cstheme="minorHAnsi"/>
          <w:color w:val="000000" w:themeColor="text1"/>
        </w:rPr>
        <w:t xml:space="preserve"> will positively benefit the child and that having consistency between the home and school will also have an impact on positive behaviour and relationships. Although relationships </w:t>
      </w:r>
      <w:r w:rsidR="0030039B" w:rsidRPr="00100B72">
        <w:rPr>
          <w:rFonts w:asciiTheme="minorHAnsi" w:hAnsiTheme="minorHAnsi" w:cstheme="minorHAnsi"/>
          <w:color w:val="000000" w:themeColor="text1"/>
        </w:rPr>
        <w:t>sit</w:t>
      </w:r>
      <w:r w:rsidRPr="00100B72">
        <w:rPr>
          <w:rFonts w:asciiTheme="minorHAnsi" w:hAnsiTheme="minorHAnsi" w:cstheme="minorHAnsi"/>
          <w:color w:val="000000" w:themeColor="text1"/>
        </w:rPr>
        <w:t xml:space="preserve"> within the </w:t>
      </w:r>
      <w:proofErr w:type="spellStart"/>
      <w:r w:rsidRPr="00100B72">
        <w:rPr>
          <w:rFonts w:asciiTheme="minorHAnsi" w:hAnsiTheme="minorHAnsi" w:cstheme="minorHAnsi"/>
          <w:color w:val="000000" w:themeColor="text1"/>
        </w:rPr>
        <w:t>AoLE</w:t>
      </w:r>
      <w:proofErr w:type="spellEnd"/>
      <w:r w:rsidRPr="00100B72">
        <w:rPr>
          <w:rFonts w:asciiTheme="minorHAnsi" w:hAnsiTheme="minorHAnsi" w:cstheme="minorHAnsi"/>
          <w:color w:val="000000" w:themeColor="text1"/>
        </w:rPr>
        <w:t xml:space="preserve"> of ‘Health and Well-being’, this is something I will strive for outside of the classroom and throughout my teaching practise to best support pupils and families. </w:t>
      </w:r>
    </w:p>
    <w:p w14:paraId="2A62880E" w14:textId="77777777" w:rsidR="00FB3C7E" w:rsidRPr="00100B72" w:rsidRDefault="00FB3C7E" w:rsidP="00FB3C7E">
      <w:pPr>
        <w:tabs>
          <w:tab w:val="left" w:pos="2200"/>
        </w:tabs>
        <w:rPr>
          <w:rFonts w:asciiTheme="minorHAnsi" w:hAnsiTheme="minorHAnsi" w:cstheme="minorHAnsi"/>
        </w:rPr>
      </w:pPr>
    </w:p>
    <w:p w14:paraId="210A523C" w14:textId="4C27286E" w:rsidR="00FB3C7E" w:rsidRPr="00100B72" w:rsidRDefault="00FB3C7E" w:rsidP="00FB3C7E">
      <w:pPr>
        <w:tabs>
          <w:tab w:val="left" w:pos="2200"/>
        </w:tabs>
        <w:rPr>
          <w:rFonts w:asciiTheme="minorHAnsi" w:hAnsiTheme="minorHAnsi" w:cstheme="minorHAnsi"/>
          <w:b/>
          <w:bCs/>
          <w:u w:val="single"/>
        </w:rPr>
      </w:pPr>
      <w:r w:rsidRPr="00100B72">
        <w:rPr>
          <w:rFonts w:asciiTheme="minorHAnsi" w:hAnsiTheme="minorHAnsi" w:cstheme="minorHAnsi"/>
          <w:b/>
          <w:bCs/>
          <w:u w:val="single"/>
        </w:rPr>
        <w:t xml:space="preserve">Conclusion </w:t>
      </w:r>
    </w:p>
    <w:p w14:paraId="240196C6" w14:textId="77777777" w:rsidR="00FB3C7E" w:rsidRPr="00100B72" w:rsidRDefault="00FB3C7E" w:rsidP="00FB3C7E">
      <w:pPr>
        <w:tabs>
          <w:tab w:val="left" w:pos="2200"/>
        </w:tabs>
        <w:rPr>
          <w:rFonts w:asciiTheme="minorHAnsi" w:hAnsiTheme="minorHAnsi" w:cstheme="minorHAnsi"/>
        </w:rPr>
      </w:pPr>
    </w:p>
    <w:p w14:paraId="3332477F" w14:textId="1C1FC69A" w:rsidR="00FB3C7E" w:rsidRPr="00100B72" w:rsidRDefault="00FB3C7E" w:rsidP="00FB3C7E">
      <w:pPr>
        <w:tabs>
          <w:tab w:val="left" w:pos="2200"/>
        </w:tabs>
        <w:rPr>
          <w:rFonts w:asciiTheme="minorHAnsi" w:hAnsiTheme="minorHAnsi" w:cstheme="minorHAnsi"/>
        </w:rPr>
      </w:pPr>
      <w:r w:rsidRPr="00100B72">
        <w:rPr>
          <w:rFonts w:asciiTheme="minorHAnsi" w:hAnsiTheme="minorHAnsi" w:cstheme="minorHAnsi"/>
        </w:rPr>
        <w:t xml:space="preserve">During this assignment I looked at a CI that involved parental engagement with the school along with how positive modelling and praise can be used as extrinsic motivators for children. </w:t>
      </w:r>
      <w:r w:rsidR="009F3BB0" w:rsidRPr="00100B72">
        <w:rPr>
          <w:rFonts w:asciiTheme="minorHAnsi" w:hAnsiTheme="minorHAnsi" w:cstheme="minorHAnsi"/>
        </w:rPr>
        <w:t xml:space="preserve">I then </w:t>
      </w:r>
      <w:r w:rsidRPr="00100B72">
        <w:rPr>
          <w:rFonts w:asciiTheme="minorHAnsi" w:hAnsiTheme="minorHAnsi" w:cstheme="minorHAnsi"/>
        </w:rPr>
        <w:t>discuss</w:t>
      </w:r>
      <w:r w:rsidR="009F3BB0" w:rsidRPr="00100B72">
        <w:rPr>
          <w:rFonts w:asciiTheme="minorHAnsi" w:hAnsiTheme="minorHAnsi" w:cstheme="minorHAnsi"/>
        </w:rPr>
        <w:t>ed</w:t>
      </w:r>
      <w:r w:rsidRPr="00100B72">
        <w:rPr>
          <w:rFonts w:asciiTheme="minorHAnsi" w:hAnsiTheme="minorHAnsi" w:cstheme="minorHAnsi"/>
        </w:rPr>
        <w:t xml:space="preserve"> various literature surrounding the critical incident, these being predominantly, positive behaviour management strategies and how home relationships in addition to school relationships </w:t>
      </w:r>
      <w:r w:rsidR="009F3BB0" w:rsidRPr="00100B72">
        <w:rPr>
          <w:rFonts w:asciiTheme="minorHAnsi" w:hAnsiTheme="minorHAnsi" w:cstheme="minorHAnsi"/>
        </w:rPr>
        <w:t xml:space="preserve">add value </w:t>
      </w:r>
      <w:r w:rsidRPr="00100B72">
        <w:rPr>
          <w:rFonts w:asciiTheme="minorHAnsi" w:hAnsiTheme="minorHAnsi" w:cstheme="minorHAnsi"/>
        </w:rPr>
        <w:t>to those home-school links. These have provided useful insight</w:t>
      </w:r>
      <w:r w:rsidR="009F3BB0" w:rsidRPr="00100B72">
        <w:rPr>
          <w:rFonts w:asciiTheme="minorHAnsi" w:hAnsiTheme="minorHAnsi" w:cstheme="minorHAnsi"/>
        </w:rPr>
        <w:t>s</w:t>
      </w:r>
      <w:r w:rsidRPr="00100B72">
        <w:rPr>
          <w:rFonts w:asciiTheme="minorHAnsi" w:hAnsiTheme="minorHAnsi" w:cstheme="minorHAnsi"/>
        </w:rPr>
        <w:t xml:space="preserve"> into how you must see children as whole as they</w:t>
      </w:r>
      <w:r w:rsidR="009F3BB0" w:rsidRPr="00100B72">
        <w:rPr>
          <w:rFonts w:asciiTheme="minorHAnsi" w:hAnsiTheme="minorHAnsi" w:cstheme="minorHAnsi"/>
        </w:rPr>
        <w:t xml:space="preserve"> are</w:t>
      </w:r>
      <w:r w:rsidRPr="00100B72">
        <w:rPr>
          <w:rFonts w:asciiTheme="minorHAnsi" w:hAnsiTheme="minorHAnsi" w:cstheme="minorHAnsi"/>
        </w:rPr>
        <w:t xml:space="preserve"> affected by the community and people that surround them (Bronfenbrenner’s ecological systems theory). The assignment reading for the literature review provided my next steps as I embark on the beginning of my teaching career. </w:t>
      </w:r>
    </w:p>
    <w:p w14:paraId="2AED9167" w14:textId="77777777" w:rsidR="00FB3C7E" w:rsidRPr="00100B72" w:rsidRDefault="00FB3C7E" w:rsidP="00FB3C7E">
      <w:pPr>
        <w:tabs>
          <w:tab w:val="left" w:pos="2200"/>
        </w:tabs>
        <w:rPr>
          <w:rFonts w:asciiTheme="minorHAnsi" w:hAnsiTheme="minorHAnsi" w:cstheme="minorHAnsi"/>
        </w:rPr>
      </w:pPr>
    </w:p>
    <w:p w14:paraId="2370677A" w14:textId="0EA3956C" w:rsidR="00FB3C7E" w:rsidRPr="00100B72" w:rsidRDefault="00FB3C7E" w:rsidP="00FB3C7E">
      <w:pPr>
        <w:tabs>
          <w:tab w:val="left" w:pos="2200"/>
        </w:tabs>
        <w:rPr>
          <w:rFonts w:asciiTheme="minorHAnsi" w:hAnsiTheme="minorHAnsi" w:cstheme="minorHAnsi"/>
          <w:b/>
          <w:bCs/>
          <w:u w:val="single"/>
        </w:rPr>
      </w:pPr>
      <w:r w:rsidRPr="00100B72">
        <w:rPr>
          <w:rFonts w:asciiTheme="minorHAnsi" w:hAnsiTheme="minorHAnsi" w:cstheme="minorHAnsi"/>
        </w:rPr>
        <w:t xml:space="preserve">Using Brookfield’s lenses of reflection upon the critical incident discussed above, </w:t>
      </w:r>
      <w:r w:rsidR="00CB5A1D" w:rsidRPr="00100B72">
        <w:rPr>
          <w:rFonts w:asciiTheme="minorHAnsi" w:hAnsiTheme="minorHAnsi" w:cstheme="minorHAnsi"/>
        </w:rPr>
        <w:t xml:space="preserve">identified </w:t>
      </w:r>
      <w:r w:rsidRPr="00100B72">
        <w:rPr>
          <w:rFonts w:asciiTheme="minorHAnsi" w:hAnsiTheme="minorHAnsi" w:cstheme="minorHAnsi"/>
        </w:rPr>
        <w:t xml:space="preserve">from my perspective </w:t>
      </w:r>
      <w:r w:rsidR="00CB5A1D" w:rsidRPr="00100B72">
        <w:rPr>
          <w:rFonts w:asciiTheme="minorHAnsi" w:hAnsiTheme="minorHAnsi" w:cstheme="minorHAnsi"/>
        </w:rPr>
        <w:t xml:space="preserve">how </w:t>
      </w:r>
      <w:r w:rsidRPr="00100B72">
        <w:rPr>
          <w:rFonts w:asciiTheme="minorHAnsi" w:hAnsiTheme="minorHAnsi" w:cstheme="minorHAnsi"/>
        </w:rPr>
        <w:t xml:space="preserve">the activity and how praise was offered by both the teacher and parent involved, seemed very positive </w:t>
      </w:r>
      <w:r w:rsidR="00CB5A1D" w:rsidRPr="00100B72">
        <w:rPr>
          <w:rFonts w:asciiTheme="minorHAnsi" w:hAnsiTheme="minorHAnsi" w:cstheme="minorHAnsi"/>
        </w:rPr>
        <w:t xml:space="preserve">for the </w:t>
      </w:r>
      <w:r w:rsidRPr="00100B72">
        <w:rPr>
          <w:rFonts w:asciiTheme="minorHAnsi" w:hAnsiTheme="minorHAnsi" w:cstheme="minorHAnsi"/>
        </w:rPr>
        <w:t>child’s next interactions with the parent</w:t>
      </w:r>
      <w:r w:rsidR="00CB5A1D" w:rsidRPr="00100B72">
        <w:rPr>
          <w:rFonts w:asciiTheme="minorHAnsi" w:hAnsiTheme="minorHAnsi" w:cstheme="minorHAnsi"/>
        </w:rPr>
        <w:t>. With the two</w:t>
      </w:r>
      <w:r w:rsidRPr="00100B72">
        <w:rPr>
          <w:rFonts w:asciiTheme="minorHAnsi" w:hAnsiTheme="minorHAnsi" w:cstheme="minorHAnsi"/>
        </w:rPr>
        <w:t xml:space="preserve"> becoming physically closer. To an observer</w:t>
      </w:r>
      <w:r w:rsidR="00CB5A1D" w:rsidRPr="00100B72">
        <w:rPr>
          <w:rFonts w:asciiTheme="minorHAnsi" w:hAnsiTheme="minorHAnsi" w:cstheme="minorHAnsi"/>
        </w:rPr>
        <w:t>,</w:t>
      </w:r>
      <w:r w:rsidRPr="00100B72">
        <w:rPr>
          <w:rFonts w:asciiTheme="minorHAnsi" w:hAnsiTheme="minorHAnsi" w:cstheme="minorHAnsi"/>
        </w:rPr>
        <w:t xml:space="preserve"> this was a very positive moment and made the distance that they had </w:t>
      </w:r>
      <w:r w:rsidR="00CB5A1D" w:rsidRPr="00100B72">
        <w:rPr>
          <w:rFonts w:asciiTheme="minorHAnsi" w:hAnsiTheme="minorHAnsi" w:cstheme="minorHAnsi"/>
        </w:rPr>
        <w:t xml:space="preserve">had </w:t>
      </w:r>
      <w:r w:rsidRPr="00100B72">
        <w:rPr>
          <w:rFonts w:asciiTheme="minorHAnsi" w:hAnsiTheme="minorHAnsi" w:cstheme="minorHAnsi"/>
        </w:rPr>
        <w:t>before appearing much greater than it originally seemed. From what an observer could understand through the lens of the child, having praise from two adults was helpful in closing the space between the parent and child and having fun after this. I imagine that positivity is something that both parent and child will take away from the class. Moving Forward</w:t>
      </w:r>
      <w:r w:rsidR="00CB5A1D" w:rsidRPr="00100B72">
        <w:rPr>
          <w:rFonts w:asciiTheme="minorHAnsi" w:hAnsiTheme="minorHAnsi" w:cstheme="minorHAnsi"/>
        </w:rPr>
        <w:t>,</w:t>
      </w:r>
      <w:r w:rsidRPr="00100B72">
        <w:rPr>
          <w:rFonts w:asciiTheme="minorHAnsi" w:hAnsiTheme="minorHAnsi" w:cstheme="minorHAnsi"/>
        </w:rPr>
        <w:t xml:space="preserve"> I will discuss incidents </w:t>
      </w:r>
      <w:proofErr w:type="gramStart"/>
      <w:r w:rsidRPr="00100B72">
        <w:rPr>
          <w:rFonts w:asciiTheme="minorHAnsi" w:hAnsiTheme="minorHAnsi" w:cstheme="minorHAnsi"/>
        </w:rPr>
        <w:t>similar to</w:t>
      </w:r>
      <w:proofErr w:type="gramEnd"/>
      <w:r w:rsidRPr="00100B72">
        <w:rPr>
          <w:rFonts w:asciiTheme="minorHAnsi" w:hAnsiTheme="minorHAnsi" w:cstheme="minorHAnsi"/>
        </w:rPr>
        <w:t xml:space="preserve"> this with colleagues and find their opinions on whether having these parent-pupil classes is something that </w:t>
      </w:r>
      <w:r w:rsidR="00CB5A1D" w:rsidRPr="00100B72">
        <w:rPr>
          <w:rFonts w:asciiTheme="minorHAnsi" w:hAnsiTheme="minorHAnsi" w:cstheme="minorHAnsi"/>
        </w:rPr>
        <w:t xml:space="preserve">they </w:t>
      </w:r>
      <w:r w:rsidRPr="00100B72">
        <w:rPr>
          <w:rFonts w:asciiTheme="minorHAnsi" w:hAnsiTheme="minorHAnsi" w:cstheme="minorHAnsi"/>
        </w:rPr>
        <w:t>deem beneficial to the learner, parent and school</w:t>
      </w:r>
      <w:r w:rsidR="00E32E11" w:rsidRPr="00100B72">
        <w:rPr>
          <w:rFonts w:asciiTheme="minorHAnsi" w:hAnsiTheme="minorHAnsi" w:cstheme="minorHAnsi"/>
        </w:rPr>
        <w:t>.</w:t>
      </w:r>
    </w:p>
    <w:p w14:paraId="2A3E6AC5" w14:textId="77777777" w:rsidR="00FB3C7E" w:rsidRPr="00100B72" w:rsidRDefault="00FB3C7E" w:rsidP="00FB3C7E">
      <w:pPr>
        <w:tabs>
          <w:tab w:val="left" w:pos="2200"/>
        </w:tabs>
        <w:rPr>
          <w:rFonts w:asciiTheme="minorHAnsi" w:hAnsiTheme="minorHAnsi" w:cstheme="minorHAnsi"/>
          <w:b/>
          <w:bCs/>
          <w:u w:val="single"/>
        </w:rPr>
      </w:pPr>
    </w:p>
    <w:p w14:paraId="3792CAEE" w14:textId="77777777" w:rsidR="00FB3C7E" w:rsidRPr="00100B72" w:rsidRDefault="00FB3C7E" w:rsidP="00FB3C7E">
      <w:pPr>
        <w:tabs>
          <w:tab w:val="left" w:pos="2200"/>
        </w:tabs>
        <w:rPr>
          <w:rFonts w:asciiTheme="minorHAnsi" w:hAnsiTheme="minorHAnsi" w:cstheme="minorHAnsi"/>
          <w:b/>
          <w:bCs/>
          <w:u w:val="single"/>
        </w:rPr>
      </w:pPr>
    </w:p>
    <w:p w14:paraId="0CCAA371" w14:textId="7ECF700B" w:rsidR="00DB526E" w:rsidRPr="00100B72" w:rsidRDefault="00FB3C7E" w:rsidP="00DB526E">
      <w:pPr>
        <w:tabs>
          <w:tab w:val="left" w:pos="2200"/>
        </w:tabs>
        <w:rPr>
          <w:rFonts w:asciiTheme="minorHAnsi" w:hAnsiTheme="minorHAnsi" w:cstheme="minorHAnsi"/>
          <w:b/>
          <w:bCs/>
          <w:u w:val="single"/>
        </w:rPr>
      </w:pPr>
      <w:r w:rsidRPr="00100B72">
        <w:rPr>
          <w:rFonts w:asciiTheme="minorHAnsi" w:hAnsiTheme="minorHAnsi" w:cstheme="minorHAnsi"/>
          <w:b/>
          <w:bCs/>
          <w:u w:val="single"/>
        </w:rPr>
        <w:t>Reference list</w:t>
      </w:r>
    </w:p>
    <w:p w14:paraId="770A5D8A" w14:textId="77777777" w:rsidR="00DB526E" w:rsidRPr="00100B72" w:rsidRDefault="00DB526E" w:rsidP="00DB526E">
      <w:pPr>
        <w:tabs>
          <w:tab w:val="left" w:pos="2200"/>
        </w:tabs>
        <w:rPr>
          <w:rFonts w:asciiTheme="minorHAnsi" w:hAnsiTheme="minorHAnsi" w:cstheme="minorHAnsi"/>
          <w:b/>
          <w:bCs/>
          <w:u w:val="single"/>
        </w:rPr>
      </w:pPr>
    </w:p>
    <w:p w14:paraId="54ECCE70" w14:textId="77777777" w:rsidR="00DB526E" w:rsidRPr="00100B72" w:rsidRDefault="00DB526E" w:rsidP="00FB3C7E">
      <w:pPr>
        <w:pStyle w:val="NormalWeb"/>
        <w:rPr>
          <w:rFonts w:asciiTheme="minorHAnsi" w:hAnsiTheme="minorHAnsi" w:cstheme="minorHAnsi"/>
          <w:sz w:val="22"/>
          <w:szCs w:val="22"/>
        </w:rPr>
      </w:pPr>
      <w:r w:rsidRPr="00100B72">
        <w:rPr>
          <w:rFonts w:asciiTheme="minorHAnsi" w:hAnsiTheme="minorHAnsi" w:cstheme="minorHAnsi"/>
          <w:sz w:val="22"/>
          <w:szCs w:val="22"/>
        </w:rPr>
        <w:t xml:space="preserve">(2016) </w:t>
      </w:r>
      <w:proofErr w:type="spellStart"/>
      <w:r w:rsidRPr="00100B72">
        <w:rPr>
          <w:rFonts w:asciiTheme="minorHAnsi" w:hAnsiTheme="minorHAnsi" w:cstheme="minorHAnsi"/>
          <w:i/>
          <w:iCs/>
          <w:sz w:val="22"/>
          <w:szCs w:val="22"/>
        </w:rPr>
        <w:t>FaCE</w:t>
      </w:r>
      <w:proofErr w:type="spellEnd"/>
      <w:r w:rsidRPr="00100B72">
        <w:rPr>
          <w:rFonts w:asciiTheme="minorHAnsi" w:hAnsiTheme="minorHAnsi" w:cstheme="minorHAnsi"/>
          <w:i/>
          <w:iCs/>
          <w:sz w:val="22"/>
          <w:szCs w:val="22"/>
        </w:rPr>
        <w:t xml:space="preserve"> the challenge together: Family and community engagement toolkit for schools in Wales Main guidance</w:t>
      </w:r>
      <w:r w:rsidRPr="00100B72">
        <w:rPr>
          <w:rFonts w:asciiTheme="minorHAnsi" w:hAnsiTheme="minorHAnsi" w:cstheme="minorHAnsi"/>
          <w:sz w:val="22"/>
          <w:szCs w:val="22"/>
        </w:rPr>
        <w:t xml:space="preserve">. Welsh Government. Available at: https://gov.wales/sites/default/files/publications/2018-12/face-the-challenge-together-family-and-community-engagement-toolkit-for-schools-in-wales-main-guidance.pdf (Accessed: November 5, 2022). </w:t>
      </w:r>
    </w:p>
    <w:p w14:paraId="1BB874DC" w14:textId="77777777" w:rsidR="00DB526E" w:rsidRPr="00100B72" w:rsidRDefault="00DB526E" w:rsidP="00FB3C7E">
      <w:pPr>
        <w:pStyle w:val="NormalWeb"/>
        <w:ind w:left="567" w:hanging="567"/>
        <w:rPr>
          <w:rFonts w:asciiTheme="minorHAnsi" w:hAnsiTheme="minorHAnsi" w:cstheme="minorHAnsi"/>
          <w:sz w:val="22"/>
          <w:szCs w:val="22"/>
        </w:rPr>
      </w:pPr>
      <w:r w:rsidRPr="00100B72">
        <w:rPr>
          <w:rFonts w:asciiTheme="minorHAnsi" w:hAnsiTheme="minorHAnsi" w:cstheme="minorHAnsi"/>
          <w:sz w:val="22"/>
          <w:szCs w:val="22"/>
        </w:rPr>
        <w:t xml:space="preserve">Anthony M. (2016) </w:t>
      </w:r>
      <w:r w:rsidRPr="00100B72">
        <w:rPr>
          <w:rFonts w:asciiTheme="minorHAnsi" w:hAnsiTheme="minorHAnsi" w:cstheme="minorHAnsi"/>
          <w:i/>
          <w:iCs/>
          <w:sz w:val="22"/>
          <w:szCs w:val="22"/>
        </w:rPr>
        <w:t>Social-emotional-learning</w:t>
      </w:r>
      <w:r w:rsidRPr="00100B72">
        <w:rPr>
          <w:rFonts w:asciiTheme="minorHAnsi" w:hAnsiTheme="minorHAnsi" w:cstheme="minorHAnsi"/>
          <w:sz w:val="22"/>
          <w:szCs w:val="22"/>
        </w:rPr>
        <w:t xml:space="preserve">, </w:t>
      </w:r>
      <w:r w:rsidRPr="00100B72">
        <w:rPr>
          <w:rFonts w:asciiTheme="minorHAnsi" w:hAnsiTheme="minorHAnsi" w:cstheme="minorHAnsi"/>
          <w:i/>
          <w:iCs/>
          <w:sz w:val="22"/>
          <w:szCs w:val="22"/>
        </w:rPr>
        <w:t>Social Emotional Learning</w:t>
      </w:r>
      <w:r w:rsidRPr="00100B72">
        <w:rPr>
          <w:rFonts w:asciiTheme="minorHAnsi" w:hAnsiTheme="minorHAnsi" w:cstheme="minorHAnsi"/>
          <w:sz w:val="22"/>
          <w:szCs w:val="22"/>
        </w:rPr>
        <w:t xml:space="preserve">. Available at: https://www.scholastic.com/parents/family-life/social-emotional-learning.html (Accessed: November 6, 2022). </w:t>
      </w:r>
    </w:p>
    <w:p w14:paraId="0E67CB0E" w14:textId="77777777" w:rsidR="00DB526E" w:rsidRPr="00100B72" w:rsidRDefault="00DB526E" w:rsidP="00FB3C7E">
      <w:pPr>
        <w:spacing w:before="100" w:beforeAutospacing="1" w:after="100" w:afterAutospacing="1"/>
        <w:ind w:left="567" w:hanging="567"/>
        <w:rPr>
          <w:rFonts w:asciiTheme="minorHAnsi" w:hAnsiTheme="minorHAnsi" w:cstheme="minorHAnsi"/>
          <w:color w:val="000000"/>
          <w:sz w:val="22"/>
          <w:szCs w:val="22"/>
        </w:rPr>
      </w:pPr>
      <w:r w:rsidRPr="00100B72">
        <w:rPr>
          <w:rFonts w:asciiTheme="minorHAnsi" w:hAnsiTheme="minorHAnsi" w:cstheme="minorHAnsi"/>
          <w:color w:val="000000"/>
          <w:sz w:val="22"/>
          <w:szCs w:val="22"/>
        </w:rPr>
        <w:t>Armour, K.M. and Yelling, M.R. (2004) “Continuing professional development for experienced physical education teachers: Towards effective provision,” </w:t>
      </w:r>
      <w:r w:rsidRPr="00100B72">
        <w:rPr>
          <w:rFonts w:asciiTheme="minorHAnsi" w:hAnsiTheme="minorHAnsi" w:cstheme="minorHAnsi"/>
          <w:i/>
          <w:iCs/>
          <w:color w:val="000000"/>
          <w:sz w:val="22"/>
          <w:szCs w:val="22"/>
        </w:rPr>
        <w:t>Sport, Education and Society</w:t>
      </w:r>
      <w:r w:rsidRPr="00100B72">
        <w:rPr>
          <w:rFonts w:asciiTheme="minorHAnsi" w:hAnsiTheme="minorHAnsi" w:cstheme="minorHAnsi"/>
          <w:color w:val="000000"/>
          <w:sz w:val="22"/>
          <w:szCs w:val="22"/>
        </w:rPr>
        <w:t xml:space="preserve">, 9(1), pp. 95–114. Available at: </w:t>
      </w:r>
      <w:hyperlink r:id="rId8" w:history="1">
        <w:r w:rsidRPr="00100B72">
          <w:rPr>
            <w:rStyle w:val="Hyperlink"/>
            <w:rFonts w:asciiTheme="minorHAnsi" w:hAnsiTheme="minorHAnsi" w:cstheme="minorHAnsi"/>
            <w:sz w:val="22"/>
            <w:szCs w:val="22"/>
          </w:rPr>
          <w:t>https://doi.org/10.1080/1357332042000175836</w:t>
        </w:r>
      </w:hyperlink>
      <w:r w:rsidRPr="00100B72">
        <w:rPr>
          <w:rFonts w:asciiTheme="minorHAnsi" w:hAnsiTheme="minorHAnsi" w:cstheme="minorHAnsi"/>
          <w:color w:val="000000"/>
          <w:sz w:val="22"/>
          <w:szCs w:val="22"/>
        </w:rPr>
        <w:t>. </w:t>
      </w:r>
    </w:p>
    <w:p w14:paraId="3EE5953A" w14:textId="77777777" w:rsidR="00DB526E" w:rsidRPr="00100B72" w:rsidRDefault="00DB526E" w:rsidP="00FB3C7E">
      <w:pPr>
        <w:rPr>
          <w:rFonts w:asciiTheme="minorHAnsi" w:hAnsiTheme="minorHAnsi" w:cstheme="minorHAnsi"/>
          <w:color w:val="000000" w:themeColor="text1"/>
          <w:sz w:val="22"/>
          <w:szCs w:val="22"/>
          <w:shd w:val="clear" w:color="auto" w:fill="FFFFFF"/>
        </w:rPr>
      </w:pPr>
      <w:r w:rsidRPr="00100B72">
        <w:rPr>
          <w:rFonts w:asciiTheme="minorHAnsi" w:hAnsiTheme="minorHAnsi" w:cstheme="minorHAnsi"/>
          <w:color w:val="333333"/>
          <w:sz w:val="22"/>
          <w:szCs w:val="22"/>
        </w:rPr>
        <w:t xml:space="preserve">Barrett, D. E., Radke-Yarrow, M., &amp; Klein, R. E. (1982). Chronic malnutrition and child </w:t>
      </w:r>
      <w:proofErr w:type="spellStart"/>
      <w:r w:rsidRPr="00100B72">
        <w:rPr>
          <w:rFonts w:asciiTheme="minorHAnsi" w:hAnsiTheme="minorHAnsi" w:cstheme="minorHAnsi"/>
          <w:color w:val="333333"/>
          <w:sz w:val="22"/>
          <w:szCs w:val="22"/>
        </w:rPr>
        <w:t>behavior</w:t>
      </w:r>
      <w:proofErr w:type="spellEnd"/>
      <w:r w:rsidRPr="00100B72">
        <w:rPr>
          <w:rFonts w:asciiTheme="minorHAnsi" w:hAnsiTheme="minorHAnsi" w:cstheme="minorHAnsi"/>
          <w:color w:val="333333"/>
          <w:sz w:val="22"/>
          <w:szCs w:val="22"/>
        </w:rPr>
        <w:t>: Effects of early caloric supplementation on social and emotional functioning at school age. </w:t>
      </w:r>
      <w:r w:rsidRPr="00100B72">
        <w:rPr>
          <w:rStyle w:val="Emphasis"/>
          <w:rFonts w:asciiTheme="minorHAnsi" w:hAnsiTheme="minorHAnsi" w:cstheme="minorHAnsi"/>
          <w:color w:val="333333"/>
          <w:sz w:val="22"/>
          <w:szCs w:val="22"/>
        </w:rPr>
        <w:t>Developmental Psychology, 18</w:t>
      </w:r>
      <w:r w:rsidRPr="00100B72">
        <w:rPr>
          <w:rFonts w:asciiTheme="minorHAnsi" w:hAnsiTheme="minorHAnsi" w:cstheme="minorHAnsi"/>
          <w:color w:val="333333"/>
          <w:sz w:val="22"/>
          <w:szCs w:val="22"/>
        </w:rPr>
        <w:t>(4), 541–556. </w:t>
      </w:r>
      <w:hyperlink r:id="rId9" w:tgtFrame="_blank" w:history="1">
        <w:r w:rsidRPr="00100B72">
          <w:rPr>
            <w:rStyle w:val="Hyperlink"/>
            <w:rFonts w:asciiTheme="minorHAnsi" w:hAnsiTheme="minorHAnsi" w:cstheme="minorHAnsi"/>
            <w:color w:val="2C72B7"/>
            <w:sz w:val="22"/>
            <w:szCs w:val="22"/>
          </w:rPr>
          <w:t>https://doi.org/10.1037/0012-1649.18.4.541</w:t>
        </w:r>
      </w:hyperlink>
      <w:r w:rsidRPr="00100B72">
        <w:rPr>
          <w:rStyle w:val="Hyperlink"/>
          <w:rFonts w:asciiTheme="minorHAnsi" w:hAnsiTheme="minorHAnsi" w:cstheme="minorHAnsi"/>
          <w:color w:val="2C72B7"/>
          <w:sz w:val="22"/>
          <w:szCs w:val="22"/>
        </w:rPr>
        <w:t xml:space="preserve">. </w:t>
      </w:r>
      <w:r w:rsidRPr="00100B72">
        <w:rPr>
          <w:rFonts w:asciiTheme="minorHAnsi" w:hAnsiTheme="minorHAnsi" w:cstheme="minorHAnsi"/>
          <w:color w:val="000000" w:themeColor="text1"/>
          <w:sz w:val="22"/>
          <w:szCs w:val="22"/>
          <w:shd w:val="clear" w:color="auto" w:fill="FFFFFF"/>
        </w:rPr>
        <w:t>Accessed:</w:t>
      </w:r>
      <w:r w:rsidRPr="00100B72">
        <w:rPr>
          <w:rFonts w:asciiTheme="minorHAnsi" w:hAnsiTheme="minorHAnsi" w:cstheme="minorHAnsi"/>
          <w:b/>
          <w:bCs/>
          <w:color w:val="000000" w:themeColor="text1"/>
          <w:sz w:val="22"/>
          <w:szCs w:val="22"/>
          <w:shd w:val="clear" w:color="auto" w:fill="FFFFFF"/>
        </w:rPr>
        <w:t>(</w:t>
      </w:r>
      <w:r w:rsidRPr="00100B72">
        <w:rPr>
          <w:rFonts w:asciiTheme="minorHAnsi" w:hAnsiTheme="minorHAnsi" w:cstheme="minorHAnsi"/>
          <w:color w:val="000000" w:themeColor="text1"/>
          <w:sz w:val="22"/>
          <w:szCs w:val="22"/>
          <w:shd w:val="clear" w:color="auto" w:fill="FFFFFF"/>
        </w:rPr>
        <w:t>9</w:t>
      </w:r>
      <w:r w:rsidRPr="00100B72">
        <w:rPr>
          <w:rFonts w:asciiTheme="minorHAnsi" w:hAnsiTheme="minorHAnsi" w:cstheme="minorHAnsi"/>
          <w:b/>
          <w:bCs/>
          <w:color w:val="000000" w:themeColor="text1"/>
          <w:sz w:val="22"/>
          <w:szCs w:val="22"/>
          <w:shd w:val="clear" w:color="auto" w:fill="FFFFFF"/>
        </w:rPr>
        <w:t xml:space="preserve"> </w:t>
      </w:r>
      <w:r w:rsidRPr="00100B72">
        <w:rPr>
          <w:rFonts w:asciiTheme="minorHAnsi" w:hAnsiTheme="minorHAnsi" w:cstheme="minorHAnsi"/>
          <w:color w:val="000000" w:themeColor="text1"/>
          <w:sz w:val="22"/>
          <w:szCs w:val="22"/>
          <w:shd w:val="clear" w:color="auto" w:fill="FFFFFF"/>
        </w:rPr>
        <w:t>November 2022</w:t>
      </w:r>
      <w:r w:rsidRPr="00100B72">
        <w:rPr>
          <w:rFonts w:asciiTheme="minorHAnsi" w:hAnsiTheme="minorHAnsi" w:cstheme="minorHAnsi"/>
          <w:b/>
          <w:bCs/>
          <w:color w:val="000000" w:themeColor="text1"/>
          <w:sz w:val="22"/>
          <w:szCs w:val="22"/>
          <w:shd w:val="clear" w:color="auto" w:fill="FFFFFF"/>
        </w:rPr>
        <w:t>)</w:t>
      </w:r>
      <w:r w:rsidRPr="00100B72">
        <w:rPr>
          <w:rFonts w:asciiTheme="minorHAnsi" w:hAnsiTheme="minorHAnsi" w:cstheme="minorHAnsi"/>
          <w:color w:val="000000" w:themeColor="text1"/>
          <w:sz w:val="22"/>
          <w:szCs w:val="22"/>
          <w:shd w:val="clear" w:color="auto" w:fill="FFFFFF"/>
        </w:rPr>
        <w:t>.</w:t>
      </w:r>
    </w:p>
    <w:p w14:paraId="089AB44E" w14:textId="77777777" w:rsidR="00DB526E" w:rsidRPr="00100B72" w:rsidRDefault="00DB526E" w:rsidP="00FB3C7E">
      <w:pPr>
        <w:spacing w:before="100" w:beforeAutospacing="1" w:after="100" w:afterAutospacing="1"/>
        <w:ind w:left="567" w:hanging="567"/>
        <w:rPr>
          <w:rFonts w:asciiTheme="minorHAnsi" w:hAnsiTheme="minorHAnsi" w:cstheme="minorHAnsi"/>
          <w:sz w:val="22"/>
          <w:szCs w:val="22"/>
        </w:rPr>
      </w:pPr>
      <w:proofErr w:type="spellStart"/>
      <w:proofErr w:type="gramStart"/>
      <w:r w:rsidRPr="00100B72">
        <w:rPr>
          <w:rFonts w:asciiTheme="minorHAnsi" w:hAnsiTheme="minorHAnsi" w:cstheme="minorHAnsi"/>
          <w:sz w:val="22"/>
          <w:szCs w:val="22"/>
        </w:rPr>
        <w:t>Bojuwoye</w:t>
      </w:r>
      <w:proofErr w:type="spellEnd"/>
      <w:r w:rsidRPr="00100B72">
        <w:rPr>
          <w:rFonts w:asciiTheme="minorHAnsi" w:hAnsiTheme="minorHAnsi" w:cstheme="minorHAnsi"/>
          <w:sz w:val="22"/>
          <w:szCs w:val="22"/>
        </w:rPr>
        <w:t xml:space="preserve"> ,</w:t>
      </w:r>
      <w:proofErr w:type="gramEnd"/>
      <w:r w:rsidRPr="00100B72">
        <w:rPr>
          <w:rFonts w:asciiTheme="minorHAnsi" w:hAnsiTheme="minorHAnsi" w:cstheme="minorHAnsi"/>
          <w:sz w:val="22"/>
          <w:szCs w:val="22"/>
        </w:rPr>
        <w:t xml:space="preserve"> O. (2009) </w:t>
      </w:r>
      <w:r w:rsidRPr="00100B72">
        <w:rPr>
          <w:rFonts w:asciiTheme="minorHAnsi" w:hAnsiTheme="minorHAnsi" w:cstheme="minorHAnsi"/>
          <w:i/>
          <w:iCs/>
          <w:sz w:val="22"/>
          <w:szCs w:val="22"/>
        </w:rPr>
        <w:t xml:space="preserve">Home‐school partnership – a study of opinions of selected parents and teachers in </w:t>
      </w:r>
      <w:proofErr w:type="spellStart"/>
      <w:r w:rsidRPr="00100B72">
        <w:rPr>
          <w:rFonts w:asciiTheme="minorHAnsi" w:hAnsiTheme="minorHAnsi" w:cstheme="minorHAnsi"/>
          <w:i/>
          <w:iCs/>
          <w:sz w:val="22"/>
          <w:szCs w:val="22"/>
        </w:rPr>
        <w:t>Kwazulu</w:t>
      </w:r>
      <w:proofErr w:type="spellEnd"/>
      <w:r w:rsidRPr="00100B72">
        <w:rPr>
          <w:rFonts w:asciiTheme="minorHAnsi" w:hAnsiTheme="minorHAnsi" w:cstheme="minorHAnsi"/>
          <w:i/>
          <w:iCs/>
          <w:sz w:val="22"/>
          <w:szCs w:val="22"/>
        </w:rPr>
        <w:t xml:space="preserve"> Natal Province, South Africa</w:t>
      </w:r>
      <w:r w:rsidRPr="00100B72">
        <w:rPr>
          <w:rFonts w:asciiTheme="minorHAnsi" w:hAnsiTheme="minorHAnsi" w:cstheme="minorHAnsi"/>
          <w:sz w:val="22"/>
          <w:szCs w:val="22"/>
        </w:rPr>
        <w:t xml:space="preserve">, </w:t>
      </w:r>
      <w:r w:rsidRPr="00100B72">
        <w:rPr>
          <w:rFonts w:asciiTheme="minorHAnsi" w:hAnsiTheme="minorHAnsi" w:cstheme="minorHAnsi"/>
          <w:i/>
          <w:iCs/>
          <w:sz w:val="22"/>
          <w:szCs w:val="22"/>
        </w:rPr>
        <w:t xml:space="preserve">Taylor and Francis Online </w:t>
      </w:r>
      <w:r w:rsidRPr="00100B72">
        <w:rPr>
          <w:rFonts w:asciiTheme="minorHAnsi" w:hAnsiTheme="minorHAnsi" w:cstheme="minorHAnsi"/>
          <w:sz w:val="22"/>
          <w:szCs w:val="22"/>
        </w:rPr>
        <w:t xml:space="preserve">. Available at: https://www.tandfonline.com/doi/abs/10.1080/02671520802150004 (Accessed: November 9, 2022). </w:t>
      </w:r>
    </w:p>
    <w:p w14:paraId="3203CCD5" w14:textId="77777777" w:rsidR="00DB526E" w:rsidRPr="00100B72" w:rsidRDefault="00DB526E" w:rsidP="00FB3C7E">
      <w:pPr>
        <w:spacing w:before="100" w:beforeAutospacing="1" w:after="100" w:afterAutospacing="1"/>
        <w:ind w:left="567" w:hanging="567"/>
        <w:rPr>
          <w:rFonts w:asciiTheme="minorHAnsi" w:hAnsiTheme="minorHAnsi" w:cstheme="minorHAnsi"/>
          <w:color w:val="000000"/>
          <w:sz w:val="22"/>
          <w:szCs w:val="22"/>
        </w:rPr>
      </w:pPr>
      <w:proofErr w:type="spellStart"/>
      <w:r w:rsidRPr="00100B72">
        <w:rPr>
          <w:rFonts w:asciiTheme="minorHAnsi" w:hAnsiTheme="minorHAnsi" w:cstheme="minorHAnsi"/>
          <w:color w:val="000000"/>
          <w:sz w:val="22"/>
          <w:szCs w:val="22"/>
        </w:rPr>
        <w:t>Bombèr</w:t>
      </w:r>
      <w:proofErr w:type="spellEnd"/>
      <w:r w:rsidRPr="00100B72">
        <w:rPr>
          <w:rFonts w:asciiTheme="minorHAnsi" w:hAnsiTheme="minorHAnsi" w:cstheme="minorHAnsi"/>
          <w:color w:val="000000"/>
          <w:sz w:val="22"/>
          <w:szCs w:val="22"/>
        </w:rPr>
        <w:t>, L.M. (2007) </w:t>
      </w:r>
      <w:r w:rsidRPr="00100B72">
        <w:rPr>
          <w:rFonts w:asciiTheme="minorHAnsi" w:hAnsiTheme="minorHAnsi" w:cstheme="minorHAnsi"/>
          <w:i/>
          <w:iCs/>
          <w:color w:val="000000"/>
          <w:sz w:val="22"/>
          <w:szCs w:val="22"/>
        </w:rPr>
        <w:t>Inside I'm hurting: Practical strategies for supporting children with attachment difficulties in schools</w:t>
      </w:r>
      <w:r w:rsidRPr="00100B72">
        <w:rPr>
          <w:rFonts w:asciiTheme="minorHAnsi" w:hAnsiTheme="minorHAnsi" w:cstheme="minorHAnsi"/>
          <w:color w:val="000000"/>
          <w:sz w:val="22"/>
          <w:szCs w:val="22"/>
        </w:rPr>
        <w:t xml:space="preserve">. </w:t>
      </w:r>
      <w:proofErr w:type="spellStart"/>
      <w:r w:rsidRPr="00100B72">
        <w:rPr>
          <w:rFonts w:asciiTheme="minorHAnsi" w:hAnsiTheme="minorHAnsi" w:cstheme="minorHAnsi"/>
          <w:color w:val="000000"/>
          <w:sz w:val="22"/>
          <w:szCs w:val="22"/>
        </w:rPr>
        <w:t>london</w:t>
      </w:r>
      <w:proofErr w:type="spellEnd"/>
      <w:r w:rsidRPr="00100B72">
        <w:rPr>
          <w:rFonts w:asciiTheme="minorHAnsi" w:hAnsiTheme="minorHAnsi" w:cstheme="minorHAnsi"/>
          <w:color w:val="000000"/>
          <w:sz w:val="22"/>
          <w:szCs w:val="22"/>
        </w:rPr>
        <w:t xml:space="preserve">, </w:t>
      </w:r>
      <w:proofErr w:type="spellStart"/>
      <w:r w:rsidRPr="00100B72">
        <w:rPr>
          <w:rFonts w:asciiTheme="minorHAnsi" w:hAnsiTheme="minorHAnsi" w:cstheme="minorHAnsi"/>
          <w:color w:val="000000"/>
          <w:sz w:val="22"/>
          <w:szCs w:val="22"/>
        </w:rPr>
        <w:t>uk</w:t>
      </w:r>
      <w:proofErr w:type="spellEnd"/>
      <w:r w:rsidRPr="00100B72">
        <w:rPr>
          <w:rFonts w:asciiTheme="minorHAnsi" w:hAnsiTheme="minorHAnsi" w:cstheme="minorHAnsi"/>
          <w:color w:val="000000"/>
          <w:sz w:val="22"/>
          <w:szCs w:val="22"/>
        </w:rPr>
        <w:t>: Worth. </w:t>
      </w:r>
    </w:p>
    <w:p w14:paraId="56D5DF92" w14:textId="77777777" w:rsidR="00DB526E" w:rsidRPr="00100B72" w:rsidRDefault="00DB526E" w:rsidP="00FB3C7E">
      <w:pPr>
        <w:pStyle w:val="Heading1"/>
        <w:shd w:val="clear" w:color="auto" w:fill="FFFFFF"/>
        <w:rPr>
          <w:rFonts w:asciiTheme="minorHAnsi" w:hAnsiTheme="minorHAnsi" w:cstheme="minorHAnsi"/>
          <w:color w:val="000000" w:themeColor="text1"/>
          <w:sz w:val="22"/>
          <w:szCs w:val="22"/>
        </w:rPr>
      </w:pPr>
      <w:r w:rsidRPr="00100B72">
        <w:rPr>
          <w:rFonts w:asciiTheme="minorHAnsi" w:hAnsiTheme="minorHAnsi" w:cstheme="minorHAnsi"/>
          <w:b w:val="0"/>
          <w:bCs w:val="0"/>
          <w:color w:val="000000" w:themeColor="text1"/>
          <w:sz w:val="22"/>
          <w:szCs w:val="22"/>
          <w:shd w:val="clear" w:color="auto" w:fill="FFFFFF"/>
        </w:rPr>
        <w:t xml:space="preserve">Brookfield, SD 2017, Becoming a Critically Reflective Teacher, John Wiley &amp; Sons, Incorporated, New York, NY. Available from: ProQuest </w:t>
      </w:r>
      <w:proofErr w:type="spellStart"/>
      <w:r w:rsidRPr="00100B72">
        <w:rPr>
          <w:rFonts w:asciiTheme="minorHAnsi" w:hAnsiTheme="minorHAnsi" w:cstheme="minorHAnsi"/>
          <w:b w:val="0"/>
          <w:bCs w:val="0"/>
          <w:color w:val="000000" w:themeColor="text1"/>
          <w:sz w:val="22"/>
          <w:szCs w:val="22"/>
          <w:shd w:val="clear" w:color="auto" w:fill="FFFFFF"/>
        </w:rPr>
        <w:t>Ebook</w:t>
      </w:r>
      <w:proofErr w:type="spellEnd"/>
      <w:r w:rsidRPr="00100B72">
        <w:rPr>
          <w:rFonts w:asciiTheme="minorHAnsi" w:hAnsiTheme="minorHAnsi" w:cstheme="minorHAnsi"/>
          <w:b w:val="0"/>
          <w:bCs w:val="0"/>
          <w:color w:val="000000" w:themeColor="text1"/>
          <w:sz w:val="22"/>
          <w:szCs w:val="22"/>
          <w:shd w:val="clear" w:color="auto" w:fill="FFFFFF"/>
        </w:rPr>
        <w:t xml:space="preserve"> Central. Accessed:(9 November 2022).</w:t>
      </w:r>
    </w:p>
    <w:p w14:paraId="65EEB5DC" w14:textId="77777777" w:rsidR="00DB526E" w:rsidRPr="00100B72" w:rsidRDefault="00DB526E" w:rsidP="00FB3C7E">
      <w:pPr>
        <w:spacing w:before="100" w:beforeAutospacing="1" w:after="100" w:afterAutospacing="1"/>
        <w:ind w:left="567" w:hanging="567"/>
        <w:rPr>
          <w:rFonts w:asciiTheme="minorHAnsi" w:hAnsiTheme="minorHAnsi" w:cstheme="minorHAnsi"/>
          <w:color w:val="05103E"/>
          <w:sz w:val="22"/>
          <w:szCs w:val="22"/>
          <w:shd w:val="clear" w:color="auto" w:fill="FFFFFF"/>
        </w:rPr>
      </w:pPr>
      <w:r w:rsidRPr="00100B72">
        <w:rPr>
          <w:rFonts w:asciiTheme="minorHAnsi" w:hAnsiTheme="minorHAnsi" w:cstheme="minorHAnsi"/>
          <w:color w:val="3A3A3A"/>
          <w:sz w:val="22"/>
          <w:szCs w:val="22"/>
          <w:shd w:val="clear" w:color="auto" w:fill="FFFFFF"/>
        </w:rPr>
        <w:t>Brookfield. (2017). </w:t>
      </w:r>
      <w:r w:rsidRPr="00100B72">
        <w:rPr>
          <w:rFonts w:asciiTheme="minorHAnsi" w:hAnsiTheme="minorHAnsi" w:cstheme="minorHAnsi"/>
          <w:i/>
          <w:iCs/>
          <w:color w:val="3A3A3A"/>
          <w:sz w:val="22"/>
          <w:szCs w:val="22"/>
          <w:shd w:val="clear" w:color="auto" w:fill="FFFFFF"/>
        </w:rPr>
        <w:t>Becoming a critically reflective teacher</w:t>
      </w:r>
      <w:r w:rsidRPr="00100B72">
        <w:rPr>
          <w:rFonts w:asciiTheme="minorHAnsi" w:hAnsiTheme="minorHAnsi" w:cstheme="minorHAnsi"/>
          <w:color w:val="3A3A3A"/>
          <w:sz w:val="22"/>
          <w:szCs w:val="22"/>
          <w:shd w:val="clear" w:color="auto" w:fill="FFFFFF"/>
        </w:rPr>
        <w:t> (Second edition.). Jossey-Bass.</w:t>
      </w:r>
    </w:p>
    <w:p w14:paraId="11C3A040" w14:textId="77777777" w:rsidR="00DB526E" w:rsidRPr="00100B72" w:rsidRDefault="00DB526E" w:rsidP="00FB3C7E">
      <w:pPr>
        <w:pStyle w:val="NormalWeb"/>
        <w:ind w:left="567" w:hanging="567"/>
        <w:rPr>
          <w:rFonts w:asciiTheme="minorHAnsi" w:hAnsiTheme="minorHAnsi" w:cstheme="minorHAnsi"/>
          <w:sz w:val="22"/>
          <w:szCs w:val="22"/>
        </w:rPr>
      </w:pPr>
      <w:r w:rsidRPr="00100B72">
        <w:rPr>
          <w:rFonts w:asciiTheme="minorHAnsi" w:hAnsiTheme="minorHAnsi" w:cstheme="minorHAnsi"/>
          <w:sz w:val="22"/>
          <w:szCs w:val="22"/>
        </w:rPr>
        <w:lastRenderedPageBreak/>
        <w:t xml:space="preserve">Cherry, K. (2022) </w:t>
      </w:r>
      <w:r w:rsidRPr="00100B72">
        <w:rPr>
          <w:rFonts w:asciiTheme="minorHAnsi" w:hAnsiTheme="minorHAnsi" w:cstheme="minorHAnsi"/>
          <w:i/>
          <w:iCs/>
          <w:sz w:val="22"/>
          <w:szCs w:val="22"/>
        </w:rPr>
        <w:t>Piaget's 4 stages of cognitive development explained</w:t>
      </w:r>
      <w:r w:rsidRPr="00100B72">
        <w:rPr>
          <w:rFonts w:asciiTheme="minorHAnsi" w:hAnsiTheme="minorHAnsi" w:cstheme="minorHAnsi"/>
          <w:sz w:val="22"/>
          <w:szCs w:val="22"/>
        </w:rPr>
        <w:t xml:space="preserve">, </w:t>
      </w:r>
      <w:proofErr w:type="spellStart"/>
      <w:r w:rsidRPr="00100B72">
        <w:rPr>
          <w:rFonts w:asciiTheme="minorHAnsi" w:hAnsiTheme="minorHAnsi" w:cstheme="minorHAnsi"/>
          <w:i/>
          <w:iCs/>
          <w:sz w:val="22"/>
          <w:szCs w:val="22"/>
        </w:rPr>
        <w:t>Verywell</w:t>
      </w:r>
      <w:proofErr w:type="spellEnd"/>
      <w:r w:rsidRPr="00100B72">
        <w:rPr>
          <w:rFonts w:asciiTheme="minorHAnsi" w:hAnsiTheme="minorHAnsi" w:cstheme="minorHAnsi"/>
          <w:i/>
          <w:iCs/>
          <w:sz w:val="22"/>
          <w:szCs w:val="22"/>
        </w:rPr>
        <w:t xml:space="preserve"> Mind</w:t>
      </w:r>
      <w:r w:rsidRPr="00100B72">
        <w:rPr>
          <w:rFonts w:asciiTheme="minorHAnsi" w:hAnsiTheme="minorHAnsi" w:cstheme="minorHAnsi"/>
          <w:sz w:val="22"/>
          <w:szCs w:val="22"/>
        </w:rPr>
        <w:t xml:space="preserve">. </w:t>
      </w:r>
      <w:proofErr w:type="spellStart"/>
      <w:r w:rsidRPr="00100B72">
        <w:rPr>
          <w:rFonts w:asciiTheme="minorHAnsi" w:hAnsiTheme="minorHAnsi" w:cstheme="minorHAnsi"/>
          <w:sz w:val="22"/>
          <w:szCs w:val="22"/>
        </w:rPr>
        <w:t>Verywell</w:t>
      </w:r>
      <w:proofErr w:type="spellEnd"/>
      <w:r w:rsidRPr="00100B72">
        <w:rPr>
          <w:rFonts w:asciiTheme="minorHAnsi" w:hAnsiTheme="minorHAnsi" w:cstheme="minorHAnsi"/>
          <w:sz w:val="22"/>
          <w:szCs w:val="22"/>
        </w:rPr>
        <w:t xml:space="preserve"> Mind. Available at: https://www.verywellmind.com/piagets-stages-of-cognitive-development-2795457 (Accessed: November 6, 2022). </w:t>
      </w:r>
    </w:p>
    <w:p w14:paraId="18E77D3C" w14:textId="77777777" w:rsidR="00DB526E" w:rsidRPr="00100B72" w:rsidRDefault="00DB526E" w:rsidP="00FB3C7E">
      <w:pPr>
        <w:pStyle w:val="NormalWeb"/>
        <w:ind w:left="567" w:hanging="567"/>
        <w:rPr>
          <w:rFonts w:asciiTheme="minorHAnsi" w:hAnsiTheme="minorHAnsi" w:cstheme="minorHAnsi"/>
          <w:sz w:val="22"/>
          <w:szCs w:val="22"/>
        </w:rPr>
      </w:pPr>
      <w:r w:rsidRPr="00100B72">
        <w:rPr>
          <w:rFonts w:asciiTheme="minorHAnsi" w:hAnsiTheme="minorHAnsi" w:cstheme="minorHAnsi"/>
          <w:sz w:val="22"/>
          <w:szCs w:val="22"/>
        </w:rPr>
        <w:t xml:space="preserve">Council for economic renewal and Welsh Government (2015) </w:t>
      </w:r>
      <w:r w:rsidRPr="00100B72">
        <w:rPr>
          <w:rFonts w:asciiTheme="minorHAnsi" w:hAnsiTheme="minorHAnsi" w:cstheme="minorHAnsi"/>
          <w:i/>
          <w:iCs/>
          <w:sz w:val="22"/>
          <w:szCs w:val="22"/>
        </w:rPr>
        <w:t>Council for Economic Renewal Skills, the recovery and growth</w:t>
      </w:r>
      <w:r w:rsidRPr="00100B72">
        <w:rPr>
          <w:rFonts w:asciiTheme="minorHAnsi" w:hAnsiTheme="minorHAnsi" w:cstheme="minorHAnsi"/>
          <w:sz w:val="22"/>
          <w:szCs w:val="22"/>
        </w:rPr>
        <w:t xml:space="preserve">. Cardiff, Wales: Welsh Government. Available at: </w:t>
      </w:r>
      <w:hyperlink r:id="rId10" w:history="1">
        <w:r w:rsidRPr="00100B72">
          <w:rPr>
            <w:rStyle w:val="Hyperlink"/>
            <w:rFonts w:asciiTheme="minorHAnsi" w:hAnsiTheme="minorHAnsi" w:cstheme="minorHAnsi"/>
            <w:sz w:val="22"/>
            <w:szCs w:val="22"/>
          </w:rPr>
          <w:t>https://gov.wales/sites/default/files/publications/2018-10/council-for-economic-renewal-february-15-skills-recovery-and-growth.pdf</w:t>
        </w:r>
      </w:hyperlink>
      <w:r w:rsidRPr="00100B72">
        <w:rPr>
          <w:rFonts w:asciiTheme="minorHAnsi" w:hAnsiTheme="minorHAnsi" w:cstheme="minorHAnsi"/>
          <w:sz w:val="22"/>
          <w:szCs w:val="22"/>
        </w:rPr>
        <w:t xml:space="preserve"> (Accessed: November 6, 2022).</w:t>
      </w:r>
    </w:p>
    <w:p w14:paraId="03BC334D" w14:textId="77777777" w:rsidR="00DB526E" w:rsidRPr="00100B72" w:rsidRDefault="00DB526E" w:rsidP="00FB3C7E">
      <w:pPr>
        <w:rPr>
          <w:rFonts w:asciiTheme="minorHAnsi" w:hAnsiTheme="minorHAnsi" w:cstheme="minorHAnsi"/>
          <w:color w:val="000000"/>
          <w:sz w:val="22"/>
          <w:szCs w:val="22"/>
        </w:rPr>
      </w:pPr>
      <w:r w:rsidRPr="00100B72">
        <w:rPr>
          <w:rFonts w:asciiTheme="minorHAnsi" w:hAnsiTheme="minorHAnsi" w:cstheme="minorHAnsi"/>
          <w:i/>
          <w:iCs/>
          <w:color w:val="05103E"/>
          <w:sz w:val="22"/>
          <w:szCs w:val="22"/>
          <w:bdr w:val="single" w:sz="2" w:space="0" w:color="ECEDEE" w:frame="1"/>
          <w:shd w:val="clear" w:color="auto" w:fill="FFFFFF"/>
        </w:rPr>
        <w:t>Creating a nurturing school through an inclusive approach to wellbeing | Estyn</w:t>
      </w:r>
      <w:r w:rsidRPr="00100B72">
        <w:rPr>
          <w:rFonts w:asciiTheme="minorHAnsi" w:hAnsiTheme="minorHAnsi" w:cstheme="minorHAnsi"/>
          <w:color w:val="05103E"/>
          <w:sz w:val="22"/>
          <w:szCs w:val="22"/>
          <w:shd w:val="clear" w:color="auto" w:fill="FFFFFF"/>
        </w:rPr>
        <w:t> (2018). Available at: </w:t>
      </w:r>
      <w:hyperlink r:id="rId11" w:history="1">
        <w:r w:rsidRPr="00100B72">
          <w:rPr>
            <w:rStyle w:val="Hyperlink"/>
            <w:rFonts w:asciiTheme="minorHAnsi" w:hAnsiTheme="minorHAnsi" w:cstheme="minorHAnsi"/>
            <w:sz w:val="22"/>
            <w:szCs w:val="22"/>
            <w:bdr w:val="single" w:sz="2" w:space="0" w:color="ECEDEE" w:frame="1"/>
            <w:shd w:val="clear" w:color="auto" w:fill="FFFFFF"/>
          </w:rPr>
          <w:t>https://www.estyn.gov.wales/effective-practice/creating-nurturing-school-through-inclusive-approach-wellbeing</w:t>
        </w:r>
      </w:hyperlink>
      <w:r w:rsidRPr="00100B72">
        <w:rPr>
          <w:rFonts w:asciiTheme="minorHAnsi" w:hAnsiTheme="minorHAnsi" w:cstheme="minorHAnsi"/>
          <w:color w:val="05103E"/>
          <w:sz w:val="22"/>
          <w:szCs w:val="22"/>
          <w:shd w:val="clear" w:color="auto" w:fill="FFFFFF"/>
        </w:rPr>
        <w:t xml:space="preserve">. </w:t>
      </w:r>
      <w:r w:rsidRPr="00100B72">
        <w:rPr>
          <w:rFonts w:asciiTheme="minorHAnsi" w:hAnsiTheme="minorHAnsi" w:cstheme="minorHAnsi"/>
          <w:color w:val="000000"/>
          <w:sz w:val="22"/>
          <w:szCs w:val="22"/>
        </w:rPr>
        <w:t>(Accessed: November 10, 2022). </w:t>
      </w:r>
    </w:p>
    <w:p w14:paraId="6608D5E8" w14:textId="77777777" w:rsidR="00DB526E" w:rsidRPr="00100B72" w:rsidRDefault="00DB526E" w:rsidP="00FB3C7E">
      <w:pPr>
        <w:spacing w:before="100" w:beforeAutospacing="1" w:after="100" w:afterAutospacing="1"/>
        <w:ind w:left="567" w:hanging="567"/>
        <w:rPr>
          <w:rFonts w:asciiTheme="minorHAnsi" w:hAnsiTheme="minorHAnsi" w:cstheme="minorHAnsi"/>
          <w:sz w:val="22"/>
          <w:szCs w:val="22"/>
        </w:rPr>
      </w:pPr>
      <w:r w:rsidRPr="00100B72">
        <w:rPr>
          <w:rFonts w:asciiTheme="minorHAnsi" w:hAnsiTheme="minorHAnsi" w:cstheme="minorHAnsi"/>
          <w:sz w:val="22"/>
          <w:szCs w:val="22"/>
        </w:rPr>
        <w:t xml:space="preserve">Emerson, L. </w:t>
      </w:r>
      <w:r w:rsidRPr="00100B72">
        <w:rPr>
          <w:rFonts w:asciiTheme="minorHAnsi" w:hAnsiTheme="minorHAnsi" w:cstheme="minorHAnsi"/>
          <w:i/>
          <w:iCs/>
          <w:sz w:val="22"/>
          <w:szCs w:val="22"/>
        </w:rPr>
        <w:t>et al.</w:t>
      </w:r>
      <w:r w:rsidRPr="00100B72">
        <w:rPr>
          <w:rFonts w:asciiTheme="minorHAnsi" w:hAnsiTheme="minorHAnsi" w:cstheme="minorHAnsi"/>
          <w:sz w:val="22"/>
          <w:szCs w:val="22"/>
        </w:rPr>
        <w:t xml:space="preserve"> (2012) </w:t>
      </w:r>
      <w:r w:rsidRPr="00100B72">
        <w:rPr>
          <w:rFonts w:asciiTheme="minorHAnsi" w:hAnsiTheme="minorHAnsi" w:cstheme="minorHAnsi"/>
          <w:i/>
          <w:iCs/>
          <w:sz w:val="22"/>
          <w:szCs w:val="22"/>
        </w:rPr>
        <w:t>Children &amp; Youth for the Family-School and Community Partnerships Bureau.</w:t>
      </w:r>
      <w:r w:rsidRPr="00100B72">
        <w:rPr>
          <w:rFonts w:asciiTheme="minorHAnsi" w:hAnsiTheme="minorHAnsi" w:cstheme="minorHAnsi"/>
          <w:sz w:val="22"/>
          <w:szCs w:val="22"/>
        </w:rPr>
        <w:t xml:space="preserve"> publication. ommunityhubs.org.au/wp-content/uploads/2017/10/Parental_engagement_in_learning_and_schooling_Lessons_from_research_BUREAU_ARACY_August_2012.pdf. </w:t>
      </w:r>
    </w:p>
    <w:p w14:paraId="7C030350" w14:textId="77777777" w:rsidR="00DB526E" w:rsidRPr="00100B72" w:rsidRDefault="00DB526E" w:rsidP="00FB3C7E">
      <w:pPr>
        <w:spacing w:before="100" w:beforeAutospacing="1" w:after="100" w:afterAutospacing="1"/>
        <w:ind w:left="567" w:hanging="567"/>
        <w:rPr>
          <w:rFonts w:asciiTheme="minorHAnsi" w:hAnsiTheme="minorHAnsi" w:cstheme="minorHAnsi"/>
          <w:sz w:val="22"/>
          <w:szCs w:val="22"/>
        </w:rPr>
      </w:pPr>
      <w:proofErr w:type="spellStart"/>
      <w:r w:rsidRPr="00100B72">
        <w:rPr>
          <w:rFonts w:asciiTheme="minorHAnsi" w:hAnsiTheme="minorHAnsi" w:cstheme="minorHAnsi"/>
          <w:sz w:val="22"/>
          <w:szCs w:val="22"/>
        </w:rPr>
        <w:t>Eraut</w:t>
      </w:r>
      <w:proofErr w:type="spellEnd"/>
      <w:r w:rsidRPr="00100B72">
        <w:rPr>
          <w:rFonts w:asciiTheme="minorHAnsi" w:hAnsiTheme="minorHAnsi" w:cstheme="minorHAnsi"/>
          <w:sz w:val="22"/>
          <w:szCs w:val="22"/>
        </w:rPr>
        <w:t>, M. (1995) “Schon shock: A case for refraining reflection‐in‐</w:t>
      </w:r>
      <w:proofErr w:type="gramStart"/>
      <w:r w:rsidRPr="00100B72">
        <w:rPr>
          <w:rFonts w:asciiTheme="minorHAnsi" w:hAnsiTheme="minorHAnsi" w:cstheme="minorHAnsi"/>
          <w:sz w:val="22"/>
          <w:szCs w:val="22"/>
        </w:rPr>
        <w:t>action?,</w:t>
      </w:r>
      <w:proofErr w:type="gramEnd"/>
      <w:r w:rsidRPr="00100B72">
        <w:rPr>
          <w:rFonts w:asciiTheme="minorHAnsi" w:hAnsiTheme="minorHAnsi" w:cstheme="minorHAnsi"/>
          <w:sz w:val="22"/>
          <w:szCs w:val="22"/>
        </w:rPr>
        <w:t xml:space="preserve">” </w:t>
      </w:r>
      <w:r w:rsidRPr="00100B72">
        <w:rPr>
          <w:rFonts w:asciiTheme="minorHAnsi" w:hAnsiTheme="minorHAnsi" w:cstheme="minorHAnsi"/>
          <w:i/>
          <w:iCs/>
          <w:sz w:val="22"/>
          <w:szCs w:val="22"/>
        </w:rPr>
        <w:t>Teachers and Teaching</w:t>
      </w:r>
      <w:r w:rsidRPr="00100B72">
        <w:rPr>
          <w:rFonts w:asciiTheme="minorHAnsi" w:hAnsiTheme="minorHAnsi" w:cstheme="minorHAnsi"/>
          <w:sz w:val="22"/>
          <w:szCs w:val="22"/>
        </w:rPr>
        <w:t xml:space="preserve">, 1(1), pp. 9–22. Available at: </w:t>
      </w:r>
      <w:hyperlink r:id="rId12" w:history="1">
        <w:r w:rsidRPr="00100B72">
          <w:rPr>
            <w:rStyle w:val="Hyperlink"/>
            <w:rFonts w:asciiTheme="minorHAnsi" w:hAnsiTheme="minorHAnsi" w:cstheme="minorHAnsi"/>
            <w:sz w:val="22"/>
            <w:szCs w:val="22"/>
          </w:rPr>
          <w:t>https://doi.org/10.1080/1354060950010102</w:t>
        </w:r>
      </w:hyperlink>
      <w:r w:rsidRPr="00100B72">
        <w:rPr>
          <w:rFonts w:asciiTheme="minorHAnsi" w:hAnsiTheme="minorHAnsi" w:cstheme="minorHAnsi"/>
          <w:sz w:val="22"/>
          <w:szCs w:val="22"/>
        </w:rPr>
        <w:t xml:space="preserve"> .</w:t>
      </w:r>
    </w:p>
    <w:p w14:paraId="1AA312B2" w14:textId="77777777" w:rsidR="00DB526E" w:rsidRPr="00100B72" w:rsidRDefault="00DB526E" w:rsidP="00FB3C7E">
      <w:pPr>
        <w:pStyle w:val="NormalWeb"/>
        <w:ind w:left="567" w:hanging="567"/>
        <w:rPr>
          <w:rFonts w:asciiTheme="minorHAnsi" w:hAnsiTheme="minorHAnsi" w:cstheme="minorHAnsi"/>
          <w:sz w:val="22"/>
          <w:szCs w:val="22"/>
        </w:rPr>
      </w:pPr>
      <w:r w:rsidRPr="00100B72">
        <w:rPr>
          <w:rFonts w:asciiTheme="minorHAnsi" w:hAnsiTheme="minorHAnsi" w:cstheme="minorHAnsi"/>
          <w:i/>
          <w:iCs/>
          <w:sz w:val="22"/>
          <w:szCs w:val="22"/>
        </w:rPr>
        <w:t>Ethical guidelines for educational research, Fourth edition (2018)</w:t>
      </w:r>
      <w:r w:rsidRPr="00100B72">
        <w:rPr>
          <w:rFonts w:asciiTheme="minorHAnsi" w:hAnsiTheme="minorHAnsi" w:cstheme="minorHAnsi"/>
          <w:sz w:val="22"/>
          <w:szCs w:val="22"/>
        </w:rPr>
        <w:t xml:space="preserve"> </w:t>
      </w:r>
      <w:r w:rsidRPr="00100B72">
        <w:rPr>
          <w:rFonts w:asciiTheme="minorHAnsi" w:hAnsiTheme="minorHAnsi" w:cstheme="minorHAnsi"/>
          <w:i/>
          <w:iCs/>
          <w:sz w:val="22"/>
          <w:szCs w:val="22"/>
        </w:rPr>
        <w:t>BERA</w:t>
      </w:r>
      <w:r w:rsidRPr="00100B72">
        <w:rPr>
          <w:rFonts w:asciiTheme="minorHAnsi" w:hAnsiTheme="minorHAnsi" w:cstheme="minorHAnsi"/>
          <w:sz w:val="22"/>
          <w:szCs w:val="22"/>
        </w:rPr>
        <w:t xml:space="preserve">. Available at: https://www.bera.ac.uk/publication/ethical-guidelines-for-educational-research-2018-online (Accessed: November 6, 2022). </w:t>
      </w:r>
    </w:p>
    <w:p w14:paraId="7D10E93D" w14:textId="77777777" w:rsidR="00DB526E" w:rsidRPr="00100B72" w:rsidRDefault="00DB526E" w:rsidP="00FB3C7E">
      <w:pPr>
        <w:spacing w:before="100" w:beforeAutospacing="1" w:after="100" w:afterAutospacing="1"/>
        <w:ind w:left="567" w:hanging="567"/>
        <w:rPr>
          <w:rFonts w:asciiTheme="minorHAnsi" w:hAnsiTheme="minorHAnsi" w:cstheme="minorHAnsi"/>
          <w:color w:val="000000"/>
          <w:sz w:val="22"/>
          <w:szCs w:val="22"/>
        </w:rPr>
      </w:pPr>
      <w:r w:rsidRPr="00100B72">
        <w:rPr>
          <w:rFonts w:asciiTheme="minorHAnsi" w:hAnsiTheme="minorHAnsi" w:cstheme="minorHAnsi"/>
          <w:i/>
          <w:iCs/>
          <w:color w:val="000000"/>
          <w:sz w:val="22"/>
          <w:szCs w:val="22"/>
        </w:rPr>
        <w:t>Ethical guidelines for educational research, Fourth edition (2018)</w:t>
      </w:r>
      <w:r w:rsidRPr="00100B72">
        <w:rPr>
          <w:rFonts w:asciiTheme="minorHAnsi" w:hAnsiTheme="minorHAnsi" w:cstheme="minorHAnsi"/>
          <w:color w:val="000000"/>
          <w:sz w:val="22"/>
          <w:szCs w:val="22"/>
        </w:rPr>
        <w:t> (2018) </w:t>
      </w:r>
      <w:r w:rsidRPr="00100B72">
        <w:rPr>
          <w:rFonts w:asciiTheme="minorHAnsi" w:hAnsiTheme="minorHAnsi" w:cstheme="minorHAnsi"/>
          <w:i/>
          <w:iCs/>
          <w:color w:val="000000"/>
          <w:sz w:val="22"/>
          <w:szCs w:val="22"/>
        </w:rPr>
        <w:t>BERA</w:t>
      </w:r>
      <w:r w:rsidRPr="00100B72">
        <w:rPr>
          <w:rFonts w:asciiTheme="minorHAnsi" w:hAnsiTheme="minorHAnsi" w:cstheme="minorHAnsi"/>
          <w:color w:val="000000"/>
          <w:sz w:val="22"/>
          <w:szCs w:val="22"/>
        </w:rPr>
        <w:t>. Available at: https://www.bera.ac.uk/publication/ethical-guidelines-for-educational-research-2018 (Accessed: November 10, 2022). </w:t>
      </w:r>
    </w:p>
    <w:p w14:paraId="0CD0BA4E" w14:textId="77777777" w:rsidR="00DB526E" w:rsidRPr="00100B72" w:rsidRDefault="00DB526E" w:rsidP="00FB3C7E">
      <w:pPr>
        <w:spacing w:before="100" w:beforeAutospacing="1" w:after="100" w:afterAutospacing="1"/>
        <w:ind w:left="567" w:hanging="567"/>
        <w:rPr>
          <w:rFonts w:asciiTheme="minorHAnsi" w:hAnsiTheme="minorHAnsi" w:cstheme="minorHAnsi"/>
          <w:sz w:val="22"/>
          <w:szCs w:val="22"/>
        </w:rPr>
      </w:pPr>
      <w:r w:rsidRPr="00100B72">
        <w:rPr>
          <w:rFonts w:asciiTheme="minorHAnsi" w:hAnsiTheme="minorHAnsi" w:cstheme="minorHAnsi"/>
          <w:sz w:val="22"/>
          <w:szCs w:val="22"/>
        </w:rPr>
        <w:t xml:space="preserve">Glamorgan, </w:t>
      </w:r>
      <w:proofErr w:type="spellStart"/>
      <w:proofErr w:type="gramStart"/>
      <w:r w:rsidRPr="00100B72">
        <w:rPr>
          <w:rFonts w:asciiTheme="minorHAnsi" w:hAnsiTheme="minorHAnsi" w:cstheme="minorHAnsi"/>
          <w:sz w:val="22"/>
          <w:szCs w:val="22"/>
        </w:rPr>
        <w:t>V.of</w:t>
      </w:r>
      <w:proofErr w:type="spellEnd"/>
      <w:proofErr w:type="gramEnd"/>
      <w:r w:rsidRPr="00100B72">
        <w:rPr>
          <w:rFonts w:asciiTheme="minorHAnsi" w:hAnsiTheme="minorHAnsi" w:cstheme="minorHAnsi"/>
          <w:sz w:val="22"/>
          <w:szCs w:val="22"/>
        </w:rPr>
        <w:t xml:space="preserve"> (2021) </w:t>
      </w:r>
      <w:r w:rsidRPr="00100B72">
        <w:rPr>
          <w:rFonts w:asciiTheme="minorHAnsi" w:hAnsiTheme="minorHAnsi" w:cstheme="minorHAnsi"/>
          <w:i/>
          <w:iCs/>
          <w:sz w:val="22"/>
          <w:szCs w:val="22"/>
        </w:rPr>
        <w:t>Vale of Glamorgan Annual Report (Improvement Plan Part II) 2020/21</w:t>
      </w:r>
      <w:r w:rsidRPr="00100B72">
        <w:rPr>
          <w:rFonts w:asciiTheme="minorHAnsi" w:hAnsiTheme="minorHAnsi" w:cstheme="minorHAnsi"/>
          <w:sz w:val="22"/>
          <w:szCs w:val="22"/>
        </w:rPr>
        <w:t>. rep. (accessed: November 8, 2022)</w:t>
      </w:r>
    </w:p>
    <w:p w14:paraId="3E88009A" w14:textId="77777777" w:rsidR="00DB526E" w:rsidRPr="00100B72" w:rsidRDefault="00DB526E" w:rsidP="00645268">
      <w:pPr>
        <w:spacing w:before="100" w:beforeAutospacing="1" w:after="100" w:afterAutospacing="1"/>
        <w:ind w:left="567" w:hanging="567"/>
        <w:rPr>
          <w:rFonts w:asciiTheme="minorHAnsi" w:hAnsiTheme="minorHAnsi" w:cstheme="minorHAnsi"/>
          <w:color w:val="000000"/>
          <w:sz w:val="22"/>
          <w:szCs w:val="22"/>
          <w:shd w:val="clear" w:color="auto" w:fill="FFFFFF"/>
        </w:rPr>
      </w:pPr>
      <w:r w:rsidRPr="00100B72">
        <w:rPr>
          <w:rFonts w:asciiTheme="minorHAnsi" w:hAnsiTheme="minorHAnsi" w:cstheme="minorHAnsi"/>
          <w:color w:val="000000"/>
          <w:sz w:val="22"/>
          <w:szCs w:val="22"/>
          <w:shd w:val="clear" w:color="auto" w:fill="FFFFFF"/>
        </w:rPr>
        <w:t xml:space="preserve">Greenhalgh, P. (1994). Emotional Growth and Learning (1st ed.). Routledge. </w:t>
      </w:r>
      <w:hyperlink r:id="rId13" w:history="1">
        <w:r w:rsidRPr="00100B72">
          <w:rPr>
            <w:rStyle w:val="Hyperlink"/>
            <w:rFonts w:asciiTheme="minorHAnsi" w:hAnsiTheme="minorHAnsi" w:cstheme="minorHAnsi"/>
            <w:sz w:val="22"/>
            <w:szCs w:val="22"/>
            <w:shd w:val="clear" w:color="auto" w:fill="FFFFFF"/>
          </w:rPr>
          <w:t>https://doi.org/10.4324/9780203424681</w:t>
        </w:r>
      </w:hyperlink>
      <w:r w:rsidRPr="00100B72">
        <w:rPr>
          <w:rFonts w:asciiTheme="minorHAnsi" w:hAnsiTheme="minorHAnsi" w:cstheme="minorHAnsi"/>
          <w:color w:val="000000"/>
          <w:sz w:val="22"/>
          <w:szCs w:val="22"/>
          <w:shd w:val="clear" w:color="auto" w:fill="FFFFFF"/>
        </w:rPr>
        <w:t xml:space="preserve"> </w:t>
      </w:r>
      <w:r w:rsidRPr="00100B72">
        <w:rPr>
          <w:rFonts w:asciiTheme="minorHAnsi" w:hAnsiTheme="minorHAnsi" w:cstheme="minorHAnsi"/>
          <w:color w:val="000000"/>
          <w:sz w:val="22"/>
          <w:szCs w:val="22"/>
        </w:rPr>
        <w:t>(Accessed: November 10, 2022). </w:t>
      </w:r>
    </w:p>
    <w:p w14:paraId="028BEB9E" w14:textId="77777777" w:rsidR="00DB526E" w:rsidRPr="00100B72" w:rsidRDefault="00DB526E" w:rsidP="00FB3C7E">
      <w:pPr>
        <w:pStyle w:val="NormalWeb"/>
        <w:ind w:left="567" w:hanging="567"/>
        <w:rPr>
          <w:rFonts w:asciiTheme="minorHAnsi" w:hAnsiTheme="minorHAnsi" w:cstheme="minorHAnsi"/>
          <w:sz w:val="22"/>
          <w:szCs w:val="22"/>
          <w:shd w:val="clear" w:color="auto" w:fill="FFFFFF"/>
        </w:rPr>
      </w:pPr>
      <w:r w:rsidRPr="00100B72">
        <w:rPr>
          <w:rFonts w:asciiTheme="minorHAnsi" w:hAnsiTheme="minorHAnsi" w:cstheme="minorHAnsi"/>
          <w:color w:val="000000"/>
          <w:sz w:val="22"/>
          <w:szCs w:val="22"/>
          <w:shd w:val="clear" w:color="auto" w:fill="FFFFFF"/>
        </w:rPr>
        <w:t>Guy-Evans, O. (2020, Nov 09). </w:t>
      </w:r>
      <w:r w:rsidRPr="00100B72">
        <w:rPr>
          <w:rStyle w:val="Emphasis"/>
          <w:rFonts w:asciiTheme="minorHAnsi" w:hAnsiTheme="minorHAnsi" w:cstheme="minorHAnsi"/>
          <w:color w:val="000000"/>
          <w:sz w:val="22"/>
          <w:szCs w:val="22"/>
          <w:shd w:val="clear" w:color="auto" w:fill="FFFFFF"/>
        </w:rPr>
        <w:t>Bronfenbrenner's ecological systems theory</w:t>
      </w:r>
      <w:r w:rsidRPr="00100B72">
        <w:rPr>
          <w:rFonts w:asciiTheme="minorHAnsi" w:hAnsiTheme="minorHAnsi" w:cstheme="minorHAnsi"/>
          <w:color w:val="000000"/>
          <w:sz w:val="22"/>
          <w:szCs w:val="22"/>
          <w:shd w:val="clear" w:color="auto" w:fill="FFFFFF"/>
        </w:rPr>
        <w:t xml:space="preserve">. Simply Psychology. </w:t>
      </w:r>
      <w:hyperlink r:id="rId14" w:history="1">
        <w:r w:rsidRPr="00100B72">
          <w:rPr>
            <w:rStyle w:val="Hyperlink"/>
            <w:rFonts w:asciiTheme="minorHAnsi" w:hAnsiTheme="minorHAnsi" w:cstheme="minorHAnsi"/>
            <w:sz w:val="22"/>
            <w:szCs w:val="22"/>
          </w:rPr>
          <w:t>www.simplypsychology.org/Bronfenbrenner.html</w:t>
        </w:r>
      </w:hyperlink>
      <w:r w:rsidRPr="00100B72">
        <w:rPr>
          <w:rFonts w:asciiTheme="minorHAnsi" w:hAnsiTheme="minorHAnsi" w:cstheme="minorHAnsi"/>
          <w:color w:val="000000"/>
          <w:sz w:val="22"/>
          <w:szCs w:val="22"/>
          <w:shd w:val="clear" w:color="auto" w:fill="FFFFFF"/>
        </w:rPr>
        <w:t xml:space="preserve"> Accessed:(9 </w:t>
      </w:r>
      <w:proofErr w:type="spellStart"/>
      <w:r w:rsidRPr="00100B72">
        <w:rPr>
          <w:rFonts w:asciiTheme="minorHAnsi" w:hAnsiTheme="minorHAnsi" w:cstheme="minorHAnsi"/>
          <w:color w:val="000000"/>
          <w:sz w:val="22"/>
          <w:szCs w:val="22"/>
          <w:shd w:val="clear" w:color="auto" w:fill="FFFFFF"/>
        </w:rPr>
        <w:t>Novemeber</w:t>
      </w:r>
      <w:proofErr w:type="spellEnd"/>
      <w:r w:rsidRPr="00100B72">
        <w:rPr>
          <w:rFonts w:asciiTheme="minorHAnsi" w:hAnsiTheme="minorHAnsi" w:cstheme="minorHAnsi"/>
          <w:color w:val="000000"/>
          <w:sz w:val="22"/>
          <w:szCs w:val="22"/>
          <w:shd w:val="clear" w:color="auto" w:fill="FFFFFF"/>
        </w:rPr>
        <w:t xml:space="preserve"> 2022)</w:t>
      </w:r>
    </w:p>
    <w:p w14:paraId="4CDAAD71" w14:textId="77777777" w:rsidR="00DB526E" w:rsidRPr="00100B72" w:rsidRDefault="00DB526E" w:rsidP="00FB3C7E">
      <w:pPr>
        <w:pStyle w:val="NormalWeb"/>
        <w:ind w:left="567" w:hanging="567"/>
        <w:rPr>
          <w:rFonts w:asciiTheme="minorHAnsi" w:hAnsiTheme="minorHAnsi" w:cstheme="minorHAnsi"/>
          <w:sz w:val="22"/>
          <w:szCs w:val="22"/>
        </w:rPr>
      </w:pPr>
      <w:r w:rsidRPr="00100B72">
        <w:rPr>
          <w:rFonts w:asciiTheme="minorHAnsi" w:hAnsiTheme="minorHAnsi" w:cstheme="minorHAnsi"/>
          <w:sz w:val="22"/>
          <w:szCs w:val="22"/>
        </w:rPr>
        <w:t xml:space="preserve">Herrington, J., Reeves, T.C. and Oliver, R. (1970) </w:t>
      </w:r>
      <w:r w:rsidRPr="00100B72">
        <w:rPr>
          <w:rFonts w:asciiTheme="minorHAnsi" w:hAnsiTheme="minorHAnsi" w:cstheme="minorHAnsi"/>
          <w:i/>
          <w:iCs/>
          <w:sz w:val="22"/>
          <w:szCs w:val="22"/>
        </w:rPr>
        <w:t>Authentic learning environments</w:t>
      </w:r>
      <w:r w:rsidRPr="00100B72">
        <w:rPr>
          <w:rFonts w:asciiTheme="minorHAnsi" w:hAnsiTheme="minorHAnsi" w:cstheme="minorHAnsi"/>
          <w:sz w:val="22"/>
          <w:szCs w:val="22"/>
        </w:rPr>
        <w:t xml:space="preserve">, </w:t>
      </w:r>
      <w:r w:rsidRPr="00100B72">
        <w:rPr>
          <w:rFonts w:asciiTheme="minorHAnsi" w:hAnsiTheme="minorHAnsi" w:cstheme="minorHAnsi"/>
          <w:i/>
          <w:iCs/>
          <w:sz w:val="22"/>
          <w:szCs w:val="22"/>
        </w:rPr>
        <w:t>SpringerLink</w:t>
      </w:r>
      <w:r w:rsidRPr="00100B72">
        <w:rPr>
          <w:rFonts w:asciiTheme="minorHAnsi" w:hAnsiTheme="minorHAnsi" w:cstheme="minorHAnsi"/>
          <w:sz w:val="22"/>
          <w:szCs w:val="22"/>
        </w:rPr>
        <w:t xml:space="preserve">. Springer New York. Available at: https://link.springer.com/chapter/10.1007/978-1-4614-3185-5_32 (Accessed: November 6, 2022). </w:t>
      </w:r>
    </w:p>
    <w:p w14:paraId="7C3CA5DC" w14:textId="77777777" w:rsidR="00DB526E" w:rsidRPr="00100B72" w:rsidRDefault="00DB526E" w:rsidP="00FB3C7E">
      <w:pPr>
        <w:spacing w:before="100" w:beforeAutospacing="1" w:after="100" w:afterAutospacing="1"/>
        <w:ind w:left="567" w:hanging="567"/>
        <w:rPr>
          <w:rFonts w:asciiTheme="minorHAnsi" w:hAnsiTheme="minorHAnsi" w:cstheme="minorHAnsi"/>
          <w:color w:val="000000"/>
          <w:sz w:val="22"/>
          <w:szCs w:val="22"/>
        </w:rPr>
      </w:pPr>
      <w:r w:rsidRPr="00100B72">
        <w:rPr>
          <w:rFonts w:asciiTheme="minorHAnsi" w:hAnsiTheme="minorHAnsi" w:cstheme="minorHAnsi"/>
          <w:i/>
          <w:iCs/>
          <w:color w:val="000000"/>
          <w:sz w:val="22"/>
          <w:szCs w:val="22"/>
        </w:rPr>
        <w:t>Implementation and practical considerations</w:t>
      </w:r>
      <w:r w:rsidRPr="00100B72">
        <w:rPr>
          <w:rFonts w:asciiTheme="minorHAnsi" w:hAnsiTheme="minorHAnsi" w:cstheme="minorHAnsi"/>
          <w:color w:val="000000"/>
          <w:sz w:val="22"/>
          <w:szCs w:val="22"/>
        </w:rPr>
        <w:t> (2020) </w:t>
      </w:r>
      <w:r w:rsidRPr="00100B72">
        <w:rPr>
          <w:rFonts w:asciiTheme="minorHAnsi" w:hAnsiTheme="minorHAnsi" w:cstheme="minorHAnsi"/>
          <w:i/>
          <w:iCs/>
          <w:color w:val="000000"/>
          <w:sz w:val="22"/>
          <w:szCs w:val="22"/>
        </w:rPr>
        <w:t>Hwb</w:t>
      </w:r>
      <w:r w:rsidRPr="00100B72">
        <w:rPr>
          <w:rFonts w:asciiTheme="minorHAnsi" w:hAnsiTheme="minorHAnsi" w:cstheme="minorHAnsi"/>
          <w:color w:val="000000"/>
          <w:sz w:val="22"/>
          <w:szCs w:val="22"/>
        </w:rPr>
        <w:t>. Available at: https://hwb.gov.wales/curriculum-for-wales/designing-your-curriculum/implementation-and-practical-considerations (Accessed: November 9, 2022). </w:t>
      </w:r>
    </w:p>
    <w:p w14:paraId="3DB3E9A6" w14:textId="77777777" w:rsidR="00DB526E" w:rsidRPr="00100B72" w:rsidRDefault="00DB526E" w:rsidP="00FB3C7E">
      <w:pPr>
        <w:pStyle w:val="NormalWeb"/>
        <w:ind w:left="567" w:hanging="567"/>
        <w:rPr>
          <w:rFonts w:asciiTheme="minorHAnsi" w:hAnsiTheme="minorHAnsi" w:cstheme="minorHAnsi"/>
          <w:sz w:val="22"/>
          <w:szCs w:val="22"/>
        </w:rPr>
      </w:pPr>
      <w:r w:rsidRPr="00100B72">
        <w:rPr>
          <w:rFonts w:asciiTheme="minorHAnsi" w:hAnsiTheme="minorHAnsi" w:cstheme="minorHAnsi"/>
          <w:sz w:val="22"/>
          <w:szCs w:val="22"/>
        </w:rPr>
        <w:t xml:space="preserve">Kolb, D. (1984) </w:t>
      </w:r>
      <w:r w:rsidRPr="00100B72">
        <w:rPr>
          <w:rFonts w:asciiTheme="minorHAnsi" w:hAnsiTheme="minorHAnsi" w:cstheme="minorHAnsi"/>
          <w:i/>
          <w:iCs/>
          <w:sz w:val="22"/>
          <w:szCs w:val="22"/>
        </w:rPr>
        <w:t>Experiential Learning.</w:t>
      </w:r>
      <w:r w:rsidRPr="00100B72">
        <w:rPr>
          <w:rFonts w:asciiTheme="minorHAnsi" w:hAnsiTheme="minorHAnsi" w:cstheme="minorHAnsi"/>
          <w:sz w:val="22"/>
          <w:szCs w:val="22"/>
        </w:rPr>
        <w:t xml:space="preserve"> New Jersey: Prentice Hall</w:t>
      </w:r>
    </w:p>
    <w:p w14:paraId="3A17618B" w14:textId="77777777" w:rsidR="00DB526E" w:rsidRPr="00100B72" w:rsidRDefault="00DB526E" w:rsidP="00FB3C7E">
      <w:pPr>
        <w:spacing w:before="100" w:beforeAutospacing="1" w:after="100" w:afterAutospacing="1"/>
        <w:ind w:left="567" w:hanging="567"/>
        <w:rPr>
          <w:rFonts w:asciiTheme="minorHAnsi" w:hAnsiTheme="minorHAnsi" w:cstheme="minorHAnsi"/>
          <w:sz w:val="22"/>
          <w:szCs w:val="22"/>
        </w:rPr>
      </w:pPr>
      <w:r w:rsidRPr="00100B72">
        <w:rPr>
          <w:rFonts w:asciiTheme="minorHAnsi" w:hAnsiTheme="minorHAnsi" w:cstheme="minorHAnsi"/>
          <w:sz w:val="22"/>
          <w:szCs w:val="22"/>
        </w:rPr>
        <w:t xml:space="preserve">Maslow, A.H. (2015) </w:t>
      </w:r>
      <w:r w:rsidRPr="00100B72">
        <w:rPr>
          <w:rFonts w:asciiTheme="minorHAnsi" w:hAnsiTheme="minorHAnsi" w:cstheme="minorHAnsi"/>
          <w:i/>
          <w:iCs/>
          <w:sz w:val="22"/>
          <w:szCs w:val="22"/>
        </w:rPr>
        <w:t>A theory of human motivation</w:t>
      </w:r>
      <w:r w:rsidRPr="00100B72">
        <w:rPr>
          <w:rFonts w:asciiTheme="minorHAnsi" w:hAnsiTheme="minorHAnsi" w:cstheme="minorHAnsi"/>
          <w:sz w:val="22"/>
          <w:szCs w:val="22"/>
        </w:rPr>
        <w:t xml:space="preserve">. United Kingdom: BN publishing. </w:t>
      </w:r>
    </w:p>
    <w:p w14:paraId="2E05DBFA" w14:textId="77777777" w:rsidR="00DB526E" w:rsidRPr="00100B72" w:rsidRDefault="00DB526E" w:rsidP="00FB3C7E">
      <w:pPr>
        <w:spacing w:before="100" w:beforeAutospacing="1" w:after="100" w:afterAutospacing="1"/>
        <w:ind w:left="567" w:hanging="567"/>
        <w:rPr>
          <w:rFonts w:asciiTheme="minorHAnsi" w:hAnsiTheme="minorHAnsi" w:cstheme="minorHAnsi"/>
          <w:color w:val="000000"/>
          <w:sz w:val="22"/>
          <w:szCs w:val="22"/>
        </w:rPr>
      </w:pPr>
      <w:proofErr w:type="spellStart"/>
      <w:r w:rsidRPr="00100B72">
        <w:rPr>
          <w:rFonts w:asciiTheme="minorHAnsi" w:hAnsiTheme="minorHAnsi" w:cstheme="minorHAnsi"/>
          <w:color w:val="000000"/>
          <w:sz w:val="22"/>
          <w:szCs w:val="22"/>
        </w:rPr>
        <w:t>O'Donohue</w:t>
      </w:r>
      <w:proofErr w:type="spellEnd"/>
      <w:r w:rsidRPr="00100B72">
        <w:rPr>
          <w:rFonts w:asciiTheme="minorHAnsi" w:hAnsiTheme="minorHAnsi" w:cstheme="minorHAnsi"/>
          <w:color w:val="000000"/>
          <w:sz w:val="22"/>
          <w:szCs w:val="22"/>
        </w:rPr>
        <w:t>, W.T. and Ferguson, K.E. (2001) </w:t>
      </w:r>
      <w:r w:rsidRPr="00100B72">
        <w:rPr>
          <w:rFonts w:asciiTheme="minorHAnsi" w:hAnsiTheme="minorHAnsi" w:cstheme="minorHAnsi"/>
          <w:i/>
          <w:iCs/>
          <w:color w:val="000000"/>
          <w:sz w:val="22"/>
          <w:szCs w:val="22"/>
        </w:rPr>
        <w:t>The psychology of B.F. skinner</w:t>
      </w:r>
      <w:r w:rsidRPr="00100B72">
        <w:rPr>
          <w:rFonts w:asciiTheme="minorHAnsi" w:hAnsiTheme="minorHAnsi" w:cstheme="minorHAnsi"/>
          <w:color w:val="000000"/>
          <w:sz w:val="22"/>
          <w:szCs w:val="22"/>
        </w:rPr>
        <w:t xml:space="preserve">. </w:t>
      </w:r>
      <w:proofErr w:type="spellStart"/>
      <w:proofErr w:type="gramStart"/>
      <w:r w:rsidRPr="00100B72">
        <w:rPr>
          <w:rFonts w:asciiTheme="minorHAnsi" w:hAnsiTheme="minorHAnsi" w:cstheme="minorHAnsi"/>
          <w:color w:val="000000"/>
          <w:sz w:val="22"/>
          <w:szCs w:val="22"/>
        </w:rPr>
        <w:t>Thousands</w:t>
      </w:r>
      <w:proofErr w:type="spellEnd"/>
      <w:proofErr w:type="gramEnd"/>
      <w:r w:rsidRPr="00100B72">
        <w:rPr>
          <w:rFonts w:asciiTheme="minorHAnsi" w:hAnsiTheme="minorHAnsi" w:cstheme="minorHAnsi"/>
          <w:color w:val="000000"/>
          <w:sz w:val="22"/>
          <w:szCs w:val="22"/>
        </w:rPr>
        <w:t xml:space="preserve"> Oaks, CA: Sage. </w:t>
      </w:r>
    </w:p>
    <w:p w14:paraId="31D4CE6D" w14:textId="77777777" w:rsidR="00DB526E" w:rsidRPr="00100B72" w:rsidRDefault="00DB526E" w:rsidP="00FB3C7E">
      <w:pPr>
        <w:spacing w:before="100" w:beforeAutospacing="1" w:after="100" w:afterAutospacing="1"/>
        <w:ind w:left="567" w:hanging="567"/>
        <w:rPr>
          <w:rFonts w:asciiTheme="minorHAnsi" w:hAnsiTheme="minorHAnsi" w:cstheme="minorHAnsi"/>
          <w:sz w:val="22"/>
          <w:szCs w:val="22"/>
        </w:rPr>
      </w:pPr>
      <w:r w:rsidRPr="00100B72">
        <w:rPr>
          <w:rFonts w:asciiTheme="minorHAnsi" w:hAnsiTheme="minorHAnsi" w:cstheme="minorHAnsi"/>
          <w:i/>
          <w:iCs/>
          <w:sz w:val="22"/>
          <w:szCs w:val="22"/>
        </w:rPr>
        <w:lastRenderedPageBreak/>
        <w:t>Parental engagement</w:t>
      </w:r>
      <w:r w:rsidRPr="00100B72">
        <w:rPr>
          <w:rFonts w:asciiTheme="minorHAnsi" w:hAnsiTheme="minorHAnsi" w:cstheme="minorHAnsi"/>
          <w:sz w:val="22"/>
          <w:szCs w:val="22"/>
        </w:rPr>
        <w:t xml:space="preserve"> (no date) </w:t>
      </w:r>
      <w:r w:rsidRPr="00100B72">
        <w:rPr>
          <w:rFonts w:asciiTheme="minorHAnsi" w:hAnsiTheme="minorHAnsi" w:cstheme="minorHAnsi"/>
          <w:i/>
          <w:iCs/>
          <w:sz w:val="22"/>
          <w:szCs w:val="22"/>
        </w:rPr>
        <w:t>EEF</w:t>
      </w:r>
      <w:r w:rsidRPr="00100B72">
        <w:rPr>
          <w:rFonts w:asciiTheme="minorHAnsi" w:hAnsiTheme="minorHAnsi" w:cstheme="minorHAnsi"/>
          <w:sz w:val="22"/>
          <w:szCs w:val="22"/>
        </w:rPr>
        <w:t xml:space="preserve">. Available at: </w:t>
      </w:r>
      <w:hyperlink r:id="rId15" w:history="1">
        <w:r w:rsidRPr="00100B72">
          <w:rPr>
            <w:rStyle w:val="Hyperlink"/>
            <w:rFonts w:asciiTheme="minorHAnsi" w:hAnsiTheme="minorHAnsi" w:cstheme="minorHAnsi"/>
            <w:sz w:val="22"/>
            <w:szCs w:val="22"/>
          </w:rPr>
          <w:t>https://educationendowmentfoundation.org.uk/education-evidence/teaching-learning-toolkit/parental-engagement</w:t>
        </w:r>
      </w:hyperlink>
      <w:r w:rsidRPr="00100B72">
        <w:rPr>
          <w:rFonts w:asciiTheme="minorHAnsi" w:hAnsiTheme="minorHAnsi" w:cstheme="minorHAnsi"/>
          <w:sz w:val="22"/>
          <w:szCs w:val="22"/>
        </w:rPr>
        <w:t xml:space="preserve">  (Accessed: November 7, 2022). </w:t>
      </w:r>
    </w:p>
    <w:p w14:paraId="4C0005D0" w14:textId="77777777" w:rsidR="00DB526E" w:rsidRPr="00100B72" w:rsidRDefault="00DB526E" w:rsidP="00FB3C7E">
      <w:pPr>
        <w:spacing w:before="100" w:beforeAutospacing="1" w:after="100" w:afterAutospacing="1"/>
        <w:ind w:left="567" w:hanging="567"/>
        <w:rPr>
          <w:rFonts w:asciiTheme="minorHAnsi" w:hAnsiTheme="minorHAnsi" w:cstheme="minorHAnsi"/>
          <w:color w:val="05103E"/>
          <w:sz w:val="22"/>
          <w:szCs w:val="22"/>
          <w:shd w:val="clear" w:color="auto" w:fill="FFFFFF"/>
        </w:rPr>
      </w:pPr>
      <w:r w:rsidRPr="00100B72">
        <w:rPr>
          <w:rFonts w:asciiTheme="minorHAnsi" w:hAnsiTheme="minorHAnsi" w:cstheme="minorHAnsi"/>
          <w:color w:val="05103E"/>
          <w:sz w:val="22"/>
          <w:szCs w:val="22"/>
          <w:shd w:val="clear" w:color="auto" w:fill="FFFFFF"/>
        </w:rPr>
        <w:t>Perry-Jenkins, M. </w:t>
      </w:r>
      <w:r w:rsidRPr="00100B72">
        <w:rPr>
          <w:rFonts w:asciiTheme="minorHAnsi" w:hAnsiTheme="minorHAnsi" w:cstheme="minorHAnsi"/>
          <w:i/>
          <w:iCs/>
          <w:color w:val="05103E"/>
          <w:sz w:val="22"/>
          <w:szCs w:val="22"/>
          <w:bdr w:val="single" w:sz="2" w:space="0" w:color="ECEDEE" w:frame="1"/>
          <w:shd w:val="clear" w:color="auto" w:fill="FFFFFF"/>
        </w:rPr>
        <w:t>et al.</w:t>
      </w:r>
      <w:r w:rsidRPr="00100B72">
        <w:rPr>
          <w:rFonts w:asciiTheme="minorHAnsi" w:hAnsiTheme="minorHAnsi" w:cstheme="minorHAnsi"/>
          <w:color w:val="05103E"/>
          <w:sz w:val="22"/>
          <w:szCs w:val="22"/>
          <w:shd w:val="clear" w:color="auto" w:fill="FFFFFF"/>
        </w:rPr>
        <w:t> (2020) ‘Parents’ work and children’s development: A longitudinal investigation of working-class families.’, </w:t>
      </w:r>
      <w:r w:rsidRPr="00100B72">
        <w:rPr>
          <w:rFonts w:asciiTheme="minorHAnsi" w:hAnsiTheme="minorHAnsi" w:cstheme="minorHAnsi"/>
          <w:i/>
          <w:iCs/>
          <w:color w:val="05103E"/>
          <w:sz w:val="22"/>
          <w:szCs w:val="22"/>
          <w:bdr w:val="single" w:sz="2" w:space="0" w:color="ECEDEE" w:frame="1"/>
          <w:shd w:val="clear" w:color="auto" w:fill="FFFFFF"/>
        </w:rPr>
        <w:t>Journal of Family Psychology</w:t>
      </w:r>
      <w:r w:rsidRPr="00100B72">
        <w:rPr>
          <w:rFonts w:asciiTheme="minorHAnsi" w:hAnsiTheme="minorHAnsi" w:cstheme="minorHAnsi"/>
          <w:color w:val="05103E"/>
          <w:sz w:val="22"/>
          <w:szCs w:val="22"/>
          <w:shd w:val="clear" w:color="auto" w:fill="FFFFFF"/>
        </w:rPr>
        <w:t>, 34(3), pp. 257–268. Available at: </w:t>
      </w:r>
      <w:hyperlink r:id="rId16" w:history="1">
        <w:r w:rsidRPr="00100B72">
          <w:rPr>
            <w:rStyle w:val="Hyperlink"/>
            <w:rFonts w:asciiTheme="minorHAnsi" w:hAnsiTheme="minorHAnsi" w:cstheme="minorHAnsi"/>
            <w:sz w:val="22"/>
            <w:szCs w:val="22"/>
            <w:bdr w:val="single" w:sz="2" w:space="0" w:color="ECEDEE" w:frame="1"/>
            <w:shd w:val="clear" w:color="auto" w:fill="FFFFFF"/>
          </w:rPr>
          <w:t>https://doi.org/10.1037/fam0000580</w:t>
        </w:r>
      </w:hyperlink>
      <w:r w:rsidRPr="00100B72">
        <w:rPr>
          <w:rFonts w:asciiTheme="minorHAnsi" w:hAnsiTheme="minorHAnsi" w:cstheme="minorHAnsi"/>
          <w:color w:val="05103E"/>
          <w:sz w:val="22"/>
          <w:szCs w:val="22"/>
          <w:shd w:val="clear" w:color="auto" w:fill="FFFFFF"/>
        </w:rPr>
        <w:t xml:space="preserve">. </w:t>
      </w:r>
      <w:r w:rsidRPr="00100B72">
        <w:rPr>
          <w:rFonts w:asciiTheme="minorHAnsi" w:hAnsiTheme="minorHAnsi" w:cstheme="minorHAnsi"/>
          <w:color w:val="000000"/>
          <w:sz w:val="22"/>
          <w:szCs w:val="22"/>
        </w:rPr>
        <w:t>(Accessed: November 10, 2022). </w:t>
      </w:r>
    </w:p>
    <w:p w14:paraId="37EBCAB7" w14:textId="77777777" w:rsidR="00DB526E" w:rsidRPr="00100B72" w:rsidRDefault="00DB526E" w:rsidP="00645268">
      <w:pPr>
        <w:spacing w:before="100" w:beforeAutospacing="1" w:after="100" w:afterAutospacing="1"/>
        <w:ind w:left="567" w:hanging="567"/>
        <w:rPr>
          <w:rFonts w:asciiTheme="minorHAnsi" w:hAnsiTheme="minorHAnsi" w:cstheme="minorHAnsi"/>
          <w:color w:val="000000"/>
          <w:sz w:val="22"/>
          <w:szCs w:val="22"/>
        </w:rPr>
      </w:pPr>
      <w:r w:rsidRPr="00100B72">
        <w:rPr>
          <w:rFonts w:asciiTheme="minorHAnsi" w:hAnsiTheme="minorHAnsi" w:cstheme="minorHAnsi"/>
          <w:color w:val="000000"/>
          <w:sz w:val="22"/>
          <w:szCs w:val="22"/>
        </w:rPr>
        <w:t>Phillips, D. and Shonkoff, J.P. (2000) </w:t>
      </w:r>
      <w:r w:rsidRPr="00100B72">
        <w:rPr>
          <w:rFonts w:asciiTheme="minorHAnsi" w:hAnsiTheme="minorHAnsi" w:cstheme="minorHAnsi"/>
          <w:i/>
          <w:iCs/>
          <w:color w:val="000000"/>
          <w:sz w:val="22"/>
          <w:szCs w:val="22"/>
        </w:rPr>
        <w:t xml:space="preserve">From neurons to </w:t>
      </w:r>
      <w:proofErr w:type="spellStart"/>
      <w:r w:rsidRPr="00100B72">
        <w:rPr>
          <w:rFonts w:asciiTheme="minorHAnsi" w:hAnsiTheme="minorHAnsi" w:cstheme="minorHAnsi"/>
          <w:i/>
          <w:iCs/>
          <w:color w:val="000000"/>
          <w:sz w:val="22"/>
          <w:szCs w:val="22"/>
        </w:rPr>
        <w:t>neighborhoods</w:t>
      </w:r>
      <w:proofErr w:type="spellEnd"/>
      <w:r w:rsidRPr="00100B72">
        <w:rPr>
          <w:rFonts w:asciiTheme="minorHAnsi" w:hAnsiTheme="minorHAnsi" w:cstheme="minorHAnsi"/>
          <w:i/>
          <w:iCs/>
          <w:color w:val="000000"/>
          <w:sz w:val="22"/>
          <w:szCs w:val="22"/>
        </w:rPr>
        <w:t>: The science of early childhood development</w:t>
      </w:r>
      <w:r w:rsidRPr="00100B72">
        <w:rPr>
          <w:rFonts w:asciiTheme="minorHAnsi" w:hAnsiTheme="minorHAnsi" w:cstheme="minorHAnsi"/>
          <w:color w:val="000000"/>
          <w:sz w:val="22"/>
          <w:szCs w:val="22"/>
        </w:rPr>
        <w:t>, </w:t>
      </w:r>
      <w:r w:rsidRPr="00100B72">
        <w:rPr>
          <w:rFonts w:asciiTheme="minorHAnsi" w:hAnsiTheme="minorHAnsi" w:cstheme="minorHAnsi"/>
          <w:i/>
          <w:iCs/>
          <w:color w:val="000000"/>
          <w:sz w:val="22"/>
          <w:szCs w:val="22"/>
        </w:rPr>
        <w:t xml:space="preserve">National Library of </w:t>
      </w:r>
      <w:proofErr w:type="gramStart"/>
      <w:r w:rsidRPr="00100B72">
        <w:rPr>
          <w:rFonts w:asciiTheme="minorHAnsi" w:hAnsiTheme="minorHAnsi" w:cstheme="minorHAnsi"/>
          <w:i/>
          <w:iCs/>
          <w:color w:val="000000"/>
          <w:sz w:val="22"/>
          <w:szCs w:val="22"/>
        </w:rPr>
        <w:t>Medicine </w:t>
      </w:r>
      <w:r w:rsidRPr="00100B72">
        <w:rPr>
          <w:rFonts w:asciiTheme="minorHAnsi" w:hAnsiTheme="minorHAnsi" w:cstheme="minorHAnsi"/>
          <w:color w:val="000000"/>
          <w:sz w:val="22"/>
          <w:szCs w:val="22"/>
        </w:rPr>
        <w:t>.</w:t>
      </w:r>
      <w:proofErr w:type="gramEnd"/>
      <w:r w:rsidRPr="00100B72">
        <w:rPr>
          <w:rFonts w:asciiTheme="minorHAnsi" w:hAnsiTheme="minorHAnsi" w:cstheme="minorHAnsi"/>
          <w:color w:val="000000"/>
          <w:sz w:val="22"/>
          <w:szCs w:val="22"/>
        </w:rPr>
        <w:t xml:space="preserve"> Washington, D.C: National Academies Press. Available at: https://www.ncbi.nlm.nih.gov/books/NBK225557/ (Accessed: November 10, 2022). </w:t>
      </w:r>
    </w:p>
    <w:p w14:paraId="6BCC9343" w14:textId="77777777" w:rsidR="00DB526E" w:rsidRPr="00100B72" w:rsidRDefault="00DB526E" w:rsidP="00FB3C7E">
      <w:pPr>
        <w:rPr>
          <w:rStyle w:val="apple-converted-space"/>
          <w:rFonts w:asciiTheme="minorHAnsi" w:hAnsiTheme="minorHAnsi" w:cstheme="minorHAnsi"/>
          <w:color w:val="000000"/>
          <w:sz w:val="22"/>
          <w:szCs w:val="22"/>
        </w:rPr>
      </w:pPr>
      <w:r w:rsidRPr="00100B72">
        <w:rPr>
          <w:rFonts w:asciiTheme="minorHAnsi" w:hAnsiTheme="minorHAnsi" w:cstheme="minorHAnsi"/>
          <w:color w:val="000000"/>
          <w:sz w:val="22"/>
          <w:szCs w:val="22"/>
        </w:rPr>
        <w:t>Rose, J., Gilbert, L. and Richards, V. (2016)</w:t>
      </w:r>
      <w:r w:rsidRPr="00100B72">
        <w:rPr>
          <w:rStyle w:val="apple-converted-space"/>
          <w:rFonts w:asciiTheme="minorHAnsi" w:hAnsiTheme="minorHAnsi" w:cstheme="minorHAnsi"/>
          <w:color w:val="000000"/>
          <w:sz w:val="22"/>
          <w:szCs w:val="22"/>
        </w:rPr>
        <w:t> </w:t>
      </w:r>
      <w:r w:rsidRPr="00100B72">
        <w:rPr>
          <w:rFonts w:asciiTheme="minorHAnsi" w:hAnsiTheme="minorHAnsi" w:cstheme="minorHAnsi"/>
          <w:i/>
          <w:iCs/>
          <w:color w:val="000000"/>
          <w:sz w:val="22"/>
          <w:szCs w:val="22"/>
        </w:rPr>
        <w:t>Health and well-being in early childhood</w:t>
      </w:r>
      <w:r w:rsidRPr="00100B72">
        <w:rPr>
          <w:rFonts w:asciiTheme="minorHAnsi" w:hAnsiTheme="minorHAnsi" w:cstheme="minorHAnsi"/>
          <w:color w:val="000000"/>
          <w:sz w:val="22"/>
          <w:szCs w:val="22"/>
        </w:rPr>
        <w:t>. Los Angeles: SAGE.</w:t>
      </w:r>
      <w:r w:rsidRPr="00100B72">
        <w:rPr>
          <w:rStyle w:val="apple-converted-space"/>
          <w:rFonts w:asciiTheme="minorHAnsi" w:hAnsiTheme="minorHAnsi" w:cstheme="minorHAnsi"/>
          <w:color w:val="000000"/>
          <w:sz w:val="22"/>
          <w:szCs w:val="22"/>
        </w:rPr>
        <w:t> </w:t>
      </w:r>
    </w:p>
    <w:p w14:paraId="223A67CE" w14:textId="77777777" w:rsidR="00DB526E" w:rsidRPr="00100B72" w:rsidRDefault="00DB526E" w:rsidP="00FB3C7E">
      <w:pPr>
        <w:pStyle w:val="NormalWeb"/>
        <w:ind w:left="567" w:hanging="567"/>
        <w:rPr>
          <w:rFonts w:asciiTheme="minorHAnsi" w:hAnsiTheme="minorHAnsi" w:cstheme="minorHAnsi"/>
          <w:sz w:val="22"/>
          <w:szCs w:val="22"/>
        </w:rPr>
      </w:pPr>
      <w:r w:rsidRPr="00100B72">
        <w:rPr>
          <w:rFonts w:asciiTheme="minorHAnsi" w:hAnsiTheme="minorHAnsi" w:cstheme="minorHAnsi"/>
          <w:i/>
          <w:iCs/>
          <w:sz w:val="22"/>
          <w:szCs w:val="22"/>
        </w:rPr>
        <w:t>School policies</w:t>
      </w:r>
      <w:r w:rsidRPr="00100B72">
        <w:rPr>
          <w:rFonts w:asciiTheme="minorHAnsi" w:hAnsiTheme="minorHAnsi" w:cstheme="minorHAnsi"/>
          <w:sz w:val="22"/>
          <w:szCs w:val="22"/>
        </w:rPr>
        <w:t xml:space="preserve"> (no date</w:t>
      </w:r>
      <w:r w:rsidRPr="00100B72">
        <w:rPr>
          <w:rFonts w:asciiTheme="minorHAnsi" w:hAnsiTheme="minorHAnsi" w:cstheme="minorHAnsi"/>
          <w:sz w:val="22"/>
          <w:szCs w:val="22"/>
          <w:highlight w:val="black"/>
        </w:rPr>
        <w:t xml:space="preserve">) </w:t>
      </w:r>
      <w:proofErr w:type="spellStart"/>
      <w:r w:rsidRPr="00100B72">
        <w:rPr>
          <w:rFonts w:asciiTheme="minorHAnsi" w:hAnsiTheme="minorHAnsi" w:cstheme="minorHAnsi"/>
          <w:i/>
          <w:iCs/>
          <w:sz w:val="22"/>
          <w:szCs w:val="22"/>
          <w:highlight w:val="black"/>
        </w:rPr>
        <w:t>cadoxtonprimary</w:t>
      </w:r>
      <w:proofErr w:type="spellEnd"/>
      <w:r w:rsidRPr="00100B72">
        <w:rPr>
          <w:rFonts w:asciiTheme="minorHAnsi" w:hAnsiTheme="minorHAnsi" w:cstheme="minorHAnsi"/>
          <w:sz w:val="22"/>
          <w:szCs w:val="22"/>
        </w:rPr>
        <w:t>. Available at: https://www.</w:t>
      </w:r>
      <w:r w:rsidRPr="00100B72">
        <w:rPr>
          <w:rFonts w:asciiTheme="minorHAnsi" w:hAnsiTheme="minorHAnsi" w:cstheme="minorHAnsi"/>
          <w:sz w:val="22"/>
          <w:szCs w:val="22"/>
          <w:highlight w:val="black"/>
        </w:rPr>
        <w:t>cxdoxtonprimaryschool.com</w:t>
      </w:r>
      <w:r w:rsidRPr="00100B72">
        <w:rPr>
          <w:rFonts w:asciiTheme="minorHAnsi" w:hAnsiTheme="minorHAnsi" w:cstheme="minorHAnsi"/>
          <w:sz w:val="22"/>
          <w:szCs w:val="22"/>
        </w:rPr>
        <w:t xml:space="preserve">/schoolpolicies (Accessed: November 6, 2022). </w:t>
      </w:r>
    </w:p>
    <w:p w14:paraId="35AD040E" w14:textId="77777777" w:rsidR="00DB526E" w:rsidRPr="00100B72" w:rsidRDefault="00DB526E" w:rsidP="00FB3C7E">
      <w:pPr>
        <w:rPr>
          <w:rFonts w:asciiTheme="minorHAnsi" w:hAnsiTheme="minorHAnsi" w:cstheme="minorHAnsi"/>
          <w:color w:val="000000"/>
          <w:sz w:val="22"/>
          <w:szCs w:val="22"/>
        </w:rPr>
      </w:pPr>
      <w:r w:rsidRPr="00100B72">
        <w:rPr>
          <w:rFonts w:asciiTheme="minorHAnsi" w:hAnsiTheme="minorHAnsi" w:cstheme="minorHAnsi"/>
          <w:color w:val="212121"/>
          <w:sz w:val="22"/>
          <w:szCs w:val="22"/>
          <w:shd w:val="clear" w:color="auto" w:fill="FFFFFF"/>
        </w:rPr>
        <w:t xml:space="preserve">Scott HK, Jain A, Cogburn M. </w:t>
      </w:r>
      <w:proofErr w:type="spellStart"/>
      <w:r w:rsidRPr="00100B72">
        <w:rPr>
          <w:rFonts w:asciiTheme="minorHAnsi" w:hAnsiTheme="minorHAnsi" w:cstheme="minorHAnsi"/>
          <w:color w:val="212121"/>
          <w:sz w:val="22"/>
          <w:szCs w:val="22"/>
          <w:shd w:val="clear" w:color="auto" w:fill="FFFFFF"/>
        </w:rPr>
        <w:t>Behavior</w:t>
      </w:r>
      <w:proofErr w:type="spellEnd"/>
      <w:r w:rsidRPr="00100B72">
        <w:rPr>
          <w:rFonts w:asciiTheme="minorHAnsi" w:hAnsiTheme="minorHAnsi" w:cstheme="minorHAnsi"/>
          <w:color w:val="212121"/>
          <w:sz w:val="22"/>
          <w:szCs w:val="22"/>
          <w:shd w:val="clear" w:color="auto" w:fill="FFFFFF"/>
        </w:rPr>
        <w:t xml:space="preserve"> Modification. 2022 Jul 11. In: </w:t>
      </w:r>
      <w:proofErr w:type="spellStart"/>
      <w:r w:rsidRPr="00100B72">
        <w:rPr>
          <w:rFonts w:asciiTheme="minorHAnsi" w:hAnsiTheme="minorHAnsi" w:cstheme="minorHAnsi"/>
          <w:color w:val="212121"/>
          <w:sz w:val="22"/>
          <w:szCs w:val="22"/>
          <w:shd w:val="clear" w:color="auto" w:fill="FFFFFF"/>
        </w:rPr>
        <w:t>StatPearls</w:t>
      </w:r>
      <w:proofErr w:type="spellEnd"/>
      <w:r w:rsidRPr="00100B72">
        <w:rPr>
          <w:rFonts w:asciiTheme="minorHAnsi" w:hAnsiTheme="minorHAnsi" w:cstheme="minorHAnsi"/>
          <w:color w:val="212121"/>
          <w:sz w:val="22"/>
          <w:szCs w:val="22"/>
          <w:shd w:val="clear" w:color="auto" w:fill="FFFFFF"/>
        </w:rPr>
        <w:t xml:space="preserve"> [Internet]. Treasure Island (FL): </w:t>
      </w:r>
      <w:proofErr w:type="spellStart"/>
      <w:r w:rsidRPr="00100B72">
        <w:rPr>
          <w:rFonts w:asciiTheme="minorHAnsi" w:hAnsiTheme="minorHAnsi" w:cstheme="minorHAnsi"/>
          <w:color w:val="212121"/>
          <w:sz w:val="22"/>
          <w:szCs w:val="22"/>
          <w:shd w:val="clear" w:color="auto" w:fill="FFFFFF"/>
        </w:rPr>
        <w:t>StatPearls</w:t>
      </w:r>
      <w:proofErr w:type="spellEnd"/>
      <w:r w:rsidRPr="00100B72">
        <w:rPr>
          <w:rFonts w:asciiTheme="minorHAnsi" w:hAnsiTheme="minorHAnsi" w:cstheme="minorHAnsi"/>
          <w:color w:val="212121"/>
          <w:sz w:val="22"/>
          <w:szCs w:val="22"/>
          <w:shd w:val="clear" w:color="auto" w:fill="FFFFFF"/>
        </w:rPr>
        <w:t xml:space="preserve"> Publishing; 2022 Jan–. PMID: 29083709. </w:t>
      </w:r>
      <w:r w:rsidRPr="00100B72">
        <w:rPr>
          <w:rFonts w:asciiTheme="minorHAnsi" w:hAnsiTheme="minorHAnsi" w:cstheme="minorHAnsi"/>
          <w:color w:val="000000"/>
          <w:sz w:val="22"/>
          <w:szCs w:val="22"/>
        </w:rPr>
        <w:t>(Accessed: November 10, 2022). </w:t>
      </w:r>
    </w:p>
    <w:p w14:paraId="49816C18" w14:textId="77777777" w:rsidR="00DB526E" w:rsidRPr="00100B72" w:rsidRDefault="00DB526E" w:rsidP="00FB3C7E">
      <w:pPr>
        <w:spacing w:before="100" w:beforeAutospacing="1" w:after="100" w:afterAutospacing="1"/>
        <w:ind w:left="567" w:hanging="567"/>
        <w:rPr>
          <w:rFonts w:asciiTheme="minorHAnsi" w:hAnsiTheme="minorHAnsi" w:cstheme="minorHAnsi"/>
          <w:color w:val="05103E"/>
          <w:sz w:val="22"/>
          <w:szCs w:val="22"/>
          <w:shd w:val="clear" w:color="auto" w:fill="FFFFFF"/>
        </w:rPr>
      </w:pPr>
      <w:proofErr w:type="spellStart"/>
      <w:r w:rsidRPr="00100B72">
        <w:rPr>
          <w:rFonts w:asciiTheme="minorHAnsi" w:hAnsiTheme="minorHAnsi" w:cstheme="minorHAnsi"/>
          <w:color w:val="05103E"/>
          <w:sz w:val="22"/>
          <w:szCs w:val="22"/>
          <w:shd w:val="clear" w:color="auto" w:fill="FFFFFF"/>
        </w:rPr>
        <w:t>Semke</w:t>
      </w:r>
      <w:proofErr w:type="spellEnd"/>
      <w:r w:rsidRPr="00100B72">
        <w:rPr>
          <w:rFonts w:asciiTheme="minorHAnsi" w:hAnsiTheme="minorHAnsi" w:cstheme="minorHAnsi"/>
          <w:color w:val="05103E"/>
          <w:sz w:val="22"/>
          <w:szCs w:val="22"/>
          <w:shd w:val="clear" w:color="auto" w:fill="FFFFFF"/>
        </w:rPr>
        <w:t>, C.A. </w:t>
      </w:r>
      <w:r w:rsidRPr="00100B72">
        <w:rPr>
          <w:rFonts w:asciiTheme="minorHAnsi" w:hAnsiTheme="minorHAnsi" w:cstheme="minorHAnsi"/>
          <w:i/>
          <w:iCs/>
          <w:color w:val="05103E"/>
          <w:sz w:val="22"/>
          <w:szCs w:val="22"/>
          <w:bdr w:val="single" w:sz="2" w:space="0" w:color="ECEDEE" w:frame="1"/>
          <w:shd w:val="clear" w:color="auto" w:fill="FFFFFF"/>
        </w:rPr>
        <w:t>et al.</w:t>
      </w:r>
      <w:r w:rsidRPr="00100B72">
        <w:rPr>
          <w:rFonts w:asciiTheme="minorHAnsi" w:hAnsiTheme="minorHAnsi" w:cstheme="minorHAnsi"/>
          <w:color w:val="05103E"/>
          <w:sz w:val="22"/>
          <w:szCs w:val="22"/>
          <w:shd w:val="clear" w:color="auto" w:fill="FFFFFF"/>
        </w:rPr>
        <w:t xml:space="preserve"> (2010) ‘Family involvement for children with disruptive </w:t>
      </w:r>
      <w:proofErr w:type="spellStart"/>
      <w:r w:rsidRPr="00100B72">
        <w:rPr>
          <w:rFonts w:asciiTheme="minorHAnsi" w:hAnsiTheme="minorHAnsi" w:cstheme="minorHAnsi"/>
          <w:color w:val="05103E"/>
          <w:sz w:val="22"/>
          <w:szCs w:val="22"/>
          <w:shd w:val="clear" w:color="auto" w:fill="FFFFFF"/>
        </w:rPr>
        <w:t>behaviors</w:t>
      </w:r>
      <w:proofErr w:type="spellEnd"/>
      <w:r w:rsidRPr="00100B72">
        <w:rPr>
          <w:rFonts w:asciiTheme="minorHAnsi" w:hAnsiTheme="minorHAnsi" w:cstheme="minorHAnsi"/>
          <w:color w:val="05103E"/>
          <w:sz w:val="22"/>
          <w:szCs w:val="22"/>
          <w:shd w:val="clear" w:color="auto" w:fill="FFFFFF"/>
        </w:rPr>
        <w:t>: The role of parenting stress and motivational beliefs’, </w:t>
      </w:r>
      <w:r w:rsidRPr="00100B72">
        <w:rPr>
          <w:rFonts w:asciiTheme="minorHAnsi" w:hAnsiTheme="minorHAnsi" w:cstheme="minorHAnsi"/>
          <w:i/>
          <w:iCs/>
          <w:color w:val="05103E"/>
          <w:sz w:val="22"/>
          <w:szCs w:val="22"/>
          <w:bdr w:val="single" w:sz="2" w:space="0" w:color="ECEDEE" w:frame="1"/>
          <w:shd w:val="clear" w:color="auto" w:fill="FFFFFF"/>
        </w:rPr>
        <w:t>Journal of School Psychology</w:t>
      </w:r>
      <w:r w:rsidRPr="00100B72">
        <w:rPr>
          <w:rFonts w:asciiTheme="minorHAnsi" w:hAnsiTheme="minorHAnsi" w:cstheme="minorHAnsi"/>
          <w:color w:val="05103E"/>
          <w:sz w:val="22"/>
          <w:szCs w:val="22"/>
          <w:shd w:val="clear" w:color="auto" w:fill="FFFFFF"/>
        </w:rPr>
        <w:t>, 48(4), pp. 293–312. Available at: </w:t>
      </w:r>
      <w:hyperlink r:id="rId17" w:history="1">
        <w:r w:rsidRPr="00100B72">
          <w:rPr>
            <w:rStyle w:val="Hyperlink"/>
            <w:rFonts w:asciiTheme="minorHAnsi" w:hAnsiTheme="minorHAnsi" w:cstheme="minorHAnsi"/>
            <w:sz w:val="22"/>
            <w:szCs w:val="22"/>
            <w:bdr w:val="single" w:sz="2" w:space="0" w:color="ECEDEE" w:frame="1"/>
            <w:shd w:val="clear" w:color="auto" w:fill="FFFFFF"/>
          </w:rPr>
          <w:t>https://doi.org/10.1016/j.jsp.2010.04.001</w:t>
        </w:r>
      </w:hyperlink>
      <w:r w:rsidRPr="00100B72">
        <w:rPr>
          <w:rFonts w:asciiTheme="minorHAnsi" w:hAnsiTheme="minorHAnsi" w:cstheme="minorHAnsi"/>
          <w:color w:val="05103E"/>
          <w:sz w:val="22"/>
          <w:szCs w:val="22"/>
          <w:shd w:val="clear" w:color="auto" w:fill="FFFFFF"/>
        </w:rPr>
        <w:t>.</w:t>
      </w:r>
    </w:p>
    <w:p w14:paraId="051CBADA" w14:textId="77777777" w:rsidR="00DB526E" w:rsidRPr="00100B72" w:rsidRDefault="00DB526E" w:rsidP="00FB3C7E">
      <w:pPr>
        <w:rPr>
          <w:rFonts w:asciiTheme="minorHAnsi" w:hAnsiTheme="minorHAnsi" w:cstheme="minorHAnsi"/>
          <w:color w:val="212121"/>
          <w:sz w:val="22"/>
          <w:szCs w:val="22"/>
          <w:shd w:val="clear" w:color="auto" w:fill="FFFFFF"/>
        </w:rPr>
      </w:pPr>
      <w:r w:rsidRPr="00100B72">
        <w:rPr>
          <w:rFonts w:asciiTheme="minorHAnsi" w:hAnsiTheme="minorHAnsi" w:cstheme="minorHAnsi"/>
          <w:color w:val="05103E"/>
          <w:sz w:val="22"/>
          <w:szCs w:val="22"/>
          <w:shd w:val="clear" w:color="auto" w:fill="FFFFFF"/>
        </w:rPr>
        <w:t>Shelton (2008) </w:t>
      </w:r>
      <w:r w:rsidRPr="00100B72">
        <w:rPr>
          <w:rFonts w:asciiTheme="minorHAnsi" w:hAnsiTheme="minorHAnsi" w:cstheme="minorHAnsi"/>
          <w:i/>
          <w:iCs/>
          <w:color w:val="05103E"/>
          <w:sz w:val="22"/>
          <w:szCs w:val="22"/>
          <w:bdr w:val="single" w:sz="2" w:space="0" w:color="ECEDEE" w:frame="1"/>
          <w:shd w:val="clear" w:color="auto" w:fill="FFFFFF"/>
        </w:rPr>
        <w:t>Effective behaviour management in the primary classroom</w:t>
      </w:r>
      <w:r w:rsidRPr="00100B72">
        <w:rPr>
          <w:rFonts w:asciiTheme="minorHAnsi" w:hAnsiTheme="minorHAnsi" w:cstheme="minorHAnsi"/>
          <w:color w:val="05103E"/>
          <w:sz w:val="22"/>
          <w:szCs w:val="22"/>
          <w:shd w:val="clear" w:color="auto" w:fill="FFFFFF"/>
        </w:rPr>
        <w:t xml:space="preserve">. 1st </w:t>
      </w:r>
      <w:proofErr w:type="spellStart"/>
      <w:r w:rsidRPr="00100B72">
        <w:rPr>
          <w:rFonts w:asciiTheme="minorHAnsi" w:hAnsiTheme="minorHAnsi" w:cstheme="minorHAnsi"/>
          <w:color w:val="05103E"/>
          <w:sz w:val="22"/>
          <w:szCs w:val="22"/>
          <w:shd w:val="clear" w:color="auto" w:fill="FFFFFF"/>
        </w:rPr>
        <w:t>edn</w:t>
      </w:r>
      <w:proofErr w:type="spellEnd"/>
      <w:r w:rsidRPr="00100B72">
        <w:rPr>
          <w:rFonts w:asciiTheme="minorHAnsi" w:hAnsiTheme="minorHAnsi" w:cstheme="minorHAnsi"/>
          <w:color w:val="05103E"/>
          <w:sz w:val="22"/>
          <w:szCs w:val="22"/>
          <w:shd w:val="clear" w:color="auto" w:fill="FFFFFF"/>
        </w:rPr>
        <w:t>. Open University Press.</w:t>
      </w:r>
    </w:p>
    <w:p w14:paraId="3A38E06A" w14:textId="77777777" w:rsidR="00DB526E" w:rsidRPr="00100B72" w:rsidRDefault="00DB526E" w:rsidP="00FB3C7E">
      <w:pPr>
        <w:pStyle w:val="NormalWeb"/>
        <w:ind w:left="567" w:hanging="567"/>
        <w:rPr>
          <w:rFonts w:asciiTheme="minorHAnsi" w:hAnsiTheme="minorHAnsi" w:cstheme="minorHAnsi"/>
          <w:color w:val="000000"/>
          <w:sz w:val="22"/>
          <w:szCs w:val="22"/>
        </w:rPr>
      </w:pPr>
      <w:r w:rsidRPr="00100B72">
        <w:rPr>
          <w:rFonts w:asciiTheme="minorHAnsi" w:hAnsiTheme="minorHAnsi" w:cstheme="minorHAnsi"/>
          <w:color w:val="000000"/>
          <w:sz w:val="22"/>
          <w:szCs w:val="22"/>
        </w:rPr>
        <w:t>Shetty, P. (2003) “Malnutrition and undernutrition,”</w:t>
      </w:r>
      <w:r w:rsidRPr="00100B72">
        <w:rPr>
          <w:rStyle w:val="apple-converted-space"/>
          <w:rFonts w:asciiTheme="minorHAnsi" w:hAnsiTheme="minorHAnsi" w:cstheme="minorHAnsi"/>
          <w:color w:val="000000"/>
          <w:sz w:val="22"/>
          <w:szCs w:val="22"/>
        </w:rPr>
        <w:t> </w:t>
      </w:r>
      <w:r w:rsidRPr="00100B72">
        <w:rPr>
          <w:rFonts w:asciiTheme="minorHAnsi" w:hAnsiTheme="minorHAnsi" w:cstheme="minorHAnsi"/>
          <w:i/>
          <w:iCs/>
          <w:color w:val="000000"/>
          <w:sz w:val="22"/>
          <w:szCs w:val="22"/>
        </w:rPr>
        <w:t>Medicine</w:t>
      </w:r>
      <w:r w:rsidRPr="00100B72">
        <w:rPr>
          <w:rFonts w:asciiTheme="minorHAnsi" w:hAnsiTheme="minorHAnsi" w:cstheme="minorHAnsi"/>
          <w:color w:val="000000"/>
          <w:sz w:val="22"/>
          <w:szCs w:val="22"/>
        </w:rPr>
        <w:t xml:space="preserve">, 31(4), pp. 18–22. Available at: </w:t>
      </w:r>
      <w:hyperlink r:id="rId18" w:history="1">
        <w:r w:rsidRPr="00100B72">
          <w:rPr>
            <w:rStyle w:val="Hyperlink"/>
            <w:rFonts w:asciiTheme="minorHAnsi" w:hAnsiTheme="minorHAnsi" w:cstheme="minorHAnsi"/>
            <w:sz w:val="22"/>
            <w:szCs w:val="22"/>
          </w:rPr>
          <w:t>https://doi.org/10.1383/medc.31.4.18.27958</w:t>
        </w:r>
      </w:hyperlink>
      <w:r w:rsidRPr="00100B72">
        <w:rPr>
          <w:rFonts w:asciiTheme="minorHAnsi" w:hAnsiTheme="minorHAnsi" w:cstheme="minorHAnsi"/>
          <w:color w:val="000000"/>
          <w:sz w:val="22"/>
          <w:szCs w:val="22"/>
        </w:rPr>
        <w:t xml:space="preserve"> .</w:t>
      </w:r>
    </w:p>
    <w:p w14:paraId="33060439" w14:textId="77777777" w:rsidR="00DB526E" w:rsidRPr="00100B72" w:rsidRDefault="00DB526E" w:rsidP="00FB3C7E">
      <w:pPr>
        <w:spacing w:before="100" w:beforeAutospacing="1" w:after="100" w:afterAutospacing="1"/>
        <w:ind w:left="567" w:hanging="567"/>
        <w:rPr>
          <w:rFonts w:asciiTheme="minorHAnsi" w:hAnsiTheme="minorHAnsi" w:cstheme="minorHAnsi"/>
          <w:color w:val="05103E"/>
          <w:sz w:val="22"/>
          <w:szCs w:val="22"/>
          <w:shd w:val="clear" w:color="auto" w:fill="FFFFFF"/>
        </w:rPr>
      </w:pPr>
      <w:r w:rsidRPr="00100B72">
        <w:rPr>
          <w:rFonts w:asciiTheme="minorHAnsi" w:hAnsiTheme="minorHAnsi" w:cstheme="minorHAnsi"/>
          <w:color w:val="05103E"/>
          <w:sz w:val="22"/>
          <w:szCs w:val="22"/>
          <w:shd w:val="clear" w:color="auto" w:fill="FFFFFF"/>
        </w:rPr>
        <w:t>Steinberg, L. </w:t>
      </w:r>
      <w:r w:rsidRPr="00100B72">
        <w:rPr>
          <w:rFonts w:asciiTheme="minorHAnsi" w:hAnsiTheme="minorHAnsi" w:cstheme="minorHAnsi"/>
          <w:i/>
          <w:iCs/>
          <w:color w:val="05103E"/>
          <w:sz w:val="22"/>
          <w:szCs w:val="22"/>
          <w:bdr w:val="single" w:sz="2" w:space="0" w:color="ECEDEE" w:frame="1"/>
          <w:shd w:val="clear" w:color="auto" w:fill="FFFFFF"/>
        </w:rPr>
        <w:t>et al.</w:t>
      </w:r>
      <w:r w:rsidRPr="00100B72">
        <w:rPr>
          <w:rFonts w:asciiTheme="minorHAnsi" w:hAnsiTheme="minorHAnsi" w:cstheme="minorHAnsi"/>
          <w:color w:val="05103E"/>
          <w:sz w:val="22"/>
          <w:szCs w:val="22"/>
          <w:shd w:val="clear" w:color="auto" w:fill="FFFFFF"/>
        </w:rPr>
        <w:t> (1992) ‘Impact of Parenting Practices on Adolescent Achievement: Authoritative Parenting, School Involvement, and Encouragement to Succeed’, </w:t>
      </w:r>
      <w:r w:rsidRPr="00100B72">
        <w:rPr>
          <w:rFonts w:asciiTheme="minorHAnsi" w:hAnsiTheme="minorHAnsi" w:cstheme="minorHAnsi"/>
          <w:i/>
          <w:iCs/>
          <w:color w:val="05103E"/>
          <w:sz w:val="22"/>
          <w:szCs w:val="22"/>
          <w:bdr w:val="single" w:sz="2" w:space="0" w:color="ECEDEE" w:frame="1"/>
          <w:shd w:val="clear" w:color="auto" w:fill="FFFFFF"/>
        </w:rPr>
        <w:t>Child Development</w:t>
      </w:r>
      <w:r w:rsidRPr="00100B72">
        <w:rPr>
          <w:rFonts w:asciiTheme="minorHAnsi" w:hAnsiTheme="minorHAnsi" w:cstheme="minorHAnsi"/>
          <w:color w:val="05103E"/>
          <w:sz w:val="22"/>
          <w:szCs w:val="22"/>
          <w:shd w:val="clear" w:color="auto" w:fill="FFFFFF"/>
        </w:rPr>
        <w:t>, 63(5), pp. 1266–1281. Available at: </w:t>
      </w:r>
      <w:hyperlink r:id="rId19" w:history="1">
        <w:r w:rsidRPr="00100B72">
          <w:rPr>
            <w:rStyle w:val="Hyperlink"/>
            <w:rFonts w:asciiTheme="minorHAnsi" w:hAnsiTheme="minorHAnsi" w:cstheme="minorHAnsi"/>
            <w:sz w:val="22"/>
            <w:szCs w:val="22"/>
            <w:bdr w:val="single" w:sz="2" w:space="0" w:color="ECEDEE" w:frame="1"/>
            <w:shd w:val="clear" w:color="auto" w:fill="FFFFFF"/>
          </w:rPr>
          <w:t>https://doi.org/10.1111/j.1467-8624.1992.tb01694.x</w:t>
        </w:r>
      </w:hyperlink>
      <w:r w:rsidRPr="00100B72">
        <w:rPr>
          <w:rFonts w:asciiTheme="minorHAnsi" w:hAnsiTheme="minorHAnsi" w:cstheme="minorHAnsi"/>
          <w:color w:val="05103E"/>
          <w:sz w:val="22"/>
          <w:szCs w:val="22"/>
          <w:shd w:val="clear" w:color="auto" w:fill="FFFFFF"/>
        </w:rPr>
        <w:t>.</w:t>
      </w:r>
      <w:r w:rsidRPr="00100B72">
        <w:rPr>
          <w:rFonts w:asciiTheme="minorHAnsi" w:hAnsiTheme="minorHAnsi" w:cstheme="minorHAnsi"/>
          <w:color w:val="000000"/>
          <w:sz w:val="22"/>
          <w:szCs w:val="22"/>
        </w:rPr>
        <w:t xml:space="preserve"> (Accessed: November 10, 2022). </w:t>
      </w:r>
    </w:p>
    <w:p w14:paraId="08DCBDA7" w14:textId="77777777" w:rsidR="00DB526E" w:rsidRPr="00100B72" w:rsidRDefault="00DB526E" w:rsidP="00FB3C7E">
      <w:pPr>
        <w:pStyle w:val="NormalWeb"/>
        <w:ind w:left="567" w:hanging="567"/>
        <w:rPr>
          <w:rFonts w:asciiTheme="minorHAnsi" w:hAnsiTheme="minorHAnsi" w:cstheme="minorHAnsi"/>
          <w:sz w:val="22"/>
          <w:szCs w:val="22"/>
          <w:shd w:val="clear" w:color="auto" w:fill="FFFFFF"/>
        </w:rPr>
      </w:pPr>
      <w:r w:rsidRPr="00100B72">
        <w:rPr>
          <w:rFonts w:asciiTheme="minorHAnsi" w:hAnsiTheme="minorHAnsi" w:cstheme="minorHAnsi"/>
          <w:sz w:val="22"/>
          <w:szCs w:val="22"/>
          <w:shd w:val="clear" w:color="auto" w:fill="FFFFFF"/>
        </w:rPr>
        <w:t>Welsh Government, (2019)</w:t>
      </w:r>
      <w:r w:rsidRPr="00100B72">
        <w:rPr>
          <w:rFonts w:asciiTheme="minorHAnsi" w:hAnsiTheme="minorHAnsi" w:cstheme="minorHAnsi"/>
          <w:i/>
          <w:iCs/>
          <w:sz w:val="22"/>
          <w:szCs w:val="22"/>
          <w:shd w:val="clear" w:color="auto" w:fill="FFFFFF"/>
        </w:rPr>
        <w:t xml:space="preserve"> Professional Standards for Teaching and Leadership</w:t>
      </w:r>
      <w:r w:rsidRPr="00100B72">
        <w:rPr>
          <w:rFonts w:asciiTheme="minorHAnsi" w:hAnsiTheme="minorHAnsi" w:cstheme="minorHAnsi"/>
          <w:sz w:val="22"/>
          <w:szCs w:val="22"/>
          <w:shd w:val="clear" w:color="auto" w:fill="FFFFFF"/>
        </w:rPr>
        <w:t xml:space="preserve">. [pdf leaflet] </w:t>
      </w:r>
      <w:proofErr w:type="spellStart"/>
      <w:r w:rsidRPr="00100B72">
        <w:rPr>
          <w:rFonts w:asciiTheme="minorHAnsi" w:hAnsiTheme="minorHAnsi" w:cstheme="minorHAnsi"/>
          <w:sz w:val="22"/>
          <w:szCs w:val="22"/>
          <w:shd w:val="clear" w:color="auto" w:fill="FFFFFF"/>
        </w:rPr>
        <w:t>Caerdydd</w:t>
      </w:r>
      <w:proofErr w:type="spellEnd"/>
      <w:r w:rsidRPr="00100B72">
        <w:rPr>
          <w:rFonts w:asciiTheme="minorHAnsi" w:hAnsiTheme="minorHAnsi" w:cstheme="minorHAnsi"/>
          <w:sz w:val="22"/>
          <w:szCs w:val="22"/>
          <w:shd w:val="clear" w:color="auto" w:fill="FFFFFF"/>
        </w:rPr>
        <w:t>: Education Wales. Available at: https://hwb.gov.wales/api/storage/19bc948b-8a3f-41e0-944a-7bf2cadf7d18/professional-standards-for-teaching-and-leadership-interactive-pdf-for-pc.pdf [Accessed 14 October 2022].</w:t>
      </w:r>
    </w:p>
    <w:p w14:paraId="642361D7" w14:textId="77777777" w:rsidR="00FB3C7E" w:rsidRPr="00FB3C7E" w:rsidRDefault="00FB3C7E" w:rsidP="00FB3C7E">
      <w:pPr>
        <w:spacing w:before="100" w:beforeAutospacing="1" w:after="100" w:afterAutospacing="1"/>
        <w:ind w:left="567" w:hanging="567"/>
        <w:rPr>
          <w:color w:val="000000"/>
        </w:rPr>
      </w:pPr>
    </w:p>
    <w:p w14:paraId="56CE3ED8" w14:textId="77777777" w:rsidR="00FB3C7E" w:rsidRPr="002554EC" w:rsidRDefault="00FB3C7E" w:rsidP="00FB3C7E">
      <w:pPr>
        <w:rPr>
          <w:color w:val="2C72B7"/>
          <w:sz w:val="22"/>
          <w:szCs w:val="22"/>
          <w:u w:val="single"/>
        </w:rPr>
      </w:pPr>
    </w:p>
    <w:p w14:paraId="73D0951A" w14:textId="77777777" w:rsidR="00FB3C7E" w:rsidRPr="00063244" w:rsidRDefault="00FB3C7E" w:rsidP="00FB3C7E">
      <w:pPr>
        <w:spacing w:before="100" w:beforeAutospacing="1" w:after="100" w:afterAutospacing="1"/>
        <w:ind w:left="567" w:hanging="567"/>
      </w:pPr>
    </w:p>
    <w:p w14:paraId="23F506B9" w14:textId="77777777" w:rsidR="00FB3C7E" w:rsidRPr="00063244" w:rsidRDefault="00FB3C7E" w:rsidP="00FB3C7E">
      <w:pPr>
        <w:spacing w:before="100" w:beforeAutospacing="1" w:after="100" w:afterAutospacing="1"/>
      </w:pPr>
    </w:p>
    <w:p w14:paraId="0A0FBFDA" w14:textId="77777777" w:rsidR="00FB3C7E" w:rsidRDefault="00FB3C7E" w:rsidP="00FB3C7E">
      <w:pPr>
        <w:rPr>
          <w:rFonts w:asciiTheme="minorHAnsi" w:hAnsiTheme="minorHAnsi" w:cstheme="minorHAnsi"/>
          <w:color w:val="333333"/>
          <w:shd w:val="clear" w:color="auto" w:fill="FCFCFC"/>
        </w:rPr>
      </w:pPr>
    </w:p>
    <w:p w14:paraId="167B4C0B" w14:textId="77777777" w:rsidR="00FB3C7E" w:rsidRDefault="00FB3C7E" w:rsidP="00FB3C7E">
      <w:pPr>
        <w:spacing w:before="100" w:beforeAutospacing="1" w:after="100" w:afterAutospacing="1"/>
        <w:ind w:left="567" w:hanging="567"/>
        <w:rPr>
          <w:color w:val="000000"/>
        </w:rPr>
      </w:pPr>
    </w:p>
    <w:p w14:paraId="5EF20CE2" w14:textId="77777777" w:rsidR="000C525E" w:rsidRDefault="000C525E"/>
    <w:sectPr w:rsidR="000C525E">
      <w:headerReference w:type="default" r:id="rId20"/>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87888A" w14:textId="77777777" w:rsidR="00443B3D" w:rsidRDefault="00443B3D" w:rsidP="00FB3C7E">
      <w:r>
        <w:separator/>
      </w:r>
    </w:p>
  </w:endnote>
  <w:endnote w:type="continuationSeparator" w:id="0">
    <w:p w14:paraId="22F4185D" w14:textId="77777777" w:rsidR="00443B3D" w:rsidRDefault="00443B3D" w:rsidP="00FB3C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17296679"/>
      <w:docPartObj>
        <w:docPartGallery w:val="Page Numbers (Bottom of Page)"/>
        <w:docPartUnique/>
      </w:docPartObj>
    </w:sdtPr>
    <w:sdtContent>
      <w:p w14:paraId="616D6141" w14:textId="6E127717" w:rsidR="00100B72" w:rsidRDefault="00100B72" w:rsidP="00361DB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AC0CC60" w14:textId="77777777" w:rsidR="00100B72" w:rsidRDefault="00100B72" w:rsidP="00100B7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99147823"/>
      <w:docPartObj>
        <w:docPartGallery w:val="Page Numbers (Bottom of Page)"/>
        <w:docPartUnique/>
      </w:docPartObj>
    </w:sdtPr>
    <w:sdtContent>
      <w:p w14:paraId="0D0B7971" w14:textId="4F361A88" w:rsidR="00100B72" w:rsidRDefault="00100B72" w:rsidP="00361DB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2C8665A" w14:textId="77777777" w:rsidR="00100B72" w:rsidRDefault="00100B72" w:rsidP="00100B7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F12286" w14:textId="77777777" w:rsidR="00443B3D" w:rsidRDefault="00443B3D" w:rsidP="00FB3C7E">
      <w:r>
        <w:separator/>
      </w:r>
    </w:p>
  </w:footnote>
  <w:footnote w:type="continuationSeparator" w:id="0">
    <w:p w14:paraId="376B8165" w14:textId="77777777" w:rsidR="00443B3D" w:rsidRDefault="00443B3D" w:rsidP="00FB3C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4D5B30" w14:textId="713F000C" w:rsidR="00FB3C7E" w:rsidRDefault="00FB3C7E">
    <w:pPr>
      <w:pStyle w:val="Header"/>
    </w:pPr>
    <w:r>
      <w:t>Dani Wilson 1551481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45CAD"/>
    <w:multiLevelType w:val="multilevel"/>
    <w:tmpl w:val="67F22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23149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3C7E"/>
    <w:rsid w:val="000C525E"/>
    <w:rsid w:val="00100B72"/>
    <w:rsid w:val="0012563E"/>
    <w:rsid w:val="001A790F"/>
    <w:rsid w:val="0030039B"/>
    <w:rsid w:val="00443B3D"/>
    <w:rsid w:val="004A2483"/>
    <w:rsid w:val="004A6C56"/>
    <w:rsid w:val="00566B0E"/>
    <w:rsid w:val="00645268"/>
    <w:rsid w:val="006B711B"/>
    <w:rsid w:val="00704798"/>
    <w:rsid w:val="00856A07"/>
    <w:rsid w:val="009F3BB0"/>
    <w:rsid w:val="00AC2197"/>
    <w:rsid w:val="00B02546"/>
    <w:rsid w:val="00B27592"/>
    <w:rsid w:val="00CB5A1D"/>
    <w:rsid w:val="00DB526E"/>
    <w:rsid w:val="00E26E11"/>
    <w:rsid w:val="00E32E11"/>
    <w:rsid w:val="00FB3C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DD10D"/>
  <w15:chartTrackingRefBased/>
  <w15:docId w15:val="{B0EA0EE0-A6DB-2A46-AFBA-55A90303E0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3C7E"/>
    <w:rPr>
      <w:rFonts w:ascii="Times New Roman" w:eastAsia="Times New Roman" w:hAnsi="Times New Roman" w:cs="Times New Roman"/>
      <w:lang w:eastAsia="en-GB"/>
    </w:rPr>
  </w:style>
  <w:style w:type="paragraph" w:styleId="Heading1">
    <w:name w:val="heading 1"/>
    <w:basedOn w:val="Normal"/>
    <w:link w:val="Heading1Char"/>
    <w:uiPriority w:val="9"/>
    <w:qFormat/>
    <w:rsid w:val="00FB3C7E"/>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FB3C7E"/>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3C7E"/>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FB3C7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FB3C7E"/>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FB3C7E"/>
  </w:style>
  <w:style w:type="paragraph" w:styleId="Footer">
    <w:name w:val="footer"/>
    <w:basedOn w:val="Normal"/>
    <w:link w:val="FooterChar"/>
    <w:uiPriority w:val="99"/>
    <w:unhideWhenUsed/>
    <w:rsid w:val="00FB3C7E"/>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FB3C7E"/>
  </w:style>
  <w:style w:type="character" w:styleId="Hyperlink">
    <w:name w:val="Hyperlink"/>
    <w:basedOn w:val="DefaultParagraphFont"/>
    <w:uiPriority w:val="99"/>
    <w:unhideWhenUsed/>
    <w:rsid w:val="00FB3C7E"/>
    <w:rPr>
      <w:color w:val="0563C1" w:themeColor="hyperlink"/>
      <w:u w:val="single"/>
    </w:rPr>
  </w:style>
  <w:style w:type="character" w:customStyle="1" w:styleId="UnresolvedMention1">
    <w:name w:val="Unresolved Mention1"/>
    <w:basedOn w:val="DefaultParagraphFont"/>
    <w:uiPriority w:val="99"/>
    <w:semiHidden/>
    <w:unhideWhenUsed/>
    <w:rsid w:val="00FB3C7E"/>
    <w:rPr>
      <w:color w:val="605E5C"/>
      <w:shd w:val="clear" w:color="auto" w:fill="E1DFDD"/>
    </w:rPr>
  </w:style>
  <w:style w:type="character" w:styleId="FollowedHyperlink">
    <w:name w:val="FollowedHyperlink"/>
    <w:basedOn w:val="DefaultParagraphFont"/>
    <w:uiPriority w:val="99"/>
    <w:semiHidden/>
    <w:unhideWhenUsed/>
    <w:rsid w:val="00FB3C7E"/>
    <w:rPr>
      <w:color w:val="954F72" w:themeColor="followedHyperlink"/>
      <w:u w:val="single"/>
    </w:rPr>
  </w:style>
  <w:style w:type="character" w:customStyle="1" w:styleId="issue-heading">
    <w:name w:val="issue-heading"/>
    <w:basedOn w:val="DefaultParagraphFont"/>
    <w:rsid w:val="00FB3C7E"/>
  </w:style>
  <w:style w:type="character" w:customStyle="1" w:styleId="authors">
    <w:name w:val="authors"/>
    <w:basedOn w:val="DefaultParagraphFont"/>
    <w:rsid w:val="00FB3C7E"/>
  </w:style>
  <w:style w:type="character" w:customStyle="1" w:styleId="Date1">
    <w:name w:val="Date1"/>
    <w:basedOn w:val="DefaultParagraphFont"/>
    <w:rsid w:val="00FB3C7E"/>
  </w:style>
  <w:style w:type="character" w:customStyle="1" w:styleId="arttitle">
    <w:name w:val="art_title"/>
    <w:basedOn w:val="DefaultParagraphFont"/>
    <w:rsid w:val="00FB3C7E"/>
  </w:style>
  <w:style w:type="character" w:customStyle="1" w:styleId="serialtitle">
    <w:name w:val="serial_title"/>
    <w:basedOn w:val="DefaultParagraphFont"/>
    <w:rsid w:val="00FB3C7E"/>
  </w:style>
  <w:style w:type="character" w:customStyle="1" w:styleId="volumeissue">
    <w:name w:val="volume_issue"/>
    <w:basedOn w:val="DefaultParagraphFont"/>
    <w:rsid w:val="00FB3C7E"/>
  </w:style>
  <w:style w:type="character" w:customStyle="1" w:styleId="pagerange">
    <w:name w:val="page_range"/>
    <w:basedOn w:val="DefaultParagraphFont"/>
    <w:rsid w:val="00FB3C7E"/>
  </w:style>
  <w:style w:type="character" w:customStyle="1" w:styleId="doilink">
    <w:name w:val="doi_link"/>
    <w:basedOn w:val="DefaultParagraphFont"/>
    <w:rsid w:val="00FB3C7E"/>
  </w:style>
  <w:style w:type="character" w:styleId="Emphasis">
    <w:name w:val="Emphasis"/>
    <w:basedOn w:val="DefaultParagraphFont"/>
    <w:uiPriority w:val="20"/>
    <w:qFormat/>
    <w:rsid w:val="00FB3C7E"/>
    <w:rPr>
      <w:i/>
      <w:iCs/>
    </w:rPr>
  </w:style>
  <w:style w:type="character" w:customStyle="1" w:styleId="product-banner-author">
    <w:name w:val="product-banner-author"/>
    <w:basedOn w:val="DefaultParagraphFont"/>
    <w:rsid w:val="00FB3C7E"/>
  </w:style>
  <w:style w:type="character" w:customStyle="1" w:styleId="product-banner-author-name">
    <w:name w:val="product-banner-author-name"/>
    <w:basedOn w:val="DefaultParagraphFont"/>
    <w:rsid w:val="00FB3C7E"/>
  </w:style>
  <w:style w:type="character" w:customStyle="1" w:styleId="fm-vol-iss-date">
    <w:name w:val="fm-vol-iss-date"/>
    <w:basedOn w:val="DefaultParagraphFont"/>
    <w:rsid w:val="00FB3C7E"/>
  </w:style>
  <w:style w:type="character" w:customStyle="1" w:styleId="doi">
    <w:name w:val="doi"/>
    <w:basedOn w:val="DefaultParagraphFont"/>
    <w:rsid w:val="00FB3C7E"/>
  </w:style>
  <w:style w:type="character" w:customStyle="1" w:styleId="fm-citation-ids-label">
    <w:name w:val="fm-citation-ids-label"/>
    <w:basedOn w:val="DefaultParagraphFont"/>
    <w:rsid w:val="00FB3C7E"/>
  </w:style>
  <w:style w:type="character" w:customStyle="1" w:styleId="accordion-tabbedtab-mobile">
    <w:name w:val="accordion-tabbed__tab-mobile"/>
    <w:basedOn w:val="DefaultParagraphFont"/>
    <w:rsid w:val="00FB3C7E"/>
  </w:style>
  <w:style w:type="character" w:customStyle="1" w:styleId="comma-separator">
    <w:name w:val="comma-separator"/>
    <w:basedOn w:val="DefaultParagraphFont"/>
    <w:rsid w:val="00FB3C7E"/>
  </w:style>
  <w:style w:type="character" w:customStyle="1" w:styleId="epub-state">
    <w:name w:val="epub-state"/>
    <w:basedOn w:val="DefaultParagraphFont"/>
    <w:rsid w:val="00FB3C7E"/>
  </w:style>
  <w:style w:type="character" w:customStyle="1" w:styleId="epub-date">
    <w:name w:val="epub-date"/>
    <w:basedOn w:val="DefaultParagraphFont"/>
    <w:rsid w:val="00FB3C7E"/>
  </w:style>
  <w:style w:type="character" w:customStyle="1" w:styleId="field-content">
    <w:name w:val="field-content"/>
    <w:basedOn w:val="DefaultParagraphFont"/>
    <w:rsid w:val="00FB3C7E"/>
  </w:style>
  <w:style w:type="character" w:customStyle="1" w:styleId="sr-only">
    <w:name w:val="sr-only"/>
    <w:basedOn w:val="DefaultParagraphFont"/>
    <w:rsid w:val="00FB3C7E"/>
  </w:style>
  <w:style w:type="character" w:customStyle="1" w:styleId="title-text">
    <w:name w:val="title-text"/>
    <w:basedOn w:val="DefaultParagraphFont"/>
    <w:rsid w:val="00FB3C7E"/>
  </w:style>
  <w:style w:type="paragraph" w:styleId="Revision">
    <w:name w:val="Revision"/>
    <w:hidden/>
    <w:uiPriority w:val="99"/>
    <w:semiHidden/>
    <w:rsid w:val="00FB3C7E"/>
    <w:rPr>
      <w:rFonts w:ascii="Times New Roman" w:eastAsia="Times New Roman" w:hAnsi="Times New Roman" w:cs="Times New Roman"/>
      <w:lang w:eastAsia="en-GB"/>
    </w:rPr>
  </w:style>
  <w:style w:type="paragraph" w:styleId="NormalWeb">
    <w:name w:val="Normal (Web)"/>
    <w:basedOn w:val="Normal"/>
    <w:uiPriority w:val="99"/>
    <w:rsid w:val="00FB3C7E"/>
    <w:pPr>
      <w:autoSpaceDN w:val="0"/>
      <w:spacing w:before="100" w:after="100"/>
    </w:pPr>
  </w:style>
  <w:style w:type="paragraph" w:styleId="ListParagraph">
    <w:name w:val="List Paragraph"/>
    <w:basedOn w:val="Normal"/>
    <w:uiPriority w:val="34"/>
    <w:qFormat/>
    <w:rsid w:val="00FB3C7E"/>
    <w:pPr>
      <w:ind w:left="720"/>
      <w:contextualSpacing/>
    </w:pPr>
  </w:style>
  <w:style w:type="character" w:customStyle="1" w:styleId="apple-converted-space">
    <w:name w:val="apple-converted-space"/>
    <w:basedOn w:val="DefaultParagraphFont"/>
    <w:rsid w:val="00FB3C7E"/>
  </w:style>
  <w:style w:type="paragraph" w:styleId="BalloonText">
    <w:name w:val="Balloon Text"/>
    <w:basedOn w:val="Normal"/>
    <w:link w:val="BalloonTextChar"/>
    <w:uiPriority w:val="99"/>
    <w:semiHidden/>
    <w:unhideWhenUsed/>
    <w:rsid w:val="00E26E1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6E11"/>
    <w:rPr>
      <w:rFonts w:ascii="Segoe UI" w:eastAsia="Times New Roman" w:hAnsi="Segoe UI" w:cs="Segoe UI"/>
      <w:sz w:val="18"/>
      <w:szCs w:val="18"/>
      <w:lang w:eastAsia="en-GB"/>
    </w:rPr>
  </w:style>
  <w:style w:type="character" w:styleId="CommentReference">
    <w:name w:val="annotation reference"/>
    <w:basedOn w:val="DefaultParagraphFont"/>
    <w:uiPriority w:val="99"/>
    <w:semiHidden/>
    <w:unhideWhenUsed/>
    <w:rsid w:val="004A6C56"/>
    <w:rPr>
      <w:sz w:val="16"/>
      <w:szCs w:val="16"/>
    </w:rPr>
  </w:style>
  <w:style w:type="paragraph" w:styleId="CommentText">
    <w:name w:val="annotation text"/>
    <w:basedOn w:val="Normal"/>
    <w:link w:val="CommentTextChar"/>
    <w:uiPriority w:val="99"/>
    <w:semiHidden/>
    <w:unhideWhenUsed/>
    <w:rsid w:val="004A6C56"/>
    <w:rPr>
      <w:sz w:val="20"/>
      <w:szCs w:val="20"/>
    </w:rPr>
  </w:style>
  <w:style w:type="character" w:customStyle="1" w:styleId="CommentTextChar">
    <w:name w:val="Comment Text Char"/>
    <w:basedOn w:val="DefaultParagraphFont"/>
    <w:link w:val="CommentText"/>
    <w:uiPriority w:val="99"/>
    <w:semiHidden/>
    <w:rsid w:val="004A6C56"/>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4A6C56"/>
    <w:rPr>
      <w:b/>
      <w:bCs/>
    </w:rPr>
  </w:style>
  <w:style w:type="character" w:customStyle="1" w:styleId="CommentSubjectChar">
    <w:name w:val="Comment Subject Char"/>
    <w:basedOn w:val="CommentTextChar"/>
    <w:link w:val="CommentSubject"/>
    <w:uiPriority w:val="99"/>
    <w:semiHidden/>
    <w:rsid w:val="004A6C56"/>
    <w:rPr>
      <w:rFonts w:ascii="Times New Roman" w:eastAsia="Times New Roman" w:hAnsi="Times New Roman" w:cs="Times New Roman"/>
      <w:b/>
      <w:bCs/>
      <w:sz w:val="20"/>
      <w:szCs w:val="20"/>
      <w:lang w:eastAsia="en-GB"/>
    </w:rPr>
  </w:style>
  <w:style w:type="character" w:styleId="PageNumber">
    <w:name w:val="page number"/>
    <w:basedOn w:val="DefaultParagraphFont"/>
    <w:uiPriority w:val="99"/>
    <w:semiHidden/>
    <w:unhideWhenUsed/>
    <w:rsid w:val="00100B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466847">
      <w:bodyDiv w:val="1"/>
      <w:marLeft w:val="0"/>
      <w:marRight w:val="0"/>
      <w:marTop w:val="0"/>
      <w:marBottom w:val="0"/>
      <w:divBdr>
        <w:top w:val="none" w:sz="0" w:space="0" w:color="auto"/>
        <w:left w:val="none" w:sz="0" w:space="0" w:color="auto"/>
        <w:bottom w:val="none" w:sz="0" w:space="0" w:color="auto"/>
        <w:right w:val="none" w:sz="0" w:space="0" w:color="auto"/>
      </w:divBdr>
    </w:div>
    <w:div w:id="205217067">
      <w:bodyDiv w:val="1"/>
      <w:marLeft w:val="0"/>
      <w:marRight w:val="0"/>
      <w:marTop w:val="0"/>
      <w:marBottom w:val="0"/>
      <w:divBdr>
        <w:top w:val="none" w:sz="0" w:space="0" w:color="auto"/>
        <w:left w:val="none" w:sz="0" w:space="0" w:color="auto"/>
        <w:bottom w:val="none" w:sz="0" w:space="0" w:color="auto"/>
        <w:right w:val="none" w:sz="0" w:space="0" w:color="auto"/>
      </w:divBdr>
    </w:div>
    <w:div w:id="748959812">
      <w:bodyDiv w:val="1"/>
      <w:marLeft w:val="0"/>
      <w:marRight w:val="0"/>
      <w:marTop w:val="0"/>
      <w:marBottom w:val="0"/>
      <w:divBdr>
        <w:top w:val="none" w:sz="0" w:space="0" w:color="auto"/>
        <w:left w:val="none" w:sz="0" w:space="0" w:color="auto"/>
        <w:bottom w:val="none" w:sz="0" w:space="0" w:color="auto"/>
        <w:right w:val="none" w:sz="0" w:space="0" w:color="auto"/>
      </w:divBdr>
    </w:div>
    <w:div w:id="1518811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57332042000175836" TargetMode="External"/><Relationship Id="rId13" Type="http://schemas.openxmlformats.org/officeDocument/2006/relationships/hyperlink" Target="https://doi.org/10.4324/9780203424681" TargetMode="External"/><Relationship Id="rId18" Type="http://schemas.openxmlformats.org/officeDocument/2006/relationships/hyperlink" Target="https://doi.org/10.1383/medc.31.4.18.27958"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080/1354060950010102" TargetMode="External"/><Relationship Id="rId17" Type="http://schemas.openxmlformats.org/officeDocument/2006/relationships/hyperlink" Target="https://doi.org/10.1016/j.jsp.2010.04.001" TargetMode="External"/><Relationship Id="rId2" Type="http://schemas.openxmlformats.org/officeDocument/2006/relationships/numbering" Target="numbering.xml"/><Relationship Id="rId16" Type="http://schemas.openxmlformats.org/officeDocument/2006/relationships/hyperlink" Target="https://doi.org/10.1037/fam000058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effective-practice/creating-nurturing-school-through-inclusive-approach-wellbeing"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ducationendowmentfoundation.org.uk/education-evidence/teaching-learning-toolkit/parental-engagement" TargetMode="External"/><Relationship Id="rId23" Type="http://schemas.openxmlformats.org/officeDocument/2006/relationships/fontTable" Target="fontTable.xml"/><Relationship Id="rId10" Type="http://schemas.openxmlformats.org/officeDocument/2006/relationships/hyperlink" Target="https://gov.wales/sites/default/files/publications/2018-10/council-for-economic-renewal-february-15-skills-recovery-and-growth.pdf" TargetMode="External"/><Relationship Id="rId19" Type="http://schemas.openxmlformats.org/officeDocument/2006/relationships/hyperlink" Target="https://doi.org/10.1111/j.1467-8624.1992.tb01694.x" TargetMode="External"/><Relationship Id="rId4" Type="http://schemas.openxmlformats.org/officeDocument/2006/relationships/settings" Target="settings.xml"/><Relationship Id="rId9" Type="http://schemas.openxmlformats.org/officeDocument/2006/relationships/hyperlink" Target="https://psycnet.apa.org/doi/10.1037/0012-1649.18.4.541" TargetMode="External"/><Relationship Id="rId14" Type="http://schemas.openxmlformats.org/officeDocument/2006/relationships/hyperlink" Target="http://www.simplypsychology.org/Bronfenbrenner.html"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C0D9F70-41DF-134C-92D6-B8F49B472F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11</Pages>
  <Words>4996</Words>
  <Characters>29132</Characters>
  <Application>Microsoft Office Word</Application>
  <DocSecurity>0</DocSecurity>
  <Lines>529</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wilson</dc:creator>
  <cp:keywords/>
  <dc:description/>
  <cp:lastModifiedBy>danielle wilson</cp:lastModifiedBy>
  <cp:revision>3</cp:revision>
  <dcterms:created xsi:type="dcterms:W3CDTF">2022-11-14T17:53:00Z</dcterms:created>
  <dcterms:modified xsi:type="dcterms:W3CDTF">2022-11-14T17:58:00Z</dcterms:modified>
</cp:coreProperties>
</file>