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CFEE3E" w14:textId="0FC2C3C1" w:rsidR="00EE118A" w:rsidRDefault="00EE118A" w:rsidP="00EE118A">
      <w:pPr>
        <w:rPr>
          <w:rFonts w:ascii="Arial" w:hAnsi="Arial" w:cs="Arial"/>
          <w:sz w:val="24"/>
          <w:szCs w:val="24"/>
        </w:rPr>
      </w:pPr>
      <w:r w:rsidRPr="00916390">
        <w:rPr>
          <w:rFonts w:ascii="Arial" w:hAnsi="Arial" w:cs="Arial"/>
          <w:sz w:val="24"/>
          <w:szCs w:val="24"/>
        </w:rPr>
        <w:t>For several decades, the war on drugs has been a major problem in the United Kingdom, with severe societal consequences. The campaign began in the 1980s with the goal of lowering drug usage and drug-related crime in the United Kingdom. However, the drug war has been chastised for its severe social consequences, such as mass imprisonment, racial inequities, and poor efficacy in reducing drug usage. This paper will look at the history of the drug war in the United Kingdom</w:t>
      </w:r>
      <w:r>
        <w:rPr>
          <w:rFonts w:ascii="Arial" w:hAnsi="Arial" w:cs="Arial"/>
          <w:sz w:val="24"/>
          <w:szCs w:val="24"/>
        </w:rPr>
        <w:t xml:space="preserve"> with links to the United States and other countries around the world. Having a look at the </w:t>
      </w:r>
      <w:r w:rsidRPr="00916390">
        <w:rPr>
          <w:rFonts w:ascii="Arial" w:hAnsi="Arial" w:cs="Arial"/>
          <w:sz w:val="24"/>
          <w:szCs w:val="24"/>
        </w:rPr>
        <w:t xml:space="preserve"> influence on society, and the reasons for and against its continuance</w:t>
      </w:r>
      <w:r>
        <w:rPr>
          <w:rFonts w:ascii="Arial" w:hAnsi="Arial" w:cs="Arial"/>
          <w:sz w:val="24"/>
          <w:szCs w:val="24"/>
        </w:rPr>
        <w:t>, with looking at what the government is doing currently</w:t>
      </w:r>
      <w:r w:rsidR="00B75DA1">
        <w:rPr>
          <w:rFonts w:ascii="Arial" w:hAnsi="Arial" w:cs="Arial"/>
          <w:sz w:val="24"/>
          <w:szCs w:val="24"/>
        </w:rPr>
        <w:t xml:space="preserve"> and whether it</w:t>
      </w:r>
      <w:r>
        <w:rPr>
          <w:rFonts w:ascii="Arial" w:hAnsi="Arial" w:cs="Arial"/>
          <w:sz w:val="24"/>
          <w:szCs w:val="24"/>
        </w:rPr>
        <w:t xml:space="preserve"> actually works to combat the war on drugs</w:t>
      </w:r>
      <w:r w:rsidRPr="00916390">
        <w:rPr>
          <w:rFonts w:ascii="Arial" w:hAnsi="Arial" w:cs="Arial"/>
          <w:sz w:val="24"/>
          <w:szCs w:val="24"/>
        </w:rPr>
        <w:t>.</w:t>
      </w:r>
    </w:p>
    <w:p w14:paraId="438893C0" w14:textId="123A54F6" w:rsidR="00B75DA1" w:rsidRDefault="00B75DA1" w:rsidP="00D76AAE">
      <w:pPr>
        <w:rPr>
          <w:rFonts w:ascii="Arial" w:hAnsi="Arial" w:cs="Arial"/>
          <w:sz w:val="24"/>
          <w:szCs w:val="24"/>
        </w:rPr>
      </w:pPr>
      <w:r w:rsidRPr="007A3984">
        <w:rPr>
          <w:rFonts w:ascii="Arial" w:hAnsi="Arial" w:cs="Arial"/>
          <w:sz w:val="24"/>
          <w:szCs w:val="24"/>
        </w:rPr>
        <w:t>The belief that some substances are immoral, and the war on drugs that stems from this perspective, are ideological; that is, they can be described by a power configuration leading to the imposition of a set of ideas that give some interests the illusion of being universal (Guess, 2008). It is not a natural or unavoidable circumstance that the intake of certain substances, such as coffee or alcohol, is generally tolerated, if not promoted, while the usage of others, such as amphetamines or cannabis, appears to justify stigma and punishment</w:t>
      </w:r>
      <w:r w:rsidR="00D76AAE" w:rsidRPr="007A3984">
        <w:rPr>
          <w:rFonts w:ascii="Arial" w:hAnsi="Arial" w:cs="Arial"/>
          <w:sz w:val="24"/>
          <w:szCs w:val="24"/>
        </w:rPr>
        <w:t>.</w:t>
      </w:r>
      <w:r w:rsidRPr="007A3984">
        <w:rPr>
          <w:rFonts w:ascii="Arial" w:hAnsi="Arial" w:cs="Arial"/>
          <w:sz w:val="24"/>
          <w:szCs w:val="24"/>
        </w:rPr>
        <w:t xml:space="preserve"> It is only through the influence of strong historical players who benefited from the promotion of this idea that it has become so broadly accepted (Mallea, 2014), and any gains from a punitive approach to drugs are far from universally shared. Without a persistent exercise of power, as is most evident in the execution of punitive drug laws, the incoherence of these differences, as well as the lack of good results from drug criminalization, would be more obvious to people subject to that power.</w:t>
      </w:r>
    </w:p>
    <w:p w14:paraId="2A608D32" w14:textId="37332877" w:rsidR="004B1DFE" w:rsidRPr="00C15879" w:rsidRDefault="004B1DFE" w:rsidP="004B1DFE">
      <w:pPr>
        <w:shd w:val="clear" w:color="auto" w:fill="FFFFFF"/>
        <w:spacing w:after="0" w:line="240" w:lineRule="auto"/>
        <w:rPr>
          <w:rFonts w:ascii="Arial" w:eastAsia="Times New Roman" w:hAnsi="Arial" w:cs="Arial"/>
          <w:color w:val="222222"/>
          <w:kern w:val="0"/>
          <w:sz w:val="24"/>
          <w:szCs w:val="24"/>
          <w:lang w:eastAsia="en-GB"/>
          <w14:ligatures w14:val="none"/>
        </w:rPr>
      </w:pPr>
      <w:r w:rsidRPr="00C15879">
        <w:rPr>
          <w:rFonts w:ascii="Arial" w:eastAsia="Times New Roman" w:hAnsi="Arial" w:cs="Arial"/>
          <w:color w:val="222222"/>
          <w:kern w:val="0"/>
          <w:sz w:val="24"/>
          <w:szCs w:val="24"/>
          <w:lang w:eastAsia="en-GB"/>
          <w14:ligatures w14:val="none"/>
        </w:rPr>
        <w:t>The war on drugs is a complex and multifaceted policy that has been the subject of much debate and controversy. While some argue that the policy has been effective in reducing drug use and drug-related crime, others argue that it has been ineffective and has had negative consequences</w:t>
      </w:r>
      <w:r>
        <w:rPr>
          <w:rFonts w:ascii="Arial" w:eastAsia="Times New Roman" w:hAnsi="Arial" w:cs="Arial"/>
          <w:color w:val="222222"/>
          <w:kern w:val="0"/>
          <w:sz w:val="24"/>
          <w:szCs w:val="24"/>
          <w:lang w:eastAsia="en-GB"/>
          <w14:ligatures w14:val="none"/>
        </w:rPr>
        <w:t xml:space="preserve"> (Cohen et al, 2022)</w:t>
      </w:r>
      <w:r w:rsidRPr="00C15879">
        <w:rPr>
          <w:rFonts w:ascii="Arial" w:eastAsia="Times New Roman" w:hAnsi="Arial" w:cs="Arial"/>
          <w:color w:val="222222"/>
          <w:kern w:val="0"/>
          <w:sz w:val="24"/>
          <w:szCs w:val="24"/>
          <w:lang w:eastAsia="en-GB"/>
          <w14:ligatures w14:val="none"/>
        </w:rPr>
        <w:t>. The policy has its origins in the 1970s, and it has been a major part of drug policy in the UK and US ever since. Through this presentation, we hope to provide a comprehensive overview of the war on drugs, including its history, current policies, criticisms, and alternatives. Our goal is to help you understand the issues surrounding the war on drugs and to encourage you to think critically about drug policy and its impact on society</w:t>
      </w:r>
      <w:r>
        <w:rPr>
          <w:rFonts w:ascii="Arial" w:eastAsia="Times New Roman" w:hAnsi="Arial" w:cs="Arial"/>
          <w:color w:val="222222"/>
          <w:kern w:val="0"/>
          <w:sz w:val="24"/>
          <w:szCs w:val="24"/>
          <w:lang w:eastAsia="en-GB"/>
          <w14:ligatures w14:val="none"/>
        </w:rPr>
        <w:t xml:space="preserve"> (Cohen et al, 2022)</w:t>
      </w:r>
      <w:r w:rsidRPr="00C15879">
        <w:rPr>
          <w:rFonts w:ascii="Arial" w:eastAsia="Times New Roman" w:hAnsi="Arial" w:cs="Arial"/>
          <w:color w:val="222222"/>
          <w:kern w:val="0"/>
          <w:sz w:val="24"/>
          <w:szCs w:val="24"/>
          <w:lang w:eastAsia="en-GB"/>
          <w14:ligatures w14:val="none"/>
        </w:rPr>
        <w:t>.</w:t>
      </w:r>
    </w:p>
    <w:p w14:paraId="4CE58F7D" w14:textId="55157128" w:rsidR="00B75DA1" w:rsidRPr="007A3984" w:rsidRDefault="00B75DA1" w:rsidP="00D76AAE">
      <w:pPr>
        <w:rPr>
          <w:rFonts w:ascii="Arial" w:hAnsi="Arial" w:cs="Arial"/>
          <w:sz w:val="24"/>
          <w:szCs w:val="24"/>
        </w:rPr>
      </w:pPr>
    </w:p>
    <w:p w14:paraId="5BB65CFC" w14:textId="77777777" w:rsidR="00AA4321" w:rsidRDefault="00AA4321" w:rsidP="00D76AAE">
      <w:pPr>
        <w:rPr>
          <w:rFonts w:ascii="Arial" w:hAnsi="Arial" w:cs="Arial"/>
          <w:sz w:val="24"/>
          <w:szCs w:val="24"/>
        </w:rPr>
      </w:pPr>
      <w:r w:rsidRPr="00AA4321">
        <w:rPr>
          <w:rFonts w:ascii="Arial" w:hAnsi="Arial" w:cs="Arial"/>
          <w:sz w:val="24"/>
          <w:szCs w:val="24"/>
        </w:rPr>
        <w:t xml:space="preserve">Advocates may claim that it lessens the harm done to those who are penalised by preventing them from using narcotics in the future. However, there is no strong evidence to support this claim, and even incarceration is not a reliable deterrent, without more than one in every four offenders in the UK reporting drug use while in prison. Regardless, statistics from the United Kingdom show that </w:t>
      </w:r>
      <w:proofErr w:type="gramStart"/>
      <w:r w:rsidRPr="00AA4321">
        <w:rPr>
          <w:rFonts w:ascii="Arial" w:hAnsi="Arial" w:cs="Arial"/>
          <w:sz w:val="24"/>
          <w:szCs w:val="24"/>
        </w:rPr>
        <w:t>the majority of</w:t>
      </w:r>
      <w:proofErr w:type="gramEnd"/>
      <w:r w:rsidRPr="00AA4321">
        <w:rPr>
          <w:rFonts w:ascii="Arial" w:hAnsi="Arial" w:cs="Arial"/>
          <w:sz w:val="24"/>
          <w:szCs w:val="24"/>
        </w:rPr>
        <w:t xml:space="preserve"> people who use illegal drugs do so seldom, and since risk accumulates, intake and harm appear to be linked (Fischer et al, 1997; Bellis et al, 2015; Marmot et al, 2010).</w:t>
      </w:r>
    </w:p>
    <w:p w14:paraId="6456E6C3" w14:textId="0B807FE0" w:rsidR="00D76AAE" w:rsidRDefault="00D76AAE" w:rsidP="00D76AAE">
      <w:pPr>
        <w:rPr>
          <w:rFonts w:ascii="Arial" w:hAnsi="Arial" w:cs="Arial"/>
          <w:sz w:val="24"/>
          <w:szCs w:val="24"/>
        </w:rPr>
      </w:pPr>
      <w:r>
        <w:rPr>
          <w:rFonts w:ascii="Arial" w:hAnsi="Arial" w:cs="Arial"/>
          <w:sz w:val="24"/>
          <w:szCs w:val="24"/>
        </w:rPr>
        <w:t xml:space="preserve">When it comes to the war on drugs it is vital for different countries to work together to ensure that they can fight the battle of drugs and decrease the cases of people using and people dying from the drugs they take. The drug problem is a big problem for </w:t>
      </w:r>
      <w:r>
        <w:rPr>
          <w:rFonts w:ascii="Arial" w:hAnsi="Arial" w:cs="Arial"/>
          <w:sz w:val="24"/>
          <w:szCs w:val="24"/>
        </w:rPr>
        <w:lastRenderedPageBreak/>
        <w:t xml:space="preserve">many countries around the world, the United Kingdom alone has the highest level of drug dependency in Europe, according to Reuter and Stevens (2007) </w:t>
      </w:r>
    </w:p>
    <w:p w14:paraId="405B599C" w14:textId="1C94CA91" w:rsidR="007C23D4" w:rsidRDefault="00AA4321" w:rsidP="00EE118A">
      <w:pPr>
        <w:rPr>
          <w:rFonts w:ascii="Cambria" w:hAnsi="Cambria"/>
          <w:color w:val="212121"/>
          <w:sz w:val="30"/>
          <w:szCs w:val="30"/>
          <w:shd w:val="clear" w:color="auto" w:fill="FFFFFF"/>
        </w:rPr>
      </w:pPr>
      <w:r w:rsidRPr="00AA4321">
        <w:rPr>
          <w:rFonts w:ascii="Arial" w:hAnsi="Arial" w:cs="Arial"/>
          <w:color w:val="212121"/>
          <w:sz w:val="24"/>
          <w:szCs w:val="24"/>
          <w:shd w:val="clear" w:color="auto" w:fill="FFFFFF"/>
        </w:rPr>
        <w:t xml:space="preserve">The War on Drugs has failed to fulfil its stated goal of reducing local street-level drug activity: the price of drugs on the street remains low, and drugs are widely available. Baum (1996), Bertram et al (1996), Grey (2010), Tonry (1994a) Specific techniques, such as crack house raids and crackdowns, have been reviewed and found to have modest effects on drug availability, deteriorate fast, and may shift drug activity to other places whilst increasing drug-related violence. Sherman (1990), Sherman et al. (1995), and </w:t>
      </w:r>
      <w:proofErr w:type="spellStart"/>
      <w:r w:rsidRPr="00AA4321">
        <w:rPr>
          <w:rFonts w:ascii="Arial" w:hAnsi="Arial" w:cs="Arial"/>
          <w:color w:val="212121"/>
          <w:sz w:val="24"/>
          <w:szCs w:val="24"/>
          <w:shd w:val="clear" w:color="auto" w:fill="FFFFFF"/>
        </w:rPr>
        <w:t>Werb</w:t>
      </w:r>
      <w:proofErr w:type="spellEnd"/>
      <w:r w:rsidRPr="00AA4321">
        <w:rPr>
          <w:rFonts w:ascii="Arial" w:hAnsi="Arial" w:cs="Arial"/>
          <w:color w:val="212121"/>
          <w:sz w:val="24"/>
          <w:szCs w:val="24"/>
          <w:shd w:val="clear" w:color="auto" w:fill="FFFFFF"/>
        </w:rPr>
        <w:t xml:space="preserve"> et al. (2011) A substantial amount of research, however, has shown huge unforeseen, negative public health consequences of the War on Drugs' enforcement measures, particularly a higher likelihood of HIV transmission. Kerr et al. 2005; Cooper et al. 2005;</w:t>
      </w:r>
      <w:r>
        <w:rPr>
          <w:rFonts w:ascii="Arial" w:hAnsi="Arial" w:cs="Arial"/>
          <w:color w:val="212121"/>
          <w:sz w:val="24"/>
          <w:szCs w:val="24"/>
          <w:shd w:val="clear" w:color="auto" w:fill="FFFFFF"/>
        </w:rPr>
        <w:t xml:space="preserve"> Maher &amp; Dixon, 1999).</w:t>
      </w:r>
    </w:p>
    <w:p w14:paraId="07DE1000" w14:textId="77777777" w:rsidR="00AA4321" w:rsidRDefault="00F9516D" w:rsidP="00B75DA1">
      <w:pPr>
        <w:rPr>
          <w:rFonts w:ascii="Arial" w:hAnsi="Arial" w:cs="Arial"/>
          <w:sz w:val="24"/>
          <w:szCs w:val="24"/>
        </w:rPr>
      </w:pPr>
      <w:r w:rsidRPr="00F9516D">
        <w:rPr>
          <w:rFonts w:ascii="Arial" w:hAnsi="Arial" w:cs="Arial"/>
          <w:sz w:val="24"/>
          <w:szCs w:val="24"/>
        </w:rPr>
        <w:t xml:space="preserve">There is growing political and scholarly support for countries to follow Portugal's lead and decriminalise drug possession for personal use. The United Nations Chief Executives Board for Coordination (Nations,2019), a 2019 UK House of Commons Select Committee </w:t>
      </w:r>
      <w:r w:rsidR="00AA4321" w:rsidRPr="00AA4321">
        <w:rPr>
          <w:rFonts w:ascii="Arial" w:hAnsi="Arial" w:cs="Arial"/>
          <w:sz w:val="24"/>
          <w:szCs w:val="24"/>
        </w:rPr>
        <w:t xml:space="preserve">Among the recommendations are those on Drug Policy (commons, 2019). fortunately appears to be little impetus for reform in the United Kingdom </w:t>
      </w:r>
      <w:r w:rsidR="00AA4321" w:rsidRPr="00AA4321">
        <w:rPr>
          <w:rFonts w:ascii="Arial" w:hAnsi="Arial" w:cs="Arial"/>
          <w:sz w:val="24"/>
          <w:szCs w:val="24"/>
        </w:rPr>
        <w:t>now</w:t>
      </w:r>
      <w:r w:rsidR="00AA4321" w:rsidRPr="00AA4321">
        <w:rPr>
          <w:rFonts w:ascii="Arial" w:hAnsi="Arial" w:cs="Arial"/>
          <w:sz w:val="24"/>
          <w:szCs w:val="24"/>
        </w:rPr>
        <w:t>. Although decriminalising being in possession of drugs is an advance in the right direction, it fails to address the challenges connected with the criminal drug industry's chaotic structure. Legal regulation of all substances would be more uniform, not only with the method taken with already legal drugs like alcohol and tobacco, but also with potentially dangerous things like refined sugar and equipment.</w:t>
      </w:r>
      <w:r w:rsidRPr="00F9516D">
        <w:rPr>
          <w:rFonts w:ascii="Arial" w:hAnsi="Arial" w:cs="Arial"/>
          <w:sz w:val="24"/>
          <w:szCs w:val="24"/>
        </w:rPr>
        <w:t xml:space="preserve">  </w:t>
      </w:r>
      <w:r w:rsidR="00AA4321" w:rsidRPr="00AA4321">
        <w:rPr>
          <w:rFonts w:ascii="Arial" w:hAnsi="Arial" w:cs="Arial"/>
          <w:sz w:val="24"/>
          <w:szCs w:val="24"/>
        </w:rPr>
        <w:t xml:space="preserve">This is not to argue that current regulatory frameworks for legal products are infallible, and studies on economic determinants of health highlights the significance of tackling regulatory concerns with prudence (McKee, 2018). It is difficult to envision an era in which all substances are legally regulated; however, the possibility becomes more enticing when one </w:t>
      </w:r>
      <w:proofErr w:type="gramStart"/>
      <w:r w:rsidR="00AA4321" w:rsidRPr="00AA4321">
        <w:rPr>
          <w:rFonts w:ascii="Arial" w:hAnsi="Arial" w:cs="Arial"/>
          <w:sz w:val="24"/>
          <w:szCs w:val="24"/>
        </w:rPr>
        <w:t>takes into account</w:t>
      </w:r>
      <w:proofErr w:type="gramEnd"/>
      <w:r w:rsidR="00AA4321" w:rsidRPr="00AA4321">
        <w:rPr>
          <w:rFonts w:ascii="Arial" w:hAnsi="Arial" w:cs="Arial"/>
          <w:sz w:val="24"/>
          <w:szCs w:val="24"/>
        </w:rPr>
        <w:t xml:space="preserve"> that substance replacement and heroin-assisted treatment are essentially highly regulated drug markets with compelling evidence that they reduce damage to both people and wider society as acquisitive crime decreases (Hickman et al, 2018; </w:t>
      </w:r>
      <w:proofErr w:type="spellStart"/>
      <w:r w:rsidR="00AA4321" w:rsidRPr="00AA4321">
        <w:rPr>
          <w:rFonts w:ascii="Arial" w:hAnsi="Arial" w:cs="Arial"/>
          <w:sz w:val="24"/>
          <w:szCs w:val="24"/>
        </w:rPr>
        <w:t>Ferri</w:t>
      </w:r>
      <w:proofErr w:type="spellEnd"/>
      <w:r w:rsidR="00AA4321" w:rsidRPr="00AA4321">
        <w:rPr>
          <w:rFonts w:ascii="Arial" w:hAnsi="Arial" w:cs="Arial"/>
          <w:sz w:val="24"/>
          <w:szCs w:val="24"/>
        </w:rPr>
        <w:t xml:space="preserve"> et al, 2011).</w:t>
      </w:r>
    </w:p>
    <w:p w14:paraId="163721FC" w14:textId="664889DF" w:rsidR="00B75DA1" w:rsidRPr="00E70D74" w:rsidRDefault="00B75DA1" w:rsidP="00B75DA1">
      <w:pPr>
        <w:rPr>
          <w:rFonts w:ascii="Arial" w:hAnsi="Arial" w:cs="Arial"/>
          <w:sz w:val="24"/>
          <w:szCs w:val="24"/>
        </w:rPr>
      </w:pPr>
      <w:r w:rsidRPr="00E70D74">
        <w:rPr>
          <w:rFonts w:ascii="Arial" w:hAnsi="Arial" w:cs="Arial"/>
          <w:sz w:val="24"/>
          <w:szCs w:val="24"/>
        </w:rPr>
        <w:t>Everyone knows of someone who has been involved in drugs whether that is someone who takes them, sells them or has been in an environment in which drugs are involved.</w:t>
      </w:r>
      <w:r>
        <w:rPr>
          <w:rFonts w:ascii="Arial" w:hAnsi="Arial" w:cs="Arial"/>
          <w:sz w:val="24"/>
          <w:szCs w:val="24"/>
        </w:rPr>
        <w:t xml:space="preserve"> It is known that people who take drugs range from the ages of 16-50. According to National Statistics (Jones, 2022) approximately 9.2% of adults aged 16-59 and 18.6% of adults aged 16-24 reported drug use in the United Kingdom at the end of June 2022.  However, because of the COVID-19 pandemic there was a decrease in the is of class A drugs such as ecstasy, this is because of the restriction of the government (Jones, 2022). It is believed that people who take drugs or supply drugs are seen as are seen as low lives or criminal. But in many cases people who take drugs to it because of addiction and will do anything to get their next fix.</w:t>
      </w:r>
    </w:p>
    <w:p w14:paraId="0354ADA6" w14:textId="16987227" w:rsidR="004B1DFE" w:rsidRPr="00C15879" w:rsidRDefault="004B1DFE" w:rsidP="004B1DFE">
      <w:pPr>
        <w:shd w:val="clear" w:color="auto" w:fill="FFFFFF"/>
        <w:spacing w:after="0" w:line="240" w:lineRule="auto"/>
        <w:rPr>
          <w:rFonts w:ascii="Arial" w:eastAsia="Times New Roman" w:hAnsi="Arial" w:cs="Arial"/>
          <w:color w:val="222222"/>
          <w:kern w:val="0"/>
          <w:sz w:val="24"/>
          <w:szCs w:val="24"/>
          <w:lang w:eastAsia="en-GB"/>
          <w14:ligatures w14:val="none"/>
        </w:rPr>
      </w:pPr>
      <w:r w:rsidRPr="00C15879">
        <w:rPr>
          <w:rFonts w:ascii="Arial" w:eastAsia="Times New Roman" w:hAnsi="Arial" w:cs="Arial"/>
          <w:color w:val="222222"/>
          <w:kern w:val="0"/>
          <w:sz w:val="24"/>
          <w:szCs w:val="24"/>
          <w:lang w:eastAsia="en-GB"/>
          <w14:ligatures w14:val="none"/>
        </w:rPr>
        <w:t xml:space="preserve">The war on drugs has been controversial since its inception, with critics arguing that it has been ineffective and has had negative consequences. Critics argue that the policy has failed to reduce drug use and drug-related crime, and that it has had </w:t>
      </w:r>
      <w:proofErr w:type="gramStart"/>
      <w:r w:rsidRPr="00C15879">
        <w:rPr>
          <w:rFonts w:ascii="Arial" w:eastAsia="Times New Roman" w:hAnsi="Arial" w:cs="Arial"/>
          <w:color w:val="222222"/>
          <w:kern w:val="0"/>
          <w:sz w:val="24"/>
          <w:szCs w:val="24"/>
          <w:lang w:eastAsia="en-GB"/>
          <w14:ligatures w14:val="none"/>
        </w:rPr>
        <w:t>a number of</w:t>
      </w:r>
      <w:proofErr w:type="gramEnd"/>
      <w:r w:rsidRPr="00C15879">
        <w:rPr>
          <w:rFonts w:ascii="Arial" w:eastAsia="Times New Roman" w:hAnsi="Arial" w:cs="Arial"/>
          <w:color w:val="222222"/>
          <w:kern w:val="0"/>
          <w:sz w:val="24"/>
          <w:szCs w:val="24"/>
          <w:lang w:eastAsia="en-GB"/>
          <w14:ligatures w14:val="none"/>
        </w:rPr>
        <w:t xml:space="preserve"> unintended consequences, such as increased incarceration rates, increased drug-related violence, and increased health risks associated with drug use. Despite these criticisms, the war on drugs has remained a major part of drug policy in both the UK and US.</w:t>
      </w:r>
    </w:p>
    <w:p w14:paraId="14EAFEA1" w14:textId="77777777" w:rsidR="00B75DA1" w:rsidRDefault="00B75DA1" w:rsidP="00EE118A"/>
    <w:p w14:paraId="49619475" w14:textId="77777777" w:rsidR="004B1DFE" w:rsidRDefault="004B1DFE" w:rsidP="004B1DFE">
      <w:pPr>
        <w:shd w:val="clear" w:color="auto" w:fill="FFFFFF"/>
        <w:spacing w:after="0" w:line="240" w:lineRule="auto"/>
        <w:rPr>
          <w:rFonts w:ascii="Arial" w:eastAsia="Times New Roman" w:hAnsi="Arial" w:cs="Arial"/>
          <w:color w:val="222222"/>
          <w:kern w:val="0"/>
          <w:sz w:val="24"/>
          <w:szCs w:val="24"/>
          <w:lang w:eastAsia="en-GB"/>
          <w14:ligatures w14:val="none"/>
        </w:rPr>
      </w:pPr>
      <w:r w:rsidRPr="00C15879">
        <w:rPr>
          <w:rFonts w:ascii="Arial" w:eastAsia="Times New Roman" w:hAnsi="Arial" w:cs="Arial"/>
          <w:color w:val="222222"/>
          <w:kern w:val="0"/>
          <w:sz w:val="24"/>
          <w:szCs w:val="24"/>
          <w:lang w:eastAsia="en-GB"/>
          <w14:ligatures w14:val="none"/>
        </w:rPr>
        <w:t xml:space="preserve">In conclusion, drug policy reform is an important step in addressing the harms associated with drug use, but it is not enough on its own. Addressing the root causes of drug use, providing effective drug education, expanding access to drug treatment, and implementing harm reduction strategies are all important tools for reducing the harms associated with drug use and creating healthier and more resilient communities. Community-based approaches to drug policy can help to engage communities in the development and implementation of drug </w:t>
      </w:r>
      <w:proofErr w:type="gramStart"/>
      <w:r w:rsidRPr="00C15879">
        <w:rPr>
          <w:rFonts w:ascii="Arial" w:eastAsia="Times New Roman" w:hAnsi="Arial" w:cs="Arial"/>
          <w:color w:val="222222"/>
          <w:kern w:val="0"/>
          <w:sz w:val="24"/>
          <w:szCs w:val="24"/>
          <w:lang w:eastAsia="en-GB"/>
          <w14:ligatures w14:val="none"/>
        </w:rPr>
        <w:t>policy, and</w:t>
      </w:r>
      <w:proofErr w:type="gramEnd"/>
      <w:r w:rsidRPr="00C15879">
        <w:rPr>
          <w:rFonts w:ascii="Arial" w:eastAsia="Times New Roman" w:hAnsi="Arial" w:cs="Arial"/>
          <w:color w:val="222222"/>
          <w:kern w:val="0"/>
          <w:sz w:val="24"/>
          <w:szCs w:val="24"/>
          <w:lang w:eastAsia="en-GB"/>
          <w14:ligatures w14:val="none"/>
        </w:rPr>
        <w:t xml:space="preserve"> empower them to take action to address drug-related harms. By working together to implement these strategies, we can reduce the harms associated with drug use, and create a more just and equitable society for everyone.</w:t>
      </w:r>
    </w:p>
    <w:p w14:paraId="3F8922F9" w14:textId="77777777" w:rsidR="004B1DFE" w:rsidRDefault="004B1DFE" w:rsidP="004B1DFE">
      <w:pPr>
        <w:shd w:val="clear" w:color="auto" w:fill="FFFFFF"/>
        <w:spacing w:after="0" w:line="240" w:lineRule="auto"/>
        <w:rPr>
          <w:rFonts w:ascii="Arial" w:eastAsia="Times New Roman" w:hAnsi="Arial" w:cs="Arial"/>
          <w:color w:val="222222"/>
          <w:kern w:val="0"/>
          <w:sz w:val="24"/>
          <w:szCs w:val="24"/>
          <w:lang w:eastAsia="en-GB"/>
          <w14:ligatures w14:val="none"/>
        </w:rPr>
      </w:pPr>
    </w:p>
    <w:p w14:paraId="3FCB16EA" w14:textId="71AF4A6A" w:rsidR="004B1DFE" w:rsidRDefault="004B1DFE" w:rsidP="00EE118A"/>
    <w:p w14:paraId="60C13CA1" w14:textId="77777777" w:rsidR="00D76AAE" w:rsidRDefault="00D76AAE" w:rsidP="00EE118A"/>
    <w:p w14:paraId="4DCC579C" w14:textId="77777777" w:rsidR="00EE118A" w:rsidRDefault="00EE118A" w:rsidP="00EE118A"/>
    <w:p w14:paraId="676454B0" w14:textId="77777777" w:rsidR="007A3984" w:rsidRDefault="007A3984" w:rsidP="00EE118A"/>
    <w:p w14:paraId="38E3735C" w14:textId="77777777" w:rsidR="007A3984" w:rsidRDefault="007A3984" w:rsidP="00EE118A"/>
    <w:p w14:paraId="49D470A2" w14:textId="77777777" w:rsidR="007A3984" w:rsidRDefault="007A3984" w:rsidP="00EE118A"/>
    <w:p w14:paraId="5B8089B6" w14:textId="77777777" w:rsidR="007A3984" w:rsidRDefault="007A3984" w:rsidP="00EE118A"/>
    <w:p w14:paraId="6094E681" w14:textId="77777777" w:rsidR="007A3984" w:rsidRDefault="007A3984" w:rsidP="00EE118A"/>
    <w:p w14:paraId="3FD82372" w14:textId="77777777" w:rsidR="007A3984" w:rsidRDefault="007A3984" w:rsidP="00EE118A"/>
    <w:p w14:paraId="3839C36C" w14:textId="77777777" w:rsidR="007A3984" w:rsidRDefault="007A3984" w:rsidP="00EE118A"/>
    <w:p w14:paraId="1A490CB8" w14:textId="77777777" w:rsidR="007A3984" w:rsidRDefault="007A3984" w:rsidP="00EE118A"/>
    <w:p w14:paraId="5C60BE8F" w14:textId="77777777" w:rsidR="004B1DFE" w:rsidRDefault="004B1DFE" w:rsidP="00EE118A"/>
    <w:p w14:paraId="447523C5" w14:textId="77777777" w:rsidR="004B1DFE" w:rsidRDefault="004B1DFE" w:rsidP="00EE118A"/>
    <w:p w14:paraId="6150B7A8" w14:textId="77777777" w:rsidR="004B1DFE" w:rsidRDefault="004B1DFE" w:rsidP="00EE118A"/>
    <w:p w14:paraId="7A999B55" w14:textId="77777777" w:rsidR="007A3984" w:rsidRDefault="007A3984" w:rsidP="00EE118A"/>
    <w:p w14:paraId="025C3379" w14:textId="0075D176" w:rsidR="007A3984" w:rsidRDefault="007A3984" w:rsidP="00EE118A"/>
    <w:sdt>
      <w:sdtPr>
        <w:rPr>
          <w:rFonts w:asciiTheme="minorHAnsi" w:eastAsiaTheme="minorHAnsi" w:hAnsiTheme="minorHAnsi" w:cstheme="minorBidi"/>
          <w:color w:val="auto"/>
          <w:kern w:val="2"/>
          <w:sz w:val="22"/>
          <w:szCs w:val="22"/>
          <w:lang w:val="en-GB"/>
          <w14:ligatures w14:val="standardContextual"/>
        </w:rPr>
        <w:id w:val="-1998487232"/>
        <w:docPartObj>
          <w:docPartGallery w:val="Bibliographies"/>
          <w:docPartUnique/>
        </w:docPartObj>
      </w:sdtPr>
      <w:sdtEndPr/>
      <w:sdtContent>
        <w:p w14:paraId="30B08E21" w14:textId="35EC471E" w:rsidR="00FE7E9A" w:rsidRDefault="00FE7E9A">
          <w:pPr>
            <w:pStyle w:val="Heading1"/>
          </w:pPr>
          <w:r>
            <w:t>References</w:t>
          </w:r>
        </w:p>
        <w:sdt>
          <w:sdtPr>
            <w:id w:val="-573587230"/>
            <w:bibliography/>
          </w:sdtPr>
          <w:sdtEndPr/>
          <w:sdtContent>
            <w:p w14:paraId="3B702C24" w14:textId="09C4F60D" w:rsidR="00FE7E9A" w:rsidRDefault="00FE7E9A" w:rsidP="00FE7E9A">
              <w:pPr>
                <w:pStyle w:val="Bibliography"/>
                <w:rPr>
                  <w:noProof/>
                  <w:kern w:val="0"/>
                  <w:sz w:val="24"/>
                  <w:szCs w:val="24"/>
                  <w:lang w:val="en-US"/>
                  <w14:ligatures w14:val="none"/>
                </w:rPr>
              </w:pPr>
              <w:r>
                <w:fldChar w:fldCharType="begin"/>
              </w:r>
              <w:r>
                <w:instrText xml:space="preserve"> BIBLIOGRAPHY </w:instrText>
              </w:r>
              <w:r>
                <w:fldChar w:fldCharType="separate"/>
              </w:r>
              <w:r>
                <w:rPr>
                  <w:noProof/>
                  <w:lang w:val="en-US"/>
                </w:rPr>
                <w:t xml:space="preserve">Cooper H.l et al ., 2005. The impact of police drug crackdown on drug injectors' ability to practice harm reduction: a qualitative study. </w:t>
              </w:r>
              <w:r>
                <w:rPr>
                  <w:i/>
                  <w:iCs/>
                  <w:noProof/>
                  <w:lang w:val="en-US"/>
                </w:rPr>
                <w:t xml:space="preserve">Social Science &amp; Medicine , </w:t>
              </w:r>
              <w:r>
                <w:rPr>
                  <w:noProof/>
                  <w:lang w:val="en-US"/>
                </w:rPr>
                <w:t>61(3), pp. 673-684.</w:t>
              </w:r>
            </w:p>
            <w:p w14:paraId="595A34D4" w14:textId="623F2AD2" w:rsidR="00FE7E9A" w:rsidRDefault="00FE7E9A" w:rsidP="00FE7E9A">
              <w:pPr>
                <w:pStyle w:val="Bibliography"/>
                <w:rPr>
                  <w:noProof/>
                  <w:lang w:val="en-US"/>
                </w:rPr>
              </w:pPr>
              <w:r>
                <w:rPr>
                  <w:noProof/>
                  <w:lang w:val="en-US"/>
                </w:rPr>
                <w:t xml:space="preserve">Sherman L.W et al., 1995. Deterrent effects of police raids on crack houses: A randomized, controlled experiment. </w:t>
              </w:r>
              <w:r>
                <w:rPr>
                  <w:i/>
                  <w:iCs/>
                  <w:noProof/>
                  <w:lang w:val="en-US"/>
                </w:rPr>
                <w:t xml:space="preserve">Justice Quarterly, </w:t>
              </w:r>
              <w:r>
                <w:rPr>
                  <w:noProof/>
                  <w:lang w:val="en-US"/>
                </w:rPr>
                <w:t>Volume 22, pp. 22-45.</w:t>
              </w:r>
            </w:p>
            <w:p w14:paraId="74A98D91" w14:textId="77777777" w:rsidR="00FE7E9A" w:rsidRDefault="00FE7E9A" w:rsidP="00FE7E9A">
              <w:pPr>
                <w:pStyle w:val="Bibliography"/>
                <w:rPr>
                  <w:noProof/>
                  <w:lang w:val="en-US"/>
                </w:rPr>
              </w:pPr>
              <w:r>
                <w:rPr>
                  <w:noProof/>
                  <w:lang w:val="en-US"/>
                </w:rPr>
                <w:t xml:space="preserve">Baum, D., 1996. </w:t>
              </w:r>
              <w:r>
                <w:rPr>
                  <w:i/>
                  <w:iCs/>
                  <w:noProof/>
                  <w:lang w:val="en-US"/>
                </w:rPr>
                <w:t xml:space="preserve">Smoke and Mirrors: The War on Drugs and The Politice of Faliure. </w:t>
              </w:r>
              <w:r>
                <w:rPr>
                  <w:noProof/>
                  <w:lang w:val="en-US"/>
                </w:rPr>
                <w:t>Waltham MA: Little, Brown and Co.</w:t>
              </w:r>
            </w:p>
            <w:p w14:paraId="27A8EABD" w14:textId="77777777" w:rsidR="00FE7E9A" w:rsidRDefault="00FE7E9A" w:rsidP="00FE7E9A">
              <w:pPr>
                <w:pStyle w:val="Bibliography"/>
                <w:rPr>
                  <w:noProof/>
                  <w:lang w:val="en-US"/>
                </w:rPr>
              </w:pPr>
              <w:r>
                <w:rPr>
                  <w:noProof/>
                  <w:lang w:val="en-US"/>
                </w:rPr>
                <w:t xml:space="preserve">Bellis, M. e. a., 2015. </w:t>
              </w:r>
              <w:r>
                <w:rPr>
                  <w:i/>
                  <w:iCs/>
                  <w:noProof/>
                  <w:lang w:val="en-US"/>
                </w:rPr>
                <w:t xml:space="preserve">Adverse childhood experiences and their impact on health-harming behaviours in the welsh adult population. </w:t>
              </w:r>
              <w:r>
                <w:rPr>
                  <w:noProof/>
                  <w:lang w:val="en-US"/>
                </w:rPr>
                <w:t xml:space="preserve">[Online] </w:t>
              </w:r>
              <w:r>
                <w:rPr>
                  <w:noProof/>
                  <w:lang w:val="en-US"/>
                </w:rPr>
                <w:br/>
                <w:t xml:space="preserve">Available at: </w:t>
              </w:r>
              <w:r>
                <w:rPr>
                  <w:noProof/>
                  <w:u w:val="single"/>
                  <w:lang w:val="en-US"/>
                </w:rPr>
                <w:t>https://www.nphs.wales.nhs.uk:8080/ PRIDDocs.nsf/7c21215d6d0c613e80256f490030c05a/d488a38524 91bc1d80257f370038919e/$FILE/ACE%20Report%20FINAL%20(E).pdf</w:t>
              </w:r>
              <w:r>
                <w:rPr>
                  <w:noProof/>
                  <w:lang w:val="en-US"/>
                </w:rPr>
                <w:br/>
                <w:t>[Accessed 12 May 2023].</w:t>
              </w:r>
            </w:p>
            <w:p w14:paraId="16422044" w14:textId="77777777" w:rsidR="00FE7E9A" w:rsidRDefault="00FE7E9A" w:rsidP="00FE7E9A">
              <w:pPr>
                <w:pStyle w:val="Bibliography"/>
                <w:rPr>
                  <w:noProof/>
                  <w:lang w:val="en-US"/>
                </w:rPr>
              </w:pPr>
              <w:r>
                <w:rPr>
                  <w:noProof/>
                  <w:lang w:val="en-US"/>
                </w:rPr>
                <w:t xml:space="preserve">Benson B.L, e. a., 2001. The impact of drug enforcement on crime: An investigation of the opportunity cost of police resources. </w:t>
              </w:r>
              <w:r>
                <w:rPr>
                  <w:i/>
                  <w:iCs/>
                  <w:noProof/>
                  <w:lang w:val="en-US"/>
                </w:rPr>
                <w:t xml:space="preserve">Journal of Drug Issues, </w:t>
              </w:r>
              <w:r>
                <w:rPr>
                  <w:noProof/>
                  <w:lang w:val="en-US"/>
                </w:rPr>
                <w:t>31(4), pp. 989-1006.</w:t>
              </w:r>
            </w:p>
            <w:p w14:paraId="01DC8EBF" w14:textId="77777777" w:rsidR="00FE7E9A" w:rsidRDefault="00FE7E9A" w:rsidP="00FE7E9A">
              <w:pPr>
                <w:pStyle w:val="Bibliography"/>
                <w:rPr>
                  <w:noProof/>
                  <w:lang w:val="en-US"/>
                </w:rPr>
              </w:pPr>
              <w:r>
                <w:rPr>
                  <w:noProof/>
                  <w:lang w:val="en-US"/>
                </w:rPr>
                <w:t xml:space="preserve">Bertram E, e. a., 1996. </w:t>
              </w:r>
              <w:r>
                <w:rPr>
                  <w:i/>
                  <w:iCs/>
                  <w:noProof/>
                  <w:lang w:val="en-US"/>
                </w:rPr>
                <w:t xml:space="preserve">Drug War Politics: The Price of Denial. </w:t>
              </w:r>
              <w:r>
                <w:rPr>
                  <w:noProof/>
                  <w:lang w:val="en-US"/>
                </w:rPr>
                <w:t>California: University of California Press.</w:t>
              </w:r>
            </w:p>
            <w:p w14:paraId="055CF827" w14:textId="77777777" w:rsidR="00FE7E9A" w:rsidRDefault="00FE7E9A" w:rsidP="00FE7E9A">
              <w:pPr>
                <w:pStyle w:val="Bibliography"/>
                <w:rPr>
                  <w:noProof/>
                  <w:lang w:val="en-US"/>
                </w:rPr>
              </w:pPr>
              <w:r>
                <w:rPr>
                  <w:noProof/>
                  <w:lang w:val="en-US"/>
                </w:rPr>
                <w:t xml:space="preserve">Cohen A, e. a., 2022. How the war on drugs impacts social deteminants of health beyond the criminal legal system. </w:t>
              </w:r>
              <w:r>
                <w:rPr>
                  <w:i/>
                  <w:iCs/>
                  <w:noProof/>
                  <w:lang w:val="en-US"/>
                </w:rPr>
                <w:t xml:space="preserve">Annals of Medicine , </w:t>
              </w:r>
              <w:r>
                <w:rPr>
                  <w:noProof/>
                  <w:lang w:val="en-US"/>
                </w:rPr>
                <w:t>54(1), pp. 2024-2038.</w:t>
              </w:r>
            </w:p>
            <w:p w14:paraId="5AA89D93" w14:textId="77777777" w:rsidR="00FE7E9A" w:rsidRDefault="00FE7E9A" w:rsidP="00FE7E9A">
              <w:pPr>
                <w:pStyle w:val="Bibliography"/>
                <w:rPr>
                  <w:noProof/>
                  <w:lang w:val="en-US"/>
                </w:rPr>
              </w:pPr>
              <w:r>
                <w:rPr>
                  <w:noProof/>
                  <w:lang w:val="en-US"/>
                </w:rPr>
                <w:t xml:space="preserve">commons, H. o., 2019. </w:t>
              </w:r>
              <w:r>
                <w:rPr>
                  <w:i/>
                  <w:iCs/>
                  <w:noProof/>
                  <w:lang w:val="en-US"/>
                </w:rPr>
                <w:t xml:space="preserve">Health and Social Care Committee on Drugs Policy. </w:t>
              </w:r>
              <w:r>
                <w:rPr>
                  <w:noProof/>
                  <w:lang w:val="en-US"/>
                </w:rPr>
                <w:t xml:space="preserve">[Online] </w:t>
              </w:r>
              <w:r>
                <w:rPr>
                  <w:noProof/>
                  <w:lang w:val="en-US"/>
                </w:rPr>
                <w:br/>
                <w:t xml:space="preserve">Available at: </w:t>
              </w:r>
              <w:r>
                <w:rPr>
                  <w:noProof/>
                  <w:u w:val="single"/>
                  <w:lang w:val="en-US"/>
                </w:rPr>
                <w:t>https://publications.parliament.uk/pa/cm201919/ cmselect/cmhealth/143/143.pdf</w:t>
              </w:r>
              <w:r>
                <w:rPr>
                  <w:noProof/>
                  <w:lang w:val="en-US"/>
                </w:rPr>
                <w:br/>
                <w:t>[Accessed 12 May 2023].</w:t>
              </w:r>
            </w:p>
            <w:p w14:paraId="11B20416" w14:textId="77777777" w:rsidR="00FE7E9A" w:rsidRDefault="00FE7E9A" w:rsidP="00FE7E9A">
              <w:pPr>
                <w:pStyle w:val="Bibliography"/>
                <w:rPr>
                  <w:noProof/>
                  <w:lang w:val="en-US"/>
                </w:rPr>
              </w:pPr>
              <w:r>
                <w:rPr>
                  <w:noProof/>
                  <w:lang w:val="en-US"/>
                </w:rPr>
                <w:t xml:space="preserve">Csete, J. e. a., 2016. Public Health and International Drug Policy. </w:t>
              </w:r>
              <w:r>
                <w:rPr>
                  <w:i/>
                  <w:iCs/>
                  <w:noProof/>
                  <w:lang w:val="en-US"/>
                </w:rPr>
                <w:t xml:space="preserve">The Lancet, </w:t>
              </w:r>
              <w:r>
                <w:rPr>
                  <w:noProof/>
                  <w:lang w:val="en-US"/>
                </w:rPr>
                <w:t>387(10026), pp. 1427-1480.</w:t>
              </w:r>
            </w:p>
            <w:p w14:paraId="75537590" w14:textId="77777777" w:rsidR="00FE7E9A" w:rsidRDefault="00FE7E9A" w:rsidP="00FE7E9A">
              <w:pPr>
                <w:pStyle w:val="Bibliography"/>
                <w:rPr>
                  <w:noProof/>
                  <w:lang w:val="en-US"/>
                </w:rPr>
              </w:pPr>
              <w:r>
                <w:rPr>
                  <w:noProof/>
                  <w:lang w:val="en-US"/>
                </w:rPr>
                <w:t xml:space="preserve">Fischer, B. K. P. R. J. a. R. R., 1997. Charting WHO- goals for licit and illicit drugs for the year 2000: Are we "on track?". </w:t>
              </w:r>
              <w:r>
                <w:rPr>
                  <w:i/>
                  <w:iCs/>
                  <w:noProof/>
                  <w:lang w:val="en-US"/>
                </w:rPr>
                <w:t xml:space="preserve">Public Health, </w:t>
              </w:r>
              <w:r>
                <w:rPr>
                  <w:noProof/>
                  <w:lang w:val="en-US"/>
                </w:rPr>
                <w:t>111(5), pp. 271-5.</w:t>
              </w:r>
            </w:p>
            <w:p w14:paraId="1DD210A6" w14:textId="77777777" w:rsidR="00FE7E9A" w:rsidRDefault="00FE7E9A" w:rsidP="00FE7E9A">
              <w:pPr>
                <w:pStyle w:val="Bibliography"/>
                <w:rPr>
                  <w:noProof/>
                  <w:lang w:val="en-US"/>
                </w:rPr>
              </w:pPr>
              <w:r>
                <w:rPr>
                  <w:noProof/>
                  <w:lang w:val="en-US"/>
                </w:rPr>
                <w:t xml:space="preserve">Geuss, R., 2008. </w:t>
              </w:r>
              <w:r>
                <w:rPr>
                  <w:i/>
                  <w:iCs/>
                  <w:noProof/>
                  <w:lang w:val="en-US"/>
                </w:rPr>
                <w:t xml:space="preserve">Philosophy and real Politics. </w:t>
              </w:r>
              <w:r>
                <w:rPr>
                  <w:noProof/>
                  <w:lang w:val="en-US"/>
                </w:rPr>
                <w:t>Oxford: Princeton University Press.</w:t>
              </w:r>
            </w:p>
            <w:p w14:paraId="1ED5632F" w14:textId="77777777" w:rsidR="00FE7E9A" w:rsidRDefault="00FE7E9A" w:rsidP="00FE7E9A">
              <w:pPr>
                <w:pStyle w:val="Bibliography"/>
                <w:rPr>
                  <w:noProof/>
                  <w:lang w:val="en-US"/>
                </w:rPr>
              </w:pPr>
              <w:r>
                <w:rPr>
                  <w:noProof/>
                  <w:lang w:val="en-US"/>
                </w:rPr>
                <w:t xml:space="preserve">Gray, J., 2010. </w:t>
              </w:r>
              <w:r>
                <w:rPr>
                  <w:i/>
                  <w:iCs/>
                  <w:noProof/>
                  <w:lang w:val="en-US"/>
                </w:rPr>
                <w:t xml:space="preserve">Why Our Drug Laws Have Fialed: A Judicial Indictment of War on Drug. </w:t>
              </w:r>
              <w:r>
                <w:rPr>
                  <w:noProof/>
                  <w:lang w:val="en-US"/>
                </w:rPr>
                <w:t>Philadelphia, PA: Temple University Press.</w:t>
              </w:r>
            </w:p>
            <w:p w14:paraId="7B4AC25C" w14:textId="77777777" w:rsidR="00FE7E9A" w:rsidRDefault="00FE7E9A" w:rsidP="00FE7E9A">
              <w:pPr>
                <w:pStyle w:val="Bibliography"/>
                <w:rPr>
                  <w:noProof/>
                  <w:lang w:val="en-US"/>
                </w:rPr>
              </w:pPr>
              <w:r>
                <w:rPr>
                  <w:noProof/>
                  <w:lang w:val="en-US"/>
                </w:rPr>
                <w:t xml:space="preserve">Health, R. S. f. P., 2016. </w:t>
              </w:r>
              <w:r>
                <w:rPr>
                  <w:i/>
                  <w:iCs/>
                  <w:noProof/>
                  <w:lang w:val="en-US"/>
                </w:rPr>
                <w:t xml:space="preserve">Taking a new line on drugs. </w:t>
              </w:r>
              <w:r>
                <w:rPr>
                  <w:noProof/>
                  <w:lang w:val="en-US"/>
                </w:rPr>
                <w:t xml:space="preserve">[Online] </w:t>
              </w:r>
              <w:r>
                <w:rPr>
                  <w:noProof/>
                  <w:lang w:val="en-US"/>
                </w:rPr>
                <w:br/>
                <w:t xml:space="preserve">Available at: </w:t>
              </w:r>
              <w:r>
                <w:rPr>
                  <w:noProof/>
                  <w:u w:val="single"/>
                  <w:lang w:val="en-US"/>
                </w:rPr>
                <w:t xml:space="preserve">https ://www.rsph.org.uk/about-us/news/stop-criminalising-drug-users.html. </w:t>
              </w:r>
              <w:r>
                <w:rPr>
                  <w:noProof/>
                  <w:lang w:val="en-US"/>
                </w:rPr>
                <w:br/>
                <w:t>[Accessed 12 May 2023].</w:t>
              </w:r>
            </w:p>
            <w:p w14:paraId="7E0F3DC7" w14:textId="77777777" w:rsidR="00FE7E9A" w:rsidRDefault="00FE7E9A" w:rsidP="00FE7E9A">
              <w:pPr>
                <w:pStyle w:val="Bibliography"/>
                <w:rPr>
                  <w:noProof/>
                  <w:lang w:val="en-US"/>
                </w:rPr>
              </w:pPr>
              <w:r>
                <w:rPr>
                  <w:noProof/>
                  <w:lang w:val="en-US"/>
                </w:rPr>
                <w:t xml:space="preserve">Hickman, M. e. a., 2018. The impact of burenorphine and methadone on mortality: a primary care cohort study in the United Kingdom. </w:t>
              </w:r>
              <w:r>
                <w:rPr>
                  <w:i/>
                  <w:iCs/>
                  <w:noProof/>
                  <w:lang w:val="en-US"/>
                </w:rPr>
                <w:t xml:space="preserve">Addiction, </w:t>
              </w:r>
              <w:r>
                <w:rPr>
                  <w:noProof/>
                  <w:lang w:val="en-US"/>
                </w:rPr>
                <w:t>113(8), pp. 1461-1476.</w:t>
              </w:r>
            </w:p>
            <w:p w14:paraId="29C1ECF6" w14:textId="77777777" w:rsidR="00FE7E9A" w:rsidRDefault="00FE7E9A" w:rsidP="00FE7E9A">
              <w:pPr>
                <w:pStyle w:val="Bibliography"/>
                <w:rPr>
                  <w:noProof/>
                  <w:lang w:val="en-US"/>
                </w:rPr>
              </w:pPr>
              <w:r>
                <w:rPr>
                  <w:noProof/>
                  <w:lang w:val="en-US"/>
                </w:rPr>
                <w:t xml:space="preserve">Jones, P., 2022. </w:t>
              </w:r>
              <w:r>
                <w:rPr>
                  <w:i/>
                  <w:iCs/>
                  <w:noProof/>
                  <w:lang w:val="en-US"/>
                </w:rPr>
                <w:t xml:space="preserve">Drug Misuse in England and Wales: year ending June 2022. </w:t>
              </w:r>
              <w:r>
                <w:rPr>
                  <w:noProof/>
                  <w:lang w:val="en-US"/>
                </w:rPr>
                <w:t xml:space="preserve">[Online] </w:t>
              </w:r>
              <w:r>
                <w:rPr>
                  <w:noProof/>
                  <w:lang w:val="en-US"/>
                </w:rPr>
                <w:br/>
                <w:t xml:space="preserve">Available at: </w:t>
              </w:r>
              <w:r>
                <w:rPr>
                  <w:noProof/>
                  <w:u w:val="single"/>
                  <w:lang w:val="en-US"/>
                </w:rPr>
                <w:t>file:///C:/Users/User/Downloads/Drug%20misuse%20in%20England%20and%20Wales%20year%20ending%20June%202022.pdf</w:t>
              </w:r>
              <w:r>
                <w:rPr>
                  <w:noProof/>
                  <w:lang w:val="en-US"/>
                </w:rPr>
                <w:br/>
                <w:t>[Accessed 12 May 2023].</w:t>
              </w:r>
            </w:p>
            <w:p w14:paraId="0FAC61FA" w14:textId="77777777" w:rsidR="00FE7E9A" w:rsidRDefault="00FE7E9A" w:rsidP="00FE7E9A">
              <w:pPr>
                <w:pStyle w:val="Bibliography"/>
                <w:rPr>
                  <w:noProof/>
                  <w:lang w:val="en-US"/>
                </w:rPr>
              </w:pPr>
              <w:r>
                <w:rPr>
                  <w:noProof/>
                  <w:lang w:val="en-US"/>
                </w:rPr>
                <w:t xml:space="preserve">Kerr T, e. a., 2005. The public health and social impacts of drug market enforcemnet: A review of the evidence. </w:t>
              </w:r>
              <w:r>
                <w:rPr>
                  <w:i/>
                  <w:iCs/>
                  <w:noProof/>
                  <w:lang w:val="en-US"/>
                </w:rPr>
                <w:t xml:space="preserve">International Journal of Drug Policy, </w:t>
              </w:r>
              <w:r>
                <w:rPr>
                  <w:noProof/>
                  <w:lang w:val="en-US"/>
                </w:rPr>
                <w:t>Volume 16, pp. 210-220.</w:t>
              </w:r>
            </w:p>
            <w:p w14:paraId="633767AB" w14:textId="77777777" w:rsidR="00FE7E9A" w:rsidRDefault="00FE7E9A" w:rsidP="00FE7E9A">
              <w:pPr>
                <w:pStyle w:val="Bibliography"/>
                <w:rPr>
                  <w:noProof/>
                  <w:lang w:val="en-US"/>
                </w:rPr>
              </w:pPr>
              <w:r>
                <w:rPr>
                  <w:noProof/>
                  <w:lang w:val="en-US"/>
                </w:rPr>
                <w:t xml:space="preserve">Maher, L. a. D. D., 2012. Theorizing the role of the "war on drugs" in US punishment. </w:t>
              </w:r>
              <w:r>
                <w:rPr>
                  <w:i/>
                  <w:iCs/>
                  <w:noProof/>
                  <w:lang w:val="en-US"/>
                </w:rPr>
                <w:t xml:space="preserve">Theoretical Criminology, </w:t>
              </w:r>
              <w:r>
                <w:rPr>
                  <w:noProof/>
                  <w:lang w:val="en-US"/>
                </w:rPr>
                <w:t>Volume 16, pp. 175-199.</w:t>
              </w:r>
            </w:p>
            <w:p w14:paraId="5F90FFA2" w14:textId="77777777" w:rsidR="00FE7E9A" w:rsidRDefault="00FE7E9A" w:rsidP="00FE7E9A">
              <w:pPr>
                <w:pStyle w:val="Bibliography"/>
                <w:rPr>
                  <w:noProof/>
                  <w:lang w:val="en-US"/>
                </w:rPr>
              </w:pPr>
              <w:r>
                <w:rPr>
                  <w:noProof/>
                  <w:lang w:val="en-US"/>
                </w:rPr>
                <w:t xml:space="preserve">Mallea, P., 2014. </w:t>
              </w:r>
              <w:r>
                <w:rPr>
                  <w:i/>
                  <w:iCs/>
                  <w:noProof/>
                  <w:lang w:val="en-US"/>
                </w:rPr>
                <w:t xml:space="preserve">The war on drugs: a failed experiment. </w:t>
              </w:r>
              <w:r>
                <w:rPr>
                  <w:noProof/>
                  <w:lang w:val="en-US"/>
                </w:rPr>
                <w:t>Toronto: Dundurn.</w:t>
              </w:r>
            </w:p>
            <w:p w14:paraId="58ABD4FF" w14:textId="77777777" w:rsidR="00FE7E9A" w:rsidRDefault="00FE7E9A" w:rsidP="00FE7E9A">
              <w:pPr>
                <w:pStyle w:val="Bibliography"/>
                <w:rPr>
                  <w:noProof/>
                  <w:lang w:val="en-US"/>
                </w:rPr>
              </w:pPr>
              <w:r>
                <w:rPr>
                  <w:noProof/>
                  <w:lang w:val="en-US"/>
                </w:rPr>
                <w:t xml:space="preserve">Marmot, M. e. a., 2010. </w:t>
              </w:r>
              <w:r>
                <w:rPr>
                  <w:i/>
                  <w:iCs/>
                  <w:noProof/>
                  <w:lang w:val="en-US"/>
                </w:rPr>
                <w:t xml:space="preserve">Fair society, healty lives- the marmot review. </w:t>
              </w:r>
              <w:r>
                <w:rPr>
                  <w:noProof/>
                  <w:lang w:val="en-US"/>
                </w:rPr>
                <w:t xml:space="preserve">[Online] </w:t>
              </w:r>
              <w:r>
                <w:rPr>
                  <w:noProof/>
                  <w:lang w:val="en-US"/>
                </w:rPr>
                <w:br/>
                <w:t xml:space="preserve">Available at: </w:t>
              </w:r>
              <w:r>
                <w:rPr>
                  <w:noProof/>
                  <w:u w:val="single"/>
                  <w:lang w:val="en-US"/>
                </w:rPr>
                <w:t>https://www.instituteo fhealthequity.org/resources-reports/fair-society-healthy-lives-the-marmo t-review/fair-society-healthy-lives-full-report-pdf.pdf.</w:t>
              </w:r>
              <w:r>
                <w:rPr>
                  <w:noProof/>
                  <w:lang w:val="en-US"/>
                </w:rPr>
                <w:br/>
                <w:t>[Accessed 12 May 2023].</w:t>
              </w:r>
            </w:p>
            <w:p w14:paraId="53173119" w14:textId="77777777" w:rsidR="00FE7E9A" w:rsidRDefault="00FE7E9A" w:rsidP="00FE7E9A">
              <w:pPr>
                <w:pStyle w:val="Bibliography"/>
                <w:rPr>
                  <w:noProof/>
                  <w:lang w:val="en-US"/>
                </w:rPr>
              </w:pPr>
              <w:r>
                <w:rPr>
                  <w:noProof/>
                  <w:lang w:val="en-US"/>
                </w:rPr>
                <w:t xml:space="preserve">McKee, M. a. S. D., 2018. Revisiting the corporate and commercial determinants of health. </w:t>
              </w:r>
              <w:r>
                <w:rPr>
                  <w:i/>
                  <w:iCs/>
                  <w:noProof/>
                  <w:lang w:val="en-US"/>
                </w:rPr>
                <w:t xml:space="preserve">American Journal of public health, </w:t>
              </w:r>
              <w:r>
                <w:rPr>
                  <w:noProof/>
                  <w:lang w:val="en-US"/>
                </w:rPr>
                <w:t>108(9), pp. 1167-1170.</w:t>
              </w:r>
            </w:p>
            <w:p w14:paraId="3BC36C97" w14:textId="77777777" w:rsidR="00FE7E9A" w:rsidRDefault="00FE7E9A" w:rsidP="00FE7E9A">
              <w:pPr>
                <w:pStyle w:val="Bibliography"/>
                <w:rPr>
                  <w:noProof/>
                  <w:lang w:val="en-US"/>
                </w:rPr>
              </w:pPr>
              <w:r>
                <w:rPr>
                  <w:noProof/>
                  <w:lang w:val="en-US"/>
                </w:rPr>
                <w:t xml:space="preserve">Nations, U., 2019. </w:t>
              </w:r>
              <w:r>
                <w:rPr>
                  <w:i/>
                  <w:iCs/>
                  <w:noProof/>
                  <w:lang w:val="en-US"/>
                </w:rPr>
                <w:t xml:space="preserve">Cheif Executives Board for Coordination. Second regular session of 2018- summary of deliberations. </w:t>
              </w:r>
              <w:r>
                <w:rPr>
                  <w:noProof/>
                  <w:lang w:val="en-US"/>
                </w:rPr>
                <w:t xml:space="preserve">[Online] </w:t>
              </w:r>
              <w:r>
                <w:rPr>
                  <w:noProof/>
                  <w:lang w:val="en-US"/>
                </w:rPr>
                <w:br/>
                <w:t xml:space="preserve">Available at: </w:t>
              </w:r>
              <w:r>
                <w:rPr>
                  <w:noProof/>
                  <w:u w:val="single"/>
                  <w:lang w:val="en-US"/>
                </w:rPr>
                <w:t>https://digitallibrary. un.org/record/3792232?ln=en</w:t>
              </w:r>
              <w:r>
                <w:rPr>
                  <w:noProof/>
                  <w:lang w:val="en-US"/>
                </w:rPr>
                <w:br/>
                <w:t>[Accessed 12 May 2023].</w:t>
              </w:r>
            </w:p>
            <w:p w14:paraId="5329B4E5" w14:textId="77777777" w:rsidR="00FE7E9A" w:rsidRDefault="00FE7E9A" w:rsidP="00FE7E9A">
              <w:pPr>
                <w:pStyle w:val="Bibliography"/>
                <w:rPr>
                  <w:noProof/>
                  <w:lang w:val="en-US"/>
                </w:rPr>
              </w:pPr>
              <w:r>
                <w:rPr>
                  <w:noProof/>
                  <w:lang w:val="en-US"/>
                </w:rPr>
                <w:t xml:space="preserve">Office, H., 2019. </w:t>
              </w:r>
              <w:r>
                <w:rPr>
                  <w:i/>
                  <w:iCs/>
                  <w:noProof/>
                  <w:lang w:val="en-US"/>
                </w:rPr>
                <w:t xml:space="preserve">Drug miuse: findings from the 2018/19 crime survey for England and Wales. </w:t>
              </w:r>
              <w:r>
                <w:rPr>
                  <w:noProof/>
                  <w:lang w:val="en-US"/>
                </w:rPr>
                <w:t xml:space="preserve">[Online] </w:t>
              </w:r>
              <w:r>
                <w:rPr>
                  <w:noProof/>
                  <w:lang w:val="en-US"/>
                </w:rPr>
                <w:br/>
                <w:t xml:space="preserve">Available at: </w:t>
              </w:r>
              <w:r>
                <w:rPr>
                  <w:noProof/>
                  <w:u w:val="single"/>
                  <w:lang w:val="en-US"/>
                </w:rPr>
                <w:t xml:space="preserve">https://assets.publishing.service.gov.uk/government/uploads/system/uploads/attachment_data/fle/832533/drug misuse-2019-hosb2119.pdf. </w:t>
              </w:r>
              <w:r>
                <w:rPr>
                  <w:noProof/>
                  <w:lang w:val="en-US"/>
                </w:rPr>
                <w:br/>
                <w:t>[Accessed 12 May 2023].</w:t>
              </w:r>
            </w:p>
            <w:p w14:paraId="020D9F72" w14:textId="77777777" w:rsidR="00FE7E9A" w:rsidRDefault="00FE7E9A" w:rsidP="00FE7E9A">
              <w:pPr>
                <w:pStyle w:val="Bibliography"/>
                <w:rPr>
                  <w:noProof/>
                  <w:lang w:val="en-US"/>
                </w:rPr>
              </w:pPr>
              <w:r>
                <w:rPr>
                  <w:noProof/>
                  <w:lang w:val="en-US"/>
                </w:rPr>
                <w:t xml:space="preserve">Police, C. A. o. C. o., 2020. </w:t>
              </w:r>
              <w:r>
                <w:rPr>
                  <w:i/>
                  <w:iCs/>
                  <w:noProof/>
                  <w:lang w:val="en-US"/>
                </w:rPr>
                <w:t xml:space="preserve">Canada's police leaders recommend adopting a public health led diversionary approach to illicit substance use. </w:t>
              </w:r>
              <w:r>
                <w:rPr>
                  <w:noProof/>
                  <w:lang w:val="en-US"/>
                </w:rPr>
                <w:t xml:space="preserve">[Online] </w:t>
              </w:r>
              <w:r>
                <w:rPr>
                  <w:noProof/>
                  <w:lang w:val="en-US"/>
                </w:rPr>
                <w:br/>
                <w:t xml:space="preserve">Available at: </w:t>
              </w:r>
              <w:r>
                <w:rPr>
                  <w:noProof/>
                  <w:u w:val="single"/>
                  <w:lang w:val="en-US"/>
                </w:rPr>
                <w:t>https://www.cacp.ca/news/canadas-police-leade rs-recommend-adopting-a-public-health-led-diversionary-approach-toillicit-subst.html</w:t>
              </w:r>
              <w:r>
                <w:rPr>
                  <w:noProof/>
                  <w:lang w:val="en-US"/>
                </w:rPr>
                <w:br/>
                <w:t>[Accessed 12 May 2023].</w:t>
              </w:r>
            </w:p>
            <w:p w14:paraId="5FAA7B41" w14:textId="77777777" w:rsidR="00FE7E9A" w:rsidRDefault="00FE7E9A" w:rsidP="00FE7E9A">
              <w:pPr>
                <w:pStyle w:val="Bibliography"/>
                <w:rPr>
                  <w:noProof/>
                  <w:lang w:val="en-US"/>
                </w:rPr>
              </w:pPr>
              <w:r>
                <w:rPr>
                  <w:noProof/>
                  <w:lang w:val="en-US"/>
                </w:rPr>
                <w:t xml:space="preserve">Prisons, H. I. o., 2015. </w:t>
              </w:r>
              <w:r>
                <w:rPr>
                  <w:i/>
                  <w:iCs/>
                  <w:noProof/>
                  <w:lang w:val="en-US"/>
                </w:rPr>
                <w:t xml:space="preserve">Changing patterns of substance misuse in adult prisons and service responses- a thematic review. </w:t>
              </w:r>
              <w:r>
                <w:rPr>
                  <w:noProof/>
                  <w:lang w:val="en-US"/>
                </w:rPr>
                <w:t xml:space="preserve">[Online] </w:t>
              </w:r>
              <w:r>
                <w:rPr>
                  <w:noProof/>
                  <w:lang w:val="en-US"/>
                </w:rPr>
                <w:br/>
                <w:t xml:space="preserve">Available at: </w:t>
              </w:r>
              <w:r>
                <w:rPr>
                  <w:noProof/>
                  <w:u w:val="single"/>
                  <w:lang w:val="en-US"/>
                </w:rPr>
                <w:t>https:// www.justiceinspectorates.gov.uk/hmiprisons/wp-content/uploads/sites /4/2015/12/Substance-misuse-web-2015.pdf</w:t>
              </w:r>
              <w:r>
                <w:rPr>
                  <w:noProof/>
                  <w:lang w:val="en-US"/>
                </w:rPr>
                <w:br/>
                <w:t>[Accessed 12 May 2023].</w:t>
              </w:r>
            </w:p>
            <w:p w14:paraId="2A475837" w14:textId="77777777" w:rsidR="00FE7E9A" w:rsidRDefault="00FE7E9A" w:rsidP="00FE7E9A">
              <w:pPr>
                <w:pStyle w:val="Bibliography"/>
                <w:rPr>
                  <w:noProof/>
                  <w:lang w:val="en-US"/>
                </w:rPr>
              </w:pPr>
              <w:r>
                <w:rPr>
                  <w:noProof/>
                  <w:lang w:val="en-US"/>
                </w:rPr>
                <w:t xml:space="preserve">Reuter, P. a. S. A., 2007. </w:t>
              </w:r>
              <w:r>
                <w:rPr>
                  <w:i/>
                  <w:iCs/>
                  <w:noProof/>
                  <w:lang w:val="en-US"/>
                </w:rPr>
                <w:t xml:space="preserve">An Analysis of UK Drug Policy- A Monograph Prepared for the UK Drug Policy Commission. </w:t>
              </w:r>
              <w:r>
                <w:rPr>
                  <w:noProof/>
                  <w:lang w:val="en-US"/>
                </w:rPr>
                <w:t xml:space="preserve">[Online] </w:t>
              </w:r>
              <w:r>
                <w:rPr>
                  <w:noProof/>
                  <w:lang w:val="en-US"/>
                </w:rPr>
                <w:br/>
                <w:t xml:space="preserve">Available at: </w:t>
              </w:r>
              <w:r>
                <w:rPr>
                  <w:noProof/>
                  <w:u w:val="single"/>
                  <w:lang w:val="en-US"/>
                </w:rPr>
                <w:t>https://kar.kent.ac.uk/13332/1/analysis_of_UK_drug_policy.pdf</w:t>
              </w:r>
              <w:r>
                <w:rPr>
                  <w:noProof/>
                  <w:lang w:val="en-US"/>
                </w:rPr>
                <w:br/>
                <w:t>[Accessed 12 May 2023].</w:t>
              </w:r>
            </w:p>
            <w:p w14:paraId="0E0FFA2B" w14:textId="77777777" w:rsidR="00FE7E9A" w:rsidRDefault="00FE7E9A" w:rsidP="00FE7E9A">
              <w:pPr>
                <w:pStyle w:val="Bibliography"/>
                <w:rPr>
                  <w:noProof/>
                  <w:lang w:val="en-US"/>
                </w:rPr>
              </w:pPr>
              <w:r>
                <w:rPr>
                  <w:noProof/>
                  <w:lang w:val="en-US"/>
                </w:rPr>
                <w:t xml:space="preserve">Sherman, L., 1990. Police crackdowns: Initial and residual deterrence. </w:t>
              </w:r>
              <w:r>
                <w:rPr>
                  <w:i/>
                  <w:iCs/>
                  <w:noProof/>
                  <w:lang w:val="en-US"/>
                </w:rPr>
                <w:t xml:space="preserve">Crime and Justice, </w:t>
              </w:r>
              <w:r>
                <w:rPr>
                  <w:noProof/>
                  <w:lang w:val="en-US"/>
                </w:rPr>
                <w:t>Volume 12, pp. 1-48.</w:t>
              </w:r>
            </w:p>
            <w:p w14:paraId="15FD0257" w14:textId="77777777" w:rsidR="00FE7E9A" w:rsidRDefault="00FE7E9A" w:rsidP="00FE7E9A">
              <w:pPr>
                <w:pStyle w:val="Bibliography"/>
                <w:rPr>
                  <w:noProof/>
                  <w:lang w:val="en-US"/>
                </w:rPr>
              </w:pPr>
              <w:r>
                <w:rPr>
                  <w:noProof/>
                  <w:lang w:val="en-US"/>
                </w:rPr>
                <w:t xml:space="preserve">Tonry, M., 1994a. Race and the war on drugs. </w:t>
              </w:r>
              <w:r>
                <w:rPr>
                  <w:i/>
                  <w:iCs/>
                  <w:noProof/>
                  <w:lang w:val="en-US"/>
                </w:rPr>
                <w:t xml:space="preserve">The University of Chicago Legal Forum, </w:t>
              </w:r>
              <w:r>
                <w:rPr>
                  <w:noProof/>
                  <w:lang w:val="en-US"/>
                </w:rPr>
                <w:t>Volume 25, pp. 25-81.</w:t>
              </w:r>
            </w:p>
            <w:p w14:paraId="264F785B" w14:textId="77777777" w:rsidR="00FE7E9A" w:rsidRDefault="00FE7E9A" w:rsidP="00FE7E9A">
              <w:pPr>
                <w:pStyle w:val="Bibliography"/>
                <w:rPr>
                  <w:noProof/>
                  <w:lang w:val="en-US"/>
                </w:rPr>
              </w:pPr>
              <w:r>
                <w:rPr>
                  <w:noProof/>
                  <w:lang w:val="en-US"/>
                </w:rPr>
                <w:t xml:space="preserve">Werb, D. e. a., 2011. Effect of drug law enforcement on drug market violence: A systematice Review. </w:t>
              </w:r>
              <w:r>
                <w:rPr>
                  <w:i/>
                  <w:iCs/>
                  <w:noProof/>
                  <w:lang w:val="en-US"/>
                </w:rPr>
                <w:t xml:space="preserve">International Journal of Drug Policy, </w:t>
              </w:r>
              <w:r>
                <w:rPr>
                  <w:noProof/>
                  <w:lang w:val="en-US"/>
                </w:rPr>
                <w:t>22(2), pp. 87-94.</w:t>
              </w:r>
            </w:p>
            <w:p w14:paraId="0049479B" w14:textId="05234A76" w:rsidR="00FE7E9A" w:rsidRDefault="00FE7E9A" w:rsidP="00FE7E9A">
              <w:r>
                <w:rPr>
                  <w:b/>
                  <w:bCs/>
                  <w:noProof/>
                </w:rPr>
                <w:fldChar w:fldCharType="end"/>
              </w:r>
            </w:p>
          </w:sdtContent>
        </w:sdt>
      </w:sdtContent>
    </w:sdt>
    <w:p w14:paraId="097E7D84" w14:textId="60DD9BD8" w:rsidR="00FE7E9A" w:rsidRDefault="00FE7E9A" w:rsidP="00FE7E9A"/>
    <w:p w14:paraId="2FAC9EA2" w14:textId="3C0BD6A3" w:rsidR="007A3984" w:rsidRDefault="007A3984" w:rsidP="00070CCB"/>
    <w:p w14:paraId="68FDD5C3" w14:textId="2EECDE9B" w:rsidR="007A3984" w:rsidRDefault="007A3984" w:rsidP="00EE118A"/>
    <w:sectPr w:rsidR="007A398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118A"/>
    <w:rsid w:val="00070CCB"/>
    <w:rsid w:val="002A709A"/>
    <w:rsid w:val="00375EAB"/>
    <w:rsid w:val="004037F7"/>
    <w:rsid w:val="004A487A"/>
    <w:rsid w:val="004B1DFE"/>
    <w:rsid w:val="006C3F90"/>
    <w:rsid w:val="007A3984"/>
    <w:rsid w:val="007C23D4"/>
    <w:rsid w:val="00AA4321"/>
    <w:rsid w:val="00B75DA1"/>
    <w:rsid w:val="00BC6274"/>
    <w:rsid w:val="00C235A5"/>
    <w:rsid w:val="00D76AAE"/>
    <w:rsid w:val="00EE118A"/>
    <w:rsid w:val="00F6392E"/>
    <w:rsid w:val="00F9516D"/>
    <w:rsid w:val="00FE7E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F7C18C"/>
  <w15:docId w15:val="{FC6C6099-886F-45E9-B0FC-F47CF6180A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E118A"/>
  </w:style>
  <w:style w:type="paragraph" w:styleId="Heading1">
    <w:name w:val="heading 1"/>
    <w:basedOn w:val="Normal"/>
    <w:next w:val="Normal"/>
    <w:link w:val="Heading1Char"/>
    <w:uiPriority w:val="9"/>
    <w:qFormat/>
    <w:rsid w:val="007A3984"/>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ody-paragraph">
    <w:name w:val="body-paragraph"/>
    <w:basedOn w:val="Normal"/>
    <w:rsid w:val="00EE118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EE118A"/>
    <w:rPr>
      <w:color w:val="0563C1" w:themeColor="hyperlink"/>
      <w:u w:val="single"/>
    </w:rPr>
  </w:style>
  <w:style w:type="character" w:styleId="UnresolvedMention">
    <w:name w:val="Unresolved Mention"/>
    <w:basedOn w:val="DefaultParagraphFont"/>
    <w:uiPriority w:val="99"/>
    <w:semiHidden/>
    <w:unhideWhenUsed/>
    <w:rsid w:val="00D76AAE"/>
    <w:rPr>
      <w:color w:val="605E5C"/>
      <w:shd w:val="clear" w:color="auto" w:fill="E1DFDD"/>
    </w:rPr>
  </w:style>
  <w:style w:type="character" w:styleId="FollowedHyperlink">
    <w:name w:val="FollowedHyperlink"/>
    <w:basedOn w:val="DefaultParagraphFont"/>
    <w:uiPriority w:val="99"/>
    <w:semiHidden/>
    <w:unhideWhenUsed/>
    <w:rsid w:val="00D76AAE"/>
    <w:rPr>
      <w:color w:val="954F72" w:themeColor="followedHyperlink"/>
      <w:u w:val="single"/>
    </w:rPr>
  </w:style>
  <w:style w:type="character" w:customStyle="1" w:styleId="Heading1Char">
    <w:name w:val="Heading 1 Char"/>
    <w:basedOn w:val="DefaultParagraphFont"/>
    <w:link w:val="Heading1"/>
    <w:uiPriority w:val="9"/>
    <w:rsid w:val="007A3984"/>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7A3984"/>
  </w:style>
  <w:style w:type="character" w:customStyle="1" w:styleId="ref-journal">
    <w:name w:val="ref-journal"/>
    <w:basedOn w:val="DefaultParagraphFont"/>
    <w:rsid w:val="00F9516D"/>
  </w:style>
  <w:style w:type="character" w:customStyle="1" w:styleId="ref-vol">
    <w:name w:val="ref-vol"/>
    <w:basedOn w:val="DefaultParagraphFont"/>
    <w:rsid w:val="00F9516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438949">
      <w:bodyDiv w:val="1"/>
      <w:marLeft w:val="0"/>
      <w:marRight w:val="0"/>
      <w:marTop w:val="0"/>
      <w:marBottom w:val="0"/>
      <w:divBdr>
        <w:top w:val="none" w:sz="0" w:space="0" w:color="auto"/>
        <w:left w:val="none" w:sz="0" w:space="0" w:color="auto"/>
        <w:bottom w:val="none" w:sz="0" w:space="0" w:color="auto"/>
        <w:right w:val="none" w:sz="0" w:space="0" w:color="auto"/>
      </w:divBdr>
    </w:div>
    <w:div w:id="112746211">
      <w:bodyDiv w:val="1"/>
      <w:marLeft w:val="0"/>
      <w:marRight w:val="0"/>
      <w:marTop w:val="0"/>
      <w:marBottom w:val="0"/>
      <w:divBdr>
        <w:top w:val="none" w:sz="0" w:space="0" w:color="auto"/>
        <w:left w:val="none" w:sz="0" w:space="0" w:color="auto"/>
        <w:bottom w:val="none" w:sz="0" w:space="0" w:color="auto"/>
        <w:right w:val="none" w:sz="0" w:space="0" w:color="auto"/>
      </w:divBdr>
    </w:div>
    <w:div w:id="119306012">
      <w:bodyDiv w:val="1"/>
      <w:marLeft w:val="0"/>
      <w:marRight w:val="0"/>
      <w:marTop w:val="0"/>
      <w:marBottom w:val="0"/>
      <w:divBdr>
        <w:top w:val="none" w:sz="0" w:space="0" w:color="auto"/>
        <w:left w:val="none" w:sz="0" w:space="0" w:color="auto"/>
        <w:bottom w:val="none" w:sz="0" w:space="0" w:color="auto"/>
        <w:right w:val="none" w:sz="0" w:space="0" w:color="auto"/>
      </w:divBdr>
    </w:div>
    <w:div w:id="133302276">
      <w:bodyDiv w:val="1"/>
      <w:marLeft w:val="0"/>
      <w:marRight w:val="0"/>
      <w:marTop w:val="0"/>
      <w:marBottom w:val="0"/>
      <w:divBdr>
        <w:top w:val="none" w:sz="0" w:space="0" w:color="auto"/>
        <w:left w:val="none" w:sz="0" w:space="0" w:color="auto"/>
        <w:bottom w:val="none" w:sz="0" w:space="0" w:color="auto"/>
        <w:right w:val="none" w:sz="0" w:space="0" w:color="auto"/>
      </w:divBdr>
    </w:div>
    <w:div w:id="206453478">
      <w:bodyDiv w:val="1"/>
      <w:marLeft w:val="0"/>
      <w:marRight w:val="0"/>
      <w:marTop w:val="0"/>
      <w:marBottom w:val="0"/>
      <w:divBdr>
        <w:top w:val="none" w:sz="0" w:space="0" w:color="auto"/>
        <w:left w:val="none" w:sz="0" w:space="0" w:color="auto"/>
        <w:bottom w:val="none" w:sz="0" w:space="0" w:color="auto"/>
        <w:right w:val="none" w:sz="0" w:space="0" w:color="auto"/>
      </w:divBdr>
    </w:div>
    <w:div w:id="262038846">
      <w:bodyDiv w:val="1"/>
      <w:marLeft w:val="0"/>
      <w:marRight w:val="0"/>
      <w:marTop w:val="0"/>
      <w:marBottom w:val="0"/>
      <w:divBdr>
        <w:top w:val="none" w:sz="0" w:space="0" w:color="auto"/>
        <w:left w:val="none" w:sz="0" w:space="0" w:color="auto"/>
        <w:bottom w:val="none" w:sz="0" w:space="0" w:color="auto"/>
        <w:right w:val="none" w:sz="0" w:space="0" w:color="auto"/>
      </w:divBdr>
    </w:div>
    <w:div w:id="276838961">
      <w:bodyDiv w:val="1"/>
      <w:marLeft w:val="0"/>
      <w:marRight w:val="0"/>
      <w:marTop w:val="0"/>
      <w:marBottom w:val="0"/>
      <w:divBdr>
        <w:top w:val="none" w:sz="0" w:space="0" w:color="auto"/>
        <w:left w:val="none" w:sz="0" w:space="0" w:color="auto"/>
        <w:bottom w:val="none" w:sz="0" w:space="0" w:color="auto"/>
        <w:right w:val="none" w:sz="0" w:space="0" w:color="auto"/>
      </w:divBdr>
    </w:div>
    <w:div w:id="298459814">
      <w:bodyDiv w:val="1"/>
      <w:marLeft w:val="0"/>
      <w:marRight w:val="0"/>
      <w:marTop w:val="0"/>
      <w:marBottom w:val="0"/>
      <w:divBdr>
        <w:top w:val="none" w:sz="0" w:space="0" w:color="auto"/>
        <w:left w:val="none" w:sz="0" w:space="0" w:color="auto"/>
        <w:bottom w:val="none" w:sz="0" w:space="0" w:color="auto"/>
        <w:right w:val="none" w:sz="0" w:space="0" w:color="auto"/>
      </w:divBdr>
    </w:div>
    <w:div w:id="353502743">
      <w:bodyDiv w:val="1"/>
      <w:marLeft w:val="0"/>
      <w:marRight w:val="0"/>
      <w:marTop w:val="0"/>
      <w:marBottom w:val="0"/>
      <w:divBdr>
        <w:top w:val="none" w:sz="0" w:space="0" w:color="auto"/>
        <w:left w:val="none" w:sz="0" w:space="0" w:color="auto"/>
        <w:bottom w:val="none" w:sz="0" w:space="0" w:color="auto"/>
        <w:right w:val="none" w:sz="0" w:space="0" w:color="auto"/>
      </w:divBdr>
    </w:div>
    <w:div w:id="359816997">
      <w:bodyDiv w:val="1"/>
      <w:marLeft w:val="0"/>
      <w:marRight w:val="0"/>
      <w:marTop w:val="0"/>
      <w:marBottom w:val="0"/>
      <w:divBdr>
        <w:top w:val="none" w:sz="0" w:space="0" w:color="auto"/>
        <w:left w:val="none" w:sz="0" w:space="0" w:color="auto"/>
        <w:bottom w:val="none" w:sz="0" w:space="0" w:color="auto"/>
        <w:right w:val="none" w:sz="0" w:space="0" w:color="auto"/>
      </w:divBdr>
    </w:div>
    <w:div w:id="374086035">
      <w:bodyDiv w:val="1"/>
      <w:marLeft w:val="0"/>
      <w:marRight w:val="0"/>
      <w:marTop w:val="0"/>
      <w:marBottom w:val="0"/>
      <w:divBdr>
        <w:top w:val="none" w:sz="0" w:space="0" w:color="auto"/>
        <w:left w:val="none" w:sz="0" w:space="0" w:color="auto"/>
        <w:bottom w:val="none" w:sz="0" w:space="0" w:color="auto"/>
        <w:right w:val="none" w:sz="0" w:space="0" w:color="auto"/>
      </w:divBdr>
    </w:div>
    <w:div w:id="405036804">
      <w:bodyDiv w:val="1"/>
      <w:marLeft w:val="0"/>
      <w:marRight w:val="0"/>
      <w:marTop w:val="0"/>
      <w:marBottom w:val="0"/>
      <w:divBdr>
        <w:top w:val="none" w:sz="0" w:space="0" w:color="auto"/>
        <w:left w:val="none" w:sz="0" w:space="0" w:color="auto"/>
        <w:bottom w:val="none" w:sz="0" w:space="0" w:color="auto"/>
        <w:right w:val="none" w:sz="0" w:space="0" w:color="auto"/>
      </w:divBdr>
    </w:div>
    <w:div w:id="455491957">
      <w:bodyDiv w:val="1"/>
      <w:marLeft w:val="0"/>
      <w:marRight w:val="0"/>
      <w:marTop w:val="0"/>
      <w:marBottom w:val="0"/>
      <w:divBdr>
        <w:top w:val="none" w:sz="0" w:space="0" w:color="auto"/>
        <w:left w:val="none" w:sz="0" w:space="0" w:color="auto"/>
        <w:bottom w:val="none" w:sz="0" w:space="0" w:color="auto"/>
        <w:right w:val="none" w:sz="0" w:space="0" w:color="auto"/>
      </w:divBdr>
    </w:div>
    <w:div w:id="493497318">
      <w:bodyDiv w:val="1"/>
      <w:marLeft w:val="0"/>
      <w:marRight w:val="0"/>
      <w:marTop w:val="0"/>
      <w:marBottom w:val="0"/>
      <w:divBdr>
        <w:top w:val="none" w:sz="0" w:space="0" w:color="auto"/>
        <w:left w:val="none" w:sz="0" w:space="0" w:color="auto"/>
        <w:bottom w:val="none" w:sz="0" w:space="0" w:color="auto"/>
        <w:right w:val="none" w:sz="0" w:space="0" w:color="auto"/>
      </w:divBdr>
    </w:div>
    <w:div w:id="547492638">
      <w:bodyDiv w:val="1"/>
      <w:marLeft w:val="0"/>
      <w:marRight w:val="0"/>
      <w:marTop w:val="0"/>
      <w:marBottom w:val="0"/>
      <w:divBdr>
        <w:top w:val="none" w:sz="0" w:space="0" w:color="auto"/>
        <w:left w:val="none" w:sz="0" w:space="0" w:color="auto"/>
        <w:bottom w:val="none" w:sz="0" w:space="0" w:color="auto"/>
        <w:right w:val="none" w:sz="0" w:space="0" w:color="auto"/>
      </w:divBdr>
    </w:div>
    <w:div w:id="576132443">
      <w:bodyDiv w:val="1"/>
      <w:marLeft w:val="0"/>
      <w:marRight w:val="0"/>
      <w:marTop w:val="0"/>
      <w:marBottom w:val="0"/>
      <w:divBdr>
        <w:top w:val="none" w:sz="0" w:space="0" w:color="auto"/>
        <w:left w:val="none" w:sz="0" w:space="0" w:color="auto"/>
        <w:bottom w:val="none" w:sz="0" w:space="0" w:color="auto"/>
        <w:right w:val="none" w:sz="0" w:space="0" w:color="auto"/>
      </w:divBdr>
    </w:div>
    <w:div w:id="610208907">
      <w:bodyDiv w:val="1"/>
      <w:marLeft w:val="0"/>
      <w:marRight w:val="0"/>
      <w:marTop w:val="0"/>
      <w:marBottom w:val="0"/>
      <w:divBdr>
        <w:top w:val="none" w:sz="0" w:space="0" w:color="auto"/>
        <w:left w:val="none" w:sz="0" w:space="0" w:color="auto"/>
        <w:bottom w:val="none" w:sz="0" w:space="0" w:color="auto"/>
        <w:right w:val="none" w:sz="0" w:space="0" w:color="auto"/>
      </w:divBdr>
    </w:div>
    <w:div w:id="620694429">
      <w:bodyDiv w:val="1"/>
      <w:marLeft w:val="0"/>
      <w:marRight w:val="0"/>
      <w:marTop w:val="0"/>
      <w:marBottom w:val="0"/>
      <w:divBdr>
        <w:top w:val="none" w:sz="0" w:space="0" w:color="auto"/>
        <w:left w:val="none" w:sz="0" w:space="0" w:color="auto"/>
        <w:bottom w:val="none" w:sz="0" w:space="0" w:color="auto"/>
        <w:right w:val="none" w:sz="0" w:space="0" w:color="auto"/>
      </w:divBdr>
    </w:div>
    <w:div w:id="661003051">
      <w:bodyDiv w:val="1"/>
      <w:marLeft w:val="0"/>
      <w:marRight w:val="0"/>
      <w:marTop w:val="0"/>
      <w:marBottom w:val="0"/>
      <w:divBdr>
        <w:top w:val="none" w:sz="0" w:space="0" w:color="auto"/>
        <w:left w:val="none" w:sz="0" w:space="0" w:color="auto"/>
        <w:bottom w:val="none" w:sz="0" w:space="0" w:color="auto"/>
        <w:right w:val="none" w:sz="0" w:space="0" w:color="auto"/>
      </w:divBdr>
    </w:div>
    <w:div w:id="759107470">
      <w:bodyDiv w:val="1"/>
      <w:marLeft w:val="0"/>
      <w:marRight w:val="0"/>
      <w:marTop w:val="0"/>
      <w:marBottom w:val="0"/>
      <w:divBdr>
        <w:top w:val="none" w:sz="0" w:space="0" w:color="auto"/>
        <w:left w:val="none" w:sz="0" w:space="0" w:color="auto"/>
        <w:bottom w:val="none" w:sz="0" w:space="0" w:color="auto"/>
        <w:right w:val="none" w:sz="0" w:space="0" w:color="auto"/>
      </w:divBdr>
    </w:div>
    <w:div w:id="824467088">
      <w:bodyDiv w:val="1"/>
      <w:marLeft w:val="0"/>
      <w:marRight w:val="0"/>
      <w:marTop w:val="0"/>
      <w:marBottom w:val="0"/>
      <w:divBdr>
        <w:top w:val="none" w:sz="0" w:space="0" w:color="auto"/>
        <w:left w:val="none" w:sz="0" w:space="0" w:color="auto"/>
        <w:bottom w:val="none" w:sz="0" w:space="0" w:color="auto"/>
        <w:right w:val="none" w:sz="0" w:space="0" w:color="auto"/>
      </w:divBdr>
    </w:div>
    <w:div w:id="871764297">
      <w:bodyDiv w:val="1"/>
      <w:marLeft w:val="0"/>
      <w:marRight w:val="0"/>
      <w:marTop w:val="0"/>
      <w:marBottom w:val="0"/>
      <w:divBdr>
        <w:top w:val="none" w:sz="0" w:space="0" w:color="auto"/>
        <w:left w:val="none" w:sz="0" w:space="0" w:color="auto"/>
        <w:bottom w:val="none" w:sz="0" w:space="0" w:color="auto"/>
        <w:right w:val="none" w:sz="0" w:space="0" w:color="auto"/>
      </w:divBdr>
    </w:div>
    <w:div w:id="876819849">
      <w:bodyDiv w:val="1"/>
      <w:marLeft w:val="0"/>
      <w:marRight w:val="0"/>
      <w:marTop w:val="0"/>
      <w:marBottom w:val="0"/>
      <w:divBdr>
        <w:top w:val="none" w:sz="0" w:space="0" w:color="auto"/>
        <w:left w:val="none" w:sz="0" w:space="0" w:color="auto"/>
        <w:bottom w:val="none" w:sz="0" w:space="0" w:color="auto"/>
        <w:right w:val="none" w:sz="0" w:space="0" w:color="auto"/>
      </w:divBdr>
    </w:div>
    <w:div w:id="877623730">
      <w:bodyDiv w:val="1"/>
      <w:marLeft w:val="0"/>
      <w:marRight w:val="0"/>
      <w:marTop w:val="0"/>
      <w:marBottom w:val="0"/>
      <w:divBdr>
        <w:top w:val="none" w:sz="0" w:space="0" w:color="auto"/>
        <w:left w:val="none" w:sz="0" w:space="0" w:color="auto"/>
        <w:bottom w:val="none" w:sz="0" w:space="0" w:color="auto"/>
        <w:right w:val="none" w:sz="0" w:space="0" w:color="auto"/>
      </w:divBdr>
    </w:div>
    <w:div w:id="961620600">
      <w:bodyDiv w:val="1"/>
      <w:marLeft w:val="0"/>
      <w:marRight w:val="0"/>
      <w:marTop w:val="0"/>
      <w:marBottom w:val="0"/>
      <w:divBdr>
        <w:top w:val="none" w:sz="0" w:space="0" w:color="auto"/>
        <w:left w:val="none" w:sz="0" w:space="0" w:color="auto"/>
        <w:bottom w:val="none" w:sz="0" w:space="0" w:color="auto"/>
        <w:right w:val="none" w:sz="0" w:space="0" w:color="auto"/>
      </w:divBdr>
    </w:div>
    <w:div w:id="978531682">
      <w:bodyDiv w:val="1"/>
      <w:marLeft w:val="0"/>
      <w:marRight w:val="0"/>
      <w:marTop w:val="0"/>
      <w:marBottom w:val="0"/>
      <w:divBdr>
        <w:top w:val="none" w:sz="0" w:space="0" w:color="auto"/>
        <w:left w:val="none" w:sz="0" w:space="0" w:color="auto"/>
        <w:bottom w:val="none" w:sz="0" w:space="0" w:color="auto"/>
        <w:right w:val="none" w:sz="0" w:space="0" w:color="auto"/>
      </w:divBdr>
    </w:div>
    <w:div w:id="1020592171">
      <w:bodyDiv w:val="1"/>
      <w:marLeft w:val="0"/>
      <w:marRight w:val="0"/>
      <w:marTop w:val="0"/>
      <w:marBottom w:val="0"/>
      <w:divBdr>
        <w:top w:val="none" w:sz="0" w:space="0" w:color="auto"/>
        <w:left w:val="none" w:sz="0" w:space="0" w:color="auto"/>
        <w:bottom w:val="none" w:sz="0" w:space="0" w:color="auto"/>
        <w:right w:val="none" w:sz="0" w:space="0" w:color="auto"/>
      </w:divBdr>
    </w:div>
    <w:div w:id="1026517012">
      <w:bodyDiv w:val="1"/>
      <w:marLeft w:val="0"/>
      <w:marRight w:val="0"/>
      <w:marTop w:val="0"/>
      <w:marBottom w:val="0"/>
      <w:divBdr>
        <w:top w:val="none" w:sz="0" w:space="0" w:color="auto"/>
        <w:left w:val="none" w:sz="0" w:space="0" w:color="auto"/>
        <w:bottom w:val="none" w:sz="0" w:space="0" w:color="auto"/>
        <w:right w:val="none" w:sz="0" w:space="0" w:color="auto"/>
      </w:divBdr>
    </w:div>
    <w:div w:id="1077703548">
      <w:bodyDiv w:val="1"/>
      <w:marLeft w:val="0"/>
      <w:marRight w:val="0"/>
      <w:marTop w:val="0"/>
      <w:marBottom w:val="0"/>
      <w:divBdr>
        <w:top w:val="none" w:sz="0" w:space="0" w:color="auto"/>
        <w:left w:val="none" w:sz="0" w:space="0" w:color="auto"/>
        <w:bottom w:val="none" w:sz="0" w:space="0" w:color="auto"/>
        <w:right w:val="none" w:sz="0" w:space="0" w:color="auto"/>
      </w:divBdr>
    </w:div>
    <w:div w:id="1092893048">
      <w:bodyDiv w:val="1"/>
      <w:marLeft w:val="0"/>
      <w:marRight w:val="0"/>
      <w:marTop w:val="0"/>
      <w:marBottom w:val="0"/>
      <w:divBdr>
        <w:top w:val="none" w:sz="0" w:space="0" w:color="auto"/>
        <w:left w:val="none" w:sz="0" w:space="0" w:color="auto"/>
        <w:bottom w:val="none" w:sz="0" w:space="0" w:color="auto"/>
        <w:right w:val="none" w:sz="0" w:space="0" w:color="auto"/>
      </w:divBdr>
    </w:div>
    <w:div w:id="1187988395">
      <w:bodyDiv w:val="1"/>
      <w:marLeft w:val="0"/>
      <w:marRight w:val="0"/>
      <w:marTop w:val="0"/>
      <w:marBottom w:val="0"/>
      <w:divBdr>
        <w:top w:val="none" w:sz="0" w:space="0" w:color="auto"/>
        <w:left w:val="none" w:sz="0" w:space="0" w:color="auto"/>
        <w:bottom w:val="none" w:sz="0" w:space="0" w:color="auto"/>
        <w:right w:val="none" w:sz="0" w:space="0" w:color="auto"/>
      </w:divBdr>
    </w:div>
    <w:div w:id="1197963904">
      <w:bodyDiv w:val="1"/>
      <w:marLeft w:val="0"/>
      <w:marRight w:val="0"/>
      <w:marTop w:val="0"/>
      <w:marBottom w:val="0"/>
      <w:divBdr>
        <w:top w:val="none" w:sz="0" w:space="0" w:color="auto"/>
        <w:left w:val="none" w:sz="0" w:space="0" w:color="auto"/>
        <w:bottom w:val="none" w:sz="0" w:space="0" w:color="auto"/>
        <w:right w:val="none" w:sz="0" w:space="0" w:color="auto"/>
      </w:divBdr>
    </w:div>
    <w:div w:id="1237132719">
      <w:bodyDiv w:val="1"/>
      <w:marLeft w:val="0"/>
      <w:marRight w:val="0"/>
      <w:marTop w:val="0"/>
      <w:marBottom w:val="0"/>
      <w:divBdr>
        <w:top w:val="none" w:sz="0" w:space="0" w:color="auto"/>
        <w:left w:val="none" w:sz="0" w:space="0" w:color="auto"/>
        <w:bottom w:val="none" w:sz="0" w:space="0" w:color="auto"/>
        <w:right w:val="none" w:sz="0" w:space="0" w:color="auto"/>
      </w:divBdr>
    </w:div>
    <w:div w:id="1249582368">
      <w:bodyDiv w:val="1"/>
      <w:marLeft w:val="0"/>
      <w:marRight w:val="0"/>
      <w:marTop w:val="0"/>
      <w:marBottom w:val="0"/>
      <w:divBdr>
        <w:top w:val="none" w:sz="0" w:space="0" w:color="auto"/>
        <w:left w:val="none" w:sz="0" w:space="0" w:color="auto"/>
        <w:bottom w:val="none" w:sz="0" w:space="0" w:color="auto"/>
        <w:right w:val="none" w:sz="0" w:space="0" w:color="auto"/>
      </w:divBdr>
    </w:div>
    <w:div w:id="1313678697">
      <w:bodyDiv w:val="1"/>
      <w:marLeft w:val="0"/>
      <w:marRight w:val="0"/>
      <w:marTop w:val="0"/>
      <w:marBottom w:val="0"/>
      <w:divBdr>
        <w:top w:val="none" w:sz="0" w:space="0" w:color="auto"/>
        <w:left w:val="none" w:sz="0" w:space="0" w:color="auto"/>
        <w:bottom w:val="none" w:sz="0" w:space="0" w:color="auto"/>
        <w:right w:val="none" w:sz="0" w:space="0" w:color="auto"/>
      </w:divBdr>
    </w:div>
    <w:div w:id="1315599763">
      <w:bodyDiv w:val="1"/>
      <w:marLeft w:val="0"/>
      <w:marRight w:val="0"/>
      <w:marTop w:val="0"/>
      <w:marBottom w:val="0"/>
      <w:divBdr>
        <w:top w:val="none" w:sz="0" w:space="0" w:color="auto"/>
        <w:left w:val="none" w:sz="0" w:space="0" w:color="auto"/>
        <w:bottom w:val="none" w:sz="0" w:space="0" w:color="auto"/>
        <w:right w:val="none" w:sz="0" w:space="0" w:color="auto"/>
      </w:divBdr>
    </w:div>
    <w:div w:id="1351950468">
      <w:bodyDiv w:val="1"/>
      <w:marLeft w:val="0"/>
      <w:marRight w:val="0"/>
      <w:marTop w:val="0"/>
      <w:marBottom w:val="0"/>
      <w:divBdr>
        <w:top w:val="none" w:sz="0" w:space="0" w:color="auto"/>
        <w:left w:val="none" w:sz="0" w:space="0" w:color="auto"/>
        <w:bottom w:val="none" w:sz="0" w:space="0" w:color="auto"/>
        <w:right w:val="none" w:sz="0" w:space="0" w:color="auto"/>
      </w:divBdr>
    </w:div>
    <w:div w:id="1380059014">
      <w:bodyDiv w:val="1"/>
      <w:marLeft w:val="0"/>
      <w:marRight w:val="0"/>
      <w:marTop w:val="0"/>
      <w:marBottom w:val="0"/>
      <w:divBdr>
        <w:top w:val="none" w:sz="0" w:space="0" w:color="auto"/>
        <w:left w:val="none" w:sz="0" w:space="0" w:color="auto"/>
        <w:bottom w:val="none" w:sz="0" w:space="0" w:color="auto"/>
        <w:right w:val="none" w:sz="0" w:space="0" w:color="auto"/>
      </w:divBdr>
    </w:div>
    <w:div w:id="1397706303">
      <w:bodyDiv w:val="1"/>
      <w:marLeft w:val="0"/>
      <w:marRight w:val="0"/>
      <w:marTop w:val="0"/>
      <w:marBottom w:val="0"/>
      <w:divBdr>
        <w:top w:val="none" w:sz="0" w:space="0" w:color="auto"/>
        <w:left w:val="none" w:sz="0" w:space="0" w:color="auto"/>
        <w:bottom w:val="none" w:sz="0" w:space="0" w:color="auto"/>
        <w:right w:val="none" w:sz="0" w:space="0" w:color="auto"/>
      </w:divBdr>
    </w:div>
    <w:div w:id="1419015380">
      <w:bodyDiv w:val="1"/>
      <w:marLeft w:val="0"/>
      <w:marRight w:val="0"/>
      <w:marTop w:val="0"/>
      <w:marBottom w:val="0"/>
      <w:divBdr>
        <w:top w:val="none" w:sz="0" w:space="0" w:color="auto"/>
        <w:left w:val="none" w:sz="0" w:space="0" w:color="auto"/>
        <w:bottom w:val="none" w:sz="0" w:space="0" w:color="auto"/>
        <w:right w:val="none" w:sz="0" w:space="0" w:color="auto"/>
      </w:divBdr>
    </w:div>
    <w:div w:id="1419862506">
      <w:bodyDiv w:val="1"/>
      <w:marLeft w:val="0"/>
      <w:marRight w:val="0"/>
      <w:marTop w:val="0"/>
      <w:marBottom w:val="0"/>
      <w:divBdr>
        <w:top w:val="none" w:sz="0" w:space="0" w:color="auto"/>
        <w:left w:val="none" w:sz="0" w:space="0" w:color="auto"/>
        <w:bottom w:val="none" w:sz="0" w:space="0" w:color="auto"/>
        <w:right w:val="none" w:sz="0" w:space="0" w:color="auto"/>
      </w:divBdr>
    </w:div>
    <w:div w:id="1445805797">
      <w:bodyDiv w:val="1"/>
      <w:marLeft w:val="0"/>
      <w:marRight w:val="0"/>
      <w:marTop w:val="0"/>
      <w:marBottom w:val="0"/>
      <w:divBdr>
        <w:top w:val="none" w:sz="0" w:space="0" w:color="auto"/>
        <w:left w:val="none" w:sz="0" w:space="0" w:color="auto"/>
        <w:bottom w:val="none" w:sz="0" w:space="0" w:color="auto"/>
        <w:right w:val="none" w:sz="0" w:space="0" w:color="auto"/>
      </w:divBdr>
    </w:div>
    <w:div w:id="1454707890">
      <w:bodyDiv w:val="1"/>
      <w:marLeft w:val="0"/>
      <w:marRight w:val="0"/>
      <w:marTop w:val="0"/>
      <w:marBottom w:val="0"/>
      <w:divBdr>
        <w:top w:val="none" w:sz="0" w:space="0" w:color="auto"/>
        <w:left w:val="none" w:sz="0" w:space="0" w:color="auto"/>
        <w:bottom w:val="none" w:sz="0" w:space="0" w:color="auto"/>
        <w:right w:val="none" w:sz="0" w:space="0" w:color="auto"/>
      </w:divBdr>
    </w:div>
    <w:div w:id="1558784134">
      <w:bodyDiv w:val="1"/>
      <w:marLeft w:val="0"/>
      <w:marRight w:val="0"/>
      <w:marTop w:val="0"/>
      <w:marBottom w:val="0"/>
      <w:divBdr>
        <w:top w:val="none" w:sz="0" w:space="0" w:color="auto"/>
        <w:left w:val="none" w:sz="0" w:space="0" w:color="auto"/>
        <w:bottom w:val="none" w:sz="0" w:space="0" w:color="auto"/>
        <w:right w:val="none" w:sz="0" w:space="0" w:color="auto"/>
      </w:divBdr>
    </w:div>
    <w:div w:id="1630741160">
      <w:bodyDiv w:val="1"/>
      <w:marLeft w:val="0"/>
      <w:marRight w:val="0"/>
      <w:marTop w:val="0"/>
      <w:marBottom w:val="0"/>
      <w:divBdr>
        <w:top w:val="none" w:sz="0" w:space="0" w:color="auto"/>
        <w:left w:val="none" w:sz="0" w:space="0" w:color="auto"/>
        <w:bottom w:val="none" w:sz="0" w:space="0" w:color="auto"/>
        <w:right w:val="none" w:sz="0" w:space="0" w:color="auto"/>
      </w:divBdr>
    </w:div>
    <w:div w:id="1690108802">
      <w:bodyDiv w:val="1"/>
      <w:marLeft w:val="0"/>
      <w:marRight w:val="0"/>
      <w:marTop w:val="0"/>
      <w:marBottom w:val="0"/>
      <w:divBdr>
        <w:top w:val="none" w:sz="0" w:space="0" w:color="auto"/>
        <w:left w:val="none" w:sz="0" w:space="0" w:color="auto"/>
        <w:bottom w:val="none" w:sz="0" w:space="0" w:color="auto"/>
        <w:right w:val="none" w:sz="0" w:space="0" w:color="auto"/>
      </w:divBdr>
    </w:div>
    <w:div w:id="1700080117">
      <w:bodyDiv w:val="1"/>
      <w:marLeft w:val="0"/>
      <w:marRight w:val="0"/>
      <w:marTop w:val="0"/>
      <w:marBottom w:val="0"/>
      <w:divBdr>
        <w:top w:val="none" w:sz="0" w:space="0" w:color="auto"/>
        <w:left w:val="none" w:sz="0" w:space="0" w:color="auto"/>
        <w:bottom w:val="none" w:sz="0" w:space="0" w:color="auto"/>
        <w:right w:val="none" w:sz="0" w:space="0" w:color="auto"/>
      </w:divBdr>
    </w:div>
    <w:div w:id="1709866270">
      <w:bodyDiv w:val="1"/>
      <w:marLeft w:val="0"/>
      <w:marRight w:val="0"/>
      <w:marTop w:val="0"/>
      <w:marBottom w:val="0"/>
      <w:divBdr>
        <w:top w:val="none" w:sz="0" w:space="0" w:color="auto"/>
        <w:left w:val="none" w:sz="0" w:space="0" w:color="auto"/>
        <w:bottom w:val="none" w:sz="0" w:space="0" w:color="auto"/>
        <w:right w:val="none" w:sz="0" w:space="0" w:color="auto"/>
      </w:divBdr>
    </w:div>
    <w:div w:id="1711954036">
      <w:bodyDiv w:val="1"/>
      <w:marLeft w:val="0"/>
      <w:marRight w:val="0"/>
      <w:marTop w:val="0"/>
      <w:marBottom w:val="0"/>
      <w:divBdr>
        <w:top w:val="none" w:sz="0" w:space="0" w:color="auto"/>
        <w:left w:val="none" w:sz="0" w:space="0" w:color="auto"/>
        <w:bottom w:val="none" w:sz="0" w:space="0" w:color="auto"/>
        <w:right w:val="none" w:sz="0" w:space="0" w:color="auto"/>
      </w:divBdr>
    </w:div>
    <w:div w:id="1751928182">
      <w:bodyDiv w:val="1"/>
      <w:marLeft w:val="0"/>
      <w:marRight w:val="0"/>
      <w:marTop w:val="0"/>
      <w:marBottom w:val="0"/>
      <w:divBdr>
        <w:top w:val="none" w:sz="0" w:space="0" w:color="auto"/>
        <w:left w:val="none" w:sz="0" w:space="0" w:color="auto"/>
        <w:bottom w:val="none" w:sz="0" w:space="0" w:color="auto"/>
        <w:right w:val="none" w:sz="0" w:space="0" w:color="auto"/>
      </w:divBdr>
    </w:div>
    <w:div w:id="1767068776">
      <w:bodyDiv w:val="1"/>
      <w:marLeft w:val="0"/>
      <w:marRight w:val="0"/>
      <w:marTop w:val="0"/>
      <w:marBottom w:val="0"/>
      <w:divBdr>
        <w:top w:val="none" w:sz="0" w:space="0" w:color="auto"/>
        <w:left w:val="none" w:sz="0" w:space="0" w:color="auto"/>
        <w:bottom w:val="none" w:sz="0" w:space="0" w:color="auto"/>
        <w:right w:val="none" w:sz="0" w:space="0" w:color="auto"/>
      </w:divBdr>
    </w:div>
    <w:div w:id="1791778054">
      <w:bodyDiv w:val="1"/>
      <w:marLeft w:val="0"/>
      <w:marRight w:val="0"/>
      <w:marTop w:val="0"/>
      <w:marBottom w:val="0"/>
      <w:divBdr>
        <w:top w:val="none" w:sz="0" w:space="0" w:color="auto"/>
        <w:left w:val="none" w:sz="0" w:space="0" w:color="auto"/>
        <w:bottom w:val="none" w:sz="0" w:space="0" w:color="auto"/>
        <w:right w:val="none" w:sz="0" w:space="0" w:color="auto"/>
      </w:divBdr>
    </w:div>
    <w:div w:id="1857958763">
      <w:bodyDiv w:val="1"/>
      <w:marLeft w:val="0"/>
      <w:marRight w:val="0"/>
      <w:marTop w:val="0"/>
      <w:marBottom w:val="0"/>
      <w:divBdr>
        <w:top w:val="none" w:sz="0" w:space="0" w:color="auto"/>
        <w:left w:val="none" w:sz="0" w:space="0" w:color="auto"/>
        <w:bottom w:val="none" w:sz="0" w:space="0" w:color="auto"/>
        <w:right w:val="none" w:sz="0" w:space="0" w:color="auto"/>
      </w:divBdr>
    </w:div>
    <w:div w:id="1867668738">
      <w:bodyDiv w:val="1"/>
      <w:marLeft w:val="0"/>
      <w:marRight w:val="0"/>
      <w:marTop w:val="0"/>
      <w:marBottom w:val="0"/>
      <w:divBdr>
        <w:top w:val="none" w:sz="0" w:space="0" w:color="auto"/>
        <w:left w:val="none" w:sz="0" w:space="0" w:color="auto"/>
        <w:bottom w:val="none" w:sz="0" w:space="0" w:color="auto"/>
        <w:right w:val="none" w:sz="0" w:space="0" w:color="auto"/>
      </w:divBdr>
    </w:div>
    <w:div w:id="1878202493">
      <w:bodyDiv w:val="1"/>
      <w:marLeft w:val="0"/>
      <w:marRight w:val="0"/>
      <w:marTop w:val="0"/>
      <w:marBottom w:val="0"/>
      <w:divBdr>
        <w:top w:val="none" w:sz="0" w:space="0" w:color="auto"/>
        <w:left w:val="none" w:sz="0" w:space="0" w:color="auto"/>
        <w:bottom w:val="none" w:sz="0" w:space="0" w:color="auto"/>
        <w:right w:val="none" w:sz="0" w:space="0" w:color="auto"/>
      </w:divBdr>
    </w:div>
    <w:div w:id="1902054495">
      <w:bodyDiv w:val="1"/>
      <w:marLeft w:val="0"/>
      <w:marRight w:val="0"/>
      <w:marTop w:val="0"/>
      <w:marBottom w:val="0"/>
      <w:divBdr>
        <w:top w:val="none" w:sz="0" w:space="0" w:color="auto"/>
        <w:left w:val="none" w:sz="0" w:space="0" w:color="auto"/>
        <w:bottom w:val="none" w:sz="0" w:space="0" w:color="auto"/>
        <w:right w:val="none" w:sz="0" w:space="0" w:color="auto"/>
      </w:divBdr>
    </w:div>
    <w:div w:id="1908874993">
      <w:bodyDiv w:val="1"/>
      <w:marLeft w:val="0"/>
      <w:marRight w:val="0"/>
      <w:marTop w:val="0"/>
      <w:marBottom w:val="0"/>
      <w:divBdr>
        <w:top w:val="none" w:sz="0" w:space="0" w:color="auto"/>
        <w:left w:val="none" w:sz="0" w:space="0" w:color="auto"/>
        <w:bottom w:val="none" w:sz="0" w:space="0" w:color="auto"/>
        <w:right w:val="none" w:sz="0" w:space="0" w:color="auto"/>
      </w:divBdr>
    </w:div>
    <w:div w:id="1940602791">
      <w:bodyDiv w:val="1"/>
      <w:marLeft w:val="0"/>
      <w:marRight w:val="0"/>
      <w:marTop w:val="0"/>
      <w:marBottom w:val="0"/>
      <w:divBdr>
        <w:top w:val="none" w:sz="0" w:space="0" w:color="auto"/>
        <w:left w:val="none" w:sz="0" w:space="0" w:color="auto"/>
        <w:bottom w:val="none" w:sz="0" w:space="0" w:color="auto"/>
        <w:right w:val="none" w:sz="0" w:space="0" w:color="auto"/>
      </w:divBdr>
    </w:div>
    <w:div w:id="1993413195">
      <w:bodyDiv w:val="1"/>
      <w:marLeft w:val="0"/>
      <w:marRight w:val="0"/>
      <w:marTop w:val="0"/>
      <w:marBottom w:val="0"/>
      <w:divBdr>
        <w:top w:val="none" w:sz="0" w:space="0" w:color="auto"/>
        <w:left w:val="none" w:sz="0" w:space="0" w:color="auto"/>
        <w:bottom w:val="none" w:sz="0" w:space="0" w:color="auto"/>
        <w:right w:val="none" w:sz="0" w:space="0" w:color="auto"/>
      </w:divBdr>
    </w:div>
    <w:div w:id="2018968125">
      <w:bodyDiv w:val="1"/>
      <w:marLeft w:val="0"/>
      <w:marRight w:val="0"/>
      <w:marTop w:val="0"/>
      <w:marBottom w:val="0"/>
      <w:divBdr>
        <w:top w:val="none" w:sz="0" w:space="0" w:color="auto"/>
        <w:left w:val="none" w:sz="0" w:space="0" w:color="auto"/>
        <w:bottom w:val="none" w:sz="0" w:space="0" w:color="auto"/>
        <w:right w:val="none" w:sz="0" w:space="0" w:color="auto"/>
      </w:divBdr>
    </w:div>
    <w:div w:id="214461140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Geu08</b:Tag>
    <b:SourceType>Book</b:SourceType>
    <b:Guid>{4E83A201-6BA1-4CAC-BDD5-561FB4971AFA}</b:Guid>
    <b:Author>
      <b:Author>
        <b:NameList>
          <b:Person>
            <b:Last>Geuss</b:Last>
            <b:First>R</b:First>
          </b:Person>
        </b:NameList>
      </b:Author>
    </b:Author>
    <b:Title>Philosophy and real Politics</b:Title>
    <b:Year>2008</b:Year>
    <b:City>Oxford</b:City>
    <b:Publisher>Princeton University Press</b:Publisher>
    <b:RefOrder>1</b:RefOrder>
  </b:Source>
  <b:Source>
    <b:Tag>Mal14</b:Tag>
    <b:SourceType>Book</b:SourceType>
    <b:Guid>{6C1A0377-538E-48CF-9EA8-0AD49AC3ED25}</b:Guid>
    <b:Author>
      <b:Author>
        <b:NameList>
          <b:Person>
            <b:Last>Mallea</b:Last>
            <b:First>P</b:First>
          </b:Person>
        </b:NameList>
      </b:Author>
    </b:Author>
    <b:Title>The war on drugs: a failed experiment</b:Title>
    <b:Year>2014</b:Year>
    <b:City>Toronto</b:City>
    <b:Publisher>Dundurn</b:Publisher>
    <b:RefOrder>2</b:RefOrder>
  </b:Source>
  <b:Source>
    <b:Tag>HMI15</b:Tag>
    <b:SourceType>DocumentFromInternetSite</b:SourceType>
    <b:Guid>{A8D8F29C-0023-4293-A9B9-5F9D7300CC1D}</b:Guid>
    <b:Author>
      <b:Author>
        <b:NameList>
          <b:Person>
            <b:Last>Prisons</b:Last>
            <b:First>HM</b:First>
            <b:Middle>Inspectorate of</b:Middle>
          </b:Person>
        </b:NameList>
      </b:Author>
    </b:Author>
    <b:Title>Changing patterns of substance misuse in adult prisons and service responses- a thematic review</b:Title>
    <b:Year>2015</b:Year>
    <b:YearAccessed>2023</b:YearAccessed>
    <b:MonthAccessed>May</b:MonthAccessed>
    <b:DayAccessed>12</b:DayAccessed>
    <b:URL>https:// www.justiceinspectorates.gov.uk/hmiprisons/wp-content/uploads/sites /4/2015/12/Substance-misuse-web-2015.pdf</b:URL>
    <b:RefOrder>3</b:RefOrder>
  </b:Source>
  <b:Source>
    <b:Tag>Hom19</b:Tag>
    <b:SourceType>DocumentFromInternetSite</b:SourceType>
    <b:Guid>{A568083A-056C-48C1-9247-810175EF499A}</b:Guid>
    <b:Author>
      <b:Author>
        <b:NameList>
          <b:Person>
            <b:Last>Office</b:Last>
            <b:First>Home</b:First>
          </b:Person>
        </b:NameList>
      </b:Author>
    </b:Author>
    <b:Title>Drug miuse: findings from the 2018/19 crime survey for England and Wales</b:Title>
    <b:Year>2019</b:Year>
    <b:YearAccessed>2023</b:YearAccessed>
    <b:MonthAccessed>May</b:MonthAccessed>
    <b:DayAccessed>12</b:DayAccessed>
    <b:URL>https://assets.publishing.service.gov.uk/government/uploads/system/uploads/attachment_data/fle/832533/drug misuse-2019-hosb2119.pdf. </b:URL>
    <b:RefOrder>4</b:RefOrder>
  </b:Source>
  <b:Source>
    <b:Tag>Fis97</b:Tag>
    <b:SourceType>JournalArticle</b:SourceType>
    <b:Guid>{CCF41ED5-A62A-4DF5-B536-2F6C8BB3976C}</b:Guid>
    <b:Title>Charting WHO- goals for licit and illicit drugs for the year 2000: Are we "on track?"</b:Title>
    <b:Year>1997</b:Year>
    <b:Author>
      <b:Author>
        <b:NameList>
          <b:Person>
            <b:Last>Fischer</b:Last>
            <b:First>B.,</b:First>
            <b:Middle>Kendall, P., Rehm, J and Room, R</b:Middle>
          </b:Person>
        </b:NameList>
      </b:Author>
    </b:Author>
    <b:JournalName>Public Health</b:JournalName>
    <b:Pages>271-5</b:Pages>
    <b:Volume>111</b:Volume>
    <b:Issue>5</b:Issue>
    <b:RefOrder>5</b:RefOrder>
  </b:Source>
  <b:Source>
    <b:Tag>Bel15</b:Tag>
    <b:SourceType>DocumentFromInternetSite</b:SourceType>
    <b:Guid>{12BB65F2-D6FF-47B3-9FE2-831C42B3CCAB}</b:Guid>
    <b:Author>
      <b:Author>
        <b:NameList>
          <b:Person>
            <b:Last>Bellis</b:Last>
            <b:First>M</b:First>
            <b:Middle>et al</b:Middle>
          </b:Person>
        </b:NameList>
      </b:Author>
    </b:Author>
    <b:Title>Adverse childhood experiences and their impact on health-harming behaviours in the welsh adult population</b:Title>
    <b:Year>2015</b:Year>
    <b:YearAccessed>2023</b:YearAccessed>
    <b:MonthAccessed>May</b:MonthAccessed>
    <b:DayAccessed>12</b:DayAccessed>
    <b:URL>https://www.nphs.wales.nhs.uk:8080/ PRIDDocs.nsf/7c21215d6d0c613e80256f490030c05a/d488a38524 91bc1d80257f370038919e/$FILE/ACE%20Report%20FINAL%20(E).pdf</b:URL>
    <b:RefOrder>6</b:RefOrder>
  </b:Source>
  <b:Source>
    <b:Tag>Mar10</b:Tag>
    <b:SourceType>DocumentFromInternetSite</b:SourceType>
    <b:Guid>{BF7B4FBB-0A6A-4CF1-B59C-219695C0E104}</b:Guid>
    <b:Author>
      <b:Author>
        <b:NameList>
          <b:Person>
            <b:Last>Marmot</b:Last>
            <b:First>M</b:First>
            <b:Middle>et al</b:Middle>
          </b:Person>
        </b:NameList>
      </b:Author>
    </b:Author>
    <b:Title>Fair society, healty lives- the marmot review</b:Title>
    <b:Year>2010</b:Year>
    <b:YearAccessed>2023</b:YearAccessed>
    <b:MonthAccessed>May</b:MonthAccessed>
    <b:DayAccessed>12</b:DayAccessed>
    <b:URL>https://www.instituteo fhealthequity.org/resources-reports/fair-society-healthy-lives-the-marmo t-review/fair-society-healthy-lives-full-report-pdf.pdf.</b:URL>
    <b:RefOrder>7</b:RefOrder>
  </b:Source>
  <b:Source>
    <b:Tag>Reu07</b:Tag>
    <b:SourceType>DocumentFromInternetSite</b:SourceType>
    <b:Guid>{3EC266F0-8AE1-4275-807F-E695EFA852C7}</b:Guid>
    <b:Author>
      <b:Author>
        <b:NameList>
          <b:Person>
            <b:Last>Reuter</b:Last>
            <b:First>P</b:First>
            <b:Middle>and Stevens, A</b:Middle>
          </b:Person>
        </b:NameList>
      </b:Author>
    </b:Author>
    <b:Title>An Analysis of UK Drug Policy- A Monograph Prepared for the UK Drug Policy Commission</b:Title>
    <b:Year>2007</b:Year>
    <b:YearAccessed>2023</b:YearAccessed>
    <b:MonthAccessed>May</b:MonthAccessed>
    <b:DayAccessed>12</b:DayAccessed>
    <b:URL>https://kar.kent.ac.uk/13332/1/analysis_of_UK_drug_policy.pdf</b:URL>
    <b:RefOrder>8</b:RefOrder>
  </b:Source>
  <b:Source>
    <b:Tag>Cse16</b:Tag>
    <b:SourceType>JournalArticle</b:SourceType>
    <b:Guid>{F4EBA642-3340-46A7-BE20-53AA0D6C4E75}</b:Guid>
    <b:Title>Public Health and International Drug Policy</b:Title>
    <b:Year>2016</b:Year>
    <b:Author>
      <b:Author>
        <b:NameList>
          <b:Person>
            <b:Last>Csete</b:Last>
            <b:First>J</b:First>
            <b:Middle>et al</b:Middle>
          </b:Person>
        </b:NameList>
      </b:Author>
    </b:Author>
    <b:JournalName>The Lancet</b:JournalName>
    <b:Pages>1427-1480</b:Pages>
    <b:Volume>387</b:Volume>
    <b:Issue>10026</b:Issue>
    <b:RefOrder>9</b:RefOrder>
  </b:Source>
  <b:Source>
    <b:Tag>Uni19</b:Tag>
    <b:SourceType>DocumentFromInternetSite</b:SourceType>
    <b:Guid>{A2762265-C79C-49C2-98E2-FA33BADC77D4}</b:Guid>
    <b:Title>Cheif Executives Board for Coordination. Second regular session of 2018- summary of deliberations</b:Title>
    <b:Year>2019</b:Year>
    <b:Author>
      <b:Author>
        <b:NameList>
          <b:Person>
            <b:Last>Nations</b:Last>
            <b:First>United</b:First>
          </b:Person>
        </b:NameList>
      </b:Author>
    </b:Author>
    <b:YearAccessed>2023</b:YearAccessed>
    <b:MonthAccessed>May</b:MonthAccessed>
    <b:DayAccessed>12</b:DayAccessed>
    <b:URL> https://digitallibrary. un.org/record/3792232?ln=en</b:URL>
    <b:RefOrder>10</b:RefOrder>
  </b:Source>
  <b:Source>
    <b:Tag>Hou19</b:Tag>
    <b:SourceType>DocumentFromInternetSite</b:SourceType>
    <b:Guid>{D7D65960-FD0D-45EE-A244-AA06AF8A7309}</b:Guid>
    <b:Author>
      <b:Author>
        <b:NameList>
          <b:Person>
            <b:Last>commons</b:Last>
            <b:First>House</b:First>
            <b:Middle>of</b:Middle>
          </b:Person>
        </b:NameList>
      </b:Author>
    </b:Author>
    <b:Title>Health and Social Care Committee on Drugs Policy</b:Title>
    <b:Year>2019</b:Year>
    <b:YearAccessed>2023</b:YearAccessed>
    <b:MonthAccessed>May</b:MonthAccessed>
    <b:DayAccessed>12</b:DayAccessed>
    <b:URL>https://publications.parliament.uk/pa/cm201919/ cmselect/cmhealth/143/143.pdf</b:URL>
    <b:RefOrder>11</b:RefOrder>
  </b:Source>
  <b:Source>
    <b:Tag>Roy16</b:Tag>
    <b:SourceType>DocumentFromInternetSite</b:SourceType>
    <b:Guid>{7FEF2EFF-7813-420B-B327-394CDDB9273B}</b:Guid>
    <b:Author>
      <b:Author>
        <b:NameList>
          <b:Person>
            <b:Last>Health</b:Last>
            <b:First>Royal</b:First>
            <b:Middle>Society for Public</b:Middle>
          </b:Person>
        </b:NameList>
      </b:Author>
    </b:Author>
    <b:Title>Taking a new line on drugs</b:Title>
    <b:Year>2016</b:Year>
    <b:YearAccessed>2023</b:YearAccessed>
    <b:MonthAccessed>May</b:MonthAccessed>
    <b:DayAccessed>12</b:DayAccessed>
    <b:URL>https ://www.rsph.org.uk/about-us/news/stop-criminalising-drug-users.html. </b:URL>
    <b:RefOrder>12</b:RefOrder>
  </b:Source>
  <b:Source>
    <b:Tag>Can20</b:Tag>
    <b:SourceType>DocumentFromInternetSite</b:SourceType>
    <b:Guid>{EA2894F4-EC25-4B29-A17E-6A3A4499AF09}</b:Guid>
    <b:Author>
      <b:Author>
        <b:NameList>
          <b:Person>
            <b:Last>Police</b:Last>
            <b:First>Canadian</b:First>
            <b:Middle>Association of Cheifs of</b:Middle>
          </b:Person>
        </b:NameList>
      </b:Author>
    </b:Author>
    <b:Title>Canada's police leaders recommend adopting a public health led diversionary approach to illicit substance use</b:Title>
    <b:Year>2020</b:Year>
    <b:YearAccessed>2023</b:YearAccessed>
    <b:MonthAccessed>May</b:MonthAccessed>
    <b:DayAccessed>12</b:DayAccessed>
    <b:URL>https://www.cacp.ca/news/canadas-police-leade rs-recommend-adopting-a-public-health-led-diversionary-approach-toillicit-subst.html</b:URL>
    <b:RefOrder>13</b:RefOrder>
  </b:Source>
  <b:Source>
    <b:Tag>McK18</b:Tag>
    <b:SourceType>JournalArticle</b:SourceType>
    <b:Guid>{8CA89CF7-FBFD-4B7B-8780-C05ACA91435B}</b:Guid>
    <b:Author>
      <b:Author>
        <b:NameList>
          <b:Person>
            <b:Last>McKee</b:Last>
            <b:First>M</b:First>
            <b:Middle>annd Stuckler, D</b:Middle>
          </b:Person>
        </b:NameList>
      </b:Author>
    </b:Author>
    <b:Title>Revisiting the corporate and commercial determinants of health</b:Title>
    <b:JournalName>American Journal of public health</b:JournalName>
    <b:Year>2018</b:Year>
    <b:Pages>1167-1170</b:Pages>
    <b:Volume>108</b:Volume>
    <b:Issue>9</b:Issue>
    <b:RefOrder>14</b:RefOrder>
  </b:Source>
  <b:Source>
    <b:Tag>Hic18</b:Tag>
    <b:SourceType>JournalArticle</b:SourceType>
    <b:Guid>{CA9AD927-42BC-498A-8BDB-EB069230A669}</b:Guid>
    <b:Author>
      <b:Author>
        <b:NameList>
          <b:Person>
            <b:Last>Hickman</b:Last>
            <b:First>M</b:First>
            <b:Middle>et al</b:Middle>
          </b:Person>
        </b:NameList>
      </b:Author>
    </b:Author>
    <b:Title> The impact of burenorphine and methadone on mortality: a primary care cohort study in the United Kingdom</b:Title>
    <b:JournalName>Addiction</b:JournalName>
    <b:Year>2018</b:Year>
    <b:Pages>1461-1476</b:Pages>
    <b:Volume>113</b:Volume>
    <b:Issue>8</b:Issue>
    <b:RefOrder>15</b:RefOrder>
  </b:Source>
  <b:Source>
    <b:Tag>Bau96</b:Tag>
    <b:SourceType>Book</b:SourceType>
    <b:Guid>{7666131D-68E4-41E2-A680-1915F75BF03A}</b:Guid>
    <b:Title>Smoke and Mirrors: The War on Drugs and The Politice of Faliure</b:Title>
    <b:Year>1996</b:Year>
    <b:Author>
      <b:Author>
        <b:NameList>
          <b:Person>
            <b:Last>Baum</b:Last>
            <b:First>D</b:First>
          </b:Person>
        </b:NameList>
      </b:Author>
    </b:Author>
    <b:City>Waltham MA</b:City>
    <b:Publisher>Little, Brown and Co</b:Publisher>
    <b:RefOrder>16</b:RefOrder>
  </b:Source>
  <b:Source>
    <b:Tag>Ber96</b:Tag>
    <b:SourceType>Book</b:SourceType>
    <b:Guid>{21BC5191-78AB-4898-B7DC-0C5D902AFCEA}</b:Guid>
    <b:Author>
      <b:Author>
        <b:NameList>
          <b:Person>
            <b:Last>Bertram E</b:Last>
            <b:First>et</b:First>
            <b:Middle>al</b:Middle>
          </b:Person>
        </b:NameList>
      </b:Author>
    </b:Author>
    <b:Title>Drug War Politics: The Price of Denial</b:Title>
    <b:Year>1996</b:Year>
    <b:City>California</b:City>
    <b:Publisher>University of California Press</b:Publisher>
    <b:RefOrder>17</b:RefOrder>
  </b:Source>
  <b:Source>
    <b:Tag>Gra10</b:Tag>
    <b:SourceType>Book</b:SourceType>
    <b:Guid>{8EC45F84-4057-428B-8BD6-98CF8E725F0B}</b:Guid>
    <b:Author>
      <b:Author>
        <b:NameList>
          <b:Person>
            <b:Last>Gray</b:Last>
            <b:First>J</b:First>
          </b:Person>
        </b:NameList>
      </b:Author>
    </b:Author>
    <b:Title>Why Our Drug Laws Have Fialed: A Judicial Indictment of War on Drug</b:Title>
    <b:Year>2010</b:Year>
    <b:City>Philadelphia, PA</b:City>
    <b:Publisher>Temple University Press</b:Publisher>
    <b:RefOrder>18</b:RefOrder>
  </b:Source>
  <b:Source>
    <b:Tag>Ton4a</b:Tag>
    <b:SourceType>JournalArticle</b:SourceType>
    <b:Guid>{7E9306B8-BDEF-440F-B747-8F368829C443}</b:Guid>
    <b:Title>Race and the war on drugs</b:Title>
    <b:Year>1994a</b:Year>
    <b:Author>
      <b:Author>
        <b:NameList>
          <b:Person>
            <b:Last>Tonry</b:Last>
            <b:First>M</b:First>
          </b:Person>
        </b:NameList>
      </b:Author>
    </b:Author>
    <b:JournalName>The University of Chicago Legal Forum</b:JournalName>
    <b:Pages>25-81</b:Pages>
    <b:Volume>25</b:Volume>
    <b:RefOrder>19</b:RefOrder>
  </b:Source>
  <b:Source>
    <b:Tag>Ben01</b:Tag>
    <b:SourceType>JournalArticle</b:SourceType>
    <b:Guid>{7A961D5C-14D6-4E83-ABD1-02B6CA5C6045}</b:Guid>
    <b:Author>
      <b:Author>
        <b:NameList>
          <b:Person>
            <b:Last>Benson B.L</b:Last>
            <b:First>et</b:First>
            <b:Middle>al</b:Middle>
          </b:Person>
        </b:NameList>
      </b:Author>
    </b:Author>
    <b:Title>The impact of drug enforcement on crime: An investigation of the opportunity cost of police resources</b:Title>
    <b:JournalName>Journal of Drug Issues</b:JournalName>
    <b:Year>2001</b:Year>
    <b:Pages>989-1006</b:Pages>
    <b:Volume>31</b:Volume>
    <b:Issue>4</b:Issue>
    <b:RefOrder>20</b:RefOrder>
  </b:Source>
  <b:Source>
    <b:Tag>She90</b:Tag>
    <b:SourceType>JournalArticle</b:SourceType>
    <b:Guid>{66E63DE2-D671-461C-B0C4-4F22D7FDEF9E}</b:Guid>
    <b:Author>
      <b:Author>
        <b:NameList>
          <b:Person>
            <b:Last>Sherman</b:Last>
            <b:First>LW</b:First>
          </b:Person>
        </b:NameList>
      </b:Author>
    </b:Author>
    <b:Title>Police crackdowns: Initial and residual deterrence</b:Title>
    <b:JournalName>Crime and Justice</b:JournalName>
    <b:Year>1990</b:Year>
    <b:Pages>1-48</b:Pages>
    <b:Volume>12</b:Volume>
    <b:RefOrder>21</b:RefOrder>
  </b:Source>
  <b:Source>
    <b:Tag>She95</b:Tag>
    <b:SourceType>JournalArticle</b:SourceType>
    <b:Guid>{AD926B88-68D6-4D2D-93FD-9E58F73B2379}</b:Guid>
    <b:Author>
      <b:Author>
        <b:NameList>
          <b:Person>
            <b:Last>al</b:Last>
            <b:First>Sherman</b:First>
            <b:Middle>L.W et</b:Middle>
          </b:Person>
        </b:NameList>
      </b:Author>
    </b:Author>
    <b:Title>Deterrent effects of police raids on crack houses: A randomized, controlled experiment</b:Title>
    <b:JournalName>Justice Quarterly</b:JournalName>
    <b:Year>1995</b:Year>
    <b:Pages>22-45</b:Pages>
    <b:Volume>22</b:Volume>
    <b:RefOrder>22</b:RefOrder>
  </b:Source>
  <b:Source>
    <b:Tag>Wer11</b:Tag>
    <b:SourceType>JournalArticle</b:SourceType>
    <b:Guid>{8B5DEFCA-9E7B-4F90-AE97-C753C07D75FF}</b:Guid>
    <b:Author>
      <b:Author>
        <b:NameList>
          <b:Person>
            <b:Last>Werb</b:Last>
            <b:First>D</b:First>
            <b:Middle>et al</b:Middle>
          </b:Person>
        </b:NameList>
      </b:Author>
    </b:Author>
    <b:Title>Effect of drug law enforcement on drug market violence: A systematice Review</b:Title>
    <b:JournalName>International Journal of Drug Policy</b:JournalName>
    <b:Year>2011</b:Year>
    <b:Pages>87-94</b:Pages>
    <b:Volume>22</b:Volume>
    <b:Issue>2</b:Issue>
    <b:RefOrder>23</b:RefOrder>
  </b:Source>
  <b:Source>
    <b:Tag>Coo05</b:Tag>
    <b:SourceType>JournalArticle</b:SourceType>
    <b:Guid>{CE27C577-FA82-4E19-93DE-7B7D2B513D86}</b:Guid>
    <b:Author>
      <b:Author>
        <b:NameList>
          <b:Person>
            <b:Last>al</b:Last>
            <b:First>Cooper</b:First>
            <b:Middle>H.L et</b:Middle>
          </b:Person>
        </b:NameList>
      </b:Author>
    </b:Author>
    <b:Title>The impact of police drug crackdown on drug injectors' ability to practice harm reduction: a qualitative study</b:Title>
    <b:JournalName>Social Science &amp; Medicine </b:JournalName>
    <b:Year>2005</b:Year>
    <b:Pages>673-684</b:Pages>
    <b:Volume>61</b:Volume>
    <b:Issue>3</b:Issue>
    <b:RefOrder>24</b:RefOrder>
  </b:Source>
  <b:Source>
    <b:Tag>Ker05</b:Tag>
    <b:SourceType>JournalArticle</b:SourceType>
    <b:Guid>{0F00CE09-0236-46DF-AA61-0CD868937D57}</b:Guid>
    <b:Author>
      <b:Author>
        <b:NameList>
          <b:Person>
            <b:Last>Kerr T</b:Last>
            <b:First>et</b:First>
            <b:Middle>al</b:Middle>
          </b:Person>
        </b:NameList>
      </b:Author>
    </b:Author>
    <b:Title>The public health and social impacts of drug market enforcemnet: A review of the evidence</b:Title>
    <b:JournalName>International Journal of Drug Policy</b:JournalName>
    <b:Year>2005</b:Year>
    <b:Pages>210-220</b:Pages>
    <b:Volume>16</b:Volume>
    <b:RefOrder>25</b:RefOrder>
  </b:Source>
  <b:Source>
    <b:Tag>Mah12</b:Tag>
    <b:SourceType>JournalArticle</b:SourceType>
    <b:Guid>{A114CF6C-4CB9-4CBE-88A5-DCA593F63095}</b:Guid>
    <b:Author>
      <b:Author>
        <b:NameList>
          <b:Person>
            <b:Last>Maher</b:Last>
            <b:First>L</b:First>
            <b:Middle>and Dixon, D</b:Middle>
          </b:Person>
        </b:NameList>
      </b:Author>
    </b:Author>
    <b:Title>Theorizing the role of the "war on drugs" in US punishment</b:Title>
    <b:JournalName>Theoretical Criminology</b:JournalName>
    <b:Year>2012</b:Year>
    <b:Pages>175-199</b:Pages>
    <b:Volume>16</b:Volume>
    <b:RefOrder>26</b:RefOrder>
  </b:Source>
  <b:Source>
    <b:Tag>Coh22</b:Tag>
    <b:SourceType>JournalArticle</b:SourceType>
    <b:Guid>{82E609D4-7200-45D6-9AC2-5CAA5E427541}</b:Guid>
    <b:Author>
      <b:Author>
        <b:NameList>
          <b:Person>
            <b:Last>Cohen A</b:Last>
            <b:First>et</b:First>
            <b:Middle>al</b:Middle>
          </b:Person>
        </b:NameList>
      </b:Author>
    </b:Author>
    <b:Title>How the war on drugs impacts social deteminants of health beyond the criminal legal system</b:Title>
    <b:JournalName>Annals of Medicine </b:JournalName>
    <b:Year>2022</b:Year>
    <b:Pages>2024-2038</b:Pages>
    <b:Volume>54</b:Volume>
    <b:Issue>1</b:Issue>
    <b:RefOrder>27</b:RefOrder>
  </b:Source>
  <b:Source>
    <b:Tag>Jon22</b:Tag>
    <b:SourceType>DocumentFromInternetSite</b:SourceType>
    <b:Guid>{9052B6A9-C142-4640-9D8C-4957DE1ACFBC}</b:Guid>
    <b:Title>Drug Misuse in England and Wales: year ending June 2022</b:Title>
    <b:Year>2022</b:Year>
    <b:Author>
      <b:Author>
        <b:NameList>
          <b:Person>
            <b:Last>Jones</b:Last>
            <b:First>P</b:First>
          </b:Person>
        </b:NameList>
      </b:Author>
    </b:Author>
    <b:YearAccessed>2023</b:YearAccessed>
    <b:MonthAccessed>May</b:MonthAccessed>
    <b:DayAccessed>12</b:DayAccessed>
    <b:URL>file:///C:/Users/User/Downloads/Drug%20misuse%20in%20England%20and%20Wales%20year%20ending%20June%202022.pdf</b:URL>
    <b:RefOrder>28</b:RefOrder>
  </b:Source>
</b:Sources>
</file>

<file path=customXml/itemProps1.xml><?xml version="1.0" encoding="utf-8"?>
<ds:datastoreItem xmlns:ds="http://schemas.openxmlformats.org/officeDocument/2006/customXml" ds:itemID="{85380660-3AF2-4937-8C8B-948AF05157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5</Pages>
  <Words>1931</Words>
  <Characters>11012</Characters>
  <Application>Microsoft Office Word</Application>
  <DocSecurity>0</DocSecurity>
  <Lines>91</Lines>
  <Paragraphs>25</Paragraphs>
  <ScaleCrop>false</ScaleCrop>
  <HeadingPairs>
    <vt:vector size="4" baseType="variant">
      <vt:variant>
        <vt:lpstr>Title</vt:lpstr>
      </vt:variant>
      <vt:variant>
        <vt:i4>1</vt:i4>
      </vt:variant>
      <vt:variant>
        <vt:lpstr>Headings</vt:lpstr>
      </vt:variant>
      <vt:variant>
        <vt:i4>1</vt:i4>
      </vt:variant>
    </vt:vector>
  </HeadingPairs>
  <TitlesOfParts>
    <vt:vector size="2" baseType="lpstr">
      <vt:lpstr/>
      <vt:lpstr>&lt;References</vt:lpstr>
    </vt:vector>
  </TitlesOfParts>
  <Company/>
  <LinksUpToDate>false</LinksUpToDate>
  <CharactersWithSpaces>12918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Roche (1902211)</dc:creator>
  <cp:keywords/>
  <dc:description/>
  <cp:lastModifiedBy>Lucy Roche (1902211)</cp:lastModifiedBy>
  <cp:revision>3</cp:revision>
  <dcterms:created xsi:type="dcterms:W3CDTF">2023-05-12T18:25:00Z</dcterms:created>
  <dcterms:modified xsi:type="dcterms:W3CDTF">2023-05-12T18:39:00Z</dcterms:modified>
</cp:coreProperties>
</file>