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A52CE3" w14:textId="240113BE" w:rsidR="00303314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noProof/>
          <w:sz w:val="22"/>
        </w:rPr>
        <w:drawing>
          <wp:anchor distT="0" distB="0" distL="114300" distR="114300" simplePos="0" relativeHeight="251659264" behindDoc="0" locked="0" layoutInCell="1" allowOverlap="1" wp14:anchorId="47BC0542" wp14:editId="13228348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6" r:link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585F3537" w14:textId="57896CF9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4E267F2C" w14:textId="35E99859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5D864E3F" w14:textId="04749E68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22F2817A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7D557BA5" w14:textId="102F4D63" w:rsidR="00CD33A8" w:rsidRPr="00CD33A8" w:rsidRDefault="00CD33A8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D33A8">
        <w:rPr>
          <w:rFonts w:ascii="Arial" w:hAnsi="Arial" w:cs="Arial"/>
          <w:b/>
          <w:bCs/>
          <w:sz w:val="28"/>
          <w:szCs w:val="28"/>
          <w:lang w:val="nl-NL"/>
        </w:rPr>
        <w:t>Module</w:t>
      </w:r>
      <w:r w:rsidR="001527F7">
        <w:rPr>
          <w:rFonts w:ascii="Arial" w:hAnsi="Arial" w:cs="Arial"/>
          <w:b/>
          <w:bCs/>
          <w:sz w:val="28"/>
          <w:szCs w:val="28"/>
          <w:lang w:val="nl-NL"/>
        </w:rPr>
        <w:t>:INTRODUCTION TO PU</w:t>
      </w:r>
      <w:r w:rsidR="00EB5B08">
        <w:rPr>
          <w:rFonts w:ascii="Arial" w:hAnsi="Arial" w:cs="Arial"/>
          <w:b/>
          <w:bCs/>
          <w:sz w:val="28"/>
          <w:szCs w:val="28"/>
          <w:lang w:val="nl-NL"/>
        </w:rPr>
        <w:t xml:space="preserve">BLIC HEALTH </w:t>
      </w:r>
    </w:p>
    <w:p w14:paraId="537571AF" w14:textId="71994815" w:rsidR="00CD33A8" w:rsidRPr="00CD33A8" w:rsidRDefault="00CD33A8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CD33A8">
        <w:rPr>
          <w:rFonts w:ascii="Arial" w:hAnsi="Arial" w:cs="Arial"/>
          <w:b/>
          <w:bCs/>
          <w:sz w:val="28"/>
          <w:szCs w:val="28"/>
        </w:rPr>
        <w:t xml:space="preserve">Module </w:t>
      </w:r>
      <w:r w:rsidR="00EB5B08" w:rsidRPr="00CD33A8">
        <w:rPr>
          <w:rFonts w:ascii="Arial" w:hAnsi="Arial" w:cs="Arial"/>
          <w:b/>
          <w:bCs/>
          <w:sz w:val="28"/>
          <w:szCs w:val="28"/>
        </w:rPr>
        <w:t>code</w:t>
      </w:r>
      <w:r w:rsidR="00EB5B08" w:rsidRPr="00CD33A8">
        <w:rPr>
          <w:rFonts w:ascii="Arial" w:hAnsi="Arial" w:cs="Arial"/>
          <w:sz w:val="28"/>
          <w:szCs w:val="28"/>
        </w:rPr>
        <w:t>:</w:t>
      </w:r>
      <w:r w:rsidR="00EB5B08">
        <w:rPr>
          <w:rFonts w:ascii="Arial" w:hAnsi="Arial" w:cs="Arial"/>
          <w:sz w:val="28"/>
          <w:szCs w:val="28"/>
        </w:rPr>
        <w:t xml:space="preserve"> LCNS4008_LON]</w:t>
      </w:r>
    </w:p>
    <w:p w14:paraId="529D7354" w14:textId="77777777" w:rsidR="00CD33A8" w:rsidRPr="00CD33A8" w:rsidRDefault="00CD33A8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  <w:lang w:val="nl-NL"/>
        </w:rPr>
      </w:pPr>
    </w:p>
    <w:p w14:paraId="0A48766D" w14:textId="631C4B10" w:rsidR="00074402" w:rsidRPr="00CD33A8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D33A8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CD33A8">
        <w:rPr>
          <w:rFonts w:ascii="Arial" w:hAnsi="Arial" w:cs="Arial"/>
          <w:sz w:val="28"/>
          <w:szCs w:val="28"/>
          <w:lang w:val="nl-NL"/>
        </w:rPr>
        <w:t>:</w:t>
      </w:r>
      <w:r w:rsidR="00EB5B08">
        <w:rPr>
          <w:rFonts w:ascii="Arial" w:hAnsi="Arial" w:cs="Arial"/>
          <w:sz w:val="28"/>
          <w:szCs w:val="28"/>
          <w:lang w:val="nl-NL"/>
        </w:rPr>
        <w:t>J</w:t>
      </w:r>
      <w:r w:rsidR="007D0E0F">
        <w:rPr>
          <w:rFonts w:ascii="Arial" w:hAnsi="Arial" w:cs="Arial"/>
          <w:sz w:val="28"/>
          <w:szCs w:val="28"/>
          <w:lang w:val="nl-NL"/>
        </w:rPr>
        <w:t>oy</w:t>
      </w:r>
      <w:r w:rsidR="00EB5B08">
        <w:rPr>
          <w:rFonts w:ascii="Arial" w:hAnsi="Arial" w:cs="Arial"/>
          <w:sz w:val="28"/>
          <w:szCs w:val="28"/>
          <w:lang w:val="nl-NL"/>
        </w:rPr>
        <w:t xml:space="preserve"> O</w:t>
      </w:r>
      <w:r w:rsidR="007D0E0F">
        <w:rPr>
          <w:rFonts w:ascii="Arial" w:hAnsi="Arial" w:cs="Arial"/>
          <w:sz w:val="28"/>
          <w:szCs w:val="28"/>
          <w:lang w:val="nl-NL"/>
        </w:rPr>
        <w:t>basogie</w:t>
      </w:r>
    </w:p>
    <w:p w14:paraId="39AA4413" w14:textId="27087F87" w:rsidR="00074402" w:rsidRPr="00CD33A8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D33A8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CD33A8">
        <w:rPr>
          <w:rFonts w:ascii="Arial" w:hAnsi="Arial" w:cs="Arial"/>
          <w:sz w:val="28"/>
          <w:szCs w:val="28"/>
          <w:lang w:val="nl-NL"/>
        </w:rPr>
        <w:t>:</w:t>
      </w:r>
      <w:r w:rsidR="00EB5B08">
        <w:rPr>
          <w:rFonts w:ascii="Arial" w:hAnsi="Arial" w:cs="Arial"/>
          <w:sz w:val="28"/>
          <w:szCs w:val="28"/>
          <w:lang w:val="nl-NL"/>
        </w:rPr>
        <w:t>2516286</w:t>
      </w:r>
    </w:p>
    <w:p w14:paraId="5E81F6AD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</w:p>
    <w:p w14:paraId="05AB2C84" w14:textId="0BBD27DC" w:rsidR="00B87E75" w:rsidRPr="00EB5B08" w:rsidRDefault="008E3943" w:rsidP="00EB5B0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Lecturer’s </w:t>
      </w:r>
      <w:r w:rsidR="00EB5B08">
        <w:rPr>
          <w:rFonts w:ascii="Arial" w:hAnsi="Arial" w:cs="Arial"/>
          <w:b/>
          <w:bCs/>
          <w:sz w:val="28"/>
          <w:szCs w:val="28"/>
        </w:rPr>
        <w:t>name</w:t>
      </w:r>
      <w:r w:rsidR="00EB5B08">
        <w:rPr>
          <w:rFonts w:ascii="Arial" w:hAnsi="Arial" w:cs="Arial"/>
          <w:sz w:val="28"/>
          <w:szCs w:val="28"/>
        </w:rPr>
        <w:t>; Dr Patronella Gan</w:t>
      </w:r>
      <w:r w:rsidR="00F65015">
        <w:rPr>
          <w:rFonts w:ascii="Arial" w:hAnsi="Arial" w:cs="Arial"/>
          <w:sz w:val="28"/>
          <w:szCs w:val="28"/>
        </w:rPr>
        <w:t>za</w:t>
      </w:r>
    </w:p>
    <w:p w14:paraId="13E00080" w14:textId="137FF22A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</w:p>
    <w:p w14:paraId="2E79F7ED" w14:textId="182913C0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</w:p>
    <w:p w14:paraId="7AE771D5" w14:textId="1C06E45A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</w:p>
    <w:p w14:paraId="4F7320CB" w14:textId="000D21B8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sz w:val="22"/>
        </w:rPr>
        <w:br w:type="page"/>
      </w:r>
    </w:p>
    <w:p w14:paraId="6713497E" w14:textId="13EDAFAF" w:rsidR="001314FA" w:rsidRPr="001314FA" w:rsidRDefault="001314FA" w:rsidP="001314FA">
      <w:pPr>
        <w:tabs>
          <w:tab w:val="left" w:pos="6540"/>
        </w:tabs>
        <w:spacing w:line="360" w:lineRule="auto"/>
        <w:rPr>
          <w:rFonts w:asciiTheme="minorBidi" w:hAnsiTheme="minorBidi"/>
          <w:sz w:val="36"/>
          <w:szCs w:val="36"/>
        </w:rPr>
      </w:pPr>
      <w:r w:rsidRPr="001314FA">
        <w:rPr>
          <w:rFonts w:asciiTheme="minorBidi" w:hAnsiTheme="minorBidi"/>
          <w:sz w:val="36"/>
          <w:szCs w:val="36"/>
        </w:rPr>
        <w:lastRenderedPageBreak/>
        <w:t>Tuberculosis: A Global and Community</w:t>
      </w:r>
      <w:r>
        <w:rPr>
          <w:rFonts w:asciiTheme="minorBidi" w:hAnsiTheme="minorBidi"/>
          <w:sz w:val="36"/>
          <w:szCs w:val="36"/>
        </w:rPr>
        <w:t xml:space="preserve"> </w:t>
      </w:r>
      <w:r w:rsidRPr="001314FA">
        <w:rPr>
          <w:rFonts w:asciiTheme="minorBidi" w:hAnsiTheme="minorBidi"/>
          <w:sz w:val="36"/>
          <w:szCs w:val="36"/>
        </w:rPr>
        <w:t>Health Concern</w:t>
      </w:r>
    </w:p>
    <w:p w14:paraId="69F750B8" w14:textId="77777777" w:rsidR="001314FA" w:rsidRPr="001314FA" w:rsidRDefault="001314FA" w:rsidP="001314FA">
      <w:pPr>
        <w:tabs>
          <w:tab w:val="left" w:pos="6540"/>
        </w:tabs>
        <w:spacing w:line="360" w:lineRule="auto"/>
        <w:rPr>
          <w:rFonts w:asciiTheme="minorBidi" w:hAnsiTheme="minorBidi"/>
          <w:sz w:val="28"/>
          <w:szCs w:val="28"/>
        </w:rPr>
      </w:pPr>
      <w:r w:rsidRPr="001314FA">
        <w:rPr>
          <w:rFonts w:asciiTheme="minorBidi" w:hAnsiTheme="minorBidi"/>
          <w:sz w:val="28"/>
          <w:szCs w:val="28"/>
        </w:rPr>
        <w:t>Introduction</w:t>
      </w:r>
    </w:p>
    <w:p w14:paraId="63BF928C" w14:textId="55DE0B4E" w:rsidR="001314FA" w:rsidRPr="001314FA" w:rsidRDefault="001314FA" w:rsidP="001314FA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 w:rsidRPr="001314FA">
        <w:rPr>
          <w:rFonts w:asciiTheme="minorBidi" w:hAnsiTheme="minorBidi"/>
          <w:sz w:val="22"/>
        </w:rPr>
        <w:t>Tuberculosis (TB) is a serious infectious disease caused by the bacterium Mycobacterium</w:t>
      </w:r>
      <w:r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tuberculosis, which primarily affects the lungs but can also impact other parts of the body</w:t>
      </w:r>
      <w:r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such as the kidneys, spine, and brain. It is transmitted through airborne droplets when an</w:t>
      </w:r>
      <w:r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infected person coughs or sneezes (World Health Organization, 2024). Common signs and</w:t>
      </w:r>
      <w:r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symptoms include a persistent cough lasting more than three weeks, chest pain, coughing up</w:t>
      </w:r>
      <w:r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blood, fatigue, fever, night sweats, and weight loss.</w:t>
      </w:r>
    </w:p>
    <w:p w14:paraId="77A78EC9" w14:textId="31B1DB64" w:rsidR="001314FA" w:rsidRPr="001314FA" w:rsidRDefault="001314FA" w:rsidP="001314FA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 w:rsidRPr="001314FA">
        <w:rPr>
          <w:rFonts w:asciiTheme="minorBidi" w:hAnsiTheme="minorBidi"/>
          <w:sz w:val="22"/>
        </w:rPr>
        <w:t>TB remains a major global health concern. According to the World Health Organization</w:t>
      </w:r>
      <w:r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(WHO), approximately 10.8 million people developed TB in 2023, with about 1.25 million</w:t>
      </w:r>
      <w:r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deaths, making it the leading infectious disease killer worldwide (WHO, 2024). In the United</w:t>
      </w:r>
      <w:r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Kingdom, TB cases are also increasing, with England reporting a 13.5% rise in cases in 2024</w:t>
      </w:r>
      <w:r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and an incidence rate of 9.4 per 100,000 population (UK Health Security Agency, 2025</w:t>
      </w:r>
      <w:r w:rsidR="00914070" w:rsidRPr="001314FA">
        <w:rPr>
          <w:rFonts w:asciiTheme="minorBidi" w:hAnsiTheme="minorBidi"/>
          <w:sz w:val="22"/>
        </w:rPr>
        <w:t>). These</w:t>
      </w:r>
      <w:r w:rsidRPr="001314FA">
        <w:rPr>
          <w:rFonts w:asciiTheme="minorBidi" w:hAnsiTheme="minorBidi"/>
          <w:sz w:val="22"/>
        </w:rPr>
        <w:t xml:space="preserve"> statistics highlight the continuing severity of TB as a public health issue.</w:t>
      </w:r>
    </w:p>
    <w:p w14:paraId="721DBE36" w14:textId="77777777" w:rsidR="001314FA" w:rsidRPr="001314FA" w:rsidRDefault="001314FA" w:rsidP="001314FA">
      <w:pPr>
        <w:tabs>
          <w:tab w:val="left" w:pos="6540"/>
        </w:tabs>
        <w:spacing w:line="360" w:lineRule="auto"/>
        <w:rPr>
          <w:rFonts w:asciiTheme="minorBidi" w:hAnsiTheme="minorBidi"/>
          <w:sz w:val="28"/>
          <w:szCs w:val="28"/>
        </w:rPr>
      </w:pPr>
      <w:r w:rsidRPr="001314FA">
        <w:rPr>
          <w:rFonts w:asciiTheme="minorBidi" w:hAnsiTheme="minorBidi"/>
          <w:sz w:val="28"/>
          <w:szCs w:val="28"/>
        </w:rPr>
        <w:t>Approaches Used to Measure and Monitor Tuberculosis</w:t>
      </w:r>
    </w:p>
    <w:p w14:paraId="61D38502" w14:textId="606E1F1E" w:rsidR="001314FA" w:rsidRPr="001314FA" w:rsidRDefault="001314FA" w:rsidP="001314FA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 w:rsidRPr="001314FA">
        <w:rPr>
          <w:rFonts w:asciiTheme="minorBidi" w:hAnsiTheme="minorBidi"/>
          <w:sz w:val="22"/>
        </w:rPr>
        <w:t>Monitoring TB is essential for controlling its spread and improving health outcomes. Several</w:t>
      </w:r>
      <w:r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approaches are used globally and nationally to measure the burden of TB. One of the</w:t>
      </w:r>
      <w:r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primary</w:t>
      </w:r>
      <w:r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methods is case notification systems, where healthcare providers report diagnosed TB cases</w:t>
      </w:r>
      <w:r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to national health authorities. These data help track incidence rates and identify trends over</w:t>
      </w:r>
      <w:r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time (WHO, 2025).</w:t>
      </w:r>
    </w:p>
    <w:p w14:paraId="1E09D227" w14:textId="04A2B6BD" w:rsidR="001314FA" w:rsidRPr="001314FA" w:rsidRDefault="001314FA" w:rsidP="001314FA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 w:rsidRPr="001314FA">
        <w:rPr>
          <w:rFonts w:asciiTheme="minorBidi" w:hAnsiTheme="minorBidi"/>
          <w:sz w:val="22"/>
        </w:rPr>
        <w:t>Another important approach is prevalence surveys, which estimate the number of people</w:t>
      </w:r>
      <w:r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living with TB in a population. These surveys are particularly useful in countries where</w:t>
      </w:r>
      <w:r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underreporting is common. Additionally, mortality data from vital registration systems are</w:t>
      </w:r>
      <w:r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used to estimate deaths caused by TB, providing insight into the severity of the disease</w:t>
      </w:r>
      <w:r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(</w:t>
      </w:r>
      <w:proofErr w:type="spellStart"/>
      <w:r w:rsidR="007D0E0F" w:rsidRPr="001314FA">
        <w:rPr>
          <w:rFonts w:asciiTheme="minorBidi" w:hAnsiTheme="minorBidi"/>
          <w:sz w:val="22"/>
        </w:rPr>
        <w:t>Glaziou</w:t>
      </w:r>
      <w:proofErr w:type="spellEnd"/>
      <w:r w:rsidR="007D0E0F">
        <w:rPr>
          <w:rFonts w:asciiTheme="minorBidi" w:hAnsiTheme="minorBidi"/>
          <w:sz w:val="22"/>
        </w:rPr>
        <w:t xml:space="preserve"> </w:t>
      </w:r>
      <w:r w:rsidR="007D0E0F" w:rsidRPr="001314FA">
        <w:rPr>
          <w:rFonts w:asciiTheme="minorBidi" w:hAnsiTheme="minorBidi"/>
          <w:sz w:val="22"/>
        </w:rPr>
        <w:t>et al.</w:t>
      </w:r>
      <w:r w:rsidRPr="001314FA">
        <w:rPr>
          <w:rFonts w:asciiTheme="minorBidi" w:hAnsiTheme="minorBidi"/>
          <w:sz w:val="22"/>
        </w:rPr>
        <w:t xml:space="preserve"> 2016).</w:t>
      </w:r>
    </w:p>
    <w:p w14:paraId="3148F593" w14:textId="65C80983" w:rsidR="001314FA" w:rsidRPr="001314FA" w:rsidRDefault="001314FA" w:rsidP="001314FA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 w:rsidRPr="001314FA">
        <w:rPr>
          <w:rFonts w:asciiTheme="minorBidi" w:hAnsiTheme="minorBidi"/>
          <w:sz w:val="22"/>
        </w:rPr>
        <w:t>Modern surveillance also includes laboratory-based monitoring, such as sputum smear</w:t>
      </w:r>
      <w:r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microscopy, culture tests, and molecular diagnostic tools like GeneXpert. These methods help</w:t>
      </w:r>
      <w:r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confirm TB cases and detect drug-resistant strains. Furthermore, screening</w:t>
      </w:r>
      <w:r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programmes target high-risk groups such as migrants, homeless populations, and people</w:t>
      </w:r>
      <w:r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with HIV.</w:t>
      </w:r>
    </w:p>
    <w:p w14:paraId="26C7E7AB" w14:textId="1C028080" w:rsidR="001314FA" w:rsidRPr="001314FA" w:rsidRDefault="001314FA" w:rsidP="001314FA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 w:rsidRPr="001314FA">
        <w:rPr>
          <w:rFonts w:asciiTheme="minorBidi" w:hAnsiTheme="minorBidi"/>
          <w:sz w:val="22"/>
        </w:rPr>
        <w:lastRenderedPageBreak/>
        <w:t>In the UK, TB is monitored through national surveillance systems such as the Enhanced</w:t>
      </w:r>
      <w:r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Tuberculosis Surveillance (ETS) system, which collects detailed patient data to guide public</w:t>
      </w:r>
      <w:r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health interventions (UKHSA, 2025).</w:t>
      </w:r>
    </w:p>
    <w:p w14:paraId="0DA15A10" w14:textId="07392A48" w:rsidR="001314FA" w:rsidRPr="001314FA" w:rsidRDefault="001314FA" w:rsidP="001314FA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 w:rsidRPr="001314FA">
        <w:rPr>
          <w:rFonts w:asciiTheme="minorBidi" w:hAnsiTheme="minorBidi"/>
          <w:sz w:val="22"/>
        </w:rPr>
        <w:t>Overall, combining these approaches allows health authorities to obtain accurate data,</w:t>
      </w:r>
      <w:r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monitor trends, and evaluate the effectiveness of TB control strategies.</w:t>
      </w:r>
    </w:p>
    <w:p w14:paraId="2AB538E2" w14:textId="77777777" w:rsidR="001314FA" w:rsidRDefault="001314FA" w:rsidP="001314FA">
      <w:pPr>
        <w:pStyle w:val="Heading1"/>
      </w:pPr>
      <w:r w:rsidRPr="001314FA">
        <w:t>Control of Tuberculosis</w:t>
      </w:r>
    </w:p>
    <w:p w14:paraId="3FE61FDB" w14:textId="7D8E4ECF" w:rsidR="001314FA" w:rsidRPr="001314FA" w:rsidRDefault="001314FA" w:rsidP="001314FA">
      <w:pPr>
        <w:tabs>
          <w:tab w:val="left" w:pos="6540"/>
        </w:tabs>
        <w:spacing w:line="360" w:lineRule="auto"/>
        <w:rPr>
          <w:rFonts w:asciiTheme="minorBidi" w:hAnsiTheme="minorBidi"/>
          <w:sz w:val="28"/>
          <w:szCs w:val="28"/>
        </w:rPr>
      </w:pPr>
      <w:r w:rsidRPr="001314FA">
        <w:rPr>
          <w:rFonts w:asciiTheme="minorBidi" w:hAnsiTheme="minorBidi"/>
          <w:sz w:val="22"/>
        </w:rPr>
        <w:t>Controlling TB involves a combination of prevention, early detection, and effective treatment</w:t>
      </w:r>
      <w:r>
        <w:rPr>
          <w:rFonts w:asciiTheme="minorBidi" w:hAnsiTheme="minorBidi"/>
          <w:sz w:val="28"/>
          <w:szCs w:val="28"/>
        </w:rPr>
        <w:t xml:space="preserve"> </w:t>
      </w:r>
      <w:r w:rsidRPr="001314FA">
        <w:rPr>
          <w:rFonts w:asciiTheme="minorBidi" w:hAnsiTheme="minorBidi"/>
          <w:sz w:val="22"/>
        </w:rPr>
        <w:t xml:space="preserve">strategies. One of the key strategies is the directly observed treatment short course </w:t>
      </w:r>
      <w:r w:rsidR="007D0E0F">
        <w:rPr>
          <w:rStyle w:val="Heading1Char"/>
          <w:sz w:val="22"/>
        </w:rPr>
        <w:t xml:space="preserve">dots </w:t>
      </w:r>
      <w:r w:rsidRPr="001314FA">
        <w:rPr>
          <w:rFonts w:asciiTheme="minorBidi" w:hAnsiTheme="minorBidi"/>
          <w:sz w:val="22"/>
        </w:rPr>
        <w:t>recommended by the WHO. This approach ensures that patients complete their medication</w:t>
      </w:r>
      <w:r>
        <w:rPr>
          <w:rFonts w:asciiTheme="minorBidi" w:hAnsiTheme="minorBidi"/>
          <w:sz w:val="28"/>
          <w:szCs w:val="28"/>
        </w:rPr>
        <w:t xml:space="preserve"> </w:t>
      </w:r>
      <w:r w:rsidRPr="001314FA">
        <w:rPr>
          <w:rFonts w:asciiTheme="minorBidi" w:hAnsiTheme="minorBidi"/>
          <w:sz w:val="22"/>
        </w:rPr>
        <w:t>under supervision, reducing the risk of treatment failure and drug resistance.</w:t>
      </w:r>
    </w:p>
    <w:p w14:paraId="4A904210" w14:textId="77777777" w:rsidR="00F8072B" w:rsidRDefault="001314FA" w:rsidP="00F8072B">
      <w:pPr>
        <w:spacing w:line="360" w:lineRule="auto"/>
        <w:rPr>
          <w:rStyle w:val="Heading1Char"/>
        </w:rPr>
      </w:pPr>
      <w:r w:rsidRPr="007D0E0F">
        <w:rPr>
          <w:rStyle w:val="Heading1Char"/>
          <w:b w:val="0"/>
          <w:bCs/>
        </w:rPr>
        <w:t>Vaccination</w:t>
      </w:r>
      <w:r w:rsidRPr="001314FA">
        <w:rPr>
          <w:rStyle w:val="Heading1Char"/>
        </w:rPr>
        <w:t> </w:t>
      </w:r>
      <w:r>
        <w:rPr>
          <w:rFonts w:ascii="Arial" w:hAnsi="Arial" w:cs="Arial"/>
        </w:rPr>
        <w:t xml:space="preserve">is </w:t>
      </w:r>
      <w:r w:rsidRPr="001314FA">
        <w:t xml:space="preserve">another </w:t>
      </w:r>
      <w:r>
        <w:t>I</w:t>
      </w:r>
      <w:r w:rsidRPr="001314FA">
        <w:t>mportant preventive measure. The Bacillus Calmette–Guérin (BCG)</w:t>
      </w:r>
      <w:r>
        <w:t xml:space="preserve"> </w:t>
      </w:r>
      <w:r w:rsidRPr="001314FA">
        <w:rPr>
          <w:rFonts w:asciiTheme="minorBidi" w:hAnsiTheme="minorBidi"/>
          <w:sz w:val="22"/>
        </w:rPr>
        <w:t>vaccine is given to infants and high-risk individuals to provide protection against severe</w:t>
      </w:r>
      <w:r>
        <w:t xml:space="preserve"> </w:t>
      </w:r>
      <w:r w:rsidRPr="001314FA">
        <w:rPr>
          <w:rFonts w:asciiTheme="minorBidi" w:hAnsiTheme="minorBidi"/>
          <w:sz w:val="22"/>
        </w:rPr>
        <w:t>forms of TB. Although it does not fully prevent pulmonary TB in adults, it remains an</w:t>
      </w:r>
      <w:r w:rsidR="00F8072B">
        <w:t xml:space="preserve"> </w:t>
      </w:r>
      <w:r w:rsidRPr="001314FA">
        <w:rPr>
          <w:rFonts w:asciiTheme="minorBidi" w:hAnsiTheme="minorBidi"/>
          <w:sz w:val="22"/>
        </w:rPr>
        <w:t xml:space="preserve">essential public health </w:t>
      </w:r>
      <w:r w:rsidR="00F8072B" w:rsidRPr="001314FA">
        <w:rPr>
          <w:rFonts w:asciiTheme="minorBidi" w:hAnsiTheme="minorBidi"/>
          <w:sz w:val="22"/>
        </w:rPr>
        <w:t>tool</w:t>
      </w:r>
      <w:r w:rsidR="00F8072B">
        <w:rPr>
          <w:rFonts w:asciiTheme="minorBidi" w:hAnsiTheme="minorBidi"/>
          <w:sz w:val="22"/>
        </w:rPr>
        <w:t>.</w:t>
      </w:r>
      <w:r w:rsidR="00F8072B" w:rsidRPr="00F8072B">
        <w:rPr>
          <w:rStyle w:val="Heading1Char"/>
        </w:rPr>
        <w:t xml:space="preserve"> </w:t>
      </w:r>
    </w:p>
    <w:p w14:paraId="4F9CFA17" w14:textId="2D1CF282" w:rsidR="001314FA" w:rsidRPr="00F8072B" w:rsidRDefault="00F8072B" w:rsidP="00F8072B">
      <w:pPr>
        <w:spacing w:line="360" w:lineRule="auto"/>
      </w:pPr>
      <w:r w:rsidRPr="007D0E0F">
        <w:rPr>
          <w:rStyle w:val="Heading1Char"/>
          <w:b w:val="0"/>
          <w:bCs/>
        </w:rPr>
        <w:t>Early</w:t>
      </w:r>
      <w:r w:rsidR="001314FA" w:rsidRPr="007D0E0F">
        <w:rPr>
          <w:rStyle w:val="Heading1Char"/>
          <w:b w:val="0"/>
          <w:bCs/>
        </w:rPr>
        <w:t xml:space="preserve"> diagnosis and treatment</w:t>
      </w:r>
      <w:r w:rsidR="001314FA" w:rsidRPr="001314FA">
        <w:rPr>
          <w:rFonts w:asciiTheme="minorBidi" w:hAnsiTheme="minorBidi"/>
          <w:sz w:val="22"/>
        </w:rPr>
        <w:t> are critical for controlling TB transmission. Rapid diagnostic</w:t>
      </w:r>
      <w:r>
        <w:t xml:space="preserve"> </w:t>
      </w:r>
      <w:r w:rsidR="001314FA" w:rsidRPr="001314FA">
        <w:rPr>
          <w:rFonts w:asciiTheme="minorBidi" w:hAnsiTheme="minorBidi"/>
          <w:sz w:val="22"/>
        </w:rPr>
        <w:t>tools, such as molecular tests, enable quicker detection and initiation of treatment. TB</w:t>
      </w:r>
      <w:r>
        <w:t xml:space="preserve"> </w:t>
      </w:r>
      <w:r w:rsidR="001314FA" w:rsidRPr="001314FA">
        <w:rPr>
          <w:rFonts w:asciiTheme="minorBidi" w:hAnsiTheme="minorBidi"/>
          <w:sz w:val="22"/>
        </w:rPr>
        <w:t>treatment typically involves a combination of antibiotics taken over six months or longer.</w:t>
      </w:r>
      <w:r>
        <w:t xml:space="preserve"> </w:t>
      </w:r>
      <w:r w:rsidR="001314FA" w:rsidRPr="001314FA">
        <w:rPr>
          <w:rFonts w:asciiTheme="minorBidi" w:hAnsiTheme="minorBidi"/>
          <w:sz w:val="22"/>
        </w:rPr>
        <w:t>Adherence to treatment is essential, as incomplete treatment can lead to multidrug-resistant</w:t>
      </w:r>
      <w:r>
        <w:t xml:space="preserve"> </w:t>
      </w:r>
      <w:r w:rsidR="001314FA" w:rsidRPr="001314FA">
        <w:rPr>
          <w:rFonts w:asciiTheme="minorBidi" w:hAnsiTheme="minorBidi"/>
          <w:sz w:val="22"/>
        </w:rPr>
        <w:t>TB (MDR-TB), which is more difficult and costly to treat.</w:t>
      </w:r>
    </w:p>
    <w:p w14:paraId="7982EECC" w14:textId="7D5529D8" w:rsidR="001314FA" w:rsidRPr="001314FA" w:rsidRDefault="001314FA" w:rsidP="001314FA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 w:rsidRPr="007D0E0F">
        <w:rPr>
          <w:rStyle w:val="Heading1Char"/>
          <w:b w:val="0"/>
          <w:bCs/>
        </w:rPr>
        <w:t>Public health interventions</w:t>
      </w:r>
      <w:r w:rsidRPr="001314FA">
        <w:rPr>
          <w:rFonts w:asciiTheme="minorBidi" w:hAnsiTheme="minorBidi"/>
          <w:sz w:val="22"/>
        </w:rPr>
        <w:t> such as contact tracing, screening programmes, and health</w:t>
      </w:r>
      <w:r w:rsidR="00F8072B"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education also play a vital role. Contact tracing helps identify individuals who may have been</w:t>
      </w:r>
      <w:r w:rsidR="00F8072B"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exposed to TB, allowing early testing and treatment. Health education campaigns raise</w:t>
      </w:r>
      <w:r w:rsidR="00F8072B"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awareness about symptoms and encourage people to seek medical care.</w:t>
      </w:r>
    </w:p>
    <w:p w14:paraId="40668901" w14:textId="31AE4D41" w:rsidR="001314FA" w:rsidRPr="001314FA" w:rsidRDefault="001314FA" w:rsidP="001314FA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 w:rsidRPr="001314FA">
        <w:rPr>
          <w:rFonts w:asciiTheme="minorBidi" w:hAnsiTheme="minorBidi"/>
          <w:sz w:val="22"/>
        </w:rPr>
        <w:t>At a global level, the WHO’s End TB Strategy aims to reduce TB deaths by 95% and</w:t>
      </w:r>
      <w:r w:rsidR="00F8072B"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incidence by 90% by 2035. However, progress has been slow due to challenges such as</w:t>
      </w:r>
      <w:r w:rsidR="00F8072B"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poverty, limited healthcare access, and underfunding (WHO, 2024).</w:t>
      </w:r>
    </w:p>
    <w:p w14:paraId="52A7FC49" w14:textId="209A1118" w:rsidR="001314FA" w:rsidRPr="001314FA" w:rsidRDefault="001314FA" w:rsidP="001314FA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 w:rsidRPr="001314FA">
        <w:rPr>
          <w:rFonts w:asciiTheme="minorBidi" w:hAnsiTheme="minorBidi"/>
          <w:sz w:val="22"/>
        </w:rPr>
        <w:t>In the UK, TB control includes targeted screening of high-risk groups, free access to</w:t>
      </w:r>
      <w:r w:rsidR="00F8072B">
        <w:rPr>
          <w:rFonts w:asciiTheme="minorBidi" w:hAnsiTheme="minorBidi"/>
          <w:sz w:val="22"/>
        </w:rPr>
        <w:t xml:space="preserve">   </w:t>
      </w:r>
      <w:r w:rsidRPr="001314FA">
        <w:rPr>
          <w:rFonts w:asciiTheme="minorBidi" w:hAnsiTheme="minorBidi"/>
          <w:sz w:val="22"/>
        </w:rPr>
        <w:t>diagnosis and treatment through the National Health Service (NHS), and collaboration</w:t>
      </w:r>
      <w:r w:rsidR="00F8072B"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between public health agencies and community organisations.</w:t>
      </w:r>
    </w:p>
    <w:p w14:paraId="1186662C" w14:textId="77777777" w:rsidR="001314FA" w:rsidRPr="001314FA" w:rsidRDefault="001314FA" w:rsidP="00F8072B">
      <w:pPr>
        <w:pStyle w:val="Heading1"/>
      </w:pPr>
      <w:r w:rsidRPr="001314FA">
        <w:lastRenderedPageBreak/>
        <w:t>Consequences of Tuberculosis on Individuals and Communities</w:t>
      </w:r>
    </w:p>
    <w:p w14:paraId="0BD156AB" w14:textId="6F2C2D39" w:rsidR="001314FA" w:rsidRPr="001314FA" w:rsidRDefault="001314FA" w:rsidP="001314FA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 w:rsidRPr="001314FA">
        <w:rPr>
          <w:rFonts w:asciiTheme="minorBidi" w:hAnsiTheme="minorBidi"/>
          <w:sz w:val="22"/>
        </w:rPr>
        <w:t>Tuberculosis has significant consequences for individuals, families, and communities. On an</w:t>
      </w:r>
      <w:r w:rsidR="00F8072B"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individual level, TB can cause severe physical health problems, including lung damage and</w:t>
      </w:r>
      <w:r w:rsidR="00F8072B"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long-term respiratory issues. If left untreated, it can be fatal. Even after treatment, some</w:t>
      </w:r>
      <w:r w:rsidR="00F8072B"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individuals experience lasting health complications.</w:t>
      </w:r>
    </w:p>
    <w:p w14:paraId="06872DBB" w14:textId="663D7463" w:rsidR="001314FA" w:rsidRPr="001314FA" w:rsidRDefault="001314FA" w:rsidP="001314FA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 w:rsidRPr="001314FA">
        <w:rPr>
          <w:rFonts w:asciiTheme="minorBidi" w:hAnsiTheme="minorBidi"/>
          <w:sz w:val="22"/>
        </w:rPr>
        <w:t xml:space="preserve">TB also </w:t>
      </w:r>
      <w:r w:rsidRPr="00F8072B">
        <w:rPr>
          <w:rStyle w:val="Heading3Char"/>
          <w:rFonts w:eastAsiaTheme="minorHAnsi"/>
        </w:rPr>
        <w:t>has psychological impacts,</w:t>
      </w:r>
      <w:r w:rsidRPr="001314FA">
        <w:rPr>
          <w:rFonts w:asciiTheme="minorBidi" w:hAnsiTheme="minorBidi"/>
          <w:sz w:val="22"/>
        </w:rPr>
        <w:t xml:space="preserve"> including anxiety, depression, and social isolation. The</w:t>
      </w:r>
      <w:r w:rsidR="00F8072B"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stigma associated with TB can lead to discrimination, making individuals reluctant to seek</w:t>
      </w:r>
      <w:r w:rsidR="00F8072B"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diagnosis or treatment.</w:t>
      </w:r>
    </w:p>
    <w:p w14:paraId="597F2897" w14:textId="08C59B1F" w:rsidR="001314FA" w:rsidRPr="001314FA" w:rsidRDefault="001314FA" w:rsidP="001314FA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 w:rsidRPr="001314FA">
        <w:rPr>
          <w:rFonts w:asciiTheme="minorBidi" w:hAnsiTheme="minorBidi"/>
          <w:sz w:val="22"/>
        </w:rPr>
        <w:t xml:space="preserve">Economically, TB places a heavy burden on affected individuals and households. </w:t>
      </w:r>
      <w:r w:rsidR="00F8072B" w:rsidRPr="001314FA">
        <w:rPr>
          <w:rFonts w:asciiTheme="minorBidi" w:hAnsiTheme="minorBidi"/>
          <w:sz w:val="22"/>
        </w:rPr>
        <w:t>Many patients</w:t>
      </w:r>
      <w:r w:rsidRPr="001314FA">
        <w:rPr>
          <w:rFonts w:asciiTheme="minorBidi" w:hAnsiTheme="minorBidi"/>
          <w:sz w:val="22"/>
        </w:rPr>
        <w:t xml:space="preserve"> are unable to work during their illness, leading to loss of income. The WHO reports</w:t>
      </w:r>
      <w:r w:rsidR="00F8072B"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that around 50% of TB-affected households face catastrophic costs related to the disease</w:t>
      </w:r>
      <w:r w:rsidR="00F8072B"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(WHO, 2024).</w:t>
      </w:r>
    </w:p>
    <w:p w14:paraId="503AC37B" w14:textId="3976A5BD" w:rsidR="001314FA" w:rsidRPr="001314FA" w:rsidRDefault="001314FA" w:rsidP="001314FA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 w:rsidRPr="001314FA">
        <w:rPr>
          <w:rFonts w:asciiTheme="minorBidi" w:hAnsiTheme="minorBidi"/>
          <w:sz w:val="22"/>
        </w:rPr>
        <w:t>At the community level, TB contributes to increased healthcare costs and loss of productivity.</w:t>
      </w:r>
      <w:r w:rsidR="00F8072B"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 xml:space="preserve">It disproportionately affects vulnerable populations, including those living in </w:t>
      </w:r>
      <w:r w:rsidR="00F8072B" w:rsidRPr="001314FA">
        <w:rPr>
          <w:rFonts w:asciiTheme="minorBidi" w:hAnsiTheme="minorBidi"/>
          <w:sz w:val="22"/>
        </w:rPr>
        <w:t>poverty, migrants</w:t>
      </w:r>
      <w:r w:rsidRPr="001314FA">
        <w:rPr>
          <w:rFonts w:asciiTheme="minorBidi" w:hAnsiTheme="minorBidi"/>
          <w:sz w:val="22"/>
        </w:rPr>
        <w:t>, and individuals with weakened immune systems. In England, a significant</w:t>
      </w:r>
      <w:r w:rsidR="00F8072B"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proportion of TB cases occur among people born outside the UK and those living in deprived</w:t>
      </w:r>
      <w:r w:rsidR="00F8072B"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areas, highlighting the link between TB and social determinants of health (UKHSA, 2025).</w:t>
      </w:r>
    </w:p>
    <w:p w14:paraId="796A389F" w14:textId="77777777" w:rsidR="001314FA" w:rsidRPr="001314FA" w:rsidRDefault="001314FA" w:rsidP="001314FA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32325D17" w14:textId="68B3B980" w:rsidR="001314FA" w:rsidRPr="001314FA" w:rsidRDefault="001314FA" w:rsidP="001314FA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 w:rsidRPr="001314FA">
        <w:rPr>
          <w:rFonts w:asciiTheme="minorBidi" w:hAnsiTheme="minorBidi"/>
          <w:sz w:val="22"/>
        </w:rPr>
        <w:t>Furthermore, the spread of drug-resistant TB poses a serious public health threat. MDR-</w:t>
      </w:r>
      <w:r w:rsidR="00F8072B" w:rsidRPr="001314FA">
        <w:rPr>
          <w:rFonts w:asciiTheme="minorBidi" w:hAnsiTheme="minorBidi"/>
          <w:sz w:val="22"/>
        </w:rPr>
        <w:t>Requires</w:t>
      </w:r>
      <w:r w:rsidRPr="001314FA">
        <w:rPr>
          <w:rFonts w:asciiTheme="minorBidi" w:hAnsiTheme="minorBidi"/>
          <w:sz w:val="22"/>
        </w:rPr>
        <w:t xml:space="preserve"> longer and more expensive treatment, with lower success rates. This </w:t>
      </w:r>
      <w:r w:rsidR="00F8072B" w:rsidRPr="001314FA">
        <w:rPr>
          <w:rFonts w:asciiTheme="minorBidi" w:hAnsiTheme="minorBidi"/>
          <w:sz w:val="22"/>
        </w:rPr>
        <w:t xml:space="preserve">increases </w:t>
      </w:r>
      <w:r w:rsidR="00F8072B">
        <w:rPr>
          <w:rFonts w:asciiTheme="minorBidi" w:hAnsiTheme="minorBidi"/>
          <w:sz w:val="22"/>
        </w:rPr>
        <w:t xml:space="preserve">the </w:t>
      </w:r>
      <w:r w:rsidRPr="001314FA">
        <w:rPr>
          <w:rFonts w:asciiTheme="minorBidi" w:hAnsiTheme="minorBidi"/>
          <w:sz w:val="22"/>
        </w:rPr>
        <w:t>burden on healthcare systems and complicates control efforts.</w:t>
      </w:r>
    </w:p>
    <w:p w14:paraId="512A138C" w14:textId="77777777" w:rsidR="001314FA" w:rsidRPr="001314FA" w:rsidRDefault="001314FA" w:rsidP="001314FA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63CB3AE" w14:textId="77777777" w:rsidR="001314FA" w:rsidRPr="001314FA" w:rsidRDefault="001314FA" w:rsidP="00F8072B">
      <w:pPr>
        <w:pStyle w:val="Heading3"/>
      </w:pPr>
      <w:r w:rsidRPr="001314FA">
        <w:t>Health and Social Care Support Services</w:t>
      </w:r>
    </w:p>
    <w:p w14:paraId="4A1A4C18" w14:textId="70AC10D3" w:rsidR="001314FA" w:rsidRPr="001314FA" w:rsidRDefault="001314FA" w:rsidP="001314FA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 w:rsidRPr="001314FA">
        <w:rPr>
          <w:rFonts w:asciiTheme="minorBidi" w:hAnsiTheme="minorBidi"/>
          <w:sz w:val="22"/>
        </w:rPr>
        <w:t>Effective management of TB requires comprehensive health and social care support services.</w:t>
      </w:r>
      <w:r w:rsidR="00F8072B"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Healthcare services play a central role in diagnosing, treating, and monitoring TB. In the UK,</w:t>
      </w:r>
      <w:r w:rsidR="00F8072B"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the NHS provides free TB testing and treatment, ensuring that financial barriers do not</w:t>
      </w:r>
      <w:r w:rsidR="00F8072B"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prevent access to care.</w:t>
      </w:r>
    </w:p>
    <w:p w14:paraId="5D0C380E" w14:textId="35D5936B" w:rsidR="001314FA" w:rsidRPr="001314FA" w:rsidRDefault="001314FA" w:rsidP="001314FA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 w:rsidRPr="00914070">
        <w:rPr>
          <w:rStyle w:val="Heading3Char"/>
          <w:rFonts w:eastAsiaTheme="minorHAnsi"/>
        </w:rPr>
        <w:t>Specialist TB services</w:t>
      </w:r>
      <w:r w:rsidRPr="001314FA">
        <w:rPr>
          <w:rFonts w:asciiTheme="minorBidi" w:hAnsiTheme="minorBidi"/>
          <w:sz w:val="22"/>
        </w:rPr>
        <w:t> include respiratory clinics, infectious disease units, and community</w:t>
      </w:r>
      <w:r w:rsidR="00F8072B"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TB nurses who provide ongoing support to patients. These professionals monitor treatment</w:t>
      </w:r>
      <w:r w:rsidR="00F8072B"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adherence, manage side effects, and offer education about the disease.</w:t>
      </w:r>
    </w:p>
    <w:p w14:paraId="7CA85671" w14:textId="75709A83" w:rsidR="001314FA" w:rsidRPr="001314FA" w:rsidRDefault="001314FA" w:rsidP="001314FA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 w:rsidRPr="00914070">
        <w:rPr>
          <w:rStyle w:val="Heading3Char"/>
          <w:rFonts w:eastAsiaTheme="minorHAnsi"/>
        </w:rPr>
        <w:lastRenderedPageBreak/>
        <w:t>Public health services</w:t>
      </w:r>
      <w:r w:rsidRPr="001314FA">
        <w:rPr>
          <w:rFonts w:asciiTheme="minorBidi" w:hAnsiTheme="minorBidi"/>
          <w:sz w:val="22"/>
        </w:rPr>
        <w:t> are responsible for contact tracing, screening programmes, and</w:t>
      </w:r>
      <w:r w:rsidR="00F8072B"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surveillance. They work closely with healthcare providers to prevent the spread of TB within</w:t>
      </w:r>
      <w:r w:rsidR="00F8072B"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communities.</w:t>
      </w:r>
    </w:p>
    <w:p w14:paraId="3066A0B8" w14:textId="342780F9" w:rsidR="001314FA" w:rsidRPr="001314FA" w:rsidRDefault="001314FA" w:rsidP="001314FA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 w:rsidRPr="001314FA">
        <w:rPr>
          <w:rFonts w:asciiTheme="minorBidi" w:hAnsiTheme="minorBidi"/>
          <w:sz w:val="22"/>
        </w:rPr>
        <w:t>Social care services are equally important in addressing the wider needs of TB patients. Many</w:t>
      </w:r>
      <w:r w:rsidR="00F8072B"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individuals with TB face challenges such as homelessness, unemployment, and poor living</w:t>
      </w:r>
      <w:r w:rsidR="00F8072B"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 xml:space="preserve">conditions. Social workers and community organisations provide support with </w:t>
      </w:r>
      <w:r w:rsidR="00F8072B" w:rsidRPr="001314FA">
        <w:rPr>
          <w:rFonts w:asciiTheme="minorBidi" w:hAnsiTheme="minorBidi"/>
          <w:sz w:val="22"/>
        </w:rPr>
        <w:t xml:space="preserve">housing, </w:t>
      </w:r>
      <w:r w:rsidR="007D0E0F" w:rsidRPr="00914070">
        <w:rPr>
          <w:rStyle w:val="Heading3Char"/>
          <w:rFonts w:eastAsiaTheme="minorHAnsi"/>
        </w:rPr>
        <w:t xml:space="preserve">Psychological </w:t>
      </w:r>
      <w:r w:rsidR="00F8072B" w:rsidRPr="001314FA">
        <w:rPr>
          <w:rFonts w:asciiTheme="minorBidi" w:hAnsiTheme="minorBidi"/>
          <w:sz w:val="22"/>
        </w:rPr>
        <w:t>financial</w:t>
      </w:r>
      <w:r w:rsidRPr="001314FA">
        <w:rPr>
          <w:rFonts w:asciiTheme="minorBidi" w:hAnsiTheme="minorBidi"/>
          <w:sz w:val="22"/>
        </w:rPr>
        <w:t xml:space="preserve"> assistance, and access to social benefits.</w:t>
      </w:r>
    </w:p>
    <w:p w14:paraId="26DA62BE" w14:textId="46793D0A" w:rsidR="001314FA" w:rsidRPr="001314FA" w:rsidRDefault="001314FA" w:rsidP="001314FA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 w:rsidRPr="00914070">
        <w:rPr>
          <w:rStyle w:val="Heading3Char"/>
          <w:rFonts w:eastAsiaTheme="minorHAnsi"/>
        </w:rPr>
        <w:t>support services</w:t>
      </w:r>
      <w:r w:rsidRPr="001314FA">
        <w:rPr>
          <w:rFonts w:asciiTheme="minorBidi" w:hAnsiTheme="minorBidi"/>
          <w:sz w:val="22"/>
        </w:rPr>
        <w:t> help patients cope with the emotional impact of TB,</w:t>
      </w:r>
      <w:r w:rsidR="00914070"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including stigma and mental health issues. Counselling and peer support groups can improve</w:t>
      </w:r>
      <w:r w:rsidR="00F8072B"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patients’ well-being and encourage treatment adherence.</w:t>
      </w:r>
    </w:p>
    <w:p w14:paraId="10F5B2C7" w14:textId="16A1398A" w:rsidR="001314FA" w:rsidRPr="001314FA" w:rsidRDefault="001314FA" w:rsidP="001314FA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 w:rsidRPr="001314FA">
        <w:rPr>
          <w:rFonts w:asciiTheme="minorBidi" w:hAnsiTheme="minorBidi"/>
          <w:sz w:val="22"/>
        </w:rPr>
        <w:t>In addition</w:t>
      </w:r>
      <w:r w:rsidRPr="00914070">
        <w:rPr>
          <w:rStyle w:val="Heading3Char"/>
          <w:rFonts w:eastAsiaTheme="minorHAnsi"/>
        </w:rPr>
        <w:t>, community outreach programmes</w:t>
      </w:r>
      <w:r w:rsidRPr="001314FA">
        <w:rPr>
          <w:rFonts w:asciiTheme="minorBidi" w:hAnsiTheme="minorBidi"/>
          <w:sz w:val="22"/>
        </w:rPr>
        <w:t> are essential for reaching high-risk</w:t>
      </w:r>
      <w:r w:rsidR="00F8072B"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populations. These programmes provide education, screening, and support services in</w:t>
      </w:r>
      <w:r w:rsidR="00F8072B"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 xml:space="preserve">accessible settings, helping to reduce health </w:t>
      </w:r>
      <w:r w:rsidR="00F8072B" w:rsidRPr="001314FA">
        <w:rPr>
          <w:rFonts w:asciiTheme="minorBidi" w:hAnsiTheme="minorBidi"/>
          <w:sz w:val="22"/>
        </w:rPr>
        <w:t>inequalities. Collaboration</w:t>
      </w:r>
      <w:r w:rsidRPr="001314FA">
        <w:rPr>
          <w:rFonts w:asciiTheme="minorBidi" w:hAnsiTheme="minorBidi"/>
          <w:sz w:val="22"/>
        </w:rPr>
        <w:t xml:space="preserve"> between health </w:t>
      </w:r>
      <w:r w:rsidR="00914070" w:rsidRPr="001314FA">
        <w:rPr>
          <w:rFonts w:asciiTheme="minorBidi" w:hAnsiTheme="minorBidi"/>
          <w:sz w:val="22"/>
        </w:rPr>
        <w:t xml:space="preserve">and </w:t>
      </w:r>
      <w:r w:rsidR="00914070">
        <w:rPr>
          <w:rFonts w:asciiTheme="minorBidi" w:hAnsiTheme="minorBidi"/>
          <w:sz w:val="22"/>
        </w:rPr>
        <w:t>social</w:t>
      </w:r>
      <w:r w:rsidRPr="001314FA">
        <w:rPr>
          <w:rFonts w:asciiTheme="minorBidi" w:hAnsiTheme="minorBidi"/>
          <w:sz w:val="22"/>
        </w:rPr>
        <w:t xml:space="preserve"> care services is crucial for</w:t>
      </w:r>
      <w:r w:rsidR="00F8072B"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providing holistic care and improving outcomes for individuals affected by</w:t>
      </w:r>
      <w:r w:rsidR="00F8072B"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TB.</w:t>
      </w:r>
    </w:p>
    <w:p w14:paraId="3CD84234" w14:textId="77777777" w:rsidR="001314FA" w:rsidRPr="001314FA" w:rsidRDefault="001314FA" w:rsidP="00F8072B">
      <w:pPr>
        <w:pStyle w:val="Heading3"/>
      </w:pPr>
    </w:p>
    <w:p w14:paraId="4F708A6C" w14:textId="77777777" w:rsidR="001314FA" w:rsidRPr="001314FA" w:rsidRDefault="001314FA" w:rsidP="00F8072B">
      <w:pPr>
        <w:pStyle w:val="Heading3"/>
      </w:pPr>
      <w:r w:rsidRPr="001314FA">
        <w:t>Conclusion</w:t>
      </w:r>
    </w:p>
    <w:p w14:paraId="1EFA0EA7" w14:textId="047B8C1B" w:rsidR="001314FA" w:rsidRPr="001314FA" w:rsidRDefault="001314FA" w:rsidP="001314FA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 w:rsidRPr="001314FA">
        <w:rPr>
          <w:rFonts w:asciiTheme="minorBidi" w:hAnsiTheme="minorBidi"/>
          <w:sz w:val="22"/>
        </w:rPr>
        <w:t>In conclusion, tuberculosis remains a significant global and national public health challenge</w:t>
      </w:r>
      <w:r w:rsidR="00F8072B"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despite advances in diagnosis and treatment. It is a highly infectious disease with serious</w:t>
      </w:r>
      <w:r w:rsidR="00F8072B"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health, social, and economic consequences for individuals and communities. The increasing</w:t>
      </w:r>
      <w:r w:rsidR="00F8072B"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incidence rates, particularly in countries like the UK, highlight the need for continued</w:t>
      </w:r>
      <w:r w:rsidR="00F8072B"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vigilance and effective control measures.</w:t>
      </w:r>
    </w:p>
    <w:p w14:paraId="5E1A0044" w14:textId="6FF853EC" w:rsidR="001314FA" w:rsidRPr="001314FA" w:rsidRDefault="001314FA" w:rsidP="001314FA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 w:rsidRPr="001314FA">
        <w:rPr>
          <w:rFonts w:asciiTheme="minorBidi" w:hAnsiTheme="minorBidi"/>
          <w:sz w:val="22"/>
        </w:rPr>
        <w:t>Monitoring and surveillance systems play a vital role in understanding the spread of TB and</w:t>
      </w:r>
      <w:r w:rsidR="00F8072B"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guiding public health interventions. Control strategies, including vaccination, early diagnosis,</w:t>
      </w:r>
      <w:r w:rsidR="00F8072B"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and effective treatment, are essential for reducing transmission and improving outcomes.</w:t>
      </w:r>
      <w:r w:rsidR="00F8072B"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However, addressing the broader social determinants of health is equally important in</w:t>
      </w:r>
      <w:r w:rsidR="00F8072B"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tackling the root causes of the disease.</w:t>
      </w:r>
    </w:p>
    <w:p w14:paraId="00394135" w14:textId="30AB05B4" w:rsidR="001314FA" w:rsidRPr="001314FA" w:rsidRDefault="001314FA" w:rsidP="001314FA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 w:rsidRPr="001314FA">
        <w:rPr>
          <w:rFonts w:asciiTheme="minorBidi" w:hAnsiTheme="minorBidi"/>
          <w:sz w:val="22"/>
        </w:rPr>
        <w:t>Comprehensive health and social care support services are necessary to meet the needs of</w:t>
      </w:r>
      <w:r w:rsidR="00F8072B"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individuals affected by TB. By strengthening these systems and promoting global</w:t>
      </w:r>
      <w:r w:rsidR="00F8072B"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collaboration, it is possible to reduce the burden of tuberculosis and move closer to its</w:t>
      </w:r>
      <w:r w:rsidR="00F8072B">
        <w:rPr>
          <w:rFonts w:asciiTheme="minorBidi" w:hAnsiTheme="minorBidi"/>
          <w:sz w:val="22"/>
        </w:rPr>
        <w:t xml:space="preserve"> </w:t>
      </w:r>
      <w:r w:rsidRPr="001314FA">
        <w:rPr>
          <w:rFonts w:asciiTheme="minorBidi" w:hAnsiTheme="minorBidi"/>
          <w:sz w:val="22"/>
        </w:rPr>
        <w:t>eventual elimination.</w:t>
      </w:r>
    </w:p>
    <w:p w14:paraId="2F8732AC" w14:textId="77777777" w:rsidR="001314FA" w:rsidRPr="001314FA" w:rsidRDefault="001314FA" w:rsidP="001314FA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70AFAE99" w14:textId="77777777" w:rsidR="001314FA" w:rsidRPr="001314FA" w:rsidRDefault="001314FA" w:rsidP="00F8072B">
      <w:pPr>
        <w:pStyle w:val="Heading3"/>
      </w:pPr>
      <w:r w:rsidRPr="001314FA">
        <w:lastRenderedPageBreak/>
        <w:t>REFERENCES.</w:t>
      </w:r>
    </w:p>
    <w:p w14:paraId="33CDA9B9" w14:textId="77777777" w:rsidR="001C33E4" w:rsidRPr="001C33E4" w:rsidRDefault="001C33E4" w:rsidP="001C33E4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 w:rsidRPr="001C33E4">
        <w:rPr>
          <w:rFonts w:asciiTheme="minorBidi" w:hAnsiTheme="minorBidi"/>
          <w:sz w:val="22"/>
        </w:rPr>
        <w:t xml:space="preserve">Centres for Disease Control and Prevention (CDC) (2024) </w:t>
      </w:r>
      <w:r w:rsidRPr="001C33E4">
        <w:rPr>
          <w:rFonts w:asciiTheme="minorBidi" w:hAnsiTheme="minorBidi"/>
          <w:i/>
          <w:iCs/>
          <w:sz w:val="22"/>
        </w:rPr>
        <w:t>Tuberculosis (TB).</w:t>
      </w:r>
      <w:r w:rsidRPr="001C33E4">
        <w:rPr>
          <w:rFonts w:asciiTheme="minorBidi" w:hAnsiTheme="minorBidi"/>
          <w:sz w:val="22"/>
        </w:rPr>
        <w:t xml:space="preserve"> Available at: </w:t>
      </w:r>
      <w:hyperlink r:id="rId8" w:tgtFrame="_blank" w:tooltip="www.cdc.gov" w:history="1">
        <w:r w:rsidRPr="001C33E4">
          <w:rPr>
            <w:rStyle w:val="Hyperlink"/>
            <w:rFonts w:asciiTheme="minorBidi" w:hAnsiTheme="minorBidi"/>
            <w:sz w:val="22"/>
          </w:rPr>
          <w:t>https://www.cdc.gov/tb</w:t>
        </w:r>
      </w:hyperlink>
      <w:r w:rsidRPr="001C33E4">
        <w:rPr>
          <w:rFonts w:asciiTheme="minorBidi" w:hAnsiTheme="minorBidi"/>
          <w:sz w:val="22"/>
        </w:rPr>
        <w:t xml:space="preserve"> (Accessed: 10 April 2026).</w:t>
      </w:r>
    </w:p>
    <w:p w14:paraId="73F4F199" w14:textId="77777777" w:rsidR="001C33E4" w:rsidRPr="001C33E4" w:rsidRDefault="001C33E4" w:rsidP="001C33E4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 w:rsidRPr="001C33E4">
        <w:rPr>
          <w:rFonts w:asciiTheme="minorBidi" w:hAnsiTheme="minorBidi"/>
          <w:sz w:val="22"/>
        </w:rPr>
        <w:t xml:space="preserve">Dye, C., Glaziou, P., Floyd, K. and Raviglione, M. (2009) ‘Prospects for tuberculosis elimination’, </w:t>
      </w:r>
      <w:r w:rsidRPr="001C33E4">
        <w:rPr>
          <w:rFonts w:asciiTheme="minorBidi" w:hAnsiTheme="minorBidi"/>
          <w:i/>
          <w:iCs/>
          <w:sz w:val="22"/>
        </w:rPr>
        <w:t>Annual Review of Public Health</w:t>
      </w:r>
      <w:r w:rsidRPr="001C33E4">
        <w:rPr>
          <w:rFonts w:asciiTheme="minorBidi" w:hAnsiTheme="minorBidi"/>
          <w:sz w:val="22"/>
        </w:rPr>
        <w:t xml:space="preserve">, 30, pp. 271–286. Available at: </w:t>
      </w:r>
      <w:hyperlink r:id="rId9" w:tgtFrame="_blank" w:tooltip="doi.org" w:history="1">
        <w:r w:rsidRPr="001C33E4">
          <w:rPr>
            <w:rStyle w:val="Hyperlink"/>
            <w:rFonts w:asciiTheme="minorBidi" w:hAnsiTheme="minorBidi"/>
            <w:sz w:val="22"/>
          </w:rPr>
          <w:t>https://doi.org/10.1146/annurev.publhealth.031308.100221</w:t>
        </w:r>
      </w:hyperlink>
      <w:r w:rsidRPr="001C33E4">
        <w:rPr>
          <w:rFonts w:asciiTheme="minorBidi" w:hAnsiTheme="minorBidi"/>
          <w:sz w:val="22"/>
        </w:rPr>
        <w:t xml:space="preserve"> (Accessed: 10 April 2026).</w:t>
      </w:r>
    </w:p>
    <w:p w14:paraId="16E58128" w14:textId="77777777" w:rsidR="001C33E4" w:rsidRPr="001C33E4" w:rsidRDefault="001C33E4" w:rsidP="001C33E4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 w:rsidRPr="001C33E4">
        <w:rPr>
          <w:rFonts w:asciiTheme="minorBidi" w:hAnsiTheme="minorBidi"/>
          <w:sz w:val="22"/>
        </w:rPr>
        <w:t xml:space="preserve">European Centre for Disease Prevention and Control (ECDC) (2024) </w:t>
      </w:r>
      <w:r w:rsidRPr="001C33E4">
        <w:rPr>
          <w:rFonts w:asciiTheme="minorBidi" w:hAnsiTheme="minorBidi"/>
          <w:i/>
          <w:iCs/>
          <w:sz w:val="22"/>
        </w:rPr>
        <w:t>Tuberculosis surveillance and monitoring in Europe.</w:t>
      </w:r>
      <w:r w:rsidRPr="001C33E4">
        <w:rPr>
          <w:rFonts w:asciiTheme="minorBidi" w:hAnsiTheme="minorBidi"/>
          <w:sz w:val="22"/>
        </w:rPr>
        <w:t xml:space="preserve"> Available at: </w:t>
      </w:r>
      <w:hyperlink r:id="rId10" w:tgtFrame="_blank" w:tooltip="www.ecdc.europa.eu" w:history="1">
        <w:r w:rsidRPr="001C33E4">
          <w:rPr>
            <w:rStyle w:val="Hyperlink"/>
            <w:rFonts w:asciiTheme="minorBidi" w:hAnsiTheme="minorBidi"/>
            <w:sz w:val="22"/>
          </w:rPr>
          <w:t>https://www.ecdc.europa.eu/en/tuberculosis</w:t>
        </w:r>
      </w:hyperlink>
      <w:r w:rsidRPr="001C33E4">
        <w:rPr>
          <w:rFonts w:asciiTheme="minorBidi" w:hAnsiTheme="minorBidi"/>
          <w:sz w:val="22"/>
        </w:rPr>
        <w:t xml:space="preserve"> (Accessed: 10 April 2026).</w:t>
      </w:r>
    </w:p>
    <w:p w14:paraId="7D9897B2" w14:textId="77777777" w:rsidR="001C33E4" w:rsidRPr="001C33E4" w:rsidRDefault="001C33E4" w:rsidP="001C33E4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proofErr w:type="spellStart"/>
      <w:r w:rsidRPr="001C33E4">
        <w:rPr>
          <w:rFonts w:asciiTheme="minorBidi" w:hAnsiTheme="minorBidi"/>
          <w:sz w:val="22"/>
        </w:rPr>
        <w:t>Glaziou</w:t>
      </w:r>
      <w:proofErr w:type="spellEnd"/>
      <w:r w:rsidRPr="001C33E4">
        <w:rPr>
          <w:rFonts w:asciiTheme="minorBidi" w:hAnsiTheme="minorBidi"/>
          <w:sz w:val="22"/>
        </w:rPr>
        <w:t xml:space="preserve">, P., Sismanidis, C., Pretorius, C. and Floyd, K. (2016) </w:t>
      </w:r>
      <w:r w:rsidRPr="001C33E4">
        <w:rPr>
          <w:rFonts w:asciiTheme="minorBidi" w:hAnsiTheme="minorBidi"/>
          <w:i/>
          <w:iCs/>
          <w:sz w:val="22"/>
        </w:rPr>
        <w:t>Methods used by WHO to estimate the global burden of TB disease.</w:t>
      </w:r>
      <w:r w:rsidRPr="001C33E4">
        <w:rPr>
          <w:rFonts w:asciiTheme="minorBidi" w:hAnsiTheme="minorBidi"/>
          <w:sz w:val="22"/>
        </w:rPr>
        <w:t xml:space="preserve"> Available at: </w:t>
      </w:r>
      <w:hyperlink r:id="rId11" w:tgtFrame="_blank" w:tooltip="arxiv.org" w:history="1">
        <w:r w:rsidRPr="001C33E4">
          <w:rPr>
            <w:rStyle w:val="Hyperlink"/>
            <w:rFonts w:asciiTheme="minorBidi" w:hAnsiTheme="minorBidi"/>
            <w:sz w:val="22"/>
          </w:rPr>
          <w:t>https://arxiv.org/abs/1603.00278</w:t>
        </w:r>
      </w:hyperlink>
      <w:r w:rsidRPr="001C33E4">
        <w:rPr>
          <w:rFonts w:asciiTheme="minorBidi" w:hAnsiTheme="minorBidi"/>
          <w:sz w:val="22"/>
        </w:rPr>
        <w:t xml:space="preserve"> (Accessed: 10 April 2026).</w:t>
      </w:r>
    </w:p>
    <w:p w14:paraId="62008265" w14:textId="2D9F6268" w:rsidR="001C33E4" w:rsidRPr="001C33E4" w:rsidRDefault="00E92CB2" w:rsidP="001C33E4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 w:rsidRPr="001C33E4">
        <w:rPr>
          <w:rFonts w:asciiTheme="minorBidi" w:hAnsiTheme="minorBidi"/>
          <w:sz w:val="22"/>
        </w:rPr>
        <w:t>Lönnrot</w:t>
      </w:r>
      <w:r w:rsidR="001C33E4" w:rsidRPr="001C33E4">
        <w:rPr>
          <w:rFonts w:asciiTheme="minorBidi" w:hAnsiTheme="minorBidi"/>
          <w:sz w:val="22"/>
        </w:rPr>
        <w:t xml:space="preserve">, K., Jaramillo, E., Williams, B.G., Dye, C. and Raviglione, M. (2010) ‘Drivers of tuberculosis epidemics’, </w:t>
      </w:r>
      <w:r w:rsidR="001C33E4" w:rsidRPr="001C33E4">
        <w:rPr>
          <w:rFonts w:asciiTheme="minorBidi" w:hAnsiTheme="minorBidi"/>
          <w:i/>
          <w:iCs/>
          <w:sz w:val="22"/>
        </w:rPr>
        <w:t>The Lancet</w:t>
      </w:r>
      <w:r w:rsidR="001C33E4" w:rsidRPr="001C33E4">
        <w:rPr>
          <w:rFonts w:asciiTheme="minorBidi" w:hAnsiTheme="minorBidi"/>
          <w:sz w:val="22"/>
        </w:rPr>
        <w:t xml:space="preserve">, 375(9731), pp. 1814–1829. Available at: </w:t>
      </w:r>
      <w:hyperlink r:id="rId12" w:tgtFrame="_blank" w:tooltip="doi.org" w:history="1">
        <w:r w:rsidR="001C33E4" w:rsidRPr="001C33E4">
          <w:rPr>
            <w:rStyle w:val="Hyperlink"/>
            <w:rFonts w:asciiTheme="minorBidi" w:hAnsiTheme="minorBidi"/>
            <w:sz w:val="22"/>
          </w:rPr>
          <w:t>https://doi.org/10.1016/S0140-6736(10)60456-1</w:t>
        </w:r>
      </w:hyperlink>
      <w:r w:rsidR="001C33E4" w:rsidRPr="001C33E4">
        <w:rPr>
          <w:rFonts w:asciiTheme="minorBidi" w:hAnsiTheme="minorBidi"/>
          <w:sz w:val="22"/>
        </w:rPr>
        <w:t xml:space="preserve"> (Accessed: 10 April 2026).</w:t>
      </w:r>
    </w:p>
    <w:p w14:paraId="48974AE9" w14:textId="77777777" w:rsidR="001C33E4" w:rsidRPr="001C33E4" w:rsidRDefault="001C33E4" w:rsidP="001C33E4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 w:rsidRPr="001C33E4">
        <w:rPr>
          <w:rFonts w:asciiTheme="minorBidi" w:hAnsiTheme="minorBidi"/>
          <w:sz w:val="22"/>
        </w:rPr>
        <w:t xml:space="preserve">National Health Service (NHS) (2024) </w:t>
      </w:r>
      <w:r w:rsidRPr="001C33E4">
        <w:rPr>
          <w:rFonts w:asciiTheme="minorBidi" w:hAnsiTheme="minorBidi"/>
          <w:i/>
          <w:iCs/>
          <w:sz w:val="22"/>
        </w:rPr>
        <w:t>Tuberculosis (TB).</w:t>
      </w:r>
      <w:r w:rsidRPr="001C33E4">
        <w:rPr>
          <w:rFonts w:asciiTheme="minorBidi" w:hAnsiTheme="minorBidi"/>
          <w:sz w:val="22"/>
        </w:rPr>
        <w:t xml:space="preserve"> Available at: </w:t>
      </w:r>
      <w:hyperlink r:id="rId13" w:tgtFrame="_blank" w:tooltip="www.nhs.uk" w:history="1">
        <w:r w:rsidRPr="001C33E4">
          <w:rPr>
            <w:rStyle w:val="Hyperlink"/>
            <w:rFonts w:asciiTheme="minorBidi" w:hAnsiTheme="minorBidi"/>
            <w:sz w:val="22"/>
          </w:rPr>
          <w:t>https://www.nhs.uk/conditions/tuberculosis-tb/</w:t>
        </w:r>
      </w:hyperlink>
      <w:r w:rsidRPr="001C33E4">
        <w:rPr>
          <w:rFonts w:asciiTheme="minorBidi" w:hAnsiTheme="minorBidi"/>
          <w:sz w:val="22"/>
        </w:rPr>
        <w:t xml:space="preserve"> (Accessed: 10 April 2026).</w:t>
      </w:r>
    </w:p>
    <w:p w14:paraId="6F21ADE6" w14:textId="77777777" w:rsidR="001C33E4" w:rsidRPr="001C33E4" w:rsidRDefault="001C33E4" w:rsidP="001C33E4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 w:rsidRPr="001C33E4">
        <w:rPr>
          <w:rFonts w:asciiTheme="minorBidi" w:hAnsiTheme="minorBidi"/>
          <w:sz w:val="22"/>
        </w:rPr>
        <w:t xml:space="preserve">National Institute for Health and Care Excellence (NICE) (2023) </w:t>
      </w:r>
      <w:r w:rsidRPr="001C33E4">
        <w:rPr>
          <w:rFonts w:asciiTheme="minorBidi" w:hAnsiTheme="minorBidi"/>
          <w:i/>
          <w:iCs/>
          <w:sz w:val="22"/>
        </w:rPr>
        <w:t>Tuberculosis (NG33).</w:t>
      </w:r>
      <w:r w:rsidRPr="001C33E4">
        <w:rPr>
          <w:rFonts w:asciiTheme="minorBidi" w:hAnsiTheme="minorBidi"/>
          <w:sz w:val="22"/>
        </w:rPr>
        <w:t xml:space="preserve"> Available at: </w:t>
      </w:r>
      <w:hyperlink r:id="rId14" w:tgtFrame="_blank" w:tooltip="www.nice.org.uk" w:history="1">
        <w:r w:rsidRPr="001C33E4">
          <w:rPr>
            <w:rStyle w:val="Hyperlink"/>
            <w:rFonts w:asciiTheme="minorBidi" w:hAnsiTheme="minorBidi"/>
            <w:sz w:val="22"/>
          </w:rPr>
          <w:t>https://www.nice.org.uk/guidance/ng33</w:t>
        </w:r>
      </w:hyperlink>
      <w:r w:rsidRPr="001C33E4">
        <w:rPr>
          <w:rFonts w:asciiTheme="minorBidi" w:hAnsiTheme="minorBidi"/>
          <w:sz w:val="22"/>
        </w:rPr>
        <w:t xml:space="preserve"> (Accessed: 10 April 2026).</w:t>
      </w:r>
    </w:p>
    <w:p w14:paraId="7A1947EA" w14:textId="77777777" w:rsidR="001C33E4" w:rsidRPr="001C33E4" w:rsidRDefault="001C33E4" w:rsidP="001C33E4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 w:rsidRPr="001C33E4">
        <w:rPr>
          <w:rFonts w:asciiTheme="minorBidi" w:hAnsiTheme="minorBidi"/>
          <w:sz w:val="22"/>
        </w:rPr>
        <w:t xml:space="preserve">World Health Organization (WHO) (2024) </w:t>
      </w:r>
      <w:r w:rsidRPr="001C33E4">
        <w:rPr>
          <w:rFonts w:asciiTheme="minorBidi" w:hAnsiTheme="minorBidi"/>
          <w:i/>
          <w:iCs/>
          <w:sz w:val="22"/>
        </w:rPr>
        <w:t>End TB Strategy.</w:t>
      </w:r>
      <w:r w:rsidRPr="001C33E4">
        <w:rPr>
          <w:rFonts w:asciiTheme="minorBidi" w:hAnsiTheme="minorBidi"/>
          <w:sz w:val="22"/>
        </w:rPr>
        <w:t xml:space="preserve"> Available at: https://www.who.int/teams/global-tuberculosis-programme/the-end-tb-strategy </w:t>
      </w:r>
      <w:hyperlink r:id="rId15" w:tgtFrame="_blank" w:tooltip="www.bing.com" w:history="1">
        <w:r w:rsidRPr="001C33E4">
          <w:rPr>
            <w:rStyle w:val="Hyperlink"/>
            <w:rFonts w:asciiTheme="minorBidi" w:hAnsiTheme="minorBidi"/>
            <w:sz w:val="22"/>
          </w:rPr>
          <w:t>(who.int in Bing)</w:t>
        </w:r>
      </w:hyperlink>
      <w:r w:rsidRPr="001C33E4">
        <w:rPr>
          <w:rFonts w:asciiTheme="minorBidi" w:hAnsiTheme="minorBidi"/>
          <w:sz w:val="22"/>
        </w:rPr>
        <w:t xml:space="preserve"> (Accessed: 10 April 2026).</w:t>
      </w:r>
    </w:p>
    <w:p w14:paraId="36E8C37C" w14:textId="77777777" w:rsidR="001C33E4" w:rsidRPr="001C33E4" w:rsidRDefault="001C33E4" w:rsidP="001C33E4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 w:rsidRPr="001C33E4">
        <w:rPr>
          <w:rFonts w:asciiTheme="minorBidi" w:hAnsiTheme="minorBidi"/>
          <w:sz w:val="22"/>
        </w:rPr>
        <w:t xml:space="preserve">Zumla, A., George, A., Sharma, V., Herbert, N. and Baroness Masham of Ilton (2013) ‘WHO’s 2013 global report on tuberculosis’, </w:t>
      </w:r>
      <w:r w:rsidRPr="001C33E4">
        <w:rPr>
          <w:rFonts w:asciiTheme="minorBidi" w:hAnsiTheme="minorBidi"/>
          <w:i/>
          <w:iCs/>
          <w:sz w:val="22"/>
        </w:rPr>
        <w:t>The Lancet</w:t>
      </w:r>
      <w:r w:rsidRPr="001C33E4">
        <w:rPr>
          <w:rFonts w:asciiTheme="minorBidi" w:hAnsiTheme="minorBidi"/>
          <w:sz w:val="22"/>
        </w:rPr>
        <w:t xml:space="preserve">, 382(9907), pp. 1765–1767. Available at: https://doi.org/10.1016/S0140-6736(13)62638-2 </w:t>
      </w:r>
      <w:hyperlink r:id="rId16" w:tgtFrame="_blank" w:tooltip="www.bing.com" w:history="1">
        <w:r w:rsidRPr="001C33E4">
          <w:rPr>
            <w:rStyle w:val="Hyperlink"/>
            <w:rFonts w:asciiTheme="minorBidi" w:hAnsiTheme="minorBidi"/>
            <w:sz w:val="22"/>
          </w:rPr>
          <w:t>(doi.org in Bing)</w:t>
        </w:r>
      </w:hyperlink>
      <w:r w:rsidRPr="001C33E4">
        <w:rPr>
          <w:rFonts w:asciiTheme="minorBidi" w:hAnsiTheme="minorBidi"/>
          <w:sz w:val="22"/>
        </w:rPr>
        <w:t xml:space="preserve"> (Accessed: 10 April 2026).</w:t>
      </w:r>
    </w:p>
    <w:p w14:paraId="1425F4AC" w14:textId="2F52EDFA" w:rsidR="001D7C03" w:rsidRPr="00DE0242" w:rsidRDefault="001D7C03" w:rsidP="00DE0242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sectPr w:rsidR="001D7C03" w:rsidRPr="00DE0242" w:rsidSect="00E620E7">
      <w:footerReference w:type="default" r:id="rId17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101249E" w14:textId="77777777" w:rsidR="00E44CD4" w:rsidRDefault="00E44CD4" w:rsidP="003E4ECF">
      <w:pPr>
        <w:spacing w:after="0" w:line="240" w:lineRule="auto"/>
      </w:pPr>
      <w:r>
        <w:separator/>
      </w:r>
    </w:p>
  </w:endnote>
  <w:endnote w:type="continuationSeparator" w:id="0">
    <w:p w14:paraId="6D3DCE9A" w14:textId="77777777" w:rsidR="00E44CD4" w:rsidRDefault="00E44CD4" w:rsidP="003E4E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267988516"/>
      <w:docPartObj>
        <w:docPartGallery w:val="Page Numbers (Bottom of Page)"/>
        <w:docPartUnique/>
      </w:docPartObj>
    </w:sdtPr>
    <w:sdtEndPr>
      <w:rPr>
        <w:rFonts w:asciiTheme="minorBidi" w:hAnsiTheme="minorBidi"/>
        <w:noProof/>
        <w:sz w:val="22"/>
      </w:rPr>
    </w:sdtEndPr>
    <w:sdtContent>
      <w:p w14:paraId="22F0D82E" w14:textId="45C034A5" w:rsidR="003E4ECF" w:rsidRPr="00E620E7" w:rsidRDefault="003E4ECF">
        <w:pPr>
          <w:pStyle w:val="Footer"/>
          <w:jc w:val="center"/>
          <w:rPr>
            <w:rFonts w:asciiTheme="minorBidi" w:hAnsiTheme="minorBidi"/>
            <w:sz w:val="22"/>
          </w:rPr>
        </w:pPr>
        <w:r w:rsidRPr="00E620E7">
          <w:rPr>
            <w:rFonts w:asciiTheme="minorBidi" w:hAnsiTheme="minorBidi"/>
            <w:sz w:val="22"/>
          </w:rPr>
          <w:fldChar w:fldCharType="begin"/>
        </w:r>
        <w:r w:rsidRPr="00E620E7">
          <w:rPr>
            <w:rFonts w:asciiTheme="minorBidi" w:hAnsiTheme="minorBidi"/>
            <w:sz w:val="22"/>
          </w:rPr>
          <w:instrText xml:space="preserve"> PAGE   \* MERGEFORMAT </w:instrText>
        </w:r>
        <w:r w:rsidRPr="00E620E7">
          <w:rPr>
            <w:rFonts w:asciiTheme="minorBidi" w:hAnsiTheme="minorBidi"/>
            <w:sz w:val="22"/>
          </w:rPr>
          <w:fldChar w:fldCharType="separate"/>
        </w:r>
        <w:r w:rsidRPr="00E620E7">
          <w:rPr>
            <w:rFonts w:asciiTheme="minorBidi" w:hAnsiTheme="minorBidi"/>
            <w:noProof/>
            <w:sz w:val="22"/>
          </w:rPr>
          <w:t>2</w:t>
        </w:r>
        <w:r w:rsidRPr="00E620E7">
          <w:rPr>
            <w:rFonts w:asciiTheme="minorBidi" w:hAnsiTheme="minorBidi"/>
            <w:noProof/>
            <w:sz w:val="22"/>
          </w:rPr>
          <w:fldChar w:fldCharType="end"/>
        </w:r>
      </w:p>
    </w:sdtContent>
  </w:sdt>
  <w:p w14:paraId="65BDCB89" w14:textId="77777777" w:rsidR="003E4ECF" w:rsidRDefault="003E4EC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03F6819" w14:textId="77777777" w:rsidR="00E44CD4" w:rsidRDefault="00E44CD4" w:rsidP="003E4ECF">
      <w:pPr>
        <w:spacing w:after="0" w:line="240" w:lineRule="auto"/>
      </w:pPr>
      <w:r>
        <w:separator/>
      </w:r>
    </w:p>
  </w:footnote>
  <w:footnote w:type="continuationSeparator" w:id="0">
    <w:p w14:paraId="2DEE0B36" w14:textId="77777777" w:rsidR="00E44CD4" w:rsidRDefault="00E44CD4" w:rsidP="003E4EC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9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402"/>
    <w:rsid w:val="00016F93"/>
    <w:rsid w:val="000572BF"/>
    <w:rsid w:val="00074402"/>
    <w:rsid w:val="001314FA"/>
    <w:rsid w:val="001527F7"/>
    <w:rsid w:val="001C33E4"/>
    <w:rsid w:val="001D7C03"/>
    <w:rsid w:val="00216C85"/>
    <w:rsid w:val="0026393A"/>
    <w:rsid w:val="00273EDD"/>
    <w:rsid w:val="002C3965"/>
    <w:rsid w:val="00303314"/>
    <w:rsid w:val="00321C4C"/>
    <w:rsid w:val="00392BBC"/>
    <w:rsid w:val="003E4ECF"/>
    <w:rsid w:val="004A736E"/>
    <w:rsid w:val="005C706F"/>
    <w:rsid w:val="005D3CA1"/>
    <w:rsid w:val="006925AA"/>
    <w:rsid w:val="00725177"/>
    <w:rsid w:val="007A1B8D"/>
    <w:rsid w:val="007D0E0F"/>
    <w:rsid w:val="00814A9E"/>
    <w:rsid w:val="008E3943"/>
    <w:rsid w:val="0090040D"/>
    <w:rsid w:val="00914070"/>
    <w:rsid w:val="00960020"/>
    <w:rsid w:val="009D052C"/>
    <w:rsid w:val="009D1D1E"/>
    <w:rsid w:val="00A035FD"/>
    <w:rsid w:val="00AD23A0"/>
    <w:rsid w:val="00AD2806"/>
    <w:rsid w:val="00B60630"/>
    <w:rsid w:val="00B87E75"/>
    <w:rsid w:val="00CD33A8"/>
    <w:rsid w:val="00DE0242"/>
    <w:rsid w:val="00E44CD4"/>
    <w:rsid w:val="00E569FD"/>
    <w:rsid w:val="00E620E7"/>
    <w:rsid w:val="00E92CB2"/>
    <w:rsid w:val="00EB5B08"/>
    <w:rsid w:val="00F65015"/>
    <w:rsid w:val="00F66E1B"/>
    <w:rsid w:val="00F807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9B4BA38"/>
  <w15:chartTrackingRefBased/>
  <w15:docId w15:val="{DE6ADF36-84A3-4CA7-8B83-CB942D3A2F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E620E7"/>
    <w:pPr>
      <w:keepNext/>
      <w:keepLines/>
      <w:spacing w:before="240" w:after="0" w:line="360" w:lineRule="auto"/>
      <w:outlineLvl w:val="0"/>
    </w:pPr>
    <w:rPr>
      <w:rFonts w:ascii="Arial" w:eastAsiaTheme="majorEastAsia" w:hAnsi="Arial"/>
      <w:b/>
      <w:sz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20E7"/>
    <w:rPr>
      <w:rFonts w:ascii="Arial" w:eastAsiaTheme="majorEastAsia" w:hAnsi="Arial"/>
      <w:b/>
      <w:sz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E4ECF"/>
  </w:style>
  <w:style w:type="paragraph" w:styleId="Footer">
    <w:name w:val="footer"/>
    <w:basedOn w:val="Normal"/>
    <w:link w:val="Foot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E4ECF"/>
  </w:style>
  <w:style w:type="character" w:styleId="Hyperlink">
    <w:name w:val="Hyperlink"/>
    <w:basedOn w:val="DefaultParagraphFont"/>
    <w:uiPriority w:val="99"/>
    <w:unhideWhenUsed/>
    <w:rsid w:val="001C33E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C33E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dc.gov/tb?utm_source=copilot.com" TargetMode="External"/><Relationship Id="rId13" Type="http://schemas.openxmlformats.org/officeDocument/2006/relationships/hyperlink" Target="https://www.nhs.uk/conditions/tuberculosis-tb/?utm_source=copilot.com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cid:image001.png@01D0EA4A.2BD679A0" TargetMode="External"/><Relationship Id="rId12" Type="http://schemas.openxmlformats.org/officeDocument/2006/relationships/hyperlink" Target="https://doi.org/10.1016/S0140-6736(10)60456-1?utm_source=copilot.com" TargetMode="External"/><Relationship Id="rId17" Type="http://schemas.openxmlformats.org/officeDocument/2006/relationships/footer" Target="footer1.xml"/><Relationship Id="rId2" Type="http://schemas.openxmlformats.org/officeDocument/2006/relationships/settings" Target="settings.xml"/><Relationship Id="rId16" Type="http://schemas.openxmlformats.org/officeDocument/2006/relationships/hyperlink" Target="https://www.bing.com/search?q=%22https%3A%2F%2Fdoi.org%2F10.1016%2FS0140-6736%2813%2962638-2%22&amp;utm_source=copilot.com" TargetMode="Externa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arxiv.org/abs/1603.00278?utm_source=copilot.com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bing.com/search?q=%22https%3A%2F%2Fwww.who.int%2Fteams%2Fglobal-tuberculosis-programme%2Fthe-end-tb-strategy%22&amp;utm_source=copilot.com" TargetMode="External"/><Relationship Id="rId10" Type="http://schemas.openxmlformats.org/officeDocument/2006/relationships/hyperlink" Target="https://www.ecdc.europa.eu/en/tuberculosis?utm_source=copilot.com" TargetMode="External"/><Relationship Id="rId19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hyperlink" Target="https://doi.org/10.1146/annurev.publhealth.031308.100221?utm_source=copilot.com" TargetMode="External"/><Relationship Id="rId14" Type="http://schemas.openxmlformats.org/officeDocument/2006/relationships/hyperlink" Target="https://www.nice.org.uk/guidance/ng33?utm_source=copilot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6</Pages>
  <Words>1788</Words>
  <Characters>10197</Characters>
  <Application>Microsoft Office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Jlbossgamer1246 Progamernub1</cp:lastModifiedBy>
  <cp:revision>2</cp:revision>
  <dcterms:created xsi:type="dcterms:W3CDTF">2026-04-11T15:17:00Z</dcterms:created>
  <dcterms:modified xsi:type="dcterms:W3CDTF">2026-04-11T15:17:00Z</dcterms:modified>
</cp:coreProperties>
</file>