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228D09E" w14:textId="77777777" w:rsidR="00911BA3" w:rsidRDefault="00911BA3" w:rsidP="003F6B42">
      <w:pPr>
        <w:pStyle w:val="Title"/>
        <w:jc w:val="center"/>
        <w:rPr>
          <w:sz w:val="52"/>
          <w:szCs w:val="52"/>
        </w:rPr>
      </w:pPr>
    </w:p>
    <w:p w14:paraId="661BE4F8" w14:textId="77777777" w:rsidR="00911BA3" w:rsidRDefault="00911BA3" w:rsidP="00911BA3">
      <w:pPr>
        <w:jc w:val="center"/>
        <w:rPr>
          <w:sz w:val="52"/>
          <w:szCs w:val="52"/>
        </w:rPr>
      </w:pPr>
      <w:r>
        <w:rPr>
          <w:sz w:val="52"/>
          <w:szCs w:val="52"/>
        </w:rPr>
        <w:t>Name: Naushaba Yaqoob Raja</w:t>
      </w:r>
    </w:p>
    <w:p w14:paraId="6EAF7DAB" w14:textId="77777777" w:rsidR="00911BA3" w:rsidRDefault="00911BA3" w:rsidP="00911BA3">
      <w:pPr>
        <w:jc w:val="center"/>
        <w:rPr>
          <w:sz w:val="52"/>
          <w:szCs w:val="52"/>
        </w:rPr>
      </w:pPr>
      <w:r>
        <w:rPr>
          <w:sz w:val="52"/>
          <w:szCs w:val="52"/>
        </w:rPr>
        <w:t>Student No:2326745</w:t>
      </w:r>
    </w:p>
    <w:p w14:paraId="53B1E7B4" w14:textId="77777777" w:rsidR="00911BA3" w:rsidRDefault="00911BA3" w:rsidP="00911BA3">
      <w:pPr>
        <w:jc w:val="center"/>
        <w:rPr>
          <w:sz w:val="52"/>
          <w:szCs w:val="52"/>
        </w:rPr>
      </w:pPr>
      <w:r>
        <w:rPr>
          <w:sz w:val="52"/>
          <w:szCs w:val="52"/>
        </w:rPr>
        <w:t>Module: Principles of the health and social care Practice</w:t>
      </w:r>
    </w:p>
    <w:p w14:paraId="10A6CC99" w14:textId="3A9401E4" w:rsidR="00911BA3" w:rsidRDefault="00911BA3" w:rsidP="00911BA3">
      <w:pPr>
        <w:jc w:val="center"/>
        <w:rPr>
          <w:sz w:val="52"/>
          <w:szCs w:val="52"/>
        </w:rPr>
      </w:pPr>
      <w:r>
        <w:rPr>
          <w:sz w:val="52"/>
          <w:szCs w:val="52"/>
        </w:rPr>
        <w:t>Module code: BMHP5016</w:t>
      </w:r>
    </w:p>
    <w:p w14:paraId="27A42976" w14:textId="2428E200" w:rsidR="00911BA3" w:rsidRDefault="00911BA3" w:rsidP="00911BA3">
      <w:pPr>
        <w:jc w:val="center"/>
        <w:rPr>
          <w:rFonts w:asciiTheme="majorHAnsi" w:eastAsiaTheme="majorEastAsia" w:hAnsiTheme="majorHAnsi" w:cstheme="majorBidi"/>
          <w:spacing w:val="-10"/>
          <w:kern w:val="28"/>
          <w:sz w:val="52"/>
          <w:szCs w:val="52"/>
        </w:rPr>
      </w:pPr>
      <w:r>
        <w:rPr>
          <w:sz w:val="52"/>
          <w:szCs w:val="52"/>
        </w:rPr>
        <w:t>Lecturer Name: Junaid shaikh</w:t>
      </w:r>
      <w:r>
        <w:rPr>
          <w:sz w:val="52"/>
          <w:szCs w:val="52"/>
        </w:rPr>
        <w:br w:type="page"/>
      </w:r>
    </w:p>
    <w:p w14:paraId="3B31C509" w14:textId="32D81B82" w:rsidR="00EC6EB7" w:rsidRPr="003F6B42" w:rsidRDefault="00EC6EB7" w:rsidP="003F6B42">
      <w:pPr>
        <w:pStyle w:val="Title"/>
        <w:jc w:val="center"/>
        <w:rPr>
          <w:sz w:val="52"/>
          <w:szCs w:val="52"/>
        </w:rPr>
      </w:pPr>
      <w:r w:rsidRPr="003F6B42">
        <w:rPr>
          <w:sz w:val="52"/>
          <w:szCs w:val="52"/>
        </w:rPr>
        <w:lastRenderedPageBreak/>
        <w:t>Principles of Health and Social Care Practice: Adult Social Care for Older Adults</w:t>
      </w:r>
    </w:p>
    <w:p w14:paraId="13586F0E" w14:textId="77777777" w:rsidR="003F6B42" w:rsidRDefault="003F6B42" w:rsidP="00EC6EB7">
      <w:pPr>
        <w:rPr>
          <w:b/>
          <w:bCs/>
        </w:rPr>
      </w:pPr>
    </w:p>
    <w:sdt>
      <w:sdtPr>
        <w:rPr>
          <w:rFonts w:asciiTheme="minorHAnsi" w:eastAsiaTheme="minorHAnsi" w:hAnsiTheme="minorHAnsi" w:cstheme="minorBidi"/>
          <w:color w:val="auto"/>
          <w:kern w:val="2"/>
          <w:sz w:val="22"/>
          <w:szCs w:val="22"/>
          <w:lang w:val="en-GB"/>
        </w:rPr>
        <w:id w:val="1166362809"/>
        <w:docPartObj>
          <w:docPartGallery w:val="Table of Contents"/>
          <w:docPartUnique/>
        </w:docPartObj>
      </w:sdtPr>
      <w:sdtEndPr>
        <w:rPr>
          <w:b/>
          <w:bCs/>
          <w:noProof/>
        </w:rPr>
      </w:sdtEndPr>
      <w:sdtContent>
        <w:p w14:paraId="3133A2D8" w14:textId="5E5FF83A" w:rsidR="003F6B42" w:rsidRPr="003F6B42" w:rsidRDefault="003F6B42">
          <w:pPr>
            <w:pStyle w:val="TOCHeading"/>
            <w:rPr>
              <w:b/>
              <w:bCs/>
              <w:color w:val="auto"/>
            </w:rPr>
          </w:pPr>
          <w:r w:rsidRPr="003F6B42">
            <w:rPr>
              <w:b/>
              <w:bCs/>
              <w:color w:val="auto"/>
            </w:rPr>
            <w:t>Table of Contents</w:t>
          </w:r>
        </w:p>
        <w:p w14:paraId="1A0827DD" w14:textId="58BEE20A" w:rsidR="003F6B42" w:rsidRDefault="003F6B42">
          <w:pPr>
            <w:pStyle w:val="TOC2"/>
            <w:tabs>
              <w:tab w:val="left" w:pos="720"/>
              <w:tab w:val="right" w:leader="dot" w:pos="9016"/>
            </w:tabs>
            <w:rPr>
              <w:noProof/>
            </w:rPr>
          </w:pPr>
          <w:r>
            <w:fldChar w:fldCharType="begin"/>
          </w:r>
          <w:r>
            <w:instrText xml:space="preserve"> TOC \o "1-3" \h \z \u </w:instrText>
          </w:r>
          <w:r>
            <w:fldChar w:fldCharType="separate"/>
          </w:r>
          <w:hyperlink w:anchor="_Toc213959217" w:history="1">
            <w:r w:rsidRPr="005659A5">
              <w:rPr>
                <w:rStyle w:val="Hyperlink"/>
                <w:b/>
                <w:bCs/>
                <w:noProof/>
              </w:rPr>
              <w:t>1.</w:t>
            </w:r>
            <w:r>
              <w:rPr>
                <w:noProof/>
              </w:rPr>
              <w:tab/>
            </w:r>
            <w:r w:rsidRPr="005659A5">
              <w:rPr>
                <w:rStyle w:val="Hyperlink"/>
                <w:b/>
                <w:bCs/>
                <w:noProof/>
              </w:rPr>
              <w:t>Introduction</w:t>
            </w:r>
            <w:r>
              <w:rPr>
                <w:noProof/>
                <w:webHidden/>
              </w:rPr>
              <w:tab/>
            </w:r>
            <w:r>
              <w:rPr>
                <w:noProof/>
                <w:webHidden/>
              </w:rPr>
              <w:fldChar w:fldCharType="begin"/>
            </w:r>
            <w:r>
              <w:rPr>
                <w:noProof/>
                <w:webHidden/>
              </w:rPr>
              <w:instrText xml:space="preserve"> PAGEREF _Toc213959217 \h </w:instrText>
            </w:r>
            <w:r>
              <w:rPr>
                <w:noProof/>
                <w:webHidden/>
              </w:rPr>
            </w:r>
            <w:r>
              <w:rPr>
                <w:noProof/>
                <w:webHidden/>
              </w:rPr>
              <w:fldChar w:fldCharType="separate"/>
            </w:r>
            <w:r>
              <w:rPr>
                <w:noProof/>
                <w:webHidden/>
              </w:rPr>
              <w:t>2</w:t>
            </w:r>
            <w:r>
              <w:rPr>
                <w:noProof/>
                <w:webHidden/>
              </w:rPr>
              <w:fldChar w:fldCharType="end"/>
            </w:r>
          </w:hyperlink>
        </w:p>
        <w:p w14:paraId="45EDF86A" w14:textId="4BF0DBD9" w:rsidR="003F6B42" w:rsidRDefault="003F6B42">
          <w:pPr>
            <w:pStyle w:val="TOC2"/>
            <w:tabs>
              <w:tab w:val="left" w:pos="720"/>
              <w:tab w:val="right" w:leader="dot" w:pos="9016"/>
            </w:tabs>
            <w:rPr>
              <w:noProof/>
            </w:rPr>
          </w:pPr>
          <w:hyperlink w:anchor="_Toc213959218" w:history="1">
            <w:r w:rsidRPr="005659A5">
              <w:rPr>
                <w:rStyle w:val="Hyperlink"/>
                <w:b/>
                <w:bCs/>
                <w:noProof/>
              </w:rPr>
              <w:t>2.</w:t>
            </w:r>
            <w:r>
              <w:rPr>
                <w:noProof/>
              </w:rPr>
              <w:tab/>
            </w:r>
            <w:r w:rsidRPr="005659A5">
              <w:rPr>
                <w:rStyle w:val="Hyperlink"/>
                <w:b/>
                <w:bCs/>
                <w:noProof/>
              </w:rPr>
              <w:t>Person-Centred Care: Definition, Benefits and Limitations</w:t>
            </w:r>
            <w:r>
              <w:rPr>
                <w:noProof/>
                <w:webHidden/>
              </w:rPr>
              <w:tab/>
            </w:r>
            <w:r>
              <w:rPr>
                <w:noProof/>
                <w:webHidden/>
              </w:rPr>
              <w:fldChar w:fldCharType="begin"/>
            </w:r>
            <w:r>
              <w:rPr>
                <w:noProof/>
                <w:webHidden/>
              </w:rPr>
              <w:instrText xml:space="preserve"> PAGEREF _Toc213959218 \h </w:instrText>
            </w:r>
            <w:r>
              <w:rPr>
                <w:noProof/>
                <w:webHidden/>
              </w:rPr>
            </w:r>
            <w:r>
              <w:rPr>
                <w:noProof/>
                <w:webHidden/>
              </w:rPr>
              <w:fldChar w:fldCharType="separate"/>
            </w:r>
            <w:r>
              <w:rPr>
                <w:noProof/>
                <w:webHidden/>
              </w:rPr>
              <w:t>2</w:t>
            </w:r>
            <w:r>
              <w:rPr>
                <w:noProof/>
                <w:webHidden/>
              </w:rPr>
              <w:fldChar w:fldCharType="end"/>
            </w:r>
          </w:hyperlink>
        </w:p>
        <w:p w14:paraId="555FDE03" w14:textId="0FCD953A" w:rsidR="003F6B42" w:rsidRDefault="003F6B42">
          <w:pPr>
            <w:pStyle w:val="TOC3"/>
            <w:tabs>
              <w:tab w:val="right" w:leader="dot" w:pos="9016"/>
            </w:tabs>
            <w:rPr>
              <w:noProof/>
            </w:rPr>
          </w:pPr>
          <w:hyperlink w:anchor="_Toc213959219" w:history="1">
            <w:r w:rsidRPr="005659A5">
              <w:rPr>
                <w:rStyle w:val="Hyperlink"/>
                <w:b/>
                <w:bCs/>
                <w:noProof/>
              </w:rPr>
              <w:t>Benefits.</w:t>
            </w:r>
            <w:r>
              <w:rPr>
                <w:noProof/>
                <w:webHidden/>
              </w:rPr>
              <w:tab/>
            </w:r>
            <w:r>
              <w:rPr>
                <w:noProof/>
                <w:webHidden/>
              </w:rPr>
              <w:fldChar w:fldCharType="begin"/>
            </w:r>
            <w:r>
              <w:rPr>
                <w:noProof/>
                <w:webHidden/>
              </w:rPr>
              <w:instrText xml:space="preserve"> PAGEREF _Toc213959219 \h </w:instrText>
            </w:r>
            <w:r>
              <w:rPr>
                <w:noProof/>
                <w:webHidden/>
              </w:rPr>
            </w:r>
            <w:r>
              <w:rPr>
                <w:noProof/>
                <w:webHidden/>
              </w:rPr>
              <w:fldChar w:fldCharType="separate"/>
            </w:r>
            <w:r>
              <w:rPr>
                <w:noProof/>
                <w:webHidden/>
              </w:rPr>
              <w:t>2</w:t>
            </w:r>
            <w:r>
              <w:rPr>
                <w:noProof/>
                <w:webHidden/>
              </w:rPr>
              <w:fldChar w:fldCharType="end"/>
            </w:r>
          </w:hyperlink>
        </w:p>
        <w:p w14:paraId="59D4FB52" w14:textId="77F3AB7F" w:rsidR="003F6B42" w:rsidRDefault="003F6B42">
          <w:pPr>
            <w:pStyle w:val="TOC3"/>
            <w:tabs>
              <w:tab w:val="right" w:leader="dot" w:pos="9016"/>
            </w:tabs>
            <w:rPr>
              <w:noProof/>
            </w:rPr>
          </w:pPr>
          <w:hyperlink w:anchor="_Toc213959220" w:history="1">
            <w:r w:rsidRPr="005659A5">
              <w:rPr>
                <w:rStyle w:val="Hyperlink"/>
                <w:b/>
                <w:bCs/>
                <w:noProof/>
              </w:rPr>
              <w:t>Limitations.</w:t>
            </w:r>
            <w:r>
              <w:rPr>
                <w:noProof/>
                <w:webHidden/>
              </w:rPr>
              <w:tab/>
            </w:r>
            <w:r>
              <w:rPr>
                <w:noProof/>
                <w:webHidden/>
              </w:rPr>
              <w:fldChar w:fldCharType="begin"/>
            </w:r>
            <w:r>
              <w:rPr>
                <w:noProof/>
                <w:webHidden/>
              </w:rPr>
              <w:instrText xml:space="preserve"> PAGEREF _Toc213959220 \h </w:instrText>
            </w:r>
            <w:r>
              <w:rPr>
                <w:noProof/>
                <w:webHidden/>
              </w:rPr>
            </w:r>
            <w:r>
              <w:rPr>
                <w:noProof/>
                <w:webHidden/>
              </w:rPr>
              <w:fldChar w:fldCharType="separate"/>
            </w:r>
            <w:r>
              <w:rPr>
                <w:noProof/>
                <w:webHidden/>
              </w:rPr>
              <w:t>3</w:t>
            </w:r>
            <w:r>
              <w:rPr>
                <w:noProof/>
                <w:webHidden/>
              </w:rPr>
              <w:fldChar w:fldCharType="end"/>
            </w:r>
          </w:hyperlink>
        </w:p>
        <w:p w14:paraId="5ABA57A6" w14:textId="5D216182" w:rsidR="003F6B42" w:rsidRDefault="003F6B42">
          <w:pPr>
            <w:pStyle w:val="TOC2"/>
            <w:tabs>
              <w:tab w:val="left" w:pos="720"/>
              <w:tab w:val="right" w:leader="dot" w:pos="9016"/>
            </w:tabs>
            <w:rPr>
              <w:noProof/>
            </w:rPr>
          </w:pPr>
          <w:hyperlink w:anchor="_Toc213959221" w:history="1">
            <w:r w:rsidRPr="005659A5">
              <w:rPr>
                <w:rStyle w:val="Hyperlink"/>
                <w:b/>
                <w:bCs/>
                <w:noProof/>
              </w:rPr>
              <w:t>3.</w:t>
            </w:r>
            <w:r>
              <w:rPr>
                <w:noProof/>
              </w:rPr>
              <w:tab/>
            </w:r>
            <w:r w:rsidRPr="005659A5">
              <w:rPr>
                <w:rStyle w:val="Hyperlink"/>
                <w:b/>
                <w:bCs/>
                <w:noProof/>
              </w:rPr>
              <w:t>Theoretical and Ethical Foundations of PCC</w:t>
            </w:r>
            <w:r>
              <w:rPr>
                <w:noProof/>
                <w:webHidden/>
              </w:rPr>
              <w:tab/>
            </w:r>
            <w:r>
              <w:rPr>
                <w:noProof/>
                <w:webHidden/>
              </w:rPr>
              <w:fldChar w:fldCharType="begin"/>
            </w:r>
            <w:r>
              <w:rPr>
                <w:noProof/>
                <w:webHidden/>
              </w:rPr>
              <w:instrText xml:space="preserve"> PAGEREF _Toc213959221 \h </w:instrText>
            </w:r>
            <w:r>
              <w:rPr>
                <w:noProof/>
                <w:webHidden/>
              </w:rPr>
            </w:r>
            <w:r>
              <w:rPr>
                <w:noProof/>
                <w:webHidden/>
              </w:rPr>
              <w:fldChar w:fldCharType="separate"/>
            </w:r>
            <w:r>
              <w:rPr>
                <w:noProof/>
                <w:webHidden/>
              </w:rPr>
              <w:t>3</w:t>
            </w:r>
            <w:r>
              <w:rPr>
                <w:noProof/>
                <w:webHidden/>
              </w:rPr>
              <w:fldChar w:fldCharType="end"/>
            </w:r>
          </w:hyperlink>
        </w:p>
        <w:p w14:paraId="39C1537F" w14:textId="696E979B" w:rsidR="003F6B42" w:rsidRDefault="003F6B42">
          <w:pPr>
            <w:pStyle w:val="TOC3"/>
            <w:tabs>
              <w:tab w:val="right" w:leader="dot" w:pos="9016"/>
            </w:tabs>
            <w:rPr>
              <w:noProof/>
            </w:rPr>
          </w:pPr>
          <w:hyperlink w:anchor="_Toc213959222" w:history="1">
            <w:r w:rsidRPr="005659A5">
              <w:rPr>
                <w:rStyle w:val="Hyperlink"/>
                <w:b/>
                <w:bCs/>
                <w:noProof/>
              </w:rPr>
              <w:t>Theoretical Model</w:t>
            </w:r>
            <w:r>
              <w:rPr>
                <w:noProof/>
                <w:webHidden/>
              </w:rPr>
              <w:tab/>
            </w:r>
            <w:r>
              <w:rPr>
                <w:noProof/>
                <w:webHidden/>
              </w:rPr>
              <w:fldChar w:fldCharType="begin"/>
            </w:r>
            <w:r>
              <w:rPr>
                <w:noProof/>
                <w:webHidden/>
              </w:rPr>
              <w:instrText xml:space="preserve"> PAGEREF _Toc213959222 \h </w:instrText>
            </w:r>
            <w:r>
              <w:rPr>
                <w:noProof/>
                <w:webHidden/>
              </w:rPr>
            </w:r>
            <w:r>
              <w:rPr>
                <w:noProof/>
                <w:webHidden/>
              </w:rPr>
              <w:fldChar w:fldCharType="separate"/>
            </w:r>
            <w:r>
              <w:rPr>
                <w:noProof/>
                <w:webHidden/>
              </w:rPr>
              <w:t>3</w:t>
            </w:r>
            <w:r>
              <w:rPr>
                <w:noProof/>
                <w:webHidden/>
              </w:rPr>
              <w:fldChar w:fldCharType="end"/>
            </w:r>
          </w:hyperlink>
        </w:p>
        <w:p w14:paraId="48AD00F5" w14:textId="6DBF3990" w:rsidR="003F6B42" w:rsidRDefault="003F6B42">
          <w:pPr>
            <w:pStyle w:val="TOC3"/>
            <w:tabs>
              <w:tab w:val="right" w:leader="dot" w:pos="9016"/>
            </w:tabs>
            <w:rPr>
              <w:noProof/>
            </w:rPr>
          </w:pPr>
          <w:hyperlink w:anchor="_Toc213959223" w:history="1">
            <w:r w:rsidRPr="005659A5">
              <w:rPr>
                <w:rStyle w:val="Hyperlink"/>
                <w:b/>
                <w:bCs/>
                <w:noProof/>
              </w:rPr>
              <w:t>Ethical Principles</w:t>
            </w:r>
            <w:r>
              <w:rPr>
                <w:noProof/>
                <w:webHidden/>
              </w:rPr>
              <w:tab/>
            </w:r>
            <w:r>
              <w:rPr>
                <w:noProof/>
                <w:webHidden/>
              </w:rPr>
              <w:fldChar w:fldCharType="begin"/>
            </w:r>
            <w:r>
              <w:rPr>
                <w:noProof/>
                <w:webHidden/>
              </w:rPr>
              <w:instrText xml:space="preserve"> PAGEREF _Toc213959223 \h </w:instrText>
            </w:r>
            <w:r>
              <w:rPr>
                <w:noProof/>
                <w:webHidden/>
              </w:rPr>
            </w:r>
            <w:r>
              <w:rPr>
                <w:noProof/>
                <w:webHidden/>
              </w:rPr>
              <w:fldChar w:fldCharType="separate"/>
            </w:r>
            <w:r>
              <w:rPr>
                <w:noProof/>
                <w:webHidden/>
              </w:rPr>
              <w:t>4</w:t>
            </w:r>
            <w:r>
              <w:rPr>
                <w:noProof/>
                <w:webHidden/>
              </w:rPr>
              <w:fldChar w:fldCharType="end"/>
            </w:r>
          </w:hyperlink>
        </w:p>
        <w:p w14:paraId="300A9E55" w14:textId="746326D8" w:rsidR="003F6B42" w:rsidRDefault="003F6B42">
          <w:pPr>
            <w:pStyle w:val="TOC2"/>
            <w:tabs>
              <w:tab w:val="left" w:pos="720"/>
              <w:tab w:val="right" w:leader="dot" w:pos="9016"/>
            </w:tabs>
            <w:rPr>
              <w:noProof/>
            </w:rPr>
          </w:pPr>
          <w:hyperlink w:anchor="_Toc213959224" w:history="1">
            <w:r w:rsidRPr="005659A5">
              <w:rPr>
                <w:rStyle w:val="Hyperlink"/>
                <w:b/>
                <w:bCs/>
                <w:noProof/>
              </w:rPr>
              <w:t>4.</w:t>
            </w:r>
            <w:r>
              <w:rPr>
                <w:noProof/>
              </w:rPr>
              <w:tab/>
            </w:r>
            <w:r w:rsidRPr="005659A5">
              <w:rPr>
                <w:rStyle w:val="Hyperlink"/>
                <w:b/>
                <w:bCs/>
                <w:noProof/>
              </w:rPr>
              <w:t>Partnership Working in Health and Social Care</w:t>
            </w:r>
            <w:r>
              <w:rPr>
                <w:noProof/>
                <w:webHidden/>
              </w:rPr>
              <w:tab/>
            </w:r>
            <w:r>
              <w:rPr>
                <w:noProof/>
                <w:webHidden/>
              </w:rPr>
              <w:fldChar w:fldCharType="begin"/>
            </w:r>
            <w:r>
              <w:rPr>
                <w:noProof/>
                <w:webHidden/>
              </w:rPr>
              <w:instrText xml:space="preserve"> PAGEREF _Toc213959224 \h </w:instrText>
            </w:r>
            <w:r>
              <w:rPr>
                <w:noProof/>
                <w:webHidden/>
              </w:rPr>
            </w:r>
            <w:r>
              <w:rPr>
                <w:noProof/>
                <w:webHidden/>
              </w:rPr>
              <w:fldChar w:fldCharType="separate"/>
            </w:r>
            <w:r>
              <w:rPr>
                <w:noProof/>
                <w:webHidden/>
              </w:rPr>
              <w:t>4</w:t>
            </w:r>
            <w:r>
              <w:rPr>
                <w:noProof/>
                <w:webHidden/>
              </w:rPr>
              <w:fldChar w:fldCharType="end"/>
            </w:r>
          </w:hyperlink>
        </w:p>
        <w:p w14:paraId="2268E8DD" w14:textId="22045C45" w:rsidR="003F6B42" w:rsidRDefault="003F6B42">
          <w:pPr>
            <w:pStyle w:val="TOC3"/>
            <w:tabs>
              <w:tab w:val="right" w:leader="dot" w:pos="9016"/>
            </w:tabs>
            <w:rPr>
              <w:noProof/>
            </w:rPr>
          </w:pPr>
          <w:hyperlink w:anchor="_Toc213959225" w:history="1">
            <w:r w:rsidRPr="005659A5">
              <w:rPr>
                <w:rStyle w:val="Hyperlink"/>
                <w:b/>
                <w:bCs/>
                <w:noProof/>
              </w:rPr>
              <w:t>Benefits.</w:t>
            </w:r>
            <w:r>
              <w:rPr>
                <w:noProof/>
                <w:webHidden/>
              </w:rPr>
              <w:tab/>
            </w:r>
            <w:r>
              <w:rPr>
                <w:noProof/>
                <w:webHidden/>
              </w:rPr>
              <w:fldChar w:fldCharType="begin"/>
            </w:r>
            <w:r>
              <w:rPr>
                <w:noProof/>
                <w:webHidden/>
              </w:rPr>
              <w:instrText xml:space="preserve"> PAGEREF _Toc213959225 \h </w:instrText>
            </w:r>
            <w:r>
              <w:rPr>
                <w:noProof/>
                <w:webHidden/>
              </w:rPr>
            </w:r>
            <w:r>
              <w:rPr>
                <w:noProof/>
                <w:webHidden/>
              </w:rPr>
              <w:fldChar w:fldCharType="separate"/>
            </w:r>
            <w:r>
              <w:rPr>
                <w:noProof/>
                <w:webHidden/>
              </w:rPr>
              <w:t>4</w:t>
            </w:r>
            <w:r>
              <w:rPr>
                <w:noProof/>
                <w:webHidden/>
              </w:rPr>
              <w:fldChar w:fldCharType="end"/>
            </w:r>
          </w:hyperlink>
        </w:p>
        <w:p w14:paraId="2DBA32CA" w14:textId="72768015" w:rsidR="003F6B42" w:rsidRDefault="003F6B42">
          <w:pPr>
            <w:pStyle w:val="TOC3"/>
            <w:tabs>
              <w:tab w:val="right" w:leader="dot" w:pos="9016"/>
            </w:tabs>
            <w:rPr>
              <w:noProof/>
            </w:rPr>
          </w:pPr>
          <w:hyperlink w:anchor="_Toc213959226" w:history="1">
            <w:r w:rsidRPr="005659A5">
              <w:rPr>
                <w:rStyle w:val="Hyperlink"/>
                <w:b/>
                <w:bCs/>
                <w:noProof/>
              </w:rPr>
              <w:t>Challenges.</w:t>
            </w:r>
            <w:r>
              <w:rPr>
                <w:noProof/>
                <w:webHidden/>
              </w:rPr>
              <w:tab/>
            </w:r>
            <w:r>
              <w:rPr>
                <w:noProof/>
                <w:webHidden/>
              </w:rPr>
              <w:fldChar w:fldCharType="begin"/>
            </w:r>
            <w:r>
              <w:rPr>
                <w:noProof/>
                <w:webHidden/>
              </w:rPr>
              <w:instrText xml:space="preserve"> PAGEREF _Toc213959226 \h </w:instrText>
            </w:r>
            <w:r>
              <w:rPr>
                <w:noProof/>
                <w:webHidden/>
              </w:rPr>
            </w:r>
            <w:r>
              <w:rPr>
                <w:noProof/>
                <w:webHidden/>
              </w:rPr>
              <w:fldChar w:fldCharType="separate"/>
            </w:r>
            <w:r>
              <w:rPr>
                <w:noProof/>
                <w:webHidden/>
              </w:rPr>
              <w:t>5</w:t>
            </w:r>
            <w:r>
              <w:rPr>
                <w:noProof/>
                <w:webHidden/>
              </w:rPr>
              <w:fldChar w:fldCharType="end"/>
            </w:r>
          </w:hyperlink>
        </w:p>
        <w:p w14:paraId="5B3B3451" w14:textId="312C8CE3" w:rsidR="003F6B42" w:rsidRDefault="003F6B42">
          <w:pPr>
            <w:pStyle w:val="TOC2"/>
            <w:tabs>
              <w:tab w:val="left" w:pos="720"/>
              <w:tab w:val="right" w:leader="dot" w:pos="9016"/>
            </w:tabs>
            <w:rPr>
              <w:noProof/>
            </w:rPr>
          </w:pPr>
          <w:hyperlink w:anchor="_Toc213959227" w:history="1">
            <w:r w:rsidRPr="005659A5">
              <w:rPr>
                <w:rStyle w:val="Hyperlink"/>
                <w:b/>
                <w:bCs/>
                <w:noProof/>
              </w:rPr>
              <w:t>5.</w:t>
            </w:r>
            <w:r>
              <w:rPr>
                <w:noProof/>
              </w:rPr>
              <w:tab/>
            </w:r>
            <w:r w:rsidRPr="005659A5">
              <w:rPr>
                <w:rStyle w:val="Hyperlink"/>
                <w:b/>
                <w:bCs/>
                <w:noProof/>
              </w:rPr>
              <w:t>Legislation and Policy Frameworks</w:t>
            </w:r>
            <w:r>
              <w:rPr>
                <w:noProof/>
                <w:webHidden/>
              </w:rPr>
              <w:tab/>
            </w:r>
            <w:r>
              <w:rPr>
                <w:noProof/>
                <w:webHidden/>
              </w:rPr>
              <w:fldChar w:fldCharType="begin"/>
            </w:r>
            <w:r>
              <w:rPr>
                <w:noProof/>
                <w:webHidden/>
              </w:rPr>
              <w:instrText xml:space="preserve"> PAGEREF _Toc213959227 \h </w:instrText>
            </w:r>
            <w:r>
              <w:rPr>
                <w:noProof/>
                <w:webHidden/>
              </w:rPr>
            </w:r>
            <w:r>
              <w:rPr>
                <w:noProof/>
                <w:webHidden/>
              </w:rPr>
              <w:fldChar w:fldCharType="separate"/>
            </w:r>
            <w:r>
              <w:rPr>
                <w:noProof/>
                <w:webHidden/>
              </w:rPr>
              <w:t>5</w:t>
            </w:r>
            <w:r>
              <w:rPr>
                <w:noProof/>
                <w:webHidden/>
              </w:rPr>
              <w:fldChar w:fldCharType="end"/>
            </w:r>
          </w:hyperlink>
        </w:p>
        <w:p w14:paraId="0952E577" w14:textId="6388B295" w:rsidR="003F6B42" w:rsidRDefault="003F6B42">
          <w:pPr>
            <w:pStyle w:val="TOC2"/>
            <w:tabs>
              <w:tab w:val="left" w:pos="720"/>
              <w:tab w:val="right" w:leader="dot" w:pos="9016"/>
            </w:tabs>
            <w:rPr>
              <w:noProof/>
            </w:rPr>
          </w:pPr>
          <w:hyperlink w:anchor="_Toc213959228" w:history="1">
            <w:r w:rsidRPr="005659A5">
              <w:rPr>
                <w:rStyle w:val="Hyperlink"/>
                <w:b/>
                <w:bCs/>
                <w:noProof/>
              </w:rPr>
              <w:t>6.</w:t>
            </w:r>
            <w:r>
              <w:rPr>
                <w:noProof/>
              </w:rPr>
              <w:tab/>
            </w:r>
            <w:r w:rsidRPr="005659A5">
              <w:rPr>
                <w:rStyle w:val="Hyperlink"/>
                <w:b/>
                <w:bCs/>
                <w:noProof/>
              </w:rPr>
              <w:t>Recommendations for Future Development</w:t>
            </w:r>
            <w:r>
              <w:rPr>
                <w:noProof/>
                <w:webHidden/>
              </w:rPr>
              <w:tab/>
            </w:r>
            <w:r>
              <w:rPr>
                <w:noProof/>
                <w:webHidden/>
              </w:rPr>
              <w:fldChar w:fldCharType="begin"/>
            </w:r>
            <w:r>
              <w:rPr>
                <w:noProof/>
                <w:webHidden/>
              </w:rPr>
              <w:instrText xml:space="preserve"> PAGEREF _Toc213959228 \h </w:instrText>
            </w:r>
            <w:r>
              <w:rPr>
                <w:noProof/>
                <w:webHidden/>
              </w:rPr>
            </w:r>
            <w:r>
              <w:rPr>
                <w:noProof/>
                <w:webHidden/>
              </w:rPr>
              <w:fldChar w:fldCharType="separate"/>
            </w:r>
            <w:r>
              <w:rPr>
                <w:noProof/>
                <w:webHidden/>
              </w:rPr>
              <w:t>6</w:t>
            </w:r>
            <w:r>
              <w:rPr>
                <w:noProof/>
                <w:webHidden/>
              </w:rPr>
              <w:fldChar w:fldCharType="end"/>
            </w:r>
          </w:hyperlink>
        </w:p>
        <w:p w14:paraId="4C39B822" w14:textId="1408415B" w:rsidR="003F6B42" w:rsidRDefault="003F6B42">
          <w:pPr>
            <w:pStyle w:val="TOC3"/>
            <w:tabs>
              <w:tab w:val="right" w:leader="dot" w:pos="9016"/>
            </w:tabs>
            <w:rPr>
              <w:noProof/>
            </w:rPr>
          </w:pPr>
          <w:hyperlink w:anchor="_Toc213959229" w:history="1">
            <w:r w:rsidRPr="005659A5">
              <w:rPr>
                <w:rStyle w:val="Hyperlink"/>
                <w:b/>
                <w:bCs/>
                <w:noProof/>
              </w:rPr>
              <w:t>Workforce Education and Reflection are both vital.</w:t>
            </w:r>
            <w:r>
              <w:rPr>
                <w:noProof/>
                <w:webHidden/>
              </w:rPr>
              <w:tab/>
            </w:r>
            <w:r>
              <w:rPr>
                <w:noProof/>
                <w:webHidden/>
              </w:rPr>
              <w:fldChar w:fldCharType="begin"/>
            </w:r>
            <w:r>
              <w:rPr>
                <w:noProof/>
                <w:webHidden/>
              </w:rPr>
              <w:instrText xml:space="preserve"> PAGEREF _Toc213959229 \h </w:instrText>
            </w:r>
            <w:r>
              <w:rPr>
                <w:noProof/>
                <w:webHidden/>
              </w:rPr>
            </w:r>
            <w:r>
              <w:rPr>
                <w:noProof/>
                <w:webHidden/>
              </w:rPr>
              <w:fldChar w:fldCharType="separate"/>
            </w:r>
            <w:r>
              <w:rPr>
                <w:noProof/>
                <w:webHidden/>
              </w:rPr>
              <w:t>6</w:t>
            </w:r>
            <w:r>
              <w:rPr>
                <w:noProof/>
                <w:webHidden/>
              </w:rPr>
              <w:fldChar w:fldCharType="end"/>
            </w:r>
          </w:hyperlink>
        </w:p>
        <w:p w14:paraId="5D59C924" w14:textId="31839730" w:rsidR="003F6B42" w:rsidRDefault="003F6B42">
          <w:pPr>
            <w:pStyle w:val="TOC2"/>
            <w:tabs>
              <w:tab w:val="left" w:pos="720"/>
              <w:tab w:val="right" w:leader="dot" w:pos="9016"/>
            </w:tabs>
            <w:rPr>
              <w:noProof/>
            </w:rPr>
          </w:pPr>
          <w:hyperlink w:anchor="_Toc213959230" w:history="1">
            <w:r w:rsidRPr="005659A5">
              <w:rPr>
                <w:rStyle w:val="Hyperlink"/>
                <w:b/>
                <w:bCs/>
                <w:noProof/>
              </w:rPr>
              <w:t>7.</w:t>
            </w:r>
            <w:r>
              <w:rPr>
                <w:noProof/>
              </w:rPr>
              <w:tab/>
            </w:r>
            <w:r w:rsidRPr="005659A5">
              <w:rPr>
                <w:rStyle w:val="Hyperlink"/>
                <w:b/>
                <w:bCs/>
                <w:noProof/>
              </w:rPr>
              <w:t>Conclusion</w:t>
            </w:r>
            <w:r>
              <w:rPr>
                <w:noProof/>
                <w:webHidden/>
              </w:rPr>
              <w:tab/>
            </w:r>
            <w:r>
              <w:rPr>
                <w:noProof/>
                <w:webHidden/>
              </w:rPr>
              <w:fldChar w:fldCharType="begin"/>
            </w:r>
            <w:r>
              <w:rPr>
                <w:noProof/>
                <w:webHidden/>
              </w:rPr>
              <w:instrText xml:space="preserve"> PAGEREF _Toc213959230 \h </w:instrText>
            </w:r>
            <w:r>
              <w:rPr>
                <w:noProof/>
                <w:webHidden/>
              </w:rPr>
            </w:r>
            <w:r>
              <w:rPr>
                <w:noProof/>
                <w:webHidden/>
              </w:rPr>
              <w:fldChar w:fldCharType="separate"/>
            </w:r>
            <w:r>
              <w:rPr>
                <w:noProof/>
                <w:webHidden/>
              </w:rPr>
              <w:t>7</w:t>
            </w:r>
            <w:r>
              <w:rPr>
                <w:noProof/>
                <w:webHidden/>
              </w:rPr>
              <w:fldChar w:fldCharType="end"/>
            </w:r>
          </w:hyperlink>
        </w:p>
        <w:p w14:paraId="58864D48" w14:textId="1932F5F6" w:rsidR="003F6B42" w:rsidRDefault="003F6B42">
          <w:pPr>
            <w:pStyle w:val="TOC2"/>
            <w:tabs>
              <w:tab w:val="right" w:leader="dot" w:pos="9016"/>
            </w:tabs>
            <w:rPr>
              <w:noProof/>
            </w:rPr>
          </w:pPr>
          <w:hyperlink w:anchor="_Toc213959231" w:history="1">
            <w:r w:rsidRPr="005659A5">
              <w:rPr>
                <w:rStyle w:val="Hyperlink"/>
                <w:b/>
                <w:bCs/>
                <w:noProof/>
              </w:rPr>
              <w:t>8. Reference List</w:t>
            </w:r>
            <w:r>
              <w:rPr>
                <w:noProof/>
                <w:webHidden/>
              </w:rPr>
              <w:tab/>
            </w:r>
            <w:r>
              <w:rPr>
                <w:noProof/>
                <w:webHidden/>
              </w:rPr>
              <w:fldChar w:fldCharType="begin"/>
            </w:r>
            <w:r>
              <w:rPr>
                <w:noProof/>
                <w:webHidden/>
              </w:rPr>
              <w:instrText xml:space="preserve"> PAGEREF _Toc213959231 \h </w:instrText>
            </w:r>
            <w:r>
              <w:rPr>
                <w:noProof/>
                <w:webHidden/>
              </w:rPr>
            </w:r>
            <w:r>
              <w:rPr>
                <w:noProof/>
                <w:webHidden/>
              </w:rPr>
              <w:fldChar w:fldCharType="separate"/>
            </w:r>
            <w:r>
              <w:rPr>
                <w:noProof/>
                <w:webHidden/>
              </w:rPr>
              <w:t>8</w:t>
            </w:r>
            <w:r>
              <w:rPr>
                <w:noProof/>
                <w:webHidden/>
              </w:rPr>
              <w:fldChar w:fldCharType="end"/>
            </w:r>
          </w:hyperlink>
        </w:p>
        <w:p w14:paraId="24FB17C8" w14:textId="1532F14E" w:rsidR="003F6B42" w:rsidRDefault="003F6B42">
          <w:r>
            <w:rPr>
              <w:b/>
              <w:bCs/>
              <w:noProof/>
            </w:rPr>
            <w:fldChar w:fldCharType="end"/>
          </w:r>
        </w:p>
      </w:sdtContent>
    </w:sdt>
    <w:p w14:paraId="71377A6D" w14:textId="77777777" w:rsidR="003F6B42" w:rsidRDefault="003F6B42" w:rsidP="00EC6EB7">
      <w:pPr>
        <w:rPr>
          <w:b/>
          <w:bCs/>
        </w:rPr>
      </w:pPr>
    </w:p>
    <w:p w14:paraId="2B24227C" w14:textId="77777777" w:rsidR="003F6B42" w:rsidRDefault="003F6B42" w:rsidP="00EC6EB7">
      <w:pPr>
        <w:rPr>
          <w:b/>
          <w:bCs/>
        </w:rPr>
      </w:pPr>
    </w:p>
    <w:p w14:paraId="09134D67" w14:textId="77777777" w:rsidR="003F6B42" w:rsidRDefault="003F6B42" w:rsidP="00EC6EB7">
      <w:pPr>
        <w:rPr>
          <w:b/>
          <w:bCs/>
        </w:rPr>
      </w:pPr>
    </w:p>
    <w:p w14:paraId="7285881B" w14:textId="77777777" w:rsidR="003F6B42" w:rsidRDefault="003F6B42" w:rsidP="00EC6EB7">
      <w:pPr>
        <w:rPr>
          <w:b/>
          <w:bCs/>
        </w:rPr>
      </w:pPr>
    </w:p>
    <w:p w14:paraId="6D32CC45" w14:textId="77777777" w:rsidR="003F6B42" w:rsidRDefault="003F6B42" w:rsidP="00EC6EB7">
      <w:pPr>
        <w:rPr>
          <w:b/>
          <w:bCs/>
        </w:rPr>
      </w:pPr>
    </w:p>
    <w:p w14:paraId="58B269FD" w14:textId="77777777" w:rsidR="003F6B42" w:rsidRDefault="003F6B42" w:rsidP="00EC6EB7">
      <w:pPr>
        <w:rPr>
          <w:b/>
          <w:bCs/>
        </w:rPr>
      </w:pPr>
    </w:p>
    <w:p w14:paraId="3CB7CAC9" w14:textId="77777777" w:rsidR="003F6B42" w:rsidRDefault="003F6B42" w:rsidP="00EC6EB7">
      <w:pPr>
        <w:rPr>
          <w:b/>
          <w:bCs/>
        </w:rPr>
      </w:pPr>
    </w:p>
    <w:p w14:paraId="6E9349E0" w14:textId="77777777" w:rsidR="003F6B42" w:rsidRDefault="003F6B42" w:rsidP="00EC6EB7">
      <w:pPr>
        <w:rPr>
          <w:b/>
          <w:bCs/>
        </w:rPr>
      </w:pPr>
    </w:p>
    <w:p w14:paraId="65EFAD9F" w14:textId="77777777" w:rsidR="003F6B42" w:rsidRDefault="003F6B42" w:rsidP="00EC6EB7">
      <w:pPr>
        <w:rPr>
          <w:b/>
          <w:bCs/>
        </w:rPr>
      </w:pPr>
    </w:p>
    <w:p w14:paraId="78CD2AF3" w14:textId="77777777" w:rsidR="003F6B42" w:rsidRDefault="003F6B42" w:rsidP="00EC6EB7">
      <w:pPr>
        <w:rPr>
          <w:b/>
          <w:bCs/>
        </w:rPr>
      </w:pPr>
    </w:p>
    <w:p w14:paraId="77B32A31" w14:textId="77777777" w:rsidR="003F6B42" w:rsidRDefault="003F6B42" w:rsidP="00EC6EB7">
      <w:pPr>
        <w:rPr>
          <w:b/>
          <w:bCs/>
        </w:rPr>
      </w:pPr>
    </w:p>
    <w:p w14:paraId="6F340F53" w14:textId="77777777" w:rsidR="003F6B42" w:rsidRDefault="003F6B42" w:rsidP="00EC6EB7">
      <w:pPr>
        <w:rPr>
          <w:b/>
          <w:bCs/>
        </w:rPr>
      </w:pPr>
    </w:p>
    <w:p w14:paraId="7DD2925B" w14:textId="10011BC4" w:rsidR="00EC6EB7" w:rsidRDefault="00EC6EB7" w:rsidP="003F6B42">
      <w:pPr>
        <w:pStyle w:val="Heading2"/>
        <w:numPr>
          <w:ilvl w:val="0"/>
          <w:numId w:val="6"/>
        </w:numPr>
        <w:rPr>
          <w:b/>
          <w:bCs/>
          <w:color w:val="auto"/>
        </w:rPr>
      </w:pPr>
      <w:bookmarkStart w:id="0" w:name="_Toc213959217"/>
      <w:r w:rsidRPr="003F6B42">
        <w:rPr>
          <w:b/>
          <w:bCs/>
          <w:color w:val="auto"/>
        </w:rPr>
        <w:lastRenderedPageBreak/>
        <w:t>Introduction</w:t>
      </w:r>
      <w:bookmarkEnd w:id="0"/>
    </w:p>
    <w:p w14:paraId="71597597" w14:textId="77777777" w:rsidR="003F6B42" w:rsidRPr="003F6B42" w:rsidRDefault="003F6B42" w:rsidP="003F6B42"/>
    <w:p w14:paraId="13F28DA9" w14:textId="58239F3B" w:rsidR="00EC6EB7" w:rsidRPr="003F6B42" w:rsidRDefault="0068720B" w:rsidP="003F6B42">
      <w:pPr>
        <w:spacing w:line="360" w:lineRule="auto"/>
        <w:jc w:val="both"/>
        <w:rPr>
          <w:rFonts w:ascii="Arial" w:hAnsi="Arial" w:cs="Arial"/>
        </w:rPr>
      </w:pPr>
      <w:r w:rsidRPr="003F6B42">
        <w:rPr>
          <w:rFonts w:ascii="Arial" w:hAnsi="Arial" w:cs="Arial"/>
        </w:rPr>
        <w:t xml:space="preserve">Partnership working (PW) and person-centred care (PCC) are becoming more important as guiding concepts in the United Kingdom health, and social care system. These principles guarantee that service users are treated with respect, and equality, and that they get high quality results. These guiding principles influence the </w:t>
      </w:r>
      <w:r w:rsidR="00911BA3" w:rsidRPr="003F6B42">
        <w:rPr>
          <w:rFonts w:ascii="Arial" w:hAnsi="Arial" w:cs="Arial"/>
        </w:rPr>
        <w:t>way</w:t>
      </w:r>
      <w:r w:rsidRPr="003F6B42">
        <w:rPr>
          <w:rFonts w:ascii="Arial" w:hAnsi="Arial" w:cs="Arial"/>
        </w:rPr>
        <w:t xml:space="preserve"> professionals in the field of adult social care, especially those working with older individuals, plan, provide, and evaluate assistance. The National Health Service Long Term Plan (2019) makes a commitment to integrating health and social care, while the Care Act of 2014 mandates that local authorities should emphasise the importance of personal choice and welfare. Using theoretical, ethical, and legal perspectives, this research provides an in-depth analysis of PCC and PW, with a particular emphasis on adult social care for middle-aged and elderly people. The evidence presented here illustrates that the efficacy of these principles is contingent upon the implementation of collaborative practices, ethical awareness, and policy alignment.</w:t>
      </w:r>
    </w:p>
    <w:p w14:paraId="40FF6032" w14:textId="77777777" w:rsidR="0068720B" w:rsidRPr="003F6B42" w:rsidRDefault="0068720B" w:rsidP="003F6B42">
      <w:pPr>
        <w:spacing w:line="360" w:lineRule="auto"/>
        <w:jc w:val="both"/>
        <w:rPr>
          <w:rFonts w:ascii="Arial" w:hAnsi="Arial" w:cs="Arial"/>
        </w:rPr>
      </w:pPr>
    </w:p>
    <w:p w14:paraId="49BC3917" w14:textId="54E705D7" w:rsidR="003F6B42" w:rsidRDefault="00EC6EB7" w:rsidP="003F6B42">
      <w:pPr>
        <w:pStyle w:val="Heading2"/>
        <w:numPr>
          <w:ilvl w:val="0"/>
          <w:numId w:val="6"/>
        </w:numPr>
        <w:rPr>
          <w:b/>
          <w:bCs/>
          <w:color w:val="auto"/>
        </w:rPr>
      </w:pPr>
      <w:bookmarkStart w:id="1" w:name="_Toc213959218"/>
      <w:r w:rsidRPr="003F6B42">
        <w:rPr>
          <w:b/>
          <w:bCs/>
          <w:color w:val="auto"/>
        </w:rPr>
        <w:t>Person-Centred Care: Definition, Benefits and Limitations</w:t>
      </w:r>
      <w:bookmarkEnd w:id="1"/>
    </w:p>
    <w:p w14:paraId="15A51AED" w14:textId="77777777" w:rsidR="003F6B42" w:rsidRDefault="003F6B42" w:rsidP="003F6B42">
      <w:pPr>
        <w:spacing w:line="360" w:lineRule="auto"/>
        <w:jc w:val="both"/>
        <w:rPr>
          <w:rFonts w:ascii="Arial" w:hAnsi="Arial" w:cs="Arial"/>
        </w:rPr>
      </w:pPr>
    </w:p>
    <w:p w14:paraId="77E948EF" w14:textId="3BCD882E" w:rsidR="0068720B" w:rsidRPr="003F6B42" w:rsidRDefault="0068720B" w:rsidP="003F6B42">
      <w:pPr>
        <w:spacing w:line="360" w:lineRule="auto"/>
        <w:jc w:val="both"/>
        <w:rPr>
          <w:rFonts w:ascii="Arial" w:hAnsi="Arial" w:cs="Arial"/>
          <w:b/>
          <w:bCs/>
          <w:sz w:val="32"/>
          <w:szCs w:val="32"/>
        </w:rPr>
      </w:pPr>
      <w:r w:rsidRPr="003F6B42">
        <w:rPr>
          <w:rFonts w:ascii="Arial" w:hAnsi="Arial" w:cs="Arial"/>
        </w:rPr>
        <w:t xml:space="preserve">According to McCormack and McCance (2017), person-centred care is a method that puts the individual at the centre of all choices, </w:t>
      </w:r>
      <w:r w:rsidR="00911BA3" w:rsidRPr="003F6B42">
        <w:rPr>
          <w:rFonts w:ascii="Arial" w:hAnsi="Arial" w:cs="Arial"/>
        </w:rPr>
        <w:t>considering</w:t>
      </w:r>
      <w:r w:rsidRPr="003F6B42">
        <w:rPr>
          <w:rFonts w:ascii="Arial" w:hAnsi="Arial" w:cs="Arial"/>
        </w:rPr>
        <w:t xml:space="preserve"> the individual's rights, preferences, and experiences throughout their daily existence. On the other hand, it stands in contrast to paternalistic approaches, which see individuals as passive beneficiaries of care. In the field of adult social care, person-centred care (PCC) refers to the process of co-creating individualised support plans with older persons and their families. This process ensures that daily routines, activities, and objectives are reflective of the individual's preferences (NHS England, 2022).</w:t>
      </w:r>
    </w:p>
    <w:p w14:paraId="5094D092" w14:textId="77777777" w:rsidR="0068720B" w:rsidRPr="003F6B42" w:rsidRDefault="0068720B" w:rsidP="003F6B42">
      <w:pPr>
        <w:spacing w:line="360" w:lineRule="auto"/>
        <w:jc w:val="both"/>
        <w:rPr>
          <w:rFonts w:ascii="Arial" w:hAnsi="Arial" w:cs="Arial"/>
        </w:rPr>
      </w:pPr>
    </w:p>
    <w:p w14:paraId="26E175BA" w14:textId="77777777" w:rsidR="0068720B" w:rsidRPr="003F6B42" w:rsidRDefault="00EC6EB7" w:rsidP="003F6B42">
      <w:pPr>
        <w:pStyle w:val="Heading3"/>
        <w:rPr>
          <w:b/>
          <w:bCs/>
          <w:color w:val="auto"/>
        </w:rPr>
      </w:pPr>
      <w:bookmarkStart w:id="2" w:name="_Toc213959219"/>
      <w:r w:rsidRPr="003F6B42">
        <w:rPr>
          <w:b/>
          <w:bCs/>
          <w:color w:val="auto"/>
        </w:rPr>
        <w:t>Benefits.</w:t>
      </w:r>
      <w:bookmarkEnd w:id="2"/>
    </w:p>
    <w:p w14:paraId="20DFCEC4" w14:textId="1E970E18" w:rsidR="003F6B42" w:rsidRPr="003F6B42" w:rsidRDefault="0068720B" w:rsidP="003F6B42">
      <w:pPr>
        <w:spacing w:line="360" w:lineRule="auto"/>
        <w:jc w:val="both"/>
        <w:rPr>
          <w:rFonts w:ascii="Arial" w:hAnsi="Arial" w:cs="Arial"/>
        </w:rPr>
      </w:pPr>
      <w:r w:rsidRPr="003F6B42">
        <w:rPr>
          <w:rFonts w:ascii="Arial" w:hAnsi="Arial" w:cs="Arial"/>
        </w:rPr>
        <w:t xml:space="preserve">There is a constant association between PCC and better clinical results, as well as enhanced quality of life and mental wellness, according to research (Health Foundation, 2021). It improves the continuity of connections between carers and residents in residential and community care arrangements, and it helps to create trust between the two groups. According to Baker and Latham's research from 2020, flexible </w:t>
      </w:r>
      <w:r w:rsidR="00911BA3" w:rsidRPr="003F6B42">
        <w:rPr>
          <w:rFonts w:ascii="Arial" w:hAnsi="Arial" w:cs="Arial"/>
        </w:rPr>
        <w:t>mealtimes</w:t>
      </w:r>
      <w:r w:rsidRPr="003F6B42">
        <w:rPr>
          <w:rFonts w:ascii="Arial" w:hAnsi="Arial" w:cs="Arial"/>
        </w:rPr>
        <w:t xml:space="preserve"> and chances for meaningful activities are particularly effective in fostering autonomy and reducing the behavioural symptoms that </w:t>
      </w:r>
      <w:r w:rsidR="00911BA3" w:rsidRPr="003F6B42">
        <w:rPr>
          <w:rFonts w:ascii="Arial" w:hAnsi="Arial" w:cs="Arial"/>
        </w:rPr>
        <w:t>relate to</w:t>
      </w:r>
      <w:r w:rsidRPr="003F6B42">
        <w:rPr>
          <w:rFonts w:ascii="Arial" w:hAnsi="Arial" w:cs="Arial"/>
        </w:rPr>
        <w:t xml:space="preserve"> feelings of isolation and reliance. As a result of the reinforcement of </w:t>
      </w:r>
      <w:r w:rsidRPr="003F6B42">
        <w:rPr>
          <w:rFonts w:ascii="Arial" w:hAnsi="Arial" w:cs="Arial"/>
        </w:rPr>
        <w:lastRenderedPageBreak/>
        <w:t>empathy and professional purpose, PCC also contributes to an increase in worker satisfaction (Skills for Care, 2023). The concept is very congruent with the CQC Fundamental Standards (2014), which place a focus on compassion and respect as indicators of the quality of treatment.</w:t>
      </w:r>
    </w:p>
    <w:p w14:paraId="770F342E" w14:textId="77777777" w:rsidR="003F6B42" w:rsidRPr="003F6B42" w:rsidRDefault="003F6B42" w:rsidP="003F6B42">
      <w:pPr>
        <w:spacing w:line="360" w:lineRule="auto"/>
        <w:jc w:val="both"/>
        <w:rPr>
          <w:rFonts w:ascii="Arial" w:hAnsi="Arial" w:cs="Arial"/>
        </w:rPr>
      </w:pPr>
    </w:p>
    <w:p w14:paraId="786BF63A" w14:textId="77777777" w:rsidR="003F6B42" w:rsidRPr="003F6B42" w:rsidRDefault="00EC6EB7" w:rsidP="003F6B42">
      <w:pPr>
        <w:pStyle w:val="Heading3"/>
        <w:rPr>
          <w:b/>
          <w:bCs/>
          <w:color w:val="auto"/>
        </w:rPr>
      </w:pPr>
      <w:bookmarkStart w:id="3" w:name="_Toc213959220"/>
      <w:r w:rsidRPr="003F6B42">
        <w:rPr>
          <w:b/>
          <w:bCs/>
          <w:color w:val="auto"/>
        </w:rPr>
        <w:t>Limitations.</w:t>
      </w:r>
      <w:bookmarkEnd w:id="3"/>
    </w:p>
    <w:p w14:paraId="68360959" w14:textId="23B239DA" w:rsidR="00EC6EB7" w:rsidRPr="003F6B42" w:rsidRDefault="003F6B42" w:rsidP="003F6B42">
      <w:pPr>
        <w:spacing w:line="360" w:lineRule="auto"/>
        <w:jc w:val="both"/>
        <w:rPr>
          <w:rFonts w:ascii="Arial" w:hAnsi="Arial" w:cs="Arial"/>
        </w:rPr>
      </w:pPr>
      <w:r w:rsidRPr="003F6B42">
        <w:rPr>
          <w:rFonts w:ascii="Arial" w:hAnsi="Arial" w:cs="Arial"/>
        </w:rPr>
        <w:t xml:space="preserve">The implementation of PCC confronts problems linked to resources and structures, </w:t>
      </w:r>
      <w:r w:rsidR="00911BA3" w:rsidRPr="003F6B42">
        <w:rPr>
          <w:rFonts w:ascii="Arial" w:hAnsi="Arial" w:cs="Arial"/>
        </w:rPr>
        <w:t>even though</w:t>
      </w:r>
      <w:r w:rsidRPr="003F6B42">
        <w:rPr>
          <w:rFonts w:ascii="Arial" w:hAnsi="Arial" w:cs="Arial"/>
        </w:rPr>
        <w:t xml:space="preserve"> its benefit is widely acknowledged. As a result of factors such as inadequate personnel, time constraints, and restricted financial resources, </w:t>
      </w:r>
      <w:r w:rsidR="00911BA3" w:rsidRPr="003F6B42">
        <w:rPr>
          <w:rFonts w:ascii="Arial" w:hAnsi="Arial" w:cs="Arial"/>
        </w:rPr>
        <w:t>task-oriented</w:t>
      </w:r>
      <w:r w:rsidRPr="003F6B42">
        <w:rPr>
          <w:rFonts w:ascii="Arial" w:hAnsi="Arial" w:cs="Arial"/>
        </w:rPr>
        <w:t xml:space="preserve"> routines often come into conflict with relationship care (Bowers et al., 2021). In addition, cognitive impairments such as dementia may make it difficult to communicate with others, and to make decisions together. These issues bring to light a contradiction that exists between the aspirations of policy and the reality of ordinary life. </w:t>
      </w:r>
      <w:r w:rsidR="00911BA3" w:rsidRPr="003F6B42">
        <w:rPr>
          <w:rFonts w:ascii="Arial" w:hAnsi="Arial" w:cs="Arial"/>
        </w:rPr>
        <w:t>For</w:t>
      </w:r>
      <w:r w:rsidRPr="003F6B42">
        <w:rPr>
          <w:rFonts w:ascii="Arial" w:hAnsi="Arial" w:cs="Arial"/>
        </w:rPr>
        <w:t xml:space="preserve"> companies to successfully implement PCC, they need to have professional leadership, reflective monitoring, and enough financing sources that reward quality of care rather than quantity of treatment (Glasby and Dickinson, 2022).</w:t>
      </w:r>
    </w:p>
    <w:p w14:paraId="138355EE" w14:textId="77777777" w:rsidR="003F6B42" w:rsidRPr="003F6B42" w:rsidRDefault="003F6B42" w:rsidP="003F6B42">
      <w:pPr>
        <w:spacing w:line="360" w:lineRule="auto"/>
        <w:jc w:val="both"/>
        <w:rPr>
          <w:rFonts w:ascii="Arial" w:hAnsi="Arial" w:cs="Arial"/>
        </w:rPr>
      </w:pPr>
    </w:p>
    <w:p w14:paraId="5BB19765" w14:textId="6C927DD1" w:rsidR="003F6B42" w:rsidRDefault="00EC6EB7" w:rsidP="003F6B42">
      <w:pPr>
        <w:pStyle w:val="Heading2"/>
        <w:numPr>
          <w:ilvl w:val="0"/>
          <w:numId w:val="6"/>
        </w:numPr>
        <w:rPr>
          <w:b/>
          <w:bCs/>
          <w:color w:val="auto"/>
        </w:rPr>
      </w:pPr>
      <w:bookmarkStart w:id="4" w:name="_Toc213959221"/>
      <w:r w:rsidRPr="003F6B42">
        <w:rPr>
          <w:b/>
          <w:bCs/>
          <w:color w:val="auto"/>
        </w:rPr>
        <w:t>Theoretical and Ethical Foundations of PCC</w:t>
      </w:r>
      <w:bookmarkEnd w:id="4"/>
    </w:p>
    <w:p w14:paraId="5EBBFAD4" w14:textId="77777777" w:rsidR="003F6B42" w:rsidRPr="003F6B42" w:rsidRDefault="003F6B42" w:rsidP="003F6B42"/>
    <w:p w14:paraId="457562E6" w14:textId="5C9E7D75" w:rsidR="00EC6EB7" w:rsidRPr="003F6B42" w:rsidRDefault="00EC6EB7" w:rsidP="003F6B42">
      <w:pPr>
        <w:pStyle w:val="Heading3"/>
        <w:rPr>
          <w:b/>
          <w:bCs/>
          <w:color w:val="auto"/>
        </w:rPr>
      </w:pPr>
      <w:bookmarkStart w:id="5" w:name="_Toc213959222"/>
      <w:r w:rsidRPr="003F6B42">
        <w:rPr>
          <w:b/>
          <w:bCs/>
          <w:color w:val="auto"/>
        </w:rPr>
        <w:t>Theoretical Model</w:t>
      </w:r>
      <w:bookmarkEnd w:id="5"/>
    </w:p>
    <w:p w14:paraId="0D0CB1A9" w14:textId="1E9B7252" w:rsidR="003F6B42" w:rsidRPr="003F6B42" w:rsidRDefault="003F6B42" w:rsidP="003F6B42">
      <w:pPr>
        <w:spacing w:line="360" w:lineRule="auto"/>
        <w:jc w:val="both"/>
        <w:rPr>
          <w:rFonts w:ascii="Arial" w:hAnsi="Arial" w:cs="Arial"/>
        </w:rPr>
      </w:pPr>
      <w:r w:rsidRPr="003F6B42">
        <w:rPr>
          <w:rFonts w:ascii="Arial" w:hAnsi="Arial" w:cs="Arial"/>
        </w:rPr>
        <w:t xml:space="preserve">This model of personhood, developed by </w:t>
      </w:r>
      <w:r w:rsidR="00911BA3" w:rsidRPr="003F6B42">
        <w:rPr>
          <w:rFonts w:ascii="Arial" w:hAnsi="Arial" w:cs="Arial"/>
        </w:rPr>
        <w:t>Kit wood</w:t>
      </w:r>
      <w:r w:rsidRPr="003F6B42">
        <w:rPr>
          <w:rFonts w:ascii="Arial" w:hAnsi="Arial" w:cs="Arial"/>
        </w:rPr>
        <w:t xml:space="preserve"> (2019), offers a compelling framework for understanding person-centred care in the context of dementia and care for older adults. There are five psychological requirements that are essential to one's well-being, according to </w:t>
      </w:r>
      <w:r w:rsidR="00911BA3" w:rsidRPr="003F6B42">
        <w:rPr>
          <w:rFonts w:ascii="Arial" w:hAnsi="Arial" w:cs="Arial"/>
        </w:rPr>
        <w:t>Kit wood</w:t>
      </w:r>
      <w:r w:rsidRPr="003F6B42">
        <w:rPr>
          <w:rFonts w:ascii="Arial" w:hAnsi="Arial" w:cs="Arial"/>
        </w:rPr>
        <w:t xml:space="preserve">. These needs include comfort, identity, occupation, inclusion, and attachment. </w:t>
      </w:r>
      <w:r w:rsidR="00911BA3" w:rsidRPr="003F6B42">
        <w:rPr>
          <w:rFonts w:ascii="Arial" w:hAnsi="Arial" w:cs="Arial"/>
        </w:rPr>
        <w:t>Using</w:t>
      </w:r>
      <w:r w:rsidRPr="003F6B42">
        <w:rPr>
          <w:rFonts w:ascii="Arial" w:hAnsi="Arial" w:cs="Arial"/>
        </w:rPr>
        <w:t xml:space="preserve"> individualised interactions, practitioners </w:t>
      </w:r>
      <w:r w:rsidR="00911BA3" w:rsidRPr="003F6B42">
        <w:rPr>
          <w:rFonts w:ascii="Arial" w:hAnsi="Arial" w:cs="Arial"/>
        </w:rPr>
        <w:t>can</w:t>
      </w:r>
      <w:r w:rsidRPr="003F6B42">
        <w:rPr>
          <w:rFonts w:ascii="Arial" w:hAnsi="Arial" w:cs="Arial"/>
        </w:rPr>
        <w:t xml:space="preserve"> maintain a sense of self-worth and lessen the amount of behavioural discomfort that patients experience. Rather than focussing on symptom management, the paradigm encourages a change towards cultivating personality. The usefulness of this concept goes beyond dementia to include all types of senior care, particularly those that emphasise the importance of connections and recognition (Brooker and Latham, 2020). With the use of </w:t>
      </w:r>
      <w:r w:rsidR="00911BA3" w:rsidRPr="003F6B42">
        <w:rPr>
          <w:rFonts w:ascii="Arial" w:hAnsi="Arial" w:cs="Arial"/>
        </w:rPr>
        <w:t>Kit wood’s</w:t>
      </w:r>
      <w:r w:rsidRPr="003F6B42">
        <w:rPr>
          <w:rFonts w:ascii="Arial" w:hAnsi="Arial" w:cs="Arial"/>
        </w:rPr>
        <w:t xml:space="preserve"> theory, holistic evaluation is supported, and staff members are encouraged to regard the patient's biography and emotions as vital components of care planning.</w:t>
      </w:r>
    </w:p>
    <w:p w14:paraId="4F3B715E" w14:textId="66D8070E" w:rsidR="00EC6EB7" w:rsidRPr="003F6B42" w:rsidRDefault="00EC6EB7" w:rsidP="003F6B42">
      <w:pPr>
        <w:pStyle w:val="Heading3"/>
        <w:rPr>
          <w:b/>
          <w:bCs/>
          <w:color w:val="auto"/>
        </w:rPr>
      </w:pPr>
      <w:bookmarkStart w:id="6" w:name="_Toc213959223"/>
      <w:r w:rsidRPr="003F6B42">
        <w:rPr>
          <w:b/>
          <w:bCs/>
          <w:color w:val="auto"/>
        </w:rPr>
        <w:lastRenderedPageBreak/>
        <w:t>Ethical Principles</w:t>
      </w:r>
      <w:bookmarkEnd w:id="6"/>
    </w:p>
    <w:p w14:paraId="5A0A0D88" w14:textId="1C760F7B" w:rsidR="00EC6EB7" w:rsidRPr="003F6B42" w:rsidRDefault="003F6B42" w:rsidP="003F6B42">
      <w:pPr>
        <w:spacing w:line="360" w:lineRule="auto"/>
        <w:jc w:val="both"/>
        <w:rPr>
          <w:rFonts w:ascii="Arial" w:hAnsi="Arial" w:cs="Arial"/>
        </w:rPr>
      </w:pPr>
      <w:r w:rsidRPr="003F6B42">
        <w:rPr>
          <w:rFonts w:ascii="Arial" w:hAnsi="Arial" w:cs="Arial"/>
        </w:rPr>
        <w:t xml:space="preserve">PCC is built on a moral basis that is composed of ethical decision-making. According to Beauchamp and Childress (2019), there are four fundamental concepts that should be established: autonomy, beneficence, non-maleficence, and justice. Putting autonomy into reality means that older individuals </w:t>
      </w:r>
      <w:r w:rsidR="00911BA3" w:rsidRPr="003F6B42">
        <w:rPr>
          <w:rFonts w:ascii="Arial" w:hAnsi="Arial" w:cs="Arial"/>
        </w:rPr>
        <w:t>can</w:t>
      </w:r>
      <w:r w:rsidRPr="003F6B42">
        <w:rPr>
          <w:rFonts w:ascii="Arial" w:hAnsi="Arial" w:cs="Arial"/>
        </w:rPr>
        <w:t xml:space="preserve"> engage in choices about their assistance, even when their competence varies. The Mental Capacity Act of 2005 instructs professionals to assume that a person </w:t>
      </w:r>
      <w:r w:rsidR="00911BA3" w:rsidRPr="003F6B42">
        <w:rPr>
          <w:rFonts w:ascii="Arial" w:hAnsi="Arial" w:cs="Arial"/>
        </w:rPr>
        <w:t>can make</w:t>
      </w:r>
      <w:r w:rsidRPr="003F6B42">
        <w:rPr>
          <w:rFonts w:ascii="Arial" w:hAnsi="Arial" w:cs="Arial"/>
        </w:rPr>
        <w:t xml:space="preserve"> decisions until it can be shown that they are not, and to act in the person's best interests when capacity is missing. Beneficence and non-maleficence require providers to strike a balance between potential good results and the avoidance of potential negative consequences, such as guaranteeing safety while also fostering independence. Based on the Equality Act of 2010, justice requires fairness in the distribution of resources and access to services. According to the National Medical Council (2018), the concept of dignity serves to more firmly establish PCC by recognising the inherent worth of every human. Therefore, ethical treatment is dependent on practitioners who are introspective and who consistently assess the rights they have against the hazards they face.</w:t>
      </w:r>
    </w:p>
    <w:p w14:paraId="5F5E10C6" w14:textId="77777777" w:rsidR="003F6B42" w:rsidRPr="003F6B42" w:rsidRDefault="003F6B42" w:rsidP="003F6B42">
      <w:pPr>
        <w:spacing w:line="360" w:lineRule="auto"/>
        <w:jc w:val="both"/>
        <w:rPr>
          <w:rFonts w:ascii="Arial" w:hAnsi="Arial" w:cs="Arial"/>
        </w:rPr>
      </w:pPr>
    </w:p>
    <w:p w14:paraId="4EB5F18C" w14:textId="259BB221" w:rsidR="00EC6EB7" w:rsidRDefault="00EC6EB7" w:rsidP="003F6B42">
      <w:pPr>
        <w:pStyle w:val="Heading2"/>
        <w:numPr>
          <w:ilvl w:val="0"/>
          <w:numId w:val="6"/>
        </w:numPr>
        <w:rPr>
          <w:b/>
          <w:bCs/>
          <w:color w:val="auto"/>
        </w:rPr>
      </w:pPr>
      <w:bookmarkStart w:id="7" w:name="_Toc213959224"/>
      <w:r w:rsidRPr="003F6B42">
        <w:rPr>
          <w:b/>
          <w:bCs/>
          <w:color w:val="auto"/>
        </w:rPr>
        <w:t>Partnership Working in Health and Social Care</w:t>
      </w:r>
      <w:bookmarkEnd w:id="7"/>
    </w:p>
    <w:p w14:paraId="6C3AC4C5" w14:textId="77777777" w:rsidR="003F6B42" w:rsidRPr="003F6B42" w:rsidRDefault="003F6B42" w:rsidP="003F6B42"/>
    <w:p w14:paraId="0736D8FD" w14:textId="2F943C65" w:rsidR="003F6B42" w:rsidRPr="003F6B42" w:rsidRDefault="003F6B42" w:rsidP="003F6B42">
      <w:pPr>
        <w:spacing w:line="360" w:lineRule="auto"/>
        <w:jc w:val="both"/>
        <w:rPr>
          <w:rFonts w:ascii="Arial" w:hAnsi="Arial" w:cs="Arial"/>
        </w:rPr>
      </w:pPr>
      <w:r w:rsidRPr="003F6B42">
        <w:rPr>
          <w:rFonts w:ascii="Arial" w:hAnsi="Arial" w:cs="Arial"/>
        </w:rPr>
        <w:t xml:space="preserve">According to </w:t>
      </w:r>
      <w:r w:rsidR="00911BA3" w:rsidRPr="003F6B42">
        <w:rPr>
          <w:rFonts w:ascii="Arial" w:hAnsi="Arial" w:cs="Arial"/>
        </w:rPr>
        <w:t>Cranwell</w:t>
      </w:r>
      <w:r w:rsidRPr="003F6B42">
        <w:rPr>
          <w:rFonts w:ascii="Arial" w:hAnsi="Arial" w:cs="Arial"/>
        </w:rPr>
        <w:t xml:space="preserve"> and Carson (2021), partnership working is a term that describes collaborative arrangements between people, professionals, and organisations with the purpose of </w:t>
      </w:r>
      <w:r w:rsidR="00911BA3" w:rsidRPr="003F6B42">
        <w:rPr>
          <w:rFonts w:ascii="Arial" w:hAnsi="Arial" w:cs="Arial"/>
        </w:rPr>
        <w:t>aiding</w:t>
      </w:r>
      <w:r w:rsidRPr="003F6B42">
        <w:rPr>
          <w:rFonts w:ascii="Arial" w:hAnsi="Arial" w:cs="Arial"/>
        </w:rPr>
        <w:t xml:space="preserve"> that is both smooth and successful. PW brings together local authorities, NHS trusts, volunteer groups, and families </w:t>
      </w:r>
      <w:r w:rsidR="00911BA3" w:rsidRPr="003F6B42">
        <w:rPr>
          <w:rFonts w:ascii="Arial" w:hAnsi="Arial" w:cs="Arial"/>
        </w:rPr>
        <w:t>to</w:t>
      </w:r>
      <w:r w:rsidRPr="003F6B42">
        <w:rPr>
          <w:rFonts w:ascii="Arial" w:hAnsi="Arial" w:cs="Arial"/>
        </w:rPr>
        <w:t xml:space="preserve"> create a collaborative decision-making process for adult social care.</w:t>
      </w:r>
    </w:p>
    <w:p w14:paraId="1A7894B8" w14:textId="77777777" w:rsidR="003F6B42" w:rsidRPr="003F6B42" w:rsidRDefault="003F6B42" w:rsidP="003F6B42">
      <w:pPr>
        <w:spacing w:line="360" w:lineRule="auto"/>
        <w:jc w:val="both"/>
        <w:rPr>
          <w:rFonts w:ascii="Arial" w:hAnsi="Arial" w:cs="Arial"/>
          <w:b/>
          <w:bCs/>
        </w:rPr>
      </w:pPr>
    </w:p>
    <w:p w14:paraId="739FC049" w14:textId="77777777" w:rsidR="003F6B42" w:rsidRPr="003F6B42" w:rsidRDefault="00EC6EB7" w:rsidP="003F6B42">
      <w:pPr>
        <w:pStyle w:val="Heading3"/>
        <w:rPr>
          <w:b/>
          <w:bCs/>
          <w:color w:val="auto"/>
        </w:rPr>
      </w:pPr>
      <w:bookmarkStart w:id="8" w:name="_Toc213959225"/>
      <w:r w:rsidRPr="003F6B42">
        <w:rPr>
          <w:b/>
          <w:bCs/>
          <w:color w:val="auto"/>
        </w:rPr>
        <w:t>Benefits.</w:t>
      </w:r>
      <w:bookmarkEnd w:id="8"/>
    </w:p>
    <w:p w14:paraId="0F3C5519" w14:textId="27130CBE" w:rsidR="003F6B42" w:rsidRPr="003F6B42" w:rsidRDefault="003F6B42" w:rsidP="003F6B42">
      <w:pPr>
        <w:spacing w:line="360" w:lineRule="auto"/>
        <w:jc w:val="both"/>
        <w:rPr>
          <w:rFonts w:ascii="Arial" w:hAnsi="Arial" w:cs="Arial"/>
        </w:rPr>
      </w:pPr>
      <w:r w:rsidRPr="003F6B42">
        <w:rPr>
          <w:rFonts w:ascii="Arial" w:hAnsi="Arial" w:cs="Arial"/>
        </w:rPr>
        <w:t xml:space="preserve">Through the pooling of skills and resources, collaboration significantly improves both efficiency and quality. Comprehensive evaluations that </w:t>
      </w:r>
      <w:r w:rsidR="00911BA3" w:rsidRPr="003F6B42">
        <w:rPr>
          <w:rFonts w:ascii="Arial" w:hAnsi="Arial" w:cs="Arial"/>
        </w:rPr>
        <w:t>consider</w:t>
      </w:r>
      <w:r w:rsidRPr="003F6B42">
        <w:rPr>
          <w:rFonts w:ascii="Arial" w:hAnsi="Arial" w:cs="Arial"/>
        </w:rPr>
        <w:t xml:space="preserve"> both health and social requirements may be carried out by multidisciplinary teams consisting of social workers, community nurses, occupational therapists, and psychologists (Rummery, 2020). In addition to reducing instances of duplication, this integrated strategy also helps to decrease hospital stays and makes early intervention more feasible. DHSC, 2023 states that coordinated discharge planning between hospitals and community agencies helps older individuals maintain their independence and minimises the number of times they need to be readmitted. The recognition of service users </w:t>
      </w:r>
      <w:r w:rsidRPr="003F6B42">
        <w:rPr>
          <w:rFonts w:ascii="Arial" w:hAnsi="Arial" w:cs="Arial"/>
        </w:rPr>
        <w:lastRenderedPageBreak/>
        <w:t>as co-producers of their own care is an important aspect of PW, as it helps to increase the voice of service users (SCIE, 2018).</w:t>
      </w:r>
    </w:p>
    <w:p w14:paraId="03020303" w14:textId="77777777" w:rsidR="003F6B42" w:rsidRPr="003F6B42" w:rsidRDefault="003F6B42" w:rsidP="003F6B42">
      <w:pPr>
        <w:spacing w:line="360" w:lineRule="auto"/>
        <w:jc w:val="both"/>
        <w:rPr>
          <w:rFonts w:ascii="Arial" w:hAnsi="Arial" w:cs="Arial"/>
          <w:b/>
          <w:bCs/>
        </w:rPr>
      </w:pPr>
    </w:p>
    <w:p w14:paraId="062AEF4E" w14:textId="77777777" w:rsidR="003F6B42" w:rsidRPr="003F6B42" w:rsidRDefault="00EC6EB7" w:rsidP="003F6B42">
      <w:pPr>
        <w:pStyle w:val="Heading3"/>
        <w:rPr>
          <w:b/>
          <w:bCs/>
          <w:color w:val="auto"/>
        </w:rPr>
      </w:pPr>
      <w:bookmarkStart w:id="9" w:name="_Toc213959226"/>
      <w:r w:rsidRPr="003F6B42">
        <w:rPr>
          <w:b/>
          <w:bCs/>
          <w:color w:val="auto"/>
        </w:rPr>
        <w:t>Challenges.</w:t>
      </w:r>
      <w:bookmarkEnd w:id="9"/>
    </w:p>
    <w:p w14:paraId="38E7C5D9" w14:textId="6EC89D65" w:rsidR="00EC6EB7" w:rsidRPr="003F6B42" w:rsidRDefault="003F6B42" w:rsidP="003F6B42">
      <w:pPr>
        <w:spacing w:line="360" w:lineRule="auto"/>
        <w:jc w:val="both"/>
        <w:rPr>
          <w:rFonts w:ascii="Arial" w:hAnsi="Arial" w:cs="Arial"/>
        </w:rPr>
      </w:pPr>
      <w:r w:rsidRPr="003F6B42">
        <w:rPr>
          <w:rFonts w:ascii="Arial" w:hAnsi="Arial" w:cs="Arial"/>
        </w:rPr>
        <w:t>On the other hand, the success of a cooperations will not be assured. The inability to collaborate is often hampered by factors such as professional borders, organisational hierarchy, and incompatible information systems. Under the General Data Protection Regulation (GDPR) 2018, the rules for confidentiality might limit the exchange of information, and the disparity in priorities between health, and social care can lead to conflict. These issues are intended to be mitigated by the construction of Integrated Care Systems (ICSs), which coordinate finances and results across sectors, according to the Integration and Innovation White Paper (2021). A culture of trust is eventually established via open communication, mutual respect, and strong leadership, according to Glasby and Dickinson (2022). Effective PW ultimately depends on these factors.</w:t>
      </w:r>
    </w:p>
    <w:p w14:paraId="570E997E" w14:textId="77777777" w:rsidR="003F6B42" w:rsidRPr="003F6B42" w:rsidRDefault="003F6B42" w:rsidP="003F6B42">
      <w:pPr>
        <w:spacing w:line="360" w:lineRule="auto"/>
        <w:jc w:val="both"/>
        <w:rPr>
          <w:rFonts w:ascii="Arial" w:hAnsi="Arial" w:cs="Arial"/>
        </w:rPr>
      </w:pPr>
    </w:p>
    <w:p w14:paraId="76596BDD" w14:textId="640EEFD6" w:rsidR="003F6B42" w:rsidRDefault="00EC6EB7" w:rsidP="003F6B42">
      <w:pPr>
        <w:pStyle w:val="Heading2"/>
        <w:numPr>
          <w:ilvl w:val="0"/>
          <w:numId w:val="6"/>
        </w:numPr>
        <w:rPr>
          <w:b/>
          <w:bCs/>
          <w:color w:val="auto"/>
        </w:rPr>
      </w:pPr>
      <w:bookmarkStart w:id="10" w:name="_Toc213959227"/>
      <w:r w:rsidRPr="003F6B42">
        <w:rPr>
          <w:b/>
          <w:bCs/>
          <w:color w:val="auto"/>
        </w:rPr>
        <w:t>Legislation and Policy Frameworks</w:t>
      </w:r>
      <w:bookmarkEnd w:id="10"/>
    </w:p>
    <w:p w14:paraId="1E314ACA" w14:textId="77777777" w:rsidR="003F6B42" w:rsidRPr="003F6B42" w:rsidRDefault="003F6B42" w:rsidP="003F6B42"/>
    <w:p w14:paraId="6B31445C" w14:textId="77777777" w:rsidR="003F6B42" w:rsidRPr="003F6B42" w:rsidRDefault="003F6B42" w:rsidP="003F6B42">
      <w:pPr>
        <w:spacing w:line="360" w:lineRule="auto"/>
        <w:jc w:val="both"/>
        <w:rPr>
          <w:rFonts w:ascii="Arial" w:hAnsi="Arial" w:cs="Arial"/>
        </w:rPr>
      </w:pPr>
      <w:r w:rsidRPr="003F6B42">
        <w:rPr>
          <w:rFonts w:ascii="Arial" w:hAnsi="Arial" w:cs="Arial"/>
        </w:rPr>
        <w:t>When it comes to adult social care, legislation is the foundation upon which ethical and responsible practice is built.</w:t>
      </w:r>
    </w:p>
    <w:p w14:paraId="5C187B14" w14:textId="77777777" w:rsidR="003F6B42" w:rsidRPr="003F6B42" w:rsidRDefault="003F6B42" w:rsidP="003F6B42">
      <w:pPr>
        <w:spacing w:line="360" w:lineRule="auto"/>
        <w:jc w:val="both"/>
        <w:rPr>
          <w:rFonts w:ascii="Arial" w:hAnsi="Arial" w:cs="Arial"/>
        </w:rPr>
      </w:pPr>
      <w:r w:rsidRPr="003F6B42">
        <w:rPr>
          <w:rFonts w:ascii="Arial" w:hAnsi="Arial" w:cs="Arial"/>
        </w:rPr>
        <w:t>2014's Care Act (ACA). Ensures that the well-being, choice, and control of the individual remain at the forefront of service delivery and requires the participation of adults in the planning of care.</w:t>
      </w:r>
    </w:p>
    <w:p w14:paraId="32369033" w14:textId="77777777" w:rsidR="003F6B42" w:rsidRPr="003F6B42" w:rsidRDefault="003F6B42" w:rsidP="003F6B42">
      <w:pPr>
        <w:spacing w:line="360" w:lineRule="auto"/>
        <w:jc w:val="both"/>
        <w:rPr>
          <w:rFonts w:ascii="Arial" w:hAnsi="Arial" w:cs="Arial"/>
        </w:rPr>
      </w:pPr>
      <w:r w:rsidRPr="003F6B42">
        <w:rPr>
          <w:rFonts w:ascii="Arial" w:hAnsi="Arial" w:cs="Arial"/>
        </w:rPr>
        <w:t>In 2012, the Health and Social Care Act was passed. Fosters synergy and openness between the services provided by the health department and the local government.</w:t>
      </w:r>
    </w:p>
    <w:p w14:paraId="7246B783" w14:textId="77777777" w:rsidR="003F6B42" w:rsidRPr="003F6B42" w:rsidRDefault="003F6B42" w:rsidP="003F6B42">
      <w:pPr>
        <w:spacing w:line="360" w:lineRule="auto"/>
        <w:jc w:val="both"/>
        <w:rPr>
          <w:rFonts w:ascii="Arial" w:hAnsi="Arial" w:cs="Arial"/>
        </w:rPr>
      </w:pPr>
      <w:r w:rsidRPr="003F6B42">
        <w:rPr>
          <w:rFonts w:ascii="Arial" w:hAnsi="Arial" w:cs="Arial"/>
        </w:rPr>
        <w:t>2005 Mental Capacity Act is the law. Provides people with the assistances they need to make their own choices whenever it is feasible to do so.</w:t>
      </w:r>
    </w:p>
    <w:p w14:paraId="1DFB0544" w14:textId="48CC1865" w:rsidR="003F6B42" w:rsidRPr="003F6B42" w:rsidRDefault="003F6B42" w:rsidP="003F6B42">
      <w:pPr>
        <w:spacing w:line="360" w:lineRule="auto"/>
        <w:jc w:val="both"/>
        <w:rPr>
          <w:rFonts w:ascii="Arial" w:hAnsi="Arial" w:cs="Arial"/>
        </w:rPr>
      </w:pPr>
      <w:r w:rsidRPr="003F6B42">
        <w:rPr>
          <w:rFonts w:ascii="Arial" w:hAnsi="Arial" w:cs="Arial"/>
        </w:rPr>
        <w:t xml:space="preserve">2010 Equality Act (Act). Allows for the elimination of </w:t>
      </w:r>
      <w:r w:rsidR="00911BA3" w:rsidRPr="003F6B42">
        <w:rPr>
          <w:rFonts w:ascii="Arial" w:hAnsi="Arial" w:cs="Arial"/>
        </w:rPr>
        <w:t>prejudice and</w:t>
      </w:r>
      <w:r w:rsidRPr="003F6B42">
        <w:rPr>
          <w:rFonts w:ascii="Arial" w:hAnsi="Arial" w:cs="Arial"/>
        </w:rPr>
        <w:t xml:space="preserve"> encourages equitable access to services for all individuals.</w:t>
      </w:r>
    </w:p>
    <w:p w14:paraId="4205D21A" w14:textId="58FE1ED6" w:rsidR="003F6B42" w:rsidRPr="003F6B42" w:rsidRDefault="00911BA3" w:rsidP="003F6B42">
      <w:pPr>
        <w:spacing w:line="360" w:lineRule="auto"/>
        <w:jc w:val="both"/>
        <w:rPr>
          <w:rFonts w:ascii="Arial" w:hAnsi="Arial" w:cs="Arial"/>
        </w:rPr>
      </w:pPr>
      <w:r w:rsidRPr="003F6B42">
        <w:rPr>
          <w:rFonts w:ascii="Arial" w:hAnsi="Arial" w:cs="Arial"/>
        </w:rPr>
        <w:t>The Constitution of the NHS (2021)</w:t>
      </w:r>
      <w:r w:rsidR="003F6B42" w:rsidRPr="003F6B42">
        <w:rPr>
          <w:rFonts w:ascii="Arial" w:hAnsi="Arial" w:cs="Arial"/>
        </w:rPr>
        <w:t xml:space="preserve"> outlines the rights to dignity, respect, and participation in decision making processes.</w:t>
      </w:r>
    </w:p>
    <w:p w14:paraId="745A0576" w14:textId="77777777" w:rsidR="003F6B42" w:rsidRPr="003F6B42" w:rsidRDefault="003F6B42" w:rsidP="003F6B42">
      <w:pPr>
        <w:spacing w:line="360" w:lineRule="auto"/>
        <w:jc w:val="both"/>
        <w:rPr>
          <w:rFonts w:ascii="Arial" w:hAnsi="Arial" w:cs="Arial"/>
        </w:rPr>
      </w:pPr>
      <w:r w:rsidRPr="003F6B42">
        <w:rPr>
          <w:rFonts w:ascii="Arial" w:hAnsi="Arial" w:cs="Arial"/>
        </w:rPr>
        <w:t>2014 regulations issued by the CQC. Establish guidelines for the levels of safety, efficacy, and compassion.</w:t>
      </w:r>
    </w:p>
    <w:p w14:paraId="3C906DCA" w14:textId="05803618" w:rsidR="003F6B42" w:rsidRPr="003F6B42" w:rsidRDefault="003F6B42" w:rsidP="003F6B42">
      <w:pPr>
        <w:spacing w:line="360" w:lineRule="auto"/>
        <w:jc w:val="both"/>
        <w:rPr>
          <w:rFonts w:ascii="Arial" w:hAnsi="Arial" w:cs="Arial"/>
        </w:rPr>
      </w:pPr>
      <w:r w:rsidRPr="003F6B42">
        <w:rPr>
          <w:rFonts w:ascii="Arial" w:hAnsi="Arial" w:cs="Arial"/>
        </w:rPr>
        <w:lastRenderedPageBreak/>
        <w:t xml:space="preserve">NG97, which is the NICE Guideline (2018). Offers guidelines for </w:t>
      </w:r>
      <w:r w:rsidR="00911BA3" w:rsidRPr="003F6B42">
        <w:rPr>
          <w:rFonts w:ascii="Arial" w:hAnsi="Arial" w:cs="Arial"/>
        </w:rPr>
        <w:t>aiding</w:t>
      </w:r>
      <w:r w:rsidRPr="003F6B42">
        <w:rPr>
          <w:rFonts w:ascii="Arial" w:hAnsi="Arial" w:cs="Arial"/>
        </w:rPr>
        <w:t xml:space="preserve"> persons living with dementia and the carers who assist them, based on evidence.</w:t>
      </w:r>
    </w:p>
    <w:p w14:paraId="2A75171F" w14:textId="1F9F4887" w:rsidR="00EC6EB7" w:rsidRPr="003F6B42" w:rsidRDefault="003F6B42" w:rsidP="003F6B42">
      <w:pPr>
        <w:spacing w:line="360" w:lineRule="auto"/>
        <w:jc w:val="both"/>
        <w:rPr>
          <w:rFonts w:ascii="Arial" w:hAnsi="Arial" w:cs="Arial"/>
        </w:rPr>
      </w:pPr>
      <w:r w:rsidRPr="003F6B42">
        <w:rPr>
          <w:rFonts w:ascii="Arial" w:hAnsi="Arial" w:cs="Arial"/>
        </w:rPr>
        <w:t xml:space="preserve">PCC and PW are supported by a solid legal and ethical environment that is created by the combination of these </w:t>
      </w:r>
      <w:r w:rsidR="00911BA3" w:rsidRPr="003F6B42">
        <w:rPr>
          <w:rFonts w:ascii="Arial" w:hAnsi="Arial" w:cs="Arial"/>
        </w:rPr>
        <w:t>frameworks</w:t>
      </w:r>
      <w:r w:rsidRPr="003F6B42">
        <w:rPr>
          <w:rFonts w:ascii="Arial" w:hAnsi="Arial" w:cs="Arial"/>
        </w:rPr>
        <w:t>. The Health and Care Act of 2022 mandates shared responsibility for results across the National Health Service (NHS), and local governments, further strengthening integration via statutory integrated care systems (ICSs). Adults who are vulnerable are protected by compliance with these principles, which also provides the structural underpinning for ongoing progress.</w:t>
      </w:r>
    </w:p>
    <w:p w14:paraId="7B7E9533" w14:textId="77777777" w:rsidR="003F6B42" w:rsidRPr="003F6B42" w:rsidRDefault="003F6B42" w:rsidP="003F6B42">
      <w:pPr>
        <w:spacing w:line="360" w:lineRule="auto"/>
        <w:jc w:val="both"/>
        <w:rPr>
          <w:rFonts w:ascii="Arial" w:hAnsi="Arial" w:cs="Arial"/>
        </w:rPr>
      </w:pPr>
    </w:p>
    <w:p w14:paraId="25FEA9DC" w14:textId="3E4860B0" w:rsidR="003F6B42" w:rsidRDefault="00EC6EB7" w:rsidP="003F6B42">
      <w:pPr>
        <w:pStyle w:val="Heading2"/>
        <w:numPr>
          <w:ilvl w:val="0"/>
          <w:numId w:val="6"/>
        </w:numPr>
        <w:rPr>
          <w:b/>
          <w:bCs/>
          <w:color w:val="auto"/>
        </w:rPr>
      </w:pPr>
      <w:bookmarkStart w:id="11" w:name="_Toc213959228"/>
      <w:r w:rsidRPr="003F6B42">
        <w:rPr>
          <w:b/>
          <w:bCs/>
          <w:color w:val="auto"/>
        </w:rPr>
        <w:t>Recommendations for Future Development</w:t>
      </w:r>
      <w:bookmarkEnd w:id="11"/>
    </w:p>
    <w:p w14:paraId="033C6055" w14:textId="77777777" w:rsidR="003F6B42" w:rsidRPr="003F6B42" w:rsidRDefault="003F6B42" w:rsidP="003F6B42"/>
    <w:p w14:paraId="004393CA" w14:textId="77777777" w:rsidR="003F6B42" w:rsidRPr="003F6B42" w:rsidRDefault="003F6B42" w:rsidP="003F6B42">
      <w:pPr>
        <w:pStyle w:val="Heading3"/>
        <w:rPr>
          <w:b/>
          <w:bCs/>
          <w:color w:val="auto"/>
        </w:rPr>
      </w:pPr>
      <w:bookmarkStart w:id="12" w:name="_Toc213959229"/>
      <w:r w:rsidRPr="003F6B42">
        <w:rPr>
          <w:b/>
          <w:bCs/>
          <w:color w:val="auto"/>
        </w:rPr>
        <w:t>Workforce Education and Reflection are both vital.</w:t>
      </w:r>
      <w:bookmarkEnd w:id="12"/>
    </w:p>
    <w:p w14:paraId="3B896BB3" w14:textId="67213215" w:rsidR="003F6B42" w:rsidRDefault="003F6B42" w:rsidP="003F6B42">
      <w:pPr>
        <w:spacing w:line="360" w:lineRule="auto"/>
        <w:jc w:val="both"/>
        <w:rPr>
          <w:rFonts w:ascii="Arial" w:hAnsi="Arial" w:cs="Arial"/>
        </w:rPr>
      </w:pPr>
      <w:r w:rsidRPr="003F6B42">
        <w:rPr>
          <w:rFonts w:ascii="Arial" w:hAnsi="Arial" w:cs="Arial"/>
        </w:rPr>
        <w:t xml:space="preserve">It </w:t>
      </w:r>
      <w:r w:rsidR="00911BA3" w:rsidRPr="003F6B42">
        <w:rPr>
          <w:rFonts w:ascii="Arial" w:hAnsi="Arial" w:cs="Arial"/>
        </w:rPr>
        <w:t>needs</w:t>
      </w:r>
      <w:r w:rsidRPr="003F6B42">
        <w:rPr>
          <w:rFonts w:ascii="Arial" w:hAnsi="Arial" w:cs="Arial"/>
        </w:rPr>
        <w:t xml:space="preserve"> to be mandatory for professionals to undergo continuous training in areas such as communication, cultural competency, and dementia care. Staff members may be assisted in translating theory into compassionate practice and managing emotional labour via the use of reflective supervision (Skills for Care, 2023).</w:t>
      </w:r>
    </w:p>
    <w:p w14:paraId="675EA350" w14:textId="77777777" w:rsidR="003F6B42" w:rsidRPr="003F6B42" w:rsidRDefault="003F6B42" w:rsidP="003F6B42">
      <w:pPr>
        <w:spacing w:line="360" w:lineRule="auto"/>
        <w:jc w:val="both"/>
        <w:rPr>
          <w:rFonts w:ascii="Arial" w:hAnsi="Arial" w:cs="Arial"/>
        </w:rPr>
      </w:pPr>
    </w:p>
    <w:p w14:paraId="21F5782A" w14:textId="77777777" w:rsidR="003F6B42" w:rsidRPr="003F6B42" w:rsidRDefault="003F6B42" w:rsidP="003F6B42">
      <w:pPr>
        <w:spacing w:line="360" w:lineRule="auto"/>
        <w:jc w:val="both"/>
        <w:rPr>
          <w:rFonts w:ascii="Arial" w:hAnsi="Arial" w:cs="Arial"/>
          <w:b/>
          <w:bCs/>
        </w:rPr>
      </w:pPr>
      <w:r w:rsidRPr="003F6B42">
        <w:rPr>
          <w:rFonts w:ascii="Arial" w:hAnsi="Arial" w:cs="Arial"/>
          <w:b/>
          <w:bCs/>
        </w:rPr>
        <w:t>Integration of digital data.</w:t>
      </w:r>
    </w:p>
    <w:p w14:paraId="610FA5B8" w14:textId="77777777" w:rsidR="003F6B42" w:rsidRDefault="003F6B42" w:rsidP="003F6B42">
      <w:pPr>
        <w:spacing w:line="360" w:lineRule="auto"/>
        <w:jc w:val="both"/>
        <w:rPr>
          <w:rFonts w:ascii="Arial" w:hAnsi="Arial" w:cs="Arial"/>
        </w:rPr>
      </w:pPr>
      <w:r w:rsidRPr="003F6B42">
        <w:rPr>
          <w:rFonts w:ascii="Arial" w:hAnsi="Arial" w:cs="Arial"/>
        </w:rPr>
        <w:t>It is possible to minimise redundancy and allow real time changes inside secure electronic care records that are shared between the National Health Service (NHS) and local authorities, hence improving coordination (DHSC, 2023).</w:t>
      </w:r>
    </w:p>
    <w:p w14:paraId="49CBCF80" w14:textId="77777777" w:rsidR="003F6B42" w:rsidRPr="003F6B42" w:rsidRDefault="003F6B42" w:rsidP="003F6B42">
      <w:pPr>
        <w:spacing w:line="360" w:lineRule="auto"/>
        <w:jc w:val="both"/>
        <w:rPr>
          <w:rFonts w:ascii="Arial" w:hAnsi="Arial" w:cs="Arial"/>
        </w:rPr>
      </w:pPr>
    </w:p>
    <w:p w14:paraId="3055621B" w14:textId="77777777" w:rsidR="003F6B42" w:rsidRPr="003F6B42" w:rsidRDefault="003F6B42" w:rsidP="003F6B42">
      <w:pPr>
        <w:spacing w:line="360" w:lineRule="auto"/>
        <w:jc w:val="both"/>
        <w:rPr>
          <w:rFonts w:ascii="Arial" w:hAnsi="Arial" w:cs="Arial"/>
          <w:b/>
          <w:bCs/>
        </w:rPr>
      </w:pPr>
      <w:r w:rsidRPr="003F6B42">
        <w:rPr>
          <w:rFonts w:ascii="Arial" w:hAnsi="Arial" w:cs="Arial"/>
          <w:b/>
          <w:bCs/>
        </w:rPr>
        <w:t>The empowerment of those who use the service.</w:t>
      </w:r>
    </w:p>
    <w:p w14:paraId="56A16C9D" w14:textId="77777777" w:rsidR="003F6B42" w:rsidRPr="003F6B42" w:rsidRDefault="003F6B42" w:rsidP="003F6B42">
      <w:pPr>
        <w:spacing w:line="360" w:lineRule="auto"/>
        <w:jc w:val="both"/>
        <w:rPr>
          <w:rFonts w:ascii="Arial" w:hAnsi="Arial" w:cs="Arial"/>
        </w:rPr>
      </w:pPr>
      <w:r w:rsidRPr="003F6B42">
        <w:rPr>
          <w:rFonts w:ascii="Arial" w:hAnsi="Arial" w:cs="Arial"/>
        </w:rPr>
        <w:t>(Age UK, 2023) Mechanisms such as resident forums and co production workshops provide older individuals the opportunity to have an impact on the design of services, which in turns strengthens their sense of autonomy and responsibility.</w:t>
      </w:r>
    </w:p>
    <w:p w14:paraId="119FC074" w14:textId="77777777" w:rsidR="003F6B42" w:rsidRDefault="003F6B42" w:rsidP="003F6B42">
      <w:pPr>
        <w:spacing w:line="360" w:lineRule="auto"/>
        <w:jc w:val="both"/>
        <w:rPr>
          <w:rFonts w:ascii="Arial" w:hAnsi="Arial" w:cs="Arial"/>
          <w:b/>
          <w:bCs/>
        </w:rPr>
      </w:pPr>
    </w:p>
    <w:p w14:paraId="09D0B5D4" w14:textId="2AE44109" w:rsidR="003F6B42" w:rsidRPr="003F6B42" w:rsidRDefault="003F6B42" w:rsidP="003F6B42">
      <w:pPr>
        <w:spacing w:line="360" w:lineRule="auto"/>
        <w:jc w:val="both"/>
        <w:rPr>
          <w:rFonts w:ascii="Arial" w:hAnsi="Arial" w:cs="Arial"/>
          <w:b/>
          <w:bCs/>
        </w:rPr>
      </w:pPr>
      <w:r w:rsidRPr="003F6B42">
        <w:rPr>
          <w:rFonts w:ascii="Arial" w:hAnsi="Arial" w:cs="Arial"/>
          <w:b/>
          <w:bCs/>
        </w:rPr>
        <w:t>Culture and ethical leadership are both important.</w:t>
      </w:r>
    </w:p>
    <w:p w14:paraId="26DC43FC" w14:textId="77777777" w:rsidR="003F6B42" w:rsidRPr="003F6B42" w:rsidRDefault="003F6B42" w:rsidP="003F6B42">
      <w:pPr>
        <w:spacing w:line="360" w:lineRule="auto"/>
        <w:jc w:val="both"/>
        <w:rPr>
          <w:rFonts w:ascii="Arial" w:hAnsi="Arial" w:cs="Arial"/>
        </w:rPr>
      </w:pPr>
      <w:r w:rsidRPr="003F6B42">
        <w:rPr>
          <w:rFonts w:ascii="Arial" w:hAnsi="Arial" w:cs="Arial"/>
        </w:rPr>
        <w:t>Ethical conduct must be modelled by managers, and they must cultivate workplaces that place a premium on empathy, and respect. The concepts of equality, diversity, and inclusion needed to be included into leadership development programs.</w:t>
      </w:r>
    </w:p>
    <w:p w14:paraId="6B28D656" w14:textId="77777777" w:rsidR="003F6B42" w:rsidRPr="003F6B42" w:rsidRDefault="003F6B42" w:rsidP="003F6B42">
      <w:pPr>
        <w:spacing w:line="360" w:lineRule="auto"/>
        <w:jc w:val="both"/>
        <w:rPr>
          <w:rFonts w:ascii="Arial" w:hAnsi="Arial" w:cs="Arial"/>
          <w:b/>
          <w:bCs/>
        </w:rPr>
      </w:pPr>
      <w:r w:rsidRPr="003F6B42">
        <w:rPr>
          <w:rFonts w:ascii="Arial" w:hAnsi="Arial" w:cs="Arial"/>
          <w:b/>
          <w:bCs/>
        </w:rPr>
        <w:lastRenderedPageBreak/>
        <w:t>Both investment and pay equity are important.</w:t>
      </w:r>
    </w:p>
    <w:p w14:paraId="18B39F80" w14:textId="1E54721F" w:rsidR="003F6B42" w:rsidRPr="003F6B42" w:rsidRDefault="00911BA3" w:rsidP="003F6B42">
      <w:pPr>
        <w:spacing w:line="360" w:lineRule="auto"/>
        <w:jc w:val="both"/>
        <w:rPr>
          <w:rFonts w:ascii="Arial" w:hAnsi="Arial" w:cs="Arial"/>
        </w:rPr>
      </w:pPr>
      <w:r w:rsidRPr="003F6B42">
        <w:rPr>
          <w:rFonts w:ascii="Arial" w:hAnsi="Arial" w:cs="Arial"/>
        </w:rPr>
        <w:t>To</w:t>
      </w:r>
      <w:r w:rsidR="003F6B42" w:rsidRPr="003F6B42">
        <w:rPr>
          <w:rFonts w:ascii="Arial" w:hAnsi="Arial" w:cs="Arial"/>
        </w:rPr>
        <w:t xml:space="preserve"> attract and keep experienced caretakers, it is vital to have financing that is sustainable. According to Bowers et al. (2021), addressing compensation inequities between the health and social care sectors will result in a reduction in employee turnover and an improvement in continuity.</w:t>
      </w:r>
    </w:p>
    <w:p w14:paraId="725B2BB5" w14:textId="77777777" w:rsidR="003F6B42" w:rsidRDefault="003F6B42" w:rsidP="003F6B42">
      <w:pPr>
        <w:spacing w:line="360" w:lineRule="auto"/>
        <w:jc w:val="both"/>
        <w:rPr>
          <w:rFonts w:ascii="Arial" w:hAnsi="Arial" w:cs="Arial"/>
          <w:b/>
          <w:bCs/>
        </w:rPr>
      </w:pPr>
    </w:p>
    <w:p w14:paraId="3DFAA786" w14:textId="38A6CEE0" w:rsidR="003F6B42" w:rsidRPr="003F6B42" w:rsidRDefault="003F6B42" w:rsidP="003F6B42">
      <w:pPr>
        <w:spacing w:line="360" w:lineRule="auto"/>
        <w:jc w:val="both"/>
        <w:rPr>
          <w:rFonts w:ascii="Arial" w:hAnsi="Arial" w:cs="Arial"/>
          <w:b/>
          <w:bCs/>
        </w:rPr>
      </w:pPr>
      <w:r w:rsidRPr="003F6B42">
        <w:rPr>
          <w:rFonts w:ascii="Arial" w:hAnsi="Arial" w:cs="Arial"/>
          <w:b/>
          <w:bCs/>
        </w:rPr>
        <w:t>Monitoring as well as the enhancement of quality.</w:t>
      </w:r>
    </w:p>
    <w:p w14:paraId="4C89A33A" w14:textId="294CB772" w:rsidR="00EC6EB7" w:rsidRPr="003F6B42" w:rsidRDefault="003F6B42" w:rsidP="003F6B42">
      <w:pPr>
        <w:spacing w:line="360" w:lineRule="auto"/>
        <w:jc w:val="both"/>
        <w:rPr>
          <w:rFonts w:ascii="Arial" w:hAnsi="Arial" w:cs="Arial"/>
        </w:rPr>
      </w:pPr>
      <w:r w:rsidRPr="003F6B42">
        <w:rPr>
          <w:rFonts w:ascii="Arial" w:hAnsi="Arial" w:cs="Arial"/>
        </w:rPr>
        <w:t>Identifying gaps and driving ongoing quality improvement may be accomplished via the use of regular audits against the CQC Fundamental Standards as well as input from residents and their families (CQC, 2014).</w:t>
      </w:r>
    </w:p>
    <w:p w14:paraId="7FF22F57" w14:textId="77777777" w:rsidR="003F6B42" w:rsidRPr="003F6B42" w:rsidRDefault="003F6B42" w:rsidP="003F6B42">
      <w:pPr>
        <w:spacing w:line="360" w:lineRule="auto"/>
        <w:jc w:val="both"/>
        <w:rPr>
          <w:rFonts w:ascii="Arial" w:hAnsi="Arial" w:cs="Arial"/>
        </w:rPr>
      </w:pPr>
    </w:p>
    <w:p w14:paraId="5747C222" w14:textId="5C70D358" w:rsidR="00EC6EB7" w:rsidRDefault="00EC6EB7" w:rsidP="003F6B42">
      <w:pPr>
        <w:pStyle w:val="Heading2"/>
        <w:numPr>
          <w:ilvl w:val="0"/>
          <w:numId w:val="6"/>
        </w:numPr>
        <w:rPr>
          <w:b/>
          <w:bCs/>
          <w:color w:val="auto"/>
        </w:rPr>
      </w:pPr>
      <w:bookmarkStart w:id="13" w:name="_Toc213959230"/>
      <w:r w:rsidRPr="003F6B42">
        <w:rPr>
          <w:b/>
          <w:bCs/>
          <w:color w:val="auto"/>
        </w:rPr>
        <w:t>Conclusion</w:t>
      </w:r>
      <w:bookmarkEnd w:id="13"/>
    </w:p>
    <w:p w14:paraId="2357053E" w14:textId="77777777" w:rsidR="003F6B42" w:rsidRPr="003F6B42" w:rsidRDefault="003F6B42" w:rsidP="003F6B42"/>
    <w:p w14:paraId="3CC588E4" w14:textId="3FD459EB" w:rsidR="003F6B42" w:rsidRPr="003F6B42" w:rsidRDefault="003F6B42" w:rsidP="003F6B42">
      <w:pPr>
        <w:spacing w:line="360" w:lineRule="auto"/>
        <w:jc w:val="both"/>
        <w:rPr>
          <w:rFonts w:ascii="Arial" w:hAnsi="Arial" w:cs="Arial"/>
        </w:rPr>
      </w:pPr>
      <w:r w:rsidRPr="003F6B42">
        <w:rPr>
          <w:rFonts w:ascii="Arial" w:hAnsi="Arial" w:cs="Arial"/>
        </w:rPr>
        <w:t xml:space="preserve">The ideas of person-centred care and partnership functioning are </w:t>
      </w:r>
      <w:r w:rsidR="00911BA3" w:rsidRPr="003F6B42">
        <w:rPr>
          <w:rFonts w:ascii="Arial" w:hAnsi="Arial" w:cs="Arial"/>
        </w:rPr>
        <w:t>dependent</w:t>
      </w:r>
      <w:r w:rsidRPr="003F6B42">
        <w:rPr>
          <w:rFonts w:ascii="Arial" w:hAnsi="Arial" w:cs="Arial"/>
        </w:rPr>
        <w:t xml:space="preserve"> upon one another and serve as the foundation for high-quality adult social care for older individuals. PCC involves ensuring that care respects the individual's dignity, choice, and uniqueness, while PW brings together professionals and families in the pursuit of common objectives. Theoretical frameworks such as </w:t>
      </w:r>
      <w:r w:rsidR="00911BA3" w:rsidRPr="003F6B42">
        <w:rPr>
          <w:rFonts w:ascii="Arial" w:hAnsi="Arial" w:cs="Arial"/>
        </w:rPr>
        <w:t>Kit woods</w:t>
      </w:r>
      <w:r w:rsidRPr="003F6B42">
        <w:rPr>
          <w:rFonts w:ascii="Arial" w:hAnsi="Arial" w:cs="Arial"/>
        </w:rPr>
        <w:t xml:space="preserve"> place a focus on the significance of connections and identity, while ethical standards serve to protect autonomy and fairness. The Care Act of 2014, and the Mental Capacity Act of 2005 are two examples of pieces of legislation that serve as the legislative framework for these </w:t>
      </w:r>
      <w:r w:rsidR="00911BA3" w:rsidRPr="003F6B42">
        <w:rPr>
          <w:rFonts w:ascii="Arial" w:hAnsi="Arial" w:cs="Arial"/>
        </w:rPr>
        <w:t>specifics’</w:t>
      </w:r>
      <w:r w:rsidRPr="003F6B42">
        <w:rPr>
          <w:rFonts w:ascii="Arial" w:hAnsi="Arial" w:cs="Arial"/>
        </w:rPr>
        <w:t xml:space="preserve"> principles.</w:t>
      </w:r>
    </w:p>
    <w:p w14:paraId="5BFF0F7C" w14:textId="20E5CF28" w:rsidR="00EC6EB7" w:rsidRPr="003F6B42" w:rsidRDefault="003F6B42" w:rsidP="003F6B42">
      <w:pPr>
        <w:spacing w:line="360" w:lineRule="auto"/>
        <w:jc w:val="both"/>
        <w:rPr>
          <w:rFonts w:ascii="Arial" w:hAnsi="Arial" w:cs="Arial"/>
        </w:rPr>
      </w:pPr>
      <w:r w:rsidRPr="003F6B42">
        <w:rPr>
          <w:rFonts w:ascii="Arial" w:hAnsi="Arial" w:cs="Arial"/>
        </w:rPr>
        <w:t xml:space="preserve">The implementation of integrated care policies and the dedication of professionals continue to propel forward development </w:t>
      </w:r>
      <w:r w:rsidR="00911BA3" w:rsidRPr="003F6B42">
        <w:rPr>
          <w:rFonts w:ascii="Arial" w:hAnsi="Arial" w:cs="Arial"/>
        </w:rPr>
        <w:t>despite</w:t>
      </w:r>
      <w:r w:rsidRPr="003F6B42">
        <w:rPr>
          <w:rFonts w:ascii="Arial" w:hAnsi="Arial" w:cs="Arial"/>
        </w:rPr>
        <w:t xml:space="preserve"> persisting hurdles such as workforce limitations, budget restrictions, and fragmented systems. </w:t>
      </w:r>
      <w:r w:rsidR="00911BA3" w:rsidRPr="003F6B42">
        <w:rPr>
          <w:rFonts w:ascii="Arial" w:hAnsi="Arial" w:cs="Arial"/>
        </w:rPr>
        <w:t>To</w:t>
      </w:r>
      <w:r w:rsidRPr="003F6B42">
        <w:rPr>
          <w:rFonts w:ascii="Arial" w:hAnsi="Arial" w:cs="Arial"/>
        </w:rPr>
        <w:t xml:space="preserve"> maintain this development, it is necessary to make investments in personnel, embrace digital innovation, and provide service users with actual empowerment. Ultimately, incorporating PCC, and PW throughout every layer of adult social care transforms services from reactive systems into compassionate communities that safeguard the rights and welfare of older individuals across both residential and community settings.</w:t>
      </w:r>
    </w:p>
    <w:p w14:paraId="24C12FE6" w14:textId="77777777" w:rsidR="003F6B42" w:rsidRDefault="003F6B42" w:rsidP="003F6B42">
      <w:pPr>
        <w:spacing w:line="360" w:lineRule="auto"/>
        <w:jc w:val="both"/>
        <w:rPr>
          <w:rFonts w:ascii="Arial" w:hAnsi="Arial" w:cs="Arial"/>
        </w:rPr>
      </w:pPr>
    </w:p>
    <w:p w14:paraId="16B9E8EF" w14:textId="77777777" w:rsidR="003F6B42" w:rsidRPr="003F6B42" w:rsidRDefault="003F6B42" w:rsidP="003F6B42">
      <w:pPr>
        <w:spacing w:line="360" w:lineRule="auto"/>
        <w:jc w:val="both"/>
        <w:rPr>
          <w:rFonts w:ascii="Arial" w:hAnsi="Arial" w:cs="Arial"/>
        </w:rPr>
      </w:pPr>
    </w:p>
    <w:p w14:paraId="6301FDC2" w14:textId="77777777" w:rsidR="00EC6EB7" w:rsidRPr="003F6B42" w:rsidRDefault="00EC6EB7" w:rsidP="003F6B42">
      <w:pPr>
        <w:pStyle w:val="Heading2"/>
        <w:rPr>
          <w:b/>
          <w:bCs/>
          <w:color w:val="auto"/>
        </w:rPr>
      </w:pPr>
      <w:bookmarkStart w:id="14" w:name="_Toc213959231"/>
      <w:r w:rsidRPr="003F6B42">
        <w:rPr>
          <w:b/>
          <w:bCs/>
          <w:color w:val="auto"/>
        </w:rPr>
        <w:lastRenderedPageBreak/>
        <w:t>8. Reference List</w:t>
      </w:r>
      <w:bookmarkEnd w:id="14"/>
    </w:p>
    <w:p w14:paraId="0D7CAAD3" w14:textId="77777777" w:rsidR="003F6B42" w:rsidRPr="003F6B42" w:rsidRDefault="003F6B42" w:rsidP="003F6B42">
      <w:pPr>
        <w:spacing w:line="360" w:lineRule="auto"/>
        <w:jc w:val="both"/>
        <w:rPr>
          <w:rFonts w:ascii="Arial" w:hAnsi="Arial" w:cs="Arial"/>
        </w:rPr>
      </w:pPr>
    </w:p>
    <w:p w14:paraId="0C41EC26" w14:textId="77777777" w:rsidR="003F6B42" w:rsidRPr="003F6B42" w:rsidRDefault="00EC6EB7" w:rsidP="003F6B42">
      <w:pPr>
        <w:spacing w:line="360" w:lineRule="auto"/>
        <w:jc w:val="both"/>
        <w:rPr>
          <w:rFonts w:ascii="Arial" w:hAnsi="Arial" w:cs="Arial"/>
        </w:rPr>
      </w:pPr>
      <w:r w:rsidRPr="003F6B42">
        <w:rPr>
          <w:rFonts w:ascii="Arial" w:hAnsi="Arial" w:cs="Arial"/>
        </w:rPr>
        <w:t xml:space="preserve">Age UK (2023) </w:t>
      </w:r>
      <w:r w:rsidRPr="003F6B42">
        <w:rPr>
          <w:rFonts w:ascii="Arial" w:hAnsi="Arial" w:cs="Arial"/>
          <w:i/>
          <w:iCs/>
        </w:rPr>
        <w:t>Later Life in the United Kingdom 2023.</w:t>
      </w:r>
      <w:r w:rsidRPr="003F6B42">
        <w:rPr>
          <w:rFonts w:ascii="Arial" w:hAnsi="Arial" w:cs="Arial"/>
        </w:rPr>
        <w:t xml:space="preserve"> London: Age UK.</w:t>
      </w:r>
    </w:p>
    <w:p w14:paraId="2114EE5C" w14:textId="77777777" w:rsidR="003F6B42" w:rsidRPr="003F6B42" w:rsidRDefault="00EC6EB7" w:rsidP="003F6B42">
      <w:pPr>
        <w:spacing w:line="360" w:lineRule="auto"/>
        <w:jc w:val="both"/>
        <w:rPr>
          <w:rFonts w:ascii="Arial" w:hAnsi="Arial" w:cs="Arial"/>
        </w:rPr>
      </w:pPr>
      <w:r w:rsidRPr="003F6B42">
        <w:rPr>
          <w:rFonts w:ascii="Arial" w:hAnsi="Arial" w:cs="Arial"/>
        </w:rPr>
        <w:t xml:space="preserve">Beauchamp, T.L. and Childress, J.F. (2019) </w:t>
      </w:r>
      <w:r w:rsidRPr="003F6B42">
        <w:rPr>
          <w:rFonts w:ascii="Arial" w:hAnsi="Arial" w:cs="Arial"/>
          <w:i/>
          <w:iCs/>
        </w:rPr>
        <w:t>Principles of Biomedical Ethics.</w:t>
      </w:r>
      <w:r w:rsidRPr="003F6B42">
        <w:rPr>
          <w:rFonts w:ascii="Arial" w:hAnsi="Arial" w:cs="Arial"/>
        </w:rPr>
        <w:t xml:space="preserve"> 8th edn. New York: Oxford University Press.</w:t>
      </w:r>
    </w:p>
    <w:p w14:paraId="46EEBA16" w14:textId="77777777" w:rsidR="003F6B42" w:rsidRPr="003F6B42" w:rsidRDefault="00EC6EB7" w:rsidP="003F6B42">
      <w:pPr>
        <w:spacing w:line="360" w:lineRule="auto"/>
        <w:jc w:val="both"/>
        <w:rPr>
          <w:rFonts w:ascii="Arial" w:hAnsi="Arial" w:cs="Arial"/>
        </w:rPr>
      </w:pPr>
      <w:r w:rsidRPr="003F6B42">
        <w:rPr>
          <w:rFonts w:ascii="Arial" w:hAnsi="Arial" w:cs="Arial"/>
        </w:rPr>
        <w:t xml:space="preserve">Bowers, H. et al. (2021) ‘Workforce challenges in adult social care,’ </w:t>
      </w:r>
      <w:r w:rsidRPr="003F6B42">
        <w:rPr>
          <w:rFonts w:ascii="Arial" w:hAnsi="Arial" w:cs="Arial"/>
          <w:i/>
          <w:iCs/>
        </w:rPr>
        <w:t>British Journal of Social Work,</w:t>
      </w:r>
      <w:r w:rsidRPr="003F6B42">
        <w:rPr>
          <w:rFonts w:ascii="Arial" w:hAnsi="Arial" w:cs="Arial"/>
        </w:rPr>
        <w:t xml:space="preserve"> 51(5), pp. 1623–1638.</w:t>
      </w:r>
    </w:p>
    <w:p w14:paraId="7320321B" w14:textId="77777777" w:rsidR="003F6B42" w:rsidRPr="003F6B42" w:rsidRDefault="00EC6EB7" w:rsidP="003F6B42">
      <w:pPr>
        <w:spacing w:line="360" w:lineRule="auto"/>
        <w:jc w:val="both"/>
        <w:rPr>
          <w:rFonts w:ascii="Arial" w:hAnsi="Arial" w:cs="Arial"/>
        </w:rPr>
      </w:pPr>
      <w:r w:rsidRPr="003F6B42">
        <w:rPr>
          <w:rFonts w:ascii="Arial" w:hAnsi="Arial" w:cs="Arial"/>
        </w:rPr>
        <w:t xml:space="preserve">Brooker, D. and Latham, I. (2020) </w:t>
      </w:r>
      <w:r w:rsidRPr="003F6B42">
        <w:rPr>
          <w:rFonts w:ascii="Arial" w:hAnsi="Arial" w:cs="Arial"/>
          <w:i/>
          <w:iCs/>
        </w:rPr>
        <w:t>Person-Centred Dementia Care.</w:t>
      </w:r>
      <w:r w:rsidRPr="003F6B42">
        <w:rPr>
          <w:rFonts w:ascii="Arial" w:hAnsi="Arial" w:cs="Arial"/>
        </w:rPr>
        <w:t xml:space="preserve"> 2nd edn. London: Jessica Kingsley Publishers.</w:t>
      </w:r>
    </w:p>
    <w:p w14:paraId="662C1D2B" w14:textId="27274828" w:rsidR="003F6B42" w:rsidRPr="003F6B42" w:rsidRDefault="00911BA3" w:rsidP="003F6B42">
      <w:pPr>
        <w:spacing w:line="360" w:lineRule="auto"/>
        <w:jc w:val="both"/>
        <w:rPr>
          <w:rFonts w:ascii="Arial" w:hAnsi="Arial" w:cs="Arial"/>
        </w:rPr>
      </w:pPr>
      <w:r w:rsidRPr="003F6B42">
        <w:rPr>
          <w:rFonts w:ascii="Arial" w:hAnsi="Arial" w:cs="Arial"/>
        </w:rPr>
        <w:t>Cranwell</w:t>
      </w:r>
      <w:r w:rsidR="00EC6EB7" w:rsidRPr="003F6B42">
        <w:rPr>
          <w:rFonts w:ascii="Arial" w:hAnsi="Arial" w:cs="Arial"/>
        </w:rPr>
        <w:t xml:space="preserve">, R. and Carson, A. (2021) </w:t>
      </w:r>
      <w:r w:rsidR="00EC6EB7" w:rsidRPr="003F6B42">
        <w:rPr>
          <w:rFonts w:ascii="Arial" w:hAnsi="Arial" w:cs="Arial"/>
          <w:i/>
          <w:iCs/>
        </w:rPr>
        <w:t>Effective Partnership Working in Health and Social Care.</w:t>
      </w:r>
      <w:r w:rsidR="00EC6EB7" w:rsidRPr="003F6B42">
        <w:rPr>
          <w:rFonts w:ascii="Arial" w:hAnsi="Arial" w:cs="Arial"/>
        </w:rPr>
        <w:t xml:space="preserve"> 3rd edn. London: Routledge.</w:t>
      </w:r>
    </w:p>
    <w:p w14:paraId="1246070B" w14:textId="77777777" w:rsidR="003F6B42" w:rsidRPr="003F6B42" w:rsidRDefault="00EC6EB7" w:rsidP="003F6B42">
      <w:pPr>
        <w:spacing w:line="360" w:lineRule="auto"/>
        <w:jc w:val="both"/>
        <w:rPr>
          <w:rFonts w:ascii="Arial" w:hAnsi="Arial" w:cs="Arial"/>
        </w:rPr>
      </w:pPr>
      <w:r w:rsidRPr="003F6B42">
        <w:rPr>
          <w:rFonts w:ascii="Arial" w:hAnsi="Arial" w:cs="Arial"/>
        </w:rPr>
        <w:t>Care Act 2014 (UK). London: The Stationery Office.</w:t>
      </w:r>
    </w:p>
    <w:p w14:paraId="7C73C156" w14:textId="77777777" w:rsidR="003F6B42" w:rsidRPr="003F6B42" w:rsidRDefault="00EC6EB7" w:rsidP="003F6B42">
      <w:pPr>
        <w:spacing w:line="360" w:lineRule="auto"/>
        <w:jc w:val="both"/>
        <w:rPr>
          <w:rFonts w:ascii="Arial" w:hAnsi="Arial" w:cs="Arial"/>
        </w:rPr>
      </w:pPr>
      <w:r w:rsidRPr="003F6B42">
        <w:rPr>
          <w:rFonts w:ascii="Arial" w:hAnsi="Arial" w:cs="Arial"/>
        </w:rPr>
        <w:t xml:space="preserve">CQC (2014) </w:t>
      </w:r>
      <w:r w:rsidRPr="003F6B42">
        <w:rPr>
          <w:rFonts w:ascii="Arial" w:hAnsi="Arial" w:cs="Arial"/>
          <w:i/>
          <w:iCs/>
        </w:rPr>
        <w:t>Health and Social Care Act 2008 (Regulated Activities) Regulations 2014.</w:t>
      </w:r>
      <w:r w:rsidRPr="003F6B42">
        <w:rPr>
          <w:rFonts w:ascii="Arial" w:hAnsi="Arial" w:cs="Arial"/>
        </w:rPr>
        <w:t xml:space="preserve"> London: Care Quality Commission.</w:t>
      </w:r>
    </w:p>
    <w:p w14:paraId="04D2B18B" w14:textId="77777777" w:rsidR="003F6B42" w:rsidRPr="003F6B42" w:rsidRDefault="00EC6EB7" w:rsidP="003F6B42">
      <w:pPr>
        <w:spacing w:line="360" w:lineRule="auto"/>
        <w:jc w:val="both"/>
        <w:rPr>
          <w:rFonts w:ascii="Arial" w:hAnsi="Arial" w:cs="Arial"/>
        </w:rPr>
      </w:pPr>
      <w:r w:rsidRPr="003F6B42">
        <w:rPr>
          <w:rFonts w:ascii="Arial" w:hAnsi="Arial" w:cs="Arial"/>
        </w:rPr>
        <w:t xml:space="preserve">Department of Health and Social Care (DHSC) (2023) </w:t>
      </w:r>
      <w:r w:rsidRPr="003F6B42">
        <w:rPr>
          <w:rFonts w:ascii="Arial" w:hAnsi="Arial" w:cs="Arial"/>
          <w:i/>
          <w:iCs/>
        </w:rPr>
        <w:t>Next Steps for Integrated Care Systems.</w:t>
      </w:r>
      <w:r w:rsidRPr="003F6B42">
        <w:rPr>
          <w:rFonts w:ascii="Arial" w:hAnsi="Arial" w:cs="Arial"/>
        </w:rPr>
        <w:t xml:space="preserve"> London: DHSC.</w:t>
      </w:r>
    </w:p>
    <w:p w14:paraId="14A9F429" w14:textId="77777777" w:rsidR="003F6B42" w:rsidRPr="003F6B42" w:rsidRDefault="00EC6EB7" w:rsidP="003F6B42">
      <w:pPr>
        <w:spacing w:line="360" w:lineRule="auto"/>
        <w:jc w:val="both"/>
        <w:rPr>
          <w:rFonts w:ascii="Arial" w:hAnsi="Arial" w:cs="Arial"/>
        </w:rPr>
      </w:pPr>
      <w:r w:rsidRPr="003F6B42">
        <w:rPr>
          <w:rFonts w:ascii="Arial" w:hAnsi="Arial" w:cs="Arial"/>
        </w:rPr>
        <w:t>Equality Act 2010 (UK). London: The Stationery Office.</w:t>
      </w:r>
    </w:p>
    <w:p w14:paraId="541EC753" w14:textId="77777777" w:rsidR="003F6B42" w:rsidRPr="003F6B42" w:rsidRDefault="00EC6EB7" w:rsidP="003F6B42">
      <w:pPr>
        <w:spacing w:line="360" w:lineRule="auto"/>
        <w:jc w:val="both"/>
        <w:rPr>
          <w:rFonts w:ascii="Arial" w:hAnsi="Arial" w:cs="Arial"/>
        </w:rPr>
      </w:pPr>
      <w:r w:rsidRPr="003F6B42">
        <w:rPr>
          <w:rFonts w:ascii="Arial" w:hAnsi="Arial" w:cs="Arial"/>
        </w:rPr>
        <w:t xml:space="preserve">Glasby, J. and Dickinson, H. (2022) </w:t>
      </w:r>
      <w:r w:rsidRPr="003F6B42">
        <w:rPr>
          <w:rFonts w:ascii="Arial" w:hAnsi="Arial" w:cs="Arial"/>
          <w:i/>
          <w:iCs/>
        </w:rPr>
        <w:t>Partnership Working in Health and Social Care.</w:t>
      </w:r>
      <w:r w:rsidRPr="003F6B42">
        <w:rPr>
          <w:rFonts w:ascii="Arial" w:hAnsi="Arial" w:cs="Arial"/>
        </w:rPr>
        <w:t xml:space="preserve"> 4th edn. Bristol: Policy Press.</w:t>
      </w:r>
    </w:p>
    <w:p w14:paraId="1DE5258F" w14:textId="77777777" w:rsidR="003F6B42" w:rsidRPr="003F6B42" w:rsidRDefault="00EC6EB7" w:rsidP="003F6B42">
      <w:pPr>
        <w:spacing w:line="360" w:lineRule="auto"/>
        <w:jc w:val="both"/>
        <w:rPr>
          <w:rFonts w:ascii="Arial" w:hAnsi="Arial" w:cs="Arial"/>
        </w:rPr>
      </w:pPr>
      <w:r w:rsidRPr="003F6B42">
        <w:rPr>
          <w:rFonts w:ascii="Arial" w:hAnsi="Arial" w:cs="Arial"/>
        </w:rPr>
        <w:t xml:space="preserve">Health Foundation (2021) </w:t>
      </w:r>
      <w:r w:rsidRPr="003F6B42">
        <w:rPr>
          <w:rFonts w:ascii="Arial" w:hAnsi="Arial" w:cs="Arial"/>
          <w:i/>
          <w:iCs/>
        </w:rPr>
        <w:t>Person-Centred Care in Practice.</w:t>
      </w:r>
      <w:r w:rsidRPr="003F6B42">
        <w:rPr>
          <w:rFonts w:ascii="Arial" w:hAnsi="Arial" w:cs="Arial"/>
        </w:rPr>
        <w:t xml:space="preserve"> London: Health Foundation.</w:t>
      </w:r>
    </w:p>
    <w:p w14:paraId="78ACBE8E" w14:textId="0F6A2FFF" w:rsidR="003F6B42" w:rsidRPr="003F6B42" w:rsidRDefault="00911BA3" w:rsidP="003F6B42">
      <w:pPr>
        <w:spacing w:line="360" w:lineRule="auto"/>
        <w:jc w:val="both"/>
        <w:rPr>
          <w:rFonts w:ascii="Arial" w:hAnsi="Arial" w:cs="Arial"/>
        </w:rPr>
      </w:pPr>
      <w:r w:rsidRPr="003F6B42">
        <w:rPr>
          <w:rFonts w:ascii="Arial" w:hAnsi="Arial" w:cs="Arial"/>
        </w:rPr>
        <w:t>Kit wood</w:t>
      </w:r>
      <w:r w:rsidR="00EC6EB7" w:rsidRPr="003F6B42">
        <w:rPr>
          <w:rFonts w:ascii="Arial" w:hAnsi="Arial" w:cs="Arial"/>
        </w:rPr>
        <w:t xml:space="preserve">, T. (2019) </w:t>
      </w:r>
      <w:r w:rsidR="00EC6EB7" w:rsidRPr="003F6B42">
        <w:rPr>
          <w:rFonts w:ascii="Arial" w:hAnsi="Arial" w:cs="Arial"/>
          <w:i/>
          <w:iCs/>
        </w:rPr>
        <w:t>Dementia Reconsidered Revisited: The Person Still Comes First.</w:t>
      </w:r>
      <w:r w:rsidR="00EC6EB7" w:rsidRPr="003F6B42">
        <w:rPr>
          <w:rFonts w:ascii="Arial" w:hAnsi="Arial" w:cs="Arial"/>
        </w:rPr>
        <w:t xml:space="preserve"> 2nd edn. Maidenhead: Open University Press.</w:t>
      </w:r>
    </w:p>
    <w:p w14:paraId="56519AA4" w14:textId="77777777" w:rsidR="003F6B42" w:rsidRPr="003F6B42" w:rsidRDefault="00EC6EB7" w:rsidP="003F6B42">
      <w:pPr>
        <w:spacing w:line="360" w:lineRule="auto"/>
        <w:jc w:val="both"/>
        <w:rPr>
          <w:rFonts w:ascii="Arial" w:hAnsi="Arial" w:cs="Arial"/>
        </w:rPr>
      </w:pPr>
      <w:r w:rsidRPr="003F6B42">
        <w:rPr>
          <w:rFonts w:ascii="Arial" w:hAnsi="Arial" w:cs="Arial"/>
        </w:rPr>
        <w:t xml:space="preserve">McCormack, B. and McCance, T. (2017) </w:t>
      </w:r>
      <w:r w:rsidRPr="003F6B42">
        <w:rPr>
          <w:rFonts w:ascii="Arial" w:hAnsi="Arial" w:cs="Arial"/>
          <w:i/>
          <w:iCs/>
        </w:rPr>
        <w:t>Person-Centred Practice in Nursing and Health Care: Theory and Practice.</w:t>
      </w:r>
      <w:r w:rsidRPr="003F6B42">
        <w:rPr>
          <w:rFonts w:ascii="Arial" w:hAnsi="Arial" w:cs="Arial"/>
        </w:rPr>
        <w:t xml:space="preserve"> 2nd edn. Oxford: Wiley Blackwell.</w:t>
      </w:r>
    </w:p>
    <w:p w14:paraId="10FC53FB" w14:textId="77777777" w:rsidR="003F6B42" w:rsidRPr="003F6B42" w:rsidRDefault="00EC6EB7" w:rsidP="003F6B42">
      <w:pPr>
        <w:spacing w:line="360" w:lineRule="auto"/>
        <w:jc w:val="both"/>
        <w:rPr>
          <w:rFonts w:ascii="Arial" w:hAnsi="Arial" w:cs="Arial"/>
        </w:rPr>
      </w:pPr>
      <w:r w:rsidRPr="003F6B42">
        <w:rPr>
          <w:rFonts w:ascii="Arial" w:hAnsi="Arial" w:cs="Arial"/>
        </w:rPr>
        <w:t xml:space="preserve">NHS Constitution (2021) </w:t>
      </w:r>
      <w:r w:rsidRPr="003F6B42">
        <w:rPr>
          <w:rFonts w:ascii="Arial" w:hAnsi="Arial" w:cs="Arial"/>
          <w:i/>
          <w:iCs/>
        </w:rPr>
        <w:t>The NHS Constitution for England.</w:t>
      </w:r>
      <w:r w:rsidRPr="003F6B42">
        <w:rPr>
          <w:rFonts w:ascii="Arial" w:hAnsi="Arial" w:cs="Arial"/>
        </w:rPr>
        <w:t xml:space="preserve"> London: Department of Health and Social Care.</w:t>
      </w:r>
    </w:p>
    <w:p w14:paraId="5C76ABE3" w14:textId="77777777" w:rsidR="003F6B42" w:rsidRPr="003F6B42" w:rsidRDefault="00EC6EB7" w:rsidP="003F6B42">
      <w:pPr>
        <w:spacing w:line="360" w:lineRule="auto"/>
        <w:jc w:val="both"/>
        <w:rPr>
          <w:rFonts w:ascii="Arial" w:hAnsi="Arial" w:cs="Arial"/>
        </w:rPr>
      </w:pPr>
      <w:r w:rsidRPr="003F6B42">
        <w:rPr>
          <w:rFonts w:ascii="Arial" w:hAnsi="Arial" w:cs="Arial"/>
        </w:rPr>
        <w:t xml:space="preserve">NHS England (2022) </w:t>
      </w:r>
      <w:r w:rsidRPr="003F6B42">
        <w:rPr>
          <w:rFonts w:ascii="Arial" w:hAnsi="Arial" w:cs="Arial"/>
          <w:i/>
          <w:iCs/>
        </w:rPr>
        <w:t>Delivering a Culture of Compassionate Person-Centred Care.</w:t>
      </w:r>
      <w:r w:rsidRPr="003F6B42">
        <w:rPr>
          <w:rFonts w:ascii="Arial" w:hAnsi="Arial" w:cs="Arial"/>
        </w:rPr>
        <w:t xml:space="preserve"> London: NHS England.</w:t>
      </w:r>
    </w:p>
    <w:p w14:paraId="202757A6" w14:textId="77777777" w:rsidR="003F6B42" w:rsidRPr="003F6B42" w:rsidRDefault="00EC6EB7" w:rsidP="003F6B42">
      <w:pPr>
        <w:spacing w:line="360" w:lineRule="auto"/>
        <w:jc w:val="both"/>
        <w:rPr>
          <w:rFonts w:ascii="Arial" w:hAnsi="Arial" w:cs="Arial"/>
        </w:rPr>
      </w:pPr>
      <w:r w:rsidRPr="003F6B42">
        <w:rPr>
          <w:rFonts w:ascii="Arial" w:hAnsi="Arial" w:cs="Arial"/>
        </w:rPr>
        <w:t xml:space="preserve">NICE (2018) </w:t>
      </w:r>
      <w:r w:rsidRPr="003F6B42">
        <w:rPr>
          <w:rFonts w:ascii="Arial" w:hAnsi="Arial" w:cs="Arial"/>
          <w:i/>
          <w:iCs/>
        </w:rPr>
        <w:t>NG97: Dementia: Assessment, Management and Support for People Living with Dementia and Their Carers.</w:t>
      </w:r>
      <w:r w:rsidRPr="003F6B42">
        <w:rPr>
          <w:rFonts w:ascii="Arial" w:hAnsi="Arial" w:cs="Arial"/>
        </w:rPr>
        <w:t xml:space="preserve"> London: NICE.</w:t>
      </w:r>
    </w:p>
    <w:p w14:paraId="3BC01771" w14:textId="77777777" w:rsidR="003F6B42" w:rsidRPr="003F6B42" w:rsidRDefault="00EC6EB7" w:rsidP="003F6B42">
      <w:pPr>
        <w:spacing w:line="360" w:lineRule="auto"/>
        <w:jc w:val="both"/>
        <w:rPr>
          <w:rFonts w:ascii="Arial" w:hAnsi="Arial" w:cs="Arial"/>
        </w:rPr>
      </w:pPr>
      <w:r w:rsidRPr="003F6B42">
        <w:rPr>
          <w:rFonts w:ascii="Arial" w:hAnsi="Arial" w:cs="Arial"/>
        </w:rPr>
        <w:lastRenderedPageBreak/>
        <w:t xml:space="preserve">NMC (2018) </w:t>
      </w:r>
      <w:r w:rsidRPr="003F6B42">
        <w:rPr>
          <w:rFonts w:ascii="Arial" w:hAnsi="Arial" w:cs="Arial"/>
          <w:i/>
          <w:iCs/>
        </w:rPr>
        <w:t>The Code: Professional Standards of Practice and Behaviour for Nurses and Midwives.</w:t>
      </w:r>
      <w:r w:rsidRPr="003F6B42">
        <w:rPr>
          <w:rFonts w:ascii="Arial" w:hAnsi="Arial" w:cs="Arial"/>
        </w:rPr>
        <w:t xml:space="preserve"> London: Nursing and Midwifery Council.</w:t>
      </w:r>
    </w:p>
    <w:p w14:paraId="5CADEF7E" w14:textId="77777777" w:rsidR="003F6B42" w:rsidRPr="003F6B42" w:rsidRDefault="00EC6EB7" w:rsidP="003F6B42">
      <w:pPr>
        <w:spacing w:line="360" w:lineRule="auto"/>
        <w:jc w:val="both"/>
        <w:rPr>
          <w:rFonts w:ascii="Arial" w:hAnsi="Arial" w:cs="Arial"/>
        </w:rPr>
      </w:pPr>
      <w:r w:rsidRPr="003F6B42">
        <w:rPr>
          <w:rFonts w:ascii="Arial" w:hAnsi="Arial" w:cs="Arial"/>
        </w:rPr>
        <w:t xml:space="preserve">Rummery, K. (2020) ‘Partnership working and collaboration in UK health and social care,’ </w:t>
      </w:r>
      <w:r w:rsidRPr="003F6B42">
        <w:rPr>
          <w:rFonts w:ascii="Arial" w:hAnsi="Arial" w:cs="Arial"/>
          <w:i/>
          <w:iCs/>
        </w:rPr>
        <w:t>Social Policy and Society,</w:t>
      </w:r>
      <w:r w:rsidRPr="003F6B42">
        <w:rPr>
          <w:rFonts w:ascii="Arial" w:hAnsi="Arial" w:cs="Arial"/>
        </w:rPr>
        <w:t xml:space="preserve"> 19(3), pp. 485–498.</w:t>
      </w:r>
    </w:p>
    <w:p w14:paraId="33214529" w14:textId="77777777" w:rsidR="003F6B42" w:rsidRPr="003F6B42" w:rsidRDefault="00EC6EB7" w:rsidP="003F6B42">
      <w:pPr>
        <w:spacing w:line="360" w:lineRule="auto"/>
        <w:jc w:val="both"/>
        <w:rPr>
          <w:rFonts w:ascii="Arial" w:hAnsi="Arial" w:cs="Arial"/>
        </w:rPr>
      </w:pPr>
      <w:r w:rsidRPr="003F6B42">
        <w:rPr>
          <w:rFonts w:ascii="Arial" w:hAnsi="Arial" w:cs="Arial"/>
        </w:rPr>
        <w:t xml:space="preserve">SCIE (2023) </w:t>
      </w:r>
      <w:r w:rsidRPr="003F6B42">
        <w:rPr>
          <w:rFonts w:ascii="Arial" w:hAnsi="Arial" w:cs="Arial"/>
          <w:i/>
          <w:iCs/>
        </w:rPr>
        <w:t>Co-production and Partnership Working.</w:t>
      </w:r>
      <w:r w:rsidRPr="003F6B42">
        <w:rPr>
          <w:rFonts w:ascii="Arial" w:hAnsi="Arial" w:cs="Arial"/>
        </w:rPr>
        <w:t xml:space="preserve"> London: Social Care Institute for Excellence.</w:t>
      </w:r>
    </w:p>
    <w:p w14:paraId="3706AAD3" w14:textId="1E66FA88" w:rsidR="00F176A1" w:rsidRPr="003F6B42" w:rsidRDefault="00EC6EB7" w:rsidP="003F6B42">
      <w:pPr>
        <w:spacing w:line="360" w:lineRule="auto"/>
        <w:jc w:val="both"/>
        <w:rPr>
          <w:rFonts w:ascii="Arial" w:hAnsi="Arial" w:cs="Arial"/>
        </w:rPr>
      </w:pPr>
      <w:r w:rsidRPr="003F6B42">
        <w:rPr>
          <w:rFonts w:ascii="Arial" w:hAnsi="Arial" w:cs="Arial"/>
        </w:rPr>
        <w:t xml:space="preserve">Skills for Care (2023) </w:t>
      </w:r>
      <w:r w:rsidRPr="003F6B42">
        <w:rPr>
          <w:rFonts w:ascii="Arial" w:hAnsi="Arial" w:cs="Arial"/>
          <w:i/>
          <w:iCs/>
        </w:rPr>
        <w:t>The State of the Adult Social Care Sector and Workforce 2023.</w:t>
      </w:r>
      <w:r w:rsidRPr="003F6B42">
        <w:rPr>
          <w:rFonts w:ascii="Arial" w:hAnsi="Arial" w:cs="Arial"/>
        </w:rPr>
        <w:t xml:space="preserve"> Leeds: Skills for Care.</w:t>
      </w:r>
    </w:p>
    <w:sectPr w:rsidR="00F176A1" w:rsidRPr="003F6B42">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B9DD1FD" w14:textId="77777777" w:rsidR="003D0480" w:rsidRDefault="003D0480" w:rsidP="003F6B42">
      <w:pPr>
        <w:spacing w:after="0" w:line="240" w:lineRule="auto"/>
      </w:pPr>
      <w:r>
        <w:separator/>
      </w:r>
    </w:p>
  </w:endnote>
  <w:endnote w:type="continuationSeparator" w:id="0">
    <w:p w14:paraId="43DCE8CA" w14:textId="77777777" w:rsidR="003D0480" w:rsidRDefault="003D0480" w:rsidP="003F6B4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80613490"/>
      <w:docPartObj>
        <w:docPartGallery w:val="Page Numbers (Bottom of Page)"/>
        <w:docPartUnique/>
      </w:docPartObj>
    </w:sdtPr>
    <w:sdtEndPr>
      <w:rPr>
        <w:noProof/>
      </w:rPr>
    </w:sdtEndPr>
    <w:sdtContent>
      <w:p w14:paraId="5F065033" w14:textId="0F1D5825" w:rsidR="003F6B42" w:rsidRDefault="003F6B42">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C39A785" w14:textId="77777777" w:rsidR="003F6B42" w:rsidRDefault="003F6B4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A442295" w14:textId="77777777" w:rsidR="003D0480" w:rsidRDefault="003D0480" w:rsidP="003F6B42">
      <w:pPr>
        <w:spacing w:after="0" w:line="240" w:lineRule="auto"/>
      </w:pPr>
      <w:r>
        <w:separator/>
      </w:r>
    </w:p>
  </w:footnote>
  <w:footnote w:type="continuationSeparator" w:id="0">
    <w:p w14:paraId="3C708D8C" w14:textId="77777777" w:rsidR="003D0480" w:rsidRDefault="003D0480" w:rsidP="003F6B4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0C1495"/>
    <w:multiLevelType w:val="multilevel"/>
    <w:tmpl w:val="76C6E5F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29F840C0"/>
    <w:multiLevelType w:val="hybridMultilevel"/>
    <w:tmpl w:val="EC1A416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45DA747A"/>
    <w:multiLevelType w:val="multilevel"/>
    <w:tmpl w:val="6898F2D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494E6D77"/>
    <w:multiLevelType w:val="multilevel"/>
    <w:tmpl w:val="66F683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6EC72211"/>
    <w:multiLevelType w:val="multilevel"/>
    <w:tmpl w:val="42A652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758A7C16"/>
    <w:multiLevelType w:val="multilevel"/>
    <w:tmpl w:val="5802C47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953289747">
    <w:abstractNumId w:val="5"/>
  </w:num>
  <w:num w:numId="2" w16cid:durableId="679427934">
    <w:abstractNumId w:val="4"/>
  </w:num>
  <w:num w:numId="3" w16cid:durableId="630479819">
    <w:abstractNumId w:val="2"/>
  </w:num>
  <w:num w:numId="4" w16cid:durableId="1544713280">
    <w:abstractNumId w:val="3"/>
  </w:num>
  <w:num w:numId="5" w16cid:durableId="1536623326">
    <w:abstractNumId w:val="0"/>
  </w:num>
  <w:num w:numId="6" w16cid:durableId="144221537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C6EB7"/>
    <w:rsid w:val="003D0480"/>
    <w:rsid w:val="003F6B42"/>
    <w:rsid w:val="004A2FEC"/>
    <w:rsid w:val="00645A49"/>
    <w:rsid w:val="0068720B"/>
    <w:rsid w:val="00911BA3"/>
    <w:rsid w:val="00A63D97"/>
    <w:rsid w:val="00D41931"/>
    <w:rsid w:val="00EC6EB7"/>
    <w:rsid w:val="00F176A1"/>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9DD10CD"/>
  <w15:chartTrackingRefBased/>
  <w15:docId w15:val="{C3FDB2A5-0F20-4ACD-98CE-A37160C47A6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C6EB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EC6EB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EC6EB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C6EB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C6EB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C6EB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C6EB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C6EB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C6EB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C6EB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EC6EB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EC6EB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C6EB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C6EB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C6EB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C6EB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C6EB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C6EB7"/>
    <w:rPr>
      <w:rFonts w:eastAsiaTheme="majorEastAsia" w:cstheme="majorBidi"/>
      <w:color w:val="272727" w:themeColor="text1" w:themeTint="D8"/>
    </w:rPr>
  </w:style>
  <w:style w:type="paragraph" w:styleId="Title">
    <w:name w:val="Title"/>
    <w:basedOn w:val="Normal"/>
    <w:next w:val="Normal"/>
    <w:link w:val="TitleChar"/>
    <w:uiPriority w:val="10"/>
    <w:qFormat/>
    <w:rsid w:val="00EC6EB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C6EB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C6EB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C6EB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C6EB7"/>
    <w:pPr>
      <w:spacing w:before="160"/>
      <w:jc w:val="center"/>
    </w:pPr>
    <w:rPr>
      <w:i/>
      <w:iCs/>
      <w:color w:val="404040" w:themeColor="text1" w:themeTint="BF"/>
    </w:rPr>
  </w:style>
  <w:style w:type="character" w:customStyle="1" w:styleId="QuoteChar">
    <w:name w:val="Quote Char"/>
    <w:basedOn w:val="DefaultParagraphFont"/>
    <w:link w:val="Quote"/>
    <w:uiPriority w:val="29"/>
    <w:rsid w:val="00EC6EB7"/>
    <w:rPr>
      <w:i/>
      <w:iCs/>
      <w:color w:val="404040" w:themeColor="text1" w:themeTint="BF"/>
    </w:rPr>
  </w:style>
  <w:style w:type="paragraph" w:styleId="ListParagraph">
    <w:name w:val="List Paragraph"/>
    <w:basedOn w:val="Normal"/>
    <w:uiPriority w:val="34"/>
    <w:qFormat/>
    <w:rsid w:val="00EC6EB7"/>
    <w:pPr>
      <w:ind w:left="720"/>
      <w:contextualSpacing/>
    </w:pPr>
  </w:style>
  <w:style w:type="character" w:styleId="IntenseEmphasis">
    <w:name w:val="Intense Emphasis"/>
    <w:basedOn w:val="DefaultParagraphFont"/>
    <w:uiPriority w:val="21"/>
    <w:qFormat/>
    <w:rsid w:val="00EC6EB7"/>
    <w:rPr>
      <w:i/>
      <w:iCs/>
      <w:color w:val="0F4761" w:themeColor="accent1" w:themeShade="BF"/>
    </w:rPr>
  </w:style>
  <w:style w:type="paragraph" w:styleId="IntenseQuote">
    <w:name w:val="Intense Quote"/>
    <w:basedOn w:val="Normal"/>
    <w:next w:val="Normal"/>
    <w:link w:val="IntenseQuoteChar"/>
    <w:uiPriority w:val="30"/>
    <w:qFormat/>
    <w:rsid w:val="00EC6EB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C6EB7"/>
    <w:rPr>
      <w:i/>
      <w:iCs/>
      <w:color w:val="0F4761" w:themeColor="accent1" w:themeShade="BF"/>
    </w:rPr>
  </w:style>
  <w:style w:type="character" w:styleId="IntenseReference">
    <w:name w:val="Intense Reference"/>
    <w:basedOn w:val="DefaultParagraphFont"/>
    <w:uiPriority w:val="32"/>
    <w:qFormat/>
    <w:rsid w:val="00EC6EB7"/>
    <w:rPr>
      <w:b/>
      <w:bCs/>
      <w:smallCaps/>
      <w:color w:val="0F4761" w:themeColor="accent1" w:themeShade="BF"/>
      <w:spacing w:val="5"/>
    </w:rPr>
  </w:style>
  <w:style w:type="paragraph" w:styleId="Header">
    <w:name w:val="header"/>
    <w:basedOn w:val="Normal"/>
    <w:link w:val="HeaderChar"/>
    <w:uiPriority w:val="99"/>
    <w:unhideWhenUsed/>
    <w:rsid w:val="003F6B42"/>
    <w:pPr>
      <w:tabs>
        <w:tab w:val="center" w:pos="4513"/>
        <w:tab w:val="right" w:pos="9026"/>
      </w:tabs>
      <w:spacing w:after="0" w:line="240" w:lineRule="auto"/>
    </w:pPr>
  </w:style>
  <w:style w:type="character" w:customStyle="1" w:styleId="HeaderChar">
    <w:name w:val="Header Char"/>
    <w:basedOn w:val="DefaultParagraphFont"/>
    <w:link w:val="Header"/>
    <w:uiPriority w:val="99"/>
    <w:rsid w:val="003F6B42"/>
  </w:style>
  <w:style w:type="paragraph" w:styleId="Footer">
    <w:name w:val="footer"/>
    <w:basedOn w:val="Normal"/>
    <w:link w:val="FooterChar"/>
    <w:uiPriority w:val="99"/>
    <w:unhideWhenUsed/>
    <w:rsid w:val="003F6B42"/>
    <w:pPr>
      <w:tabs>
        <w:tab w:val="center" w:pos="4513"/>
        <w:tab w:val="right" w:pos="9026"/>
      </w:tabs>
      <w:spacing w:after="0" w:line="240" w:lineRule="auto"/>
    </w:pPr>
  </w:style>
  <w:style w:type="character" w:customStyle="1" w:styleId="FooterChar">
    <w:name w:val="Footer Char"/>
    <w:basedOn w:val="DefaultParagraphFont"/>
    <w:link w:val="Footer"/>
    <w:uiPriority w:val="99"/>
    <w:rsid w:val="003F6B42"/>
  </w:style>
  <w:style w:type="paragraph" w:styleId="TOCHeading">
    <w:name w:val="TOC Heading"/>
    <w:basedOn w:val="Heading1"/>
    <w:next w:val="Normal"/>
    <w:uiPriority w:val="39"/>
    <w:unhideWhenUsed/>
    <w:qFormat/>
    <w:rsid w:val="003F6B42"/>
    <w:pPr>
      <w:spacing w:before="240" w:after="0"/>
      <w:outlineLvl w:val="9"/>
    </w:pPr>
    <w:rPr>
      <w:kern w:val="0"/>
      <w:sz w:val="32"/>
      <w:szCs w:val="32"/>
      <w:lang w:val="en-US"/>
    </w:rPr>
  </w:style>
  <w:style w:type="paragraph" w:styleId="TOC2">
    <w:name w:val="toc 2"/>
    <w:basedOn w:val="Normal"/>
    <w:next w:val="Normal"/>
    <w:autoRedefine/>
    <w:uiPriority w:val="39"/>
    <w:unhideWhenUsed/>
    <w:rsid w:val="003F6B42"/>
    <w:pPr>
      <w:spacing w:after="100"/>
      <w:ind w:left="220"/>
    </w:pPr>
  </w:style>
  <w:style w:type="paragraph" w:styleId="TOC3">
    <w:name w:val="toc 3"/>
    <w:basedOn w:val="Normal"/>
    <w:next w:val="Normal"/>
    <w:autoRedefine/>
    <w:uiPriority w:val="39"/>
    <w:unhideWhenUsed/>
    <w:rsid w:val="003F6B42"/>
    <w:pPr>
      <w:spacing w:after="100"/>
      <w:ind w:left="440"/>
    </w:pPr>
  </w:style>
  <w:style w:type="character" w:styleId="Hyperlink">
    <w:name w:val="Hyperlink"/>
    <w:basedOn w:val="DefaultParagraphFont"/>
    <w:uiPriority w:val="99"/>
    <w:unhideWhenUsed/>
    <w:rsid w:val="003F6B42"/>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7079102-FDF7-42B9-8F60-0F2A4145EEB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39</TotalTime>
  <Pages>10</Pages>
  <Words>2504</Words>
  <Characters>14277</Characters>
  <Application>Microsoft Office Word</Application>
  <DocSecurity>0</DocSecurity>
  <Lines>118</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16748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Cosmin - Stefan Vasiliu</dc:creator>
  <cp:keywords/>
  <dc:description/>
  <cp:lastModifiedBy>Naushaba Yaqoob Raja (2326745)</cp:lastModifiedBy>
  <cp:revision>2</cp:revision>
  <dcterms:created xsi:type="dcterms:W3CDTF">2025-11-13T20:15:00Z</dcterms:created>
  <dcterms:modified xsi:type="dcterms:W3CDTF">2025-11-15T15:39:00Z</dcterms:modified>
</cp:coreProperties>
</file>