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C73974" w14:textId="494826D8" w:rsidR="00BC369B" w:rsidRDefault="002F05A7" w:rsidP="00EA6049">
      <w:pPr>
        <w:pStyle w:val="Heading1"/>
        <w:rPr>
          <w:b/>
          <w:bCs/>
          <w:sz w:val="36"/>
          <w:szCs w:val="36"/>
        </w:rPr>
      </w:pPr>
      <w:r>
        <w:rPr>
          <w:b/>
          <w:bCs/>
          <w:noProof/>
          <w:sz w:val="36"/>
          <w:szCs w:val="36"/>
        </w:rPr>
        <w:drawing>
          <wp:inline distT="0" distB="0" distL="0" distR="0" wp14:anchorId="70071883" wp14:editId="64025D93">
            <wp:extent cx="3520440" cy="1539218"/>
            <wp:effectExtent l="0" t="0" r="3810" b="4445"/>
            <wp:docPr id="13225222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52228" name="Picture 132252228"/>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30373" cy="1543561"/>
                    </a:xfrm>
                    <a:prstGeom prst="rect">
                      <a:avLst/>
                    </a:prstGeom>
                  </pic:spPr>
                </pic:pic>
              </a:graphicData>
            </a:graphic>
          </wp:inline>
        </w:drawing>
      </w:r>
    </w:p>
    <w:p w14:paraId="1B2AB538" w14:textId="66D470F5" w:rsidR="00AD3E5C" w:rsidRDefault="00AC7D91" w:rsidP="00AD3E5C">
      <w:r>
        <w:t xml:space="preserve"> </w:t>
      </w:r>
    </w:p>
    <w:p w14:paraId="58BE1435" w14:textId="28261A14" w:rsidR="00AC7D91" w:rsidRPr="00AC7D91" w:rsidRDefault="00AC7D91" w:rsidP="00AC7D91">
      <w:pPr>
        <w:pStyle w:val="Heading1"/>
        <w:rPr>
          <w:b/>
          <w:bCs/>
          <w:sz w:val="36"/>
          <w:szCs w:val="36"/>
        </w:rPr>
      </w:pPr>
      <w:r w:rsidRPr="00AC7D91">
        <w:rPr>
          <w:b/>
          <w:bCs/>
          <w:sz w:val="36"/>
          <w:szCs w:val="36"/>
        </w:rPr>
        <w:t>Networks and Cyber Security Essentials </w:t>
      </w:r>
    </w:p>
    <w:p w14:paraId="7AD94CBA" w14:textId="77777777" w:rsidR="00AC7D91" w:rsidRDefault="00AC7D91" w:rsidP="00AD3E5C">
      <w:pPr>
        <w:rPr>
          <w:b/>
          <w:bCs/>
          <w:sz w:val="28"/>
          <w:szCs w:val="28"/>
        </w:rPr>
      </w:pPr>
    </w:p>
    <w:p w14:paraId="1A120A76" w14:textId="1597C7D1" w:rsidR="00AD3E5C" w:rsidRPr="00AD3E5C" w:rsidRDefault="00AD3E5C" w:rsidP="00AD3E5C">
      <w:pPr>
        <w:rPr>
          <w:b/>
          <w:bCs/>
          <w:sz w:val="28"/>
          <w:szCs w:val="28"/>
        </w:rPr>
      </w:pPr>
      <w:r w:rsidRPr="00AD3E5C">
        <w:rPr>
          <w:b/>
          <w:bCs/>
          <w:sz w:val="28"/>
          <w:szCs w:val="28"/>
        </w:rPr>
        <w:t>Module Code: ACCA4024</w:t>
      </w:r>
    </w:p>
    <w:p w14:paraId="41280F22" w14:textId="1B862D33" w:rsidR="00AD3E5C" w:rsidRPr="00AD3E5C" w:rsidRDefault="00AD3E5C" w:rsidP="00AD3E5C">
      <w:pPr>
        <w:rPr>
          <w:b/>
          <w:bCs/>
          <w:sz w:val="28"/>
          <w:szCs w:val="28"/>
        </w:rPr>
      </w:pPr>
      <w:r w:rsidRPr="00AD3E5C">
        <w:rPr>
          <w:b/>
          <w:bCs/>
          <w:sz w:val="28"/>
          <w:szCs w:val="28"/>
        </w:rPr>
        <w:t xml:space="preserve">Student Name: </w:t>
      </w:r>
      <w:r w:rsidR="0006428E">
        <w:rPr>
          <w:b/>
          <w:bCs/>
          <w:sz w:val="28"/>
          <w:szCs w:val="28"/>
        </w:rPr>
        <w:t>Maxim Staver</w:t>
      </w:r>
    </w:p>
    <w:p w14:paraId="38D96305" w14:textId="50B99600" w:rsidR="00AD3E5C" w:rsidRDefault="00AD3E5C" w:rsidP="00AD3E5C">
      <w:pPr>
        <w:rPr>
          <w:b/>
          <w:bCs/>
          <w:sz w:val="28"/>
          <w:szCs w:val="28"/>
        </w:rPr>
      </w:pPr>
      <w:r w:rsidRPr="00AD3E5C">
        <w:rPr>
          <w:b/>
          <w:bCs/>
          <w:sz w:val="28"/>
          <w:szCs w:val="28"/>
        </w:rPr>
        <w:t xml:space="preserve">Student ID: </w:t>
      </w:r>
      <w:r w:rsidR="0006428E">
        <w:rPr>
          <w:b/>
          <w:bCs/>
          <w:sz w:val="28"/>
          <w:szCs w:val="28"/>
        </w:rPr>
        <w:t>251032</w:t>
      </w:r>
      <w:r w:rsidR="006A049E">
        <w:rPr>
          <w:b/>
          <w:bCs/>
          <w:sz w:val="28"/>
          <w:szCs w:val="28"/>
        </w:rPr>
        <w:t>6</w:t>
      </w:r>
    </w:p>
    <w:p w14:paraId="732E879C" w14:textId="1AE713A1" w:rsidR="005F08A7" w:rsidRPr="00AD3E5C" w:rsidRDefault="005F08A7" w:rsidP="00AD3E5C">
      <w:pPr>
        <w:rPr>
          <w:b/>
          <w:bCs/>
          <w:sz w:val="28"/>
          <w:szCs w:val="28"/>
        </w:rPr>
      </w:pPr>
      <w:r w:rsidRPr="005F08A7">
        <w:rPr>
          <w:b/>
          <w:bCs/>
          <w:sz w:val="28"/>
          <w:szCs w:val="28"/>
        </w:rPr>
        <w:t>Submission deadline:</w:t>
      </w:r>
      <w:r>
        <w:rPr>
          <w:b/>
          <w:bCs/>
          <w:sz w:val="28"/>
          <w:szCs w:val="28"/>
        </w:rPr>
        <w:t xml:space="preserve"> 23</w:t>
      </w:r>
      <w:r w:rsidRPr="005F08A7">
        <w:rPr>
          <w:b/>
          <w:bCs/>
          <w:sz w:val="28"/>
          <w:szCs w:val="28"/>
          <w:vertAlign w:val="superscript"/>
        </w:rPr>
        <w:t>rd</w:t>
      </w:r>
      <w:r>
        <w:rPr>
          <w:b/>
          <w:bCs/>
          <w:sz w:val="28"/>
          <w:szCs w:val="28"/>
        </w:rPr>
        <w:t xml:space="preserve"> </w:t>
      </w:r>
      <w:proofErr w:type="gramStart"/>
      <w:r w:rsidR="009B26DC">
        <w:rPr>
          <w:b/>
          <w:bCs/>
          <w:sz w:val="28"/>
          <w:szCs w:val="28"/>
        </w:rPr>
        <w:t>July,</w:t>
      </w:r>
      <w:proofErr w:type="gramEnd"/>
      <w:r w:rsidR="009B26DC">
        <w:rPr>
          <w:b/>
          <w:bCs/>
          <w:sz w:val="28"/>
          <w:szCs w:val="28"/>
        </w:rPr>
        <w:t xml:space="preserve"> 2026</w:t>
      </w:r>
    </w:p>
    <w:p w14:paraId="06B87E3A" w14:textId="77777777" w:rsidR="00AD3E5C" w:rsidRPr="00AD3E5C" w:rsidRDefault="00AD3E5C" w:rsidP="00AD3E5C">
      <w:pPr>
        <w:rPr>
          <w:b/>
          <w:bCs/>
          <w:sz w:val="28"/>
          <w:szCs w:val="28"/>
        </w:rPr>
      </w:pPr>
      <w:r w:rsidRPr="00AD3E5C">
        <w:rPr>
          <w:b/>
          <w:bCs/>
          <w:sz w:val="28"/>
          <w:szCs w:val="28"/>
        </w:rPr>
        <w:t>Lecturer: Muhammad Azeem Abbas</w:t>
      </w:r>
    </w:p>
    <w:p w14:paraId="6ECF2E84" w14:textId="77777777" w:rsidR="00AD3E5C" w:rsidRPr="00AD3E5C" w:rsidRDefault="00AD3E5C" w:rsidP="00AD3E5C">
      <w:pPr>
        <w:rPr>
          <w:b/>
          <w:bCs/>
          <w:sz w:val="28"/>
          <w:szCs w:val="28"/>
        </w:rPr>
      </w:pPr>
      <w:r w:rsidRPr="00AD3E5C">
        <w:rPr>
          <w:b/>
          <w:bCs/>
          <w:sz w:val="28"/>
          <w:szCs w:val="28"/>
        </w:rPr>
        <w:t>University of Wales Trinity Saint David</w:t>
      </w:r>
    </w:p>
    <w:p w14:paraId="79ED2785" w14:textId="77777777" w:rsidR="00AD3E5C" w:rsidRPr="00AD3E5C" w:rsidRDefault="00AD3E5C" w:rsidP="00AD3E5C"/>
    <w:p w14:paraId="6ADF0A82" w14:textId="77777777" w:rsidR="00BC369B" w:rsidRDefault="00BC369B" w:rsidP="00EA6049">
      <w:pPr>
        <w:pStyle w:val="Heading1"/>
        <w:rPr>
          <w:b/>
          <w:bCs/>
          <w:sz w:val="36"/>
          <w:szCs w:val="36"/>
        </w:rPr>
      </w:pPr>
    </w:p>
    <w:p w14:paraId="1F2F742E" w14:textId="77777777" w:rsidR="00AC7D91" w:rsidRDefault="00AC7D91" w:rsidP="00AC7D91"/>
    <w:p w14:paraId="6CF87477" w14:textId="77777777" w:rsidR="00AC7D91" w:rsidRDefault="00AC7D91" w:rsidP="00AC7D91"/>
    <w:p w14:paraId="10D6F263" w14:textId="77777777" w:rsidR="00AC7D91" w:rsidRDefault="00AC7D91" w:rsidP="00AC7D91"/>
    <w:p w14:paraId="0155AE10" w14:textId="77777777" w:rsidR="00AC7D91" w:rsidRDefault="00AC7D91" w:rsidP="00AC7D91"/>
    <w:p w14:paraId="4E786ADF" w14:textId="77777777" w:rsidR="00AC7D91" w:rsidRDefault="00AC7D91" w:rsidP="00AC7D91"/>
    <w:p w14:paraId="5784B474" w14:textId="0F7BFBD7" w:rsidR="00AC7D91" w:rsidRDefault="00AC7D91" w:rsidP="00AC7D91"/>
    <w:p w14:paraId="1BEC2D12" w14:textId="77777777" w:rsidR="00AC7D91" w:rsidRDefault="00AC7D91" w:rsidP="00AC7D91"/>
    <w:p w14:paraId="15DC2958" w14:textId="77777777" w:rsidR="00AC7D91" w:rsidRDefault="00AC7D91" w:rsidP="00AC7D91"/>
    <w:p w14:paraId="166CAE2F" w14:textId="77777777" w:rsidR="00AC7D91" w:rsidRPr="00AC7D91" w:rsidRDefault="00AC7D91" w:rsidP="00AC7D91"/>
    <w:p w14:paraId="6BBBDDDB" w14:textId="68F3C525" w:rsidR="00F243A4" w:rsidRDefault="00F243A4" w:rsidP="00EA6049">
      <w:pPr>
        <w:pStyle w:val="Heading1"/>
        <w:rPr>
          <w:b/>
          <w:bCs/>
          <w:sz w:val="36"/>
          <w:szCs w:val="36"/>
        </w:rPr>
      </w:pPr>
      <w:r w:rsidRPr="00EA6049">
        <w:rPr>
          <w:b/>
          <w:bCs/>
          <w:sz w:val="36"/>
          <w:szCs w:val="36"/>
        </w:rPr>
        <w:lastRenderedPageBreak/>
        <w:t xml:space="preserve">Cybersecurity and Information Protection Strategy for </w:t>
      </w:r>
      <w:proofErr w:type="spellStart"/>
      <w:r w:rsidRPr="00EA6049">
        <w:rPr>
          <w:b/>
          <w:bCs/>
          <w:sz w:val="36"/>
          <w:szCs w:val="36"/>
        </w:rPr>
        <w:t>SteelForm</w:t>
      </w:r>
      <w:proofErr w:type="spellEnd"/>
      <w:r w:rsidRPr="00EA6049">
        <w:rPr>
          <w:b/>
          <w:bCs/>
          <w:sz w:val="36"/>
          <w:szCs w:val="36"/>
        </w:rPr>
        <w:t xml:space="preserve"> Manufacturing</w:t>
      </w:r>
    </w:p>
    <w:p w14:paraId="6C0E8AE4" w14:textId="77777777" w:rsidR="00AC7D91" w:rsidRDefault="00AC7D91" w:rsidP="00AC7D91"/>
    <w:p w14:paraId="022FFC7E" w14:textId="77777777" w:rsidR="00AC7D91" w:rsidRPr="00AC7D91" w:rsidRDefault="00AC7D91" w:rsidP="00AC7D91"/>
    <w:p w14:paraId="266D4191" w14:textId="43CB7008" w:rsidR="00AC7D91" w:rsidRPr="00EA6049" w:rsidRDefault="00F243A4" w:rsidP="00F243A4">
      <w:pPr>
        <w:rPr>
          <w:b/>
          <w:bCs/>
          <w:sz w:val="32"/>
          <w:szCs w:val="32"/>
        </w:rPr>
      </w:pPr>
      <w:r w:rsidRPr="00EA6049">
        <w:rPr>
          <w:b/>
          <w:bCs/>
          <w:sz w:val="32"/>
          <w:szCs w:val="32"/>
        </w:rPr>
        <w:t>Abstract</w:t>
      </w:r>
    </w:p>
    <w:p w14:paraId="6E5717DF" w14:textId="77777777" w:rsidR="00F243A4" w:rsidRDefault="00F243A4" w:rsidP="00F243A4">
      <w:r w:rsidRPr="00F243A4">
        <w:t xml:space="preserve">The rapid evolution toward smart industrial environments has generated significant operational gains while exposing organizations to sophisticated digital and physical threats. This report outlines an exhaustive cybersecurity and data governance framework tailored for </w:t>
      </w:r>
      <w:proofErr w:type="spellStart"/>
      <w:r w:rsidRPr="00F243A4">
        <w:t>SteelForm</w:t>
      </w:r>
      <w:proofErr w:type="spellEnd"/>
      <w:r w:rsidRPr="00F243A4">
        <w:t xml:space="preserve"> Manufacturing. Following recurring operational disruptions—such as malicious software intrusions, targeted procurement phishing campaigns, and unauthorized network access probes—this study </w:t>
      </w:r>
      <w:proofErr w:type="spellStart"/>
      <w:r w:rsidRPr="00F243A4">
        <w:t>analyzes</w:t>
      </w:r>
      <w:proofErr w:type="spellEnd"/>
      <w:r w:rsidRPr="00F243A4">
        <w:t xml:space="preserve"> critical internal and external risk vectors. By integrating the CIA Triad model with international benchmarks including ISO/IEC 27001 and NIST guidelines, the report proposes concrete security controls, an incident response lifecycle, and an immersive staff education programme. These integrated </w:t>
      </w:r>
      <w:proofErr w:type="spellStart"/>
      <w:r w:rsidRPr="00F243A4">
        <w:t>defenses</w:t>
      </w:r>
      <w:proofErr w:type="spellEnd"/>
      <w:r w:rsidRPr="00F243A4">
        <w:t xml:space="preserve"> fortify corporate and factory networks, guarantee privacy compliance, and protect long-term commercial continuity. </w:t>
      </w:r>
    </w:p>
    <w:p w14:paraId="3D42F64E" w14:textId="77777777" w:rsidR="00EA6049" w:rsidRDefault="00EA6049" w:rsidP="00F243A4"/>
    <w:p w14:paraId="2BF84905" w14:textId="77777777" w:rsidR="00EA6049" w:rsidRDefault="00EA6049" w:rsidP="00F243A4"/>
    <w:p w14:paraId="3BEB4400" w14:textId="77777777" w:rsidR="00EA6049" w:rsidRDefault="00EA6049" w:rsidP="00F243A4"/>
    <w:p w14:paraId="4FE343D0" w14:textId="77777777" w:rsidR="00EA6049" w:rsidRDefault="00EA6049" w:rsidP="00F243A4"/>
    <w:p w14:paraId="00DE772E" w14:textId="77777777" w:rsidR="00EA6049" w:rsidRDefault="00EA6049" w:rsidP="00F243A4"/>
    <w:p w14:paraId="116511CD" w14:textId="77777777" w:rsidR="00EA6049" w:rsidRDefault="00EA6049" w:rsidP="00F243A4"/>
    <w:p w14:paraId="614A6DBD" w14:textId="77777777" w:rsidR="00EA6049" w:rsidRDefault="00EA6049" w:rsidP="00F243A4"/>
    <w:p w14:paraId="4353D9D2" w14:textId="77777777" w:rsidR="00EA6049" w:rsidRDefault="00EA6049" w:rsidP="00F243A4"/>
    <w:p w14:paraId="3978EDA0" w14:textId="77777777" w:rsidR="00EA6049" w:rsidRDefault="00EA6049" w:rsidP="00F243A4"/>
    <w:p w14:paraId="298D5FDF" w14:textId="77777777" w:rsidR="00EA6049" w:rsidRDefault="00EA6049" w:rsidP="00F243A4"/>
    <w:p w14:paraId="37485E1D" w14:textId="77777777" w:rsidR="00EA6049" w:rsidRDefault="00EA6049" w:rsidP="00F243A4"/>
    <w:p w14:paraId="71EA8FFB" w14:textId="77777777" w:rsidR="00EA6049" w:rsidRDefault="00EA6049" w:rsidP="00F243A4"/>
    <w:p w14:paraId="4A371DFE" w14:textId="77777777" w:rsidR="00EA6049" w:rsidRDefault="00EA6049" w:rsidP="00F243A4"/>
    <w:p w14:paraId="23CA1368" w14:textId="77777777" w:rsidR="00EA6049" w:rsidRDefault="00EA6049" w:rsidP="00F243A4"/>
    <w:p w14:paraId="2291CFB9" w14:textId="77777777" w:rsidR="00EA6049" w:rsidRDefault="00EA6049" w:rsidP="00F243A4"/>
    <w:p w14:paraId="35496172" w14:textId="77777777" w:rsidR="00EA6049" w:rsidRDefault="00EA6049" w:rsidP="00F243A4"/>
    <w:p w14:paraId="44F31618" w14:textId="77777777" w:rsidR="00EA6049" w:rsidRDefault="00EA6049" w:rsidP="00F243A4"/>
    <w:p w14:paraId="62842DC1" w14:textId="77777777" w:rsidR="00EA6049" w:rsidRDefault="00EA6049" w:rsidP="00F243A4"/>
    <w:p w14:paraId="2EB62726" w14:textId="77777777" w:rsidR="00EA6049" w:rsidRPr="00F243A4" w:rsidRDefault="00EA6049" w:rsidP="00F243A4"/>
    <w:p w14:paraId="1E3BAB2B" w14:textId="77777777" w:rsidR="00F243A4" w:rsidRPr="00EA6049" w:rsidRDefault="00F243A4" w:rsidP="00F243A4">
      <w:pPr>
        <w:rPr>
          <w:b/>
          <w:bCs/>
          <w:sz w:val="32"/>
          <w:szCs w:val="32"/>
        </w:rPr>
      </w:pPr>
      <w:r w:rsidRPr="00EA6049">
        <w:rPr>
          <w:b/>
          <w:bCs/>
          <w:sz w:val="32"/>
          <w:szCs w:val="32"/>
        </w:rPr>
        <w:lastRenderedPageBreak/>
        <w:t>Table of Contents</w:t>
      </w:r>
    </w:p>
    <w:p w14:paraId="72224C7C" w14:textId="77777777" w:rsidR="00F243A4" w:rsidRPr="00F243A4" w:rsidRDefault="00F243A4" w:rsidP="00F243A4">
      <w:pPr>
        <w:numPr>
          <w:ilvl w:val="0"/>
          <w:numId w:val="7"/>
        </w:numPr>
      </w:pPr>
      <w:r w:rsidRPr="00F243A4">
        <w:t>Introduction</w:t>
      </w:r>
    </w:p>
    <w:p w14:paraId="28DD3645" w14:textId="77777777" w:rsidR="00F243A4" w:rsidRPr="00F243A4" w:rsidRDefault="00F243A4" w:rsidP="00F243A4">
      <w:pPr>
        <w:numPr>
          <w:ilvl w:val="0"/>
          <w:numId w:val="7"/>
        </w:numPr>
      </w:pPr>
      <w:r w:rsidRPr="00F243A4">
        <w:t>Security Standards</w:t>
      </w:r>
    </w:p>
    <w:p w14:paraId="4977CD68" w14:textId="77777777" w:rsidR="00F243A4" w:rsidRPr="00F243A4" w:rsidRDefault="00F243A4" w:rsidP="00F243A4">
      <w:pPr>
        <w:numPr>
          <w:ilvl w:val="0"/>
          <w:numId w:val="7"/>
        </w:numPr>
      </w:pPr>
      <w:r w:rsidRPr="00F243A4">
        <w:t>Threat Analysis</w:t>
      </w:r>
    </w:p>
    <w:p w14:paraId="140FEE8B" w14:textId="77777777" w:rsidR="00F243A4" w:rsidRPr="00F243A4" w:rsidRDefault="00F243A4" w:rsidP="00F243A4">
      <w:pPr>
        <w:numPr>
          <w:ilvl w:val="0"/>
          <w:numId w:val="7"/>
        </w:numPr>
      </w:pPr>
      <w:r w:rsidRPr="00F243A4">
        <w:t>Security Policies</w:t>
      </w:r>
    </w:p>
    <w:p w14:paraId="423F0338" w14:textId="77777777" w:rsidR="00F243A4" w:rsidRPr="00F243A4" w:rsidRDefault="00F243A4" w:rsidP="00F243A4">
      <w:pPr>
        <w:numPr>
          <w:ilvl w:val="0"/>
          <w:numId w:val="7"/>
        </w:numPr>
      </w:pPr>
      <w:r w:rsidRPr="00F243A4">
        <w:t>Technical Mitigations</w:t>
      </w:r>
    </w:p>
    <w:p w14:paraId="066B4214" w14:textId="77777777" w:rsidR="00F243A4" w:rsidRPr="00F243A4" w:rsidRDefault="00F243A4" w:rsidP="00F243A4">
      <w:pPr>
        <w:numPr>
          <w:ilvl w:val="0"/>
          <w:numId w:val="7"/>
        </w:numPr>
      </w:pPr>
      <w:r w:rsidRPr="00F243A4">
        <w:t>Incident Handling</w:t>
      </w:r>
    </w:p>
    <w:p w14:paraId="5BD2BEB9" w14:textId="77777777" w:rsidR="00F243A4" w:rsidRPr="00F243A4" w:rsidRDefault="00F243A4" w:rsidP="00F243A4">
      <w:pPr>
        <w:numPr>
          <w:ilvl w:val="0"/>
          <w:numId w:val="7"/>
        </w:numPr>
      </w:pPr>
      <w:r w:rsidRPr="00F243A4">
        <w:t>Staff Training</w:t>
      </w:r>
    </w:p>
    <w:p w14:paraId="3EEBA7A8" w14:textId="77777777" w:rsidR="00F243A4" w:rsidRPr="00F243A4" w:rsidRDefault="00F243A4" w:rsidP="00F243A4">
      <w:pPr>
        <w:numPr>
          <w:ilvl w:val="0"/>
          <w:numId w:val="7"/>
        </w:numPr>
      </w:pPr>
      <w:r w:rsidRPr="00F243A4">
        <w:t>Conclusion</w:t>
      </w:r>
    </w:p>
    <w:p w14:paraId="718BB9CF" w14:textId="77777777" w:rsidR="00F243A4" w:rsidRDefault="00F243A4" w:rsidP="00F243A4">
      <w:pPr>
        <w:numPr>
          <w:ilvl w:val="0"/>
          <w:numId w:val="7"/>
        </w:numPr>
      </w:pPr>
      <w:r w:rsidRPr="00F243A4">
        <w:t>References</w:t>
      </w:r>
    </w:p>
    <w:p w14:paraId="72734830" w14:textId="77777777" w:rsidR="00EA6049" w:rsidRDefault="00EA6049" w:rsidP="00EA6049"/>
    <w:p w14:paraId="2050270E" w14:textId="77777777" w:rsidR="00EA6049" w:rsidRDefault="00EA6049" w:rsidP="00EA6049"/>
    <w:p w14:paraId="4A1917BB" w14:textId="77777777" w:rsidR="00EA6049" w:rsidRDefault="00EA6049" w:rsidP="00EA6049"/>
    <w:p w14:paraId="65308218" w14:textId="77777777" w:rsidR="00EA6049" w:rsidRDefault="00EA6049" w:rsidP="00EA6049"/>
    <w:p w14:paraId="241A4479" w14:textId="77777777" w:rsidR="00EA6049" w:rsidRDefault="00EA6049" w:rsidP="00EA6049"/>
    <w:p w14:paraId="062066B1" w14:textId="77777777" w:rsidR="00EA6049" w:rsidRDefault="00EA6049" w:rsidP="00EA6049"/>
    <w:p w14:paraId="20C681A5" w14:textId="77777777" w:rsidR="00EA6049" w:rsidRDefault="00EA6049" w:rsidP="00EA6049"/>
    <w:p w14:paraId="134B5F60" w14:textId="77777777" w:rsidR="00EA6049" w:rsidRDefault="00EA6049" w:rsidP="00EA6049"/>
    <w:p w14:paraId="268E5779" w14:textId="77777777" w:rsidR="00EA6049" w:rsidRDefault="00EA6049" w:rsidP="00EA6049"/>
    <w:p w14:paraId="4E875D03" w14:textId="77777777" w:rsidR="00EA6049" w:rsidRDefault="00EA6049" w:rsidP="00EA6049"/>
    <w:p w14:paraId="645210B7" w14:textId="77777777" w:rsidR="00EA6049" w:rsidRDefault="00EA6049" w:rsidP="00EA6049"/>
    <w:p w14:paraId="413FACB7" w14:textId="77777777" w:rsidR="00EA6049" w:rsidRDefault="00EA6049" w:rsidP="00EA6049"/>
    <w:p w14:paraId="0310215D" w14:textId="77777777" w:rsidR="00EA6049" w:rsidRDefault="00EA6049" w:rsidP="00EA6049"/>
    <w:p w14:paraId="563F448C" w14:textId="77777777" w:rsidR="00EA6049" w:rsidRDefault="00EA6049" w:rsidP="00EA6049"/>
    <w:p w14:paraId="28AF7FD3" w14:textId="77777777" w:rsidR="00EA6049" w:rsidRDefault="00EA6049" w:rsidP="00EA6049"/>
    <w:p w14:paraId="55FE7575" w14:textId="77777777" w:rsidR="00EA6049" w:rsidRDefault="00EA6049" w:rsidP="00EA6049"/>
    <w:p w14:paraId="22988721" w14:textId="77777777" w:rsidR="00EA6049" w:rsidRDefault="00EA6049" w:rsidP="00EA6049"/>
    <w:p w14:paraId="0D8F559D" w14:textId="77777777" w:rsidR="00EA6049" w:rsidRDefault="00EA6049" w:rsidP="00EA6049"/>
    <w:p w14:paraId="39B1C7F4" w14:textId="77777777" w:rsidR="00EA6049" w:rsidRDefault="00EA6049" w:rsidP="00EA6049"/>
    <w:p w14:paraId="55AB543C" w14:textId="77777777" w:rsidR="00EA6049" w:rsidRDefault="00EA6049" w:rsidP="00EA6049"/>
    <w:p w14:paraId="20642167" w14:textId="1BA2238A" w:rsidR="00EA6049" w:rsidRPr="00F243A4" w:rsidRDefault="00EA6049" w:rsidP="00EA6049"/>
    <w:p w14:paraId="18643BFA" w14:textId="6DD4A077" w:rsidR="00F243A4" w:rsidRPr="00EA6049" w:rsidRDefault="00F243A4" w:rsidP="00F243A4">
      <w:pPr>
        <w:rPr>
          <w:b/>
          <w:bCs/>
          <w:sz w:val="28"/>
          <w:szCs w:val="28"/>
        </w:rPr>
      </w:pPr>
      <w:r w:rsidRPr="00EA6049">
        <w:rPr>
          <w:b/>
          <w:bCs/>
          <w:sz w:val="28"/>
          <w:szCs w:val="28"/>
        </w:rPr>
        <w:lastRenderedPageBreak/>
        <w:t>1. Introduction and Background</w:t>
      </w:r>
    </w:p>
    <w:p w14:paraId="585DB05F" w14:textId="77777777" w:rsidR="00F243A4" w:rsidRPr="00F243A4" w:rsidRDefault="00F243A4" w:rsidP="00F243A4">
      <w:proofErr w:type="spellStart"/>
      <w:r w:rsidRPr="00F243A4">
        <w:t>SteelForm</w:t>
      </w:r>
      <w:proofErr w:type="spellEnd"/>
      <w:r w:rsidRPr="00F243A4">
        <w:t xml:space="preserve"> Manufacturing functions as a pivotal supply chain partner, specializing in custom component fabrication for the aerospace and automotive industries. Recently, the organization modernized its infrastructure by adopting Industry 4.0 paradigms. This transition incorporates connected Internet of Things (IoT) sensors, advanced production machinery, and cloud-hosted management platforms. While these modern assets elevate productivity, they substantially widen the organizational attack surface. </w:t>
      </w:r>
    </w:p>
    <w:p w14:paraId="1D442274" w14:textId="77777777" w:rsidR="00F243A4" w:rsidRPr="00F243A4" w:rsidRDefault="00F243A4" w:rsidP="00F243A4">
      <w:r w:rsidRPr="00F243A4">
        <w:t xml:space="preserve">Historically, industrial plants utilized air-gapped network designs to physically segregate administrative Information Technology (IT) networks from factory-floor Operational Technology (OT) systems. Modern smart manufacturing dissolves these traditional boundaries to permit seamless data exchange. Consequently, an initial security compromise originating in corporate email can potentially propagate directly to physical assembly lines. </w:t>
      </w:r>
    </w:p>
    <w:p w14:paraId="59EA6BDE" w14:textId="77777777" w:rsidR="00F243A4" w:rsidRDefault="00F243A4" w:rsidP="00F243A4">
      <w:r w:rsidRPr="00F243A4">
        <w:t xml:space="preserve">Recent security incidents at </w:t>
      </w:r>
      <w:proofErr w:type="spellStart"/>
      <w:r w:rsidRPr="00F243A4">
        <w:t>SteelForm</w:t>
      </w:r>
      <w:proofErr w:type="spellEnd"/>
      <w:r w:rsidRPr="00F243A4">
        <w:t xml:space="preserve">—including workstation malware infections, deceptive phishing attacks directed at purchasing staff, and unauthorized network connection probes—highlight the critical need for hardened </w:t>
      </w:r>
      <w:proofErr w:type="spellStart"/>
      <w:r w:rsidRPr="00F243A4">
        <w:t>defenses</w:t>
      </w:r>
      <w:proofErr w:type="spellEnd"/>
      <w:r w:rsidRPr="00F243A4">
        <w:t xml:space="preserve">. Protecting intellectual property and preventing costly line stoppages requires a structured, multi-layered security framework. Modern industrial operational constraints demand comprehensive risk management to ensure that digital optimization does not outpace security maturity. As operational complexity grows across the industrial sector, leadership must recognize that digital connectivity introduces systemic liabilities that require continuous administrative oversight, dedicated resource allocation, and robust technological countermeasures. </w:t>
      </w:r>
    </w:p>
    <w:p w14:paraId="4DEACB07" w14:textId="77777777" w:rsidR="006E1DD2" w:rsidRPr="00F243A4" w:rsidRDefault="006E1DD2" w:rsidP="00F243A4"/>
    <w:p w14:paraId="1139188A" w14:textId="77777777" w:rsidR="00F243A4" w:rsidRPr="00EA6049" w:rsidRDefault="00F243A4" w:rsidP="00F243A4">
      <w:pPr>
        <w:rPr>
          <w:b/>
          <w:bCs/>
          <w:sz w:val="28"/>
          <w:szCs w:val="28"/>
        </w:rPr>
      </w:pPr>
      <w:r w:rsidRPr="00EA6049">
        <w:rPr>
          <w:b/>
          <w:bCs/>
          <w:sz w:val="28"/>
          <w:szCs w:val="28"/>
        </w:rPr>
        <w:t>2. Core Theoretical Models and Compliance Standards</w:t>
      </w:r>
    </w:p>
    <w:p w14:paraId="566F2765" w14:textId="77777777" w:rsidR="00F243A4" w:rsidRPr="00F243A4" w:rsidRDefault="00F243A4" w:rsidP="00F243A4">
      <w:r w:rsidRPr="00F243A4">
        <w:t xml:space="preserve">Constructing a resilient corporate </w:t>
      </w:r>
      <w:proofErr w:type="spellStart"/>
      <w:r w:rsidRPr="00F243A4">
        <w:t>defense</w:t>
      </w:r>
      <w:proofErr w:type="spellEnd"/>
      <w:r w:rsidRPr="00F243A4">
        <w:t xml:space="preserve"> requires anchoring technical measures in established theoretical benchmarks. The primary structural foundation utilized is the CIA Triad: </w:t>
      </w:r>
    </w:p>
    <w:p w14:paraId="01472F8D" w14:textId="77777777" w:rsidR="00F243A4" w:rsidRPr="00F243A4" w:rsidRDefault="00F243A4" w:rsidP="00F243A4">
      <w:pPr>
        <w:numPr>
          <w:ilvl w:val="0"/>
          <w:numId w:val="8"/>
        </w:numPr>
      </w:pPr>
      <w:r w:rsidRPr="00F243A4">
        <w:rPr>
          <w:b/>
          <w:bCs/>
        </w:rPr>
        <w:t>Confidentiality:</w:t>
      </w:r>
      <w:r w:rsidRPr="00F243A4">
        <w:t xml:space="preserve"> Restricts access to sensitive proprietary design files and financial records exclusively to authorized personnel. </w:t>
      </w:r>
    </w:p>
    <w:p w14:paraId="22F7F03E" w14:textId="77777777" w:rsidR="00F243A4" w:rsidRPr="00F243A4" w:rsidRDefault="00F243A4" w:rsidP="00F243A4">
      <w:pPr>
        <w:numPr>
          <w:ilvl w:val="0"/>
          <w:numId w:val="8"/>
        </w:numPr>
      </w:pPr>
      <w:r w:rsidRPr="00F243A4">
        <w:rPr>
          <w:b/>
          <w:bCs/>
        </w:rPr>
        <w:t>Integrity:</w:t>
      </w:r>
      <w:r w:rsidRPr="00F243A4">
        <w:t xml:space="preserve"> Ensures digital manufacturing blueprints and machine command parameters remain accurate and free from malicious tampering. </w:t>
      </w:r>
    </w:p>
    <w:p w14:paraId="1CC840F6" w14:textId="77777777" w:rsidR="00F243A4" w:rsidRPr="00F243A4" w:rsidRDefault="00F243A4" w:rsidP="00F243A4">
      <w:pPr>
        <w:numPr>
          <w:ilvl w:val="0"/>
          <w:numId w:val="8"/>
        </w:numPr>
      </w:pPr>
      <w:r w:rsidRPr="00F243A4">
        <w:rPr>
          <w:b/>
          <w:bCs/>
        </w:rPr>
        <w:t>Availability:</w:t>
      </w:r>
      <w:r w:rsidRPr="00F243A4">
        <w:t xml:space="preserve"> Guarantees that cloud production management tools and factory systems remain continuously operational without unexpected interruptions. </w:t>
      </w:r>
    </w:p>
    <w:p w14:paraId="4970D274" w14:textId="77777777" w:rsidR="00F243A4" w:rsidRDefault="00F243A4" w:rsidP="00F243A4">
      <w:r w:rsidRPr="00F243A4">
        <w:t xml:space="preserve">Furthermore, operational guidelines align directly with ISO/IEC 27001 standards for information security management systems, while data privacy protocols adhere to the General Data Protection Regulation (GDPR). The NIST framework governs the practical phases of threat identification, protection, detection, response, and recovery. By mapping technical configurations directly to these internationally recognized standards, </w:t>
      </w:r>
      <w:proofErr w:type="spellStart"/>
      <w:r w:rsidRPr="00F243A4">
        <w:t>SteelForm</w:t>
      </w:r>
      <w:proofErr w:type="spellEnd"/>
      <w:r w:rsidRPr="00F243A4">
        <w:t xml:space="preserve"> establishes an auditable compliance posture that satisfies the stringent regulatory expectations of tier-one automotive and aerospace partners. Compliance is treated not as a static administrative checkbox, but as a dynamic, ongoing operational discipline designed to mitigate emerging legal, financial, and reputational liabilities. </w:t>
      </w:r>
    </w:p>
    <w:p w14:paraId="38FB4FC3" w14:textId="77777777" w:rsidR="00EA6049" w:rsidRDefault="00EA6049" w:rsidP="00F243A4"/>
    <w:p w14:paraId="713804F0" w14:textId="77777777" w:rsidR="00EA6049" w:rsidRPr="00F243A4" w:rsidRDefault="00EA6049" w:rsidP="00F243A4"/>
    <w:p w14:paraId="08468D5D" w14:textId="77777777" w:rsidR="00F243A4" w:rsidRPr="00EA6049" w:rsidRDefault="00F243A4" w:rsidP="00F243A4">
      <w:pPr>
        <w:rPr>
          <w:b/>
          <w:bCs/>
          <w:sz w:val="28"/>
          <w:szCs w:val="28"/>
        </w:rPr>
      </w:pPr>
      <w:r w:rsidRPr="00EA6049">
        <w:rPr>
          <w:b/>
          <w:bCs/>
          <w:sz w:val="28"/>
          <w:szCs w:val="28"/>
        </w:rPr>
        <w:t>3. Detailed Threat Vector Evaluation</w:t>
      </w:r>
    </w:p>
    <w:p w14:paraId="15A9E315" w14:textId="77777777" w:rsidR="00F243A4" w:rsidRPr="00F243A4" w:rsidRDefault="00F243A4" w:rsidP="00F243A4">
      <w:r w:rsidRPr="00F243A4">
        <w:t xml:space="preserve">A pragmatic </w:t>
      </w:r>
      <w:proofErr w:type="spellStart"/>
      <w:r w:rsidRPr="00F243A4">
        <w:t>defense</w:t>
      </w:r>
      <w:proofErr w:type="spellEnd"/>
      <w:r w:rsidRPr="00F243A4">
        <w:t xml:space="preserve"> strategy necessitates a thorough examination of both external cyber adversaries and internal vulnerabilities. </w:t>
      </w:r>
    </w:p>
    <w:p w14:paraId="31795C3F" w14:textId="77777777" w:rsidR="00F243A4" w:rsidRPr="00F243A4" w:rsidRDefault="00F243A4" w:rsidP="00F243A4">
      <w:pPr>
        <w:rPr>
          <w:b/>
          <w:bCs/>
        </w:rPr>
      </w:pPr>
      <w:r w:rsidRPr="00F243A4">
        <w:rPr>
          <w:b/>
          <w:bCs/>
        </w:rPr>
        <w:t>3.1 External Cyber Threats</w:t>
      </w:r>
    </w:p>
    <w:p w14:paraId="17D49888" w14:textId="77777777" w:rsidR="00F243A4" w:rsidRPr="00F243A4" w:rsidRDefault="00F243A4" w:rsidP="00F243A4">
      <w:r w:rsidRPr="00F243A4">
        <w:t xml:space="preserve">External attackers consistently target industrial targets for financial extortion or intellectual property theft. </w:t>
      </w:r>
    </w:p>
    <w:p w14:paraId="51EC635C" w14:textId="77777777" w:rsidR="00F243A4" w:rsidRPr="00F243A4" w:rsidRDefault="00F243A4" w:rsidP="00F243A4">
      <w:pPr>
        <w:numPr>
          <w:ilvl w:val="0"/>
          <w:numId w:val="9"/>
        </w:numPr>
      </w:pPr>
      <w:r w:rsidRPr="00F243A4">
        <w:rPr>
          <w:b/>
          <w:bCs/>
        </w:rPr>
        <w:t>Ransomware and System Extortion:</w:t>
      </w:r>
      <w:r w:rsidRPr="00F243A4">
        <w:t xml:space="preserve"> Ransomware represents an acute danger to production lines, utilizing encryption to lock critical files until a financial ransom is paid. Industrial-specific malware variants can paralyze cloud management platforms. Attackers frequently apply double extortion tactics, threatening to leak sensitive client engineering schematics publicly if demands are ignored. </w:t>
      </w:r>
    </w:p>
    <w:p w14:paraId="74ACA4F9" w14:textId="77777777" w:rsidR="00F243A4" w:rsidRPr="00F243A4" w:rsidRDefault="00F243A4" w:rsidP="00F243A4">
      <w:pPr>
        <w:numPr>
          <w:ilvl w:val="0"/>
          <w:numId w:val="9"/>
        </w:numPr>
      </w:pPr>
      <w:r w:rsidRPr="00F243A4">
        <w:rPr>
          <w:b/>
          <w:bCs/>
        </w:rPr>
        <w:t>Spear-Phishing and Business Compromise:</w:t>
      </w:r>
      <w:r w:rsidRPr="00F243A4">
        <w:t xml:space="preserve"> Deceptive email attacks targeting purchasing personnel exploit human trust. Threat actors impersonate verified vendors or executives to redirect financial invoice payments or harvest active login credentials. </w:t>
      </w:r>
    </w:p>
    <w:p w14:paraId="1E41DB85" w14:textId="77777777" w:rsidR="00F243A4" w:rsidRPr="00F243A4" w:rsidRDefault="00F243A4" w:rsidP="00F243A4">
      <w:pPr>
        <w:numPr>
          <w:ilvl w:val="0"/>
          <w:numId w:val="9"/>
        </w:numPr>
      </w:pPr>
      <w:r w:rsidRPr="00F243A4">
        <w:rPr>
          <w:b/>
          <w:bCs/>
        </w:rPr>
        <w:t>IoT Device Vulnerabilities:</w:t>
      </w:r>
      <w:r w:rsidRPr="00F243A4">
        <w:t xml:space="preserve"> The deployment of numerous factory sensors introduces endpoints that frequently ship with default administrative passwords and lack automated patch mechanisms, creating convenient digital entry points. </w:t>
      </w:r>
    </w:p>
    <w:p w14:paraId="5F8F48EB" w14:textId="77777777" w:rsidR="00F243A4" w:rsidRPr="00F243A4" w:rsidRDefault="00F243A4" w:rsidP="00F243A4">
      <w:pPr>
        <w:numPr>
          <w:ilvl w:val="0"/>
          <w:numId w:val="9"/>
        </w:numPr>
      </w:pPr>
      <w:r w:rsidRPr="00F243A4">
        <w:rPr>
          <w:b/>
          <w:bCs/>
        </w:rPr>
        <w:t>Supply Chain Infiltration:</w:t>
      </w:r>
      <w:r w:rsidRPr="00F243A4">
        <w:t xml:space="preserve"> Because </w:t>
      </w:r>
      <w:proofErr w:type="spellStart"/>
      <w:r w:rsidRPr="00F243A4">
        <w:t>SteelForm</w:t>
      </w:r>
      <w:proofErr w:type="spellEnd"/>
      <w:r w:rsidRPr="00F243A4">
        <w:t xml:space="preserve"> provides parts to major aerospace contractors, external hackers may view the company as an indirect stepping stone to breach larger, more heavily defended prime partners. </w:t>
      </w:r>
    </w:p>
    <w:p w14:paraId="16ED43C7" w14:textId="77777777" w:rsidR="00F243A4" w:rsidRPr="00F243A4" w:rsidRDefault="00F243A4" w:rsidP="00F243A4">
      <w:pPr>
        <w:rPr>
          <w:b/>
          <w:bCs/>
        </w:rPr>
      </w:pPr>
      <w:r w:rsidRPr="00F243A4">
        <w:rPr>
          <w:b/>
          <w:bCs/>
        </w:rPr>
        <w:t>3.2 Internal Risk Factors and Human Error</w:t>
      </w:r>
    </w:p>
    <w:p w14:paraId="274DEC0E" w14:textId="77777777" w:rsidR="00F243A4" w:rsidRPr="00F243A4" w:rsidRDefault="00F243A4" w:rsidP="00F243A4">
      <w:r w:rsidRPr="00F243A4">
        <w:t xml:space="preserve">Internal vulnerabilities arise from accidental employee oversight as well as intentional malicious acts. </w:t>
      </w:r>
    </w:p>
    <w:p w14:paraId="7365A8DA" w14:textId="77777777" w:rsidR="00F243A4" w:rsidRPr="00F243A4" w:rsidRDefault="00F243A4" w:rsidP="00F243A4">
      <w:pPr>
        <w:numPr>
          <w:ilvl w:val="0"/>
          <w:numId w:val="10"/>
        </w:numPr>
      </w:pPr>
      <w:r w:rsidRPr="00F243A4">
        <w:rPr>
          <w:b/>
          <w:bCs/>
        </w:rPr>
        <w:t>Human Error and Shadow IT:</w:t>
      </w:r>
      <w:r w:rsidRPr="00F243A4">
        <w:t xml:space="preserve"> Inadvertent security breaches often stem from weak password choices or accidental interaction with malicious links. Additionally, staff sometimes deploy unapproved software or personal devices (Shadow IT) to handle work tasks, bypassing official organizational controls. </w:t>
      </w:r>
    </w:p>
    <w:p w14:paraId="1E0BB63F" w14:textId="77777777" w:rsidR="00F243A4" w:rsidRDefault="00F243A4" w:rsidP="00F243A4">
      <w:pPr>
        <w:numPr>
          <w:ilvl w:val="0"/>
          <w:numId w:val="10"/>
        </w:numPr>
      </w:pPr>
      <w:r w:rsidRPr="00F243A4">
        <w:rPr>
          <w:b/>
          <w:bCs/>
        </w:rPr>
        <w:t>Malicious Insiders:</w:t>
      </w:r>
      <w:r w:rsidRPr="00F243A4">
        <w:t xml:space="preserve"> Disgruntled employees or contractors with legitimate network privileges can intentionally compromise operational machinery or exfiltrate trade secrets, entirely bypassing perimeter firewalls. </w:t>
      </w:r>
    </w:p>
    <w:p w14:paraId="1A4661E0" w14:textId="77777777" w:rsidR="00EA6049" w:rsidRDefault="00EA6049" w:rsidP="00EA6049"/>
    <w:p w14:paraId="509706FC" w14:textId="77777777" w:rsidR="00EA6049" w:rsidRDefault="00EA6049" w:rsidP="00EA6049"/>
    <w:p w14:paraId="418ED276" w14:textId="77777777" w:rsidR="00EA6049" w:rsidRDefault="00EA6049" w:rsidP="00EA6049"/>
    <w:p w14:paraId="16EF6C2B" w14:textId="77777777" w:rsidR="00EA6049" w:rsidRDefault="00EA6049" w:rsidP="00EA6049"/>
    <w:p w14:paraId="2306B910" w14:textId="77777777" w:rsidR="00EA6049" w:rsidRDefault="00EA6049" w:rsidP="00EA6049"/>
    <w:p w14:paraId="2FC68946" w14:textId="77777777" w:rsidR="00EA6049" w:rsidRDefault="00EA6049" w:rsidP="00EA6049"/>
    <w:p w14:paraId="34F5A696" w14:textId="77777777" w:rsidR="00EA6049" w:rsidRPr="00F243A4" w:rsidRDefault="00EA6049" w:rsidP="00EA6049"/>
    <w:p w14:paraId="425B5CE3" w14:textId="77777777" w:rsidR="00F243A4" w:rsidRPr="00EA6049" w:rsidRDefault="00F243A4" w:rsidP="00F243A4">
      <w:pPr>
        <w:rPr>
          <w:b/>
          <w:bCs/>
          <w:sz w:val="28"/>
          <w:szCs w:val="28"/>
        </w:rPr>
      </w:pPr>
      <w:r w:rsidRPr="00EA6049">
        <w:rPr>
          <w:b/>
          <w:bCs/>
          <w:sz w:val="28"/>
          <w:szCs w:val="28"/>
        </w:rPr>
        <w:t>4. Information Governance and Security Policies</w:t>
      </w:r>
    </w:p>
    <w:p w14:paraId="46074DAD" w14:textId="77777777" w:rsidR="00F243A4" w:rsidRPr="00F243A4" w:rsidRDefault="00F243A4" w:rsidP="00F243A4">
      <w:r w:rsidRPr="00F243A4">
        <w:t xml:space="preserve">Written governance documents establish the formal </w:t>
      </w:r>
      <w:proofErr w:type="spellStart"/>
      <w:r w:rsidRPr="00F243A4">
        <w:t>behavioral</w:t>
      </w:r>
      <w:proofErr w:type="spellEnd"/>
      <w:r w:rsidRPr="00F243A4">
        <w:t xml:space="preserve"> rules necessary to maintain baseline security across the business. </w:t>
      </w:r>
    </w:p>
    <w:p w14:paraId="213BBE31" w14:textId="77777777" w:rsidR="00F243A4" w:rsidRPr="00F243A4" w:rsidRDefault="00F243A4" w:rsidP="00F243A4">
      <w:pPr>
        <w:rPr>
          <w:b/>
          <w:bCs/>
        </w:rPr>
      </w:pPr>
      <w:r w:rsidRPr="00F243A4">
        <w:rPr>
          <w:b/>
          <w:bCs/>
        </w:rPr>
        <w:t>4.1 Corporate Security Policy</w:t>
      </w:r>
    </w:p>
    <w:p w14:paraId="0BFC1733" w14:textId="77777777" w:rsidR="00F243A4" w:rsidRPr="00F243A4" w:rsidRDefault="00F243A4" w:rsidP="00F243A4">
      <w:r w:rsidRPr="00F243A4">
        <w:t xml:space="preserve">The foundational security policy defines acceptable hardware use, password complexity rules, and internet browsing limits. It mandates that all cloud-hosted manufacturing logs and proprietary designs undergo robust cryptographic protection both at rest and in transit. </w:t>
      </w:r>
    </w:p>
    <w:p w14:paraId="6112B83F" w14:textId="77777777" w:rsidR="00F243A4" w:rsidRPr="00F243A4" w:rsidRDefault="00F243A4" w:rsidP="00F243A4">
      <w:pPr>
        <w:rPr>
          <w:b/>
          <w:bCs/>
        </w:rPr>
      </w:pPr>
      <w:r w:rsidRPr="00F243A4">
        <w:rPr>
          <w:b/>
          <w:bCs/>
        </w:rPr>
        <w:t>4.2 Zero Trust and Least Privilege Access</w:t>
      </w:r>
    </w:p>
    <w:p w14:paraId="263335FC" w14:textId="77777777" w:rsidR="00F243A4" w:rsidRPr="00F243A4" w:rsidRDefault="00F243A4" w:rsidP="00F243A4">
      <w:proofErr w:type="spellStart"/>
      <w:r w:rsidRPr="00F243A4">
        <w:t>SteelForm</w:t>
      </w:r>
      <w:proofErr w:type="spellEnd"/>
      <w:r w:rsidRPr="00F243A4">
        <w:t xml:space="preserve"> must abandon outdated perimeter trust models where internal users are assumed safe. Implementing a Zero Trust architecture mandates continuous verification of every user and device. This is governed by the Principle of Least Privilege, which restricts worker network access strictly to resources required for their specific job functions. </w:t>
      </w:r>
    </w:p>
    <w:p w14:paraId="15AACA02" w14:textId="77777777" w:rsidR="00F243A4" w:rsidRPr="00F243A4" w:rsidRDefault="00F243A4" w:rsidP="00F243A4">
      <w:pPr>
        <w:rPr>
          <w:b/>
          <w:bCs/>
        </w:rPr>
      </w:pPr>
      <w:r w:rsidRPr="00F243A4">
        <w:rPr>
          <w:b/>
          <w:bCs/>
        </w:rPr>
        <w:t>4.3 Data Classification and Privacy Handling</w:t>
      </w:r>
    </w:p>
    <w:p w14:paraId="541470D0" w14:textId="77777777" w:rsidR="00F243A4" w:rsidRDefault="00F243A4" w:rsidP="00F243A4">
      <w:r w:rsidRPr="00F243A4">
        <w:t xml:space="preserve">To satisfy GDPR guidelines, corporate data is divided into distinct tiers: Public, Internal, Confidential, and Restricted. Sensitive engineering files fall under the Restricted classification, requiring strict handling limitations, blocking unauthorized local exports, and executing secure digital erasure protocols after retention periods lapse. Establishing these clear handling boundaries ensures that sensitive data elements are systematically tracked, inventoried, and protected against unauthorized disclosure or regulatory exposure throughout their complete lifecycle. </w:t>
      </w:r>
    </w:p>
    <w:p w14:paraId="721C7624" w14:textId="77777777" w:rsidR="00EA6049" w:rsidRPr="00F243A4" w:rsidRDefault="00EA6049" w:rsidP="00F243A4"/>
    <w:p w14:paraId="2F38BD58" w14:textId="77777777" w:rsidR="00F243A4" w:rsidRPr="00EA6049" w:rsidRDefault="00F243A4" w:rsidP="00F243A4">
      <w:pPr>
        <w:rPr>
          <w:b/>
          <w:bCs/>
          <w:sz w:val="28"/>
          <w:szCs w:val="28"/>
        </w:rPr>
      </w:pPr>
      <w:r w:rsidRPr="00EA6049">
        <w:rPr>
          <w:b/>
          <w:bCs/>
          <w:sz w:val="28"/>
          <w:szCs w:val="28"/>
        </w:rPr>
        <w:t>5. Engineering and Technical Mitigations</w:t>
      </w:r>
    </w:p>
    <w:p w14:paraId="2EC4B462" w14:textId="77777777" w:rsidR="00F243A4" w:rsidRPr="00F243A4" w:rsidRDefault="00F243A4" w:rsidP="00F243A4">
      <w:r w:rsidRPr="00F243A4">
        <w:t xml:space="preserve">Policies must be operationalized through dependable technological safeguards. </w:t>
      </w:r>
    </w:p>
    <w:p w14:paraId="4B48DE28" w14:textId="77777777" w:rsidR="00F243A4" w:rsidRPr="00F243A4" w:rsidRDefault="00F243A4" w:rsidP="00F243A4">
      <w:pPr>
        <w:rPr>
          <w:b/>
          <w:bCs/>
        </w:rPr>
      </w:pPr>
      <w:r w:rsidRPr="00F243A4">
        <w:rPr>
          <w:b/>
          <w:bCs/>
        </w:rPr>
        <w:t>5.1 Network Architecture and IT-OT Segmentation</w:t>
      </w:r>
    </w:p>
    <w:p w14:paraId="457F741B" w14:textId="77777777" w:rsidR="00F243A4" w:rsidRPr="00F243A4" w:rsidRDefault="00F243A4" w:rsidP="00F243A4">
      <w:r w:rsidRPr="00F243A4">
        <w:t xml:space="preserve">To prevent office-borne malware from crossing into the factory, </w:t>
      </w:r>
      <w:proofErr w:type="spellStart"/>
      <w:r w:rsidRPr="00F243A4">
        <w:t>SteelForm</w:t>
      </w:r>
      <w:proofErr w:type="spellEnd"/>
      <w:r w:rsidRPr="00F243A4">
        <w:t xml:space="preserve"> will segment its architecture based on industrial reference standards. Firewalls and Demilitarized Zones (DMZs) will isolate corporate administrative IT from operational plant machinery, permitting oversight data transfer while blocking direct remote manipulation. </w:t>
      </w:r>
    </w:p>
    <w:p w14:paraId="459605E7" w14:textId="77777777" w:rsidR="00F243A4" w:rsidRPr="00F243A4" w:rsidRDefault="00F243A4" w:rsidP="00F243A4">
      <w:pPr>
        <w:rPr>
          <w:b/>
          <w:bCs/>
        </w:rPr>
      </w:pPr>
      <w:r w:rsidRPr="00F243A4">
        <w:rPr>
          <w:b/>
          <w:bCs/>
        </w:rPr>
        <w:t>5.2 Multi-Factor Authentication Protocols</w:t>
      </w:r>
    </w:p>
    <w:p w14:paraId="276D3D72" w14:textId="77777777" w:rsidR="00F243A4" w:rsidRPr="00F243A4" w:rsidRDefault="00F243A4" w:rsidP="00F243A4">
      <w:r w:rsidRPr="00F243A4">
        <w:t xml:space="preserve">Multi-factor authentication (MFA) will be enforced universally across all remote portals, administrative accounts, and cloud environments. Requiring </w:t>
      </w:r>
      <w:proofErr w:type="gramStart"/>
      <w:r w:rsidRPr="00F243A4">
        <w:t>a secondary verification code alongside regular credentials</w:t>
      </w:r>
      <w:proofErr w:type="gramEnd"/>
      <w:r w:rsidRPr="00F243A4">
        <w:t xml:space="preserve"> neutralizes the impact of stolen passwords. </w:t>
      </w:r>
    </w:p>
    <w:p w14:paraId="24DAFFAE" w14:textId="77777777" w:rsidR="00F243A4" w:rsidRPr="00F243A4" w:rsidRDefault="00F243A4" w:rsidP="00F243A4">
      <w:pPr>
        <w:rPr>
          <w:b/>
          <w:bCs/>
        </w:rPr>
      </w:pPr>
      <w:r w:rsidRPr="00F243A4">
        <w:rPr>
          <w:b/>
          <w:bCs/>
        </w:rPr>
        <w:t>5.3 Endpoint Detection and Threat Response</w:t>
      </w:r>
    </w:p>
    <w:p w14:paraId="44624231" w14:textId="477C0468" w:rsidR="006E1DD2" w:rsidRPr="00F243A4" w:rsidRDefault="00F243A4" w:rsidP="00F243A4">
      <w:r w:rsidRPr="00F243A4">
        <w:t xml:space="preserve">Legacy antivirus software is insufficient against modern fileless threats. Deploying Endpoint Detection and Response (EDR) solutions across workstations and servers ensures continuous </w:t>
      </w:r>
      <w:proofErr w:type="spellStart"/>
      <w:r w:rsidRPr="00F243A4">
        <w:t>behavioral</w:t>
      </w:r>
      <w:proofErr w:type="spellEnd"/>
      <w:r w:rsidRPr="00F243A4">
        <w:t xml:space="preserve"> analysis, automatically isolating devices that exhibit abnormal mass-encryption patterns.</w:t>
      </w:r>
    </w:p>
    <w:p w14:paraId="1B548227" w14:textId="77777777" w:rsidR="00F243A4" w:rsidRPr="00EA6049" w:rsidRDefault="00F243A4" w:rsidP="00F243A4">
      <w:pPr>
        <w:rPr>
          <w:b/>
          <w:bCs/>
          <w:sz w:val="28"/>
          <w:szCs w:val="28"/>
        </w:rPr>
      </w:pPr>
      <w:r w:rsidRPr="00EA6049">
        <w:rPr>
          <w:b/>
          <w:bCs/>
          <w:sz w:val="28"/>
          <w:szCs w:val="28"/>
        </w:rPr>
        <w:lastRenderedPageBreak/>
        <w:t>6. Continuous Surveillance and Incident Handling</w:t>
      </w:r>
    </w:p>
    <w:p w14:paraId="1411C216" w14:textId="77777777" w:rsidR="00F243A4" w:rsidRPr="00F243A4" w:rsidRDefault="00F243A4" w:rsidP="00F243A4">
      <w:r w:rsidRPr="00F243A4">
        <w:t xml:space="preserve">Proactive safety requires unremitting network visibility and a methodical crisis response structure. </w:t>
      </w:r>
    </w:p>
    <w:p w14:paraId="084F92C3" w14:textId="77777777" w:rsidR="00F243A4" w:rsidRPr="00F243A4" w:rsidRDefault="00F243A4" w:rsidP="00F243A4">
      <w:pPr>
        <w:rPr>
          <w:b/>
          <w:bCs/>
        </w:rPr>
      </w:pPr>
      <w:r w:rsidRPr="00F243A4">
        <w:rPr>
          <w:b/>
          <w:bCs/>
        </w:rPr>
        <w:t>6.1 Real-Time Network Monitoring</w:t>
      </w:r>
    </w:p>
    <w:p w14:paraId="6FBDE69E" w14:textId="77777777" w:rsidR="00F243A4" w:rsidRPr="00F243A4" w:rsidRDefault="00F243A4" w:rsidP="00F243A4">
      <w:r w:rsidRPr="00F243A4">
        <w:t xml:space="preserve">A centralized Security Information and Event Management (SIEM) platform will aggregate logs from firewalls, IoT gateways, and cloud applications. Automated </w:t>
      </w:r>
      <w:proofErr w:type="spellStart"/>
      <w:r w:rsidRPr="00F243A4">
        <w:t>behavioral</w:t>
      </w:r>
      <w:proofErr w:type="spellEnd"/>
      <w:r w:rsidRPr="00F243A4">
        <w:t xml:space="preserve"> analytics will flag anomalies, such as massive data transfers occurring during off-hours. </w:t>
      </w:r>
    </w:p>
    <w:p w14:paraId="63451E31" w14:textId="77777777" w:rsidR="00F243A4" w:rsidRPr="00F243A4" w:rsidRDefault="00F243A4" w:rsidP="00F243A4">
      <w:pPr>
        <w:rPr>
          <w:b/>
          <w:bCs/>
        </w:rPr>
      </w:pPr>
      <w:r w:rsidRPr="00F243A4">
        <w:rPr>
          <w:b/>
          <w:bCs/>
        </w:rPr>
        <w:t>6.2 Incident Response Stages</w:t>
      </w:r>
    </w:p>
    <w:p w14:paraId="6DA4177D" w14:textId="77777777" w:rsidR="00F243A4" w:rsidRPr="00F243A4" w:rsidRDefault="00F243A4" w:rsidP="00F243A4">
      <w:r w:rsidRPr="00F243A4">
        <w:t xml:space="preserve">When security alerts trigger, technical teams will execute a structured crisis methodology </w:t>
      </w:r>
      <w:proofErr w:type="spellStart"/>
      <w:r w:rsidRPr="00F243A4">
        <w:t>modeled</w:t>
      </w:r>
      <w:proofErr w:type="spellEnd"/>
      <w:r w:rsidRPr="00F243A4">
        <w:t xml:space="preserve"> after NIST guidelines: </w:t>
      </w:r>
    </w:p>
    <w:p w14:paraId="4B260082" w14:textId="77777777" w:rsidR="00F243A4" w:rsidRPr="00F243A4" w:rsidRDefault="00F243A4" w:rsidP="00F243A4">
      <w:pPr>
        <w:numPr>
          <w:ilvl w:val="0"/>
          <w:numId w:val="11"/>
        </w:numPr>
      </w:pPr>
      <w:r w:rsidRPr="00F243A4">
        <w:rPr>
          <w:b/>
          <w:bCs/>
        </w:rPr>
        <w:t>Preparation:</w:t>
      </w:r>
      <w:r w:rsidRPr="00F243A4">
        <w:t xml:space="preserve"> Establishing response roles and verifying backup readiness ahead of time. </w:t>
      </w:r>
    </w:p>
    <w:p w14:paraId="0BEE5CDD" w14:textId="77777777" w:rsidR="00F243A4" w:rsidRPr="00F243A4" w:rsidRDefault="00F243A4" w:rsidP="00F243A4">
      <w:pPr>
        <w:numPr>
          <w:ilvl w:val="0"/>
          <w:numId w:val="11"/>
        </w:numPr>
      </w:pPr>
      <w:r w:rsidRPr="00F243A4">
        <w:rPr>
          <w:b/>
          <w:bCs/>
        </w:rPr>
        <w:t>Detection and Analysis:</w:t>
      </w:r>
      <w:r w:rsidRPr="00F243A4">
        <w:t xml:space="preserve"> Triage of alerts to determine breach validity and attack boundaries. </w:t>
      </w:r>
    </w:p>
    <w:p w14:paraId="526D3166" w14:textId="77777777" w:rsidR="00F243A4" w:rsidRPr="00F243A4" w:rsidRDefault="00F243A4" w:rsidP="00F243A4">
      <w:pPr>
        <w:numPr>
          <w:ilvl w:val="0"/>
          <w:numId w:val="11"/>
        </w:numPr>
      </w:pPr>
      <w:r w:rsidRPr="00F243A4">
        <w:rPr>
          <w:b/>
          <w:bCs/>
        </w:rPr>
        <w:t>Containment, Eradication, and Recovery:</w:t>
      </w:r>
      <w:r w:rsidRPr="00F243A4">
        <w:t xml:space="preserve"> Isolating affected nodes, stripping malicious code, patching software vulnerabilities, and restoring clean data from immutable archives. </w:t>
      </w:r>
    </w:p>
    <w:p w14:paraId="598A3BB4" w14:textId="296CDDA4" w:rsidR="00EA6049" w:rsidRDefault="00F243A4" w:rsidP="00EA6049">
      <w:pPr>
        <w:numPr>
          <w:ilvl w:val="0"/>
          <w:numId w:val="11"/>
        </w:numPr>
      </w:pPr>
      <w:r w:rsidRPr="00F243A4">
        <w:rPr>
          <w:b/>
          <w:bCs/>
        </w:rPr>
        <w:t>Post-Incident Review:</w:t>
      </w:r>
      <w:r w:rsidRPr="00F243A4">
        <w:t xml:space="preserve"> Conducting formal retrospective evaluations to strengthen future preventive controls. </w:t>
      </w:r>
    </w:p>
    <w:p w14:paraId="4488E57D" w14:textId="77777777" w:rsidR="00EA6049" w:rsidRPr="00F243A4" w:rsidRDefault="00EA6049" w:rsidP="00EA6049"/>
    <w:p w14:paraId="044DC206" w14:textId="77777777" w:rsidR="00F243A4" w:rsidRPr="00EA6049" w:rsidRDefault="00F243A4" w:rsidP="00F243A4">
      <w:pPr>
        <w:rPr>
          <w:b/>
          <w:bCs/>
          <w:sz w:val="28"/>
          <w:szCs w:val="28"/>
        </w:rPr>
      </w:pPr>
      <w:r w:rsidRPr="00EA6049">
        <w:rPr>
          <w:b/>
          <w:bCs/>
          <w:sz w:val="28"/>
          <w:szCs w:val="28"/>
        </w:rPr>
        <w:t>7. Workforce Education and Awareness Training</w:t>
      </w:r>
    </w:p>
    <w:p w14:paraId="361916F4" w14:textId="77777777" w:rsidR="00F243A4" w:rsidRPr="00F243A4" w:rsidRDefault="00F243A4" w:rsidP="00F243A4">
      <w:r w:rsidRPr="00F243A4">
        <w:t xml:space="preserve">Technological safeguards can easily be undermined if employees lack security awareness. </w:t>
      </w:r>
    </w:p>
    <w:p w14:paraId="7B926002" w14:textId="77777777" w:rsidR="00F243A4" w:rsidRPr="00F243A4" w:rsidRDefault="00F243A4" w:rsidP="00F243A4">
      <w:pPr>
        <w:rPr>
          <w:b/>
          <w:bCs/>
        </w:rPr>
      </w:pPr>
      <w:r w:rsidRPr="00F243A4">
        <w:rPr>
          <w:b/>
          <w:bCs/>
        </w:rPr>
        <w:t>7.1 Departmental Training Tracks</w:t>
      </w:r>
    </w:p>
    <w:p w14:paraId="397A36F8" w14:textId="77777777" w:rsidR="00F243A4" w:rsidRPr="00F243A4" w:rsidRDefault="00F243A4" w:rsidP="00F243A4">
      <w:r w:rsidRPr="00F243A4">
        <w:t xml:space="preserve">Security education will be tailored to job responsibilities. Procurement personnel will receive specialized training on spotting invoice fraud and social engineering indicators, while factory floor operators will be trained on physical IoT device security and the prohibition of unauthorized USB media. </w:t>
      </w:r>
    </w:p>
    <w:p w14:paraId="209BA6E1" w14:textId="77777777" w:rsidR="00F243A4" w:rsidRPr="00F243A4" w:rsidRDefault="00F243A4" w:rsidP="00F243A4">
      <w:pPr>
        <w:rPr>
          <w:b/>
          <w:bCs/>
        </w:rPr>
      </w:pPr>
      <w:r w:rsidRPr="00F243A4">
        <w:rPr>
          <w:b/>
          <w:bCs/>
        </w:rPr>
        <w:t>7.2 Phishing Drills and Security Culture</w:t>
      </w:r>
    </w:p>
    <w:p w14:paraId="0E5DD6F7" w14:textId="77777777" w:rsidR="00F243A4" w:rsidRDefault="00F243A4" w:rsidP="00F243A4">
      <w:r w:rsidRPr="00F243A4">
        <w:t xml:space="preserve">Unannounced monthly phishing simulations will measure organizational readiness. Rather than applying punitive measures, employees who falter during simulations will immediately receive targeted micro-learning modules to correct misunderstandings in a supportive environment. Cultivating a blame-free reporting culture encourages prompt notification of suspicious anomalies, significantly compressing the crucial window between initial compromise discovery and enterprise containment. </w:t>
      </w:r>
    </w:p>
    <w:p w14:paraId="66B4FD7F" w14:textId="77777777" w:rsidR="006E1DD2" w:rsidRDefault="006E1DD2" w:rsidP="00F243A4"/>
    <w:p w14:paraId="6AB9FE75" w14:textId="77777777" w:rsidR="006E1DD2" w:rsidRPr="00F243A4" w:rsidRDefault="006E1DD2" w:rsidP="00F243A4"/>
    <w:p w14:paraId="59710EFC" w14:textId="77777777" w:rsidR="006E1DD2" w:rsidRDefault="006E1DD2" w:rsidP="00F243A4">
      <w:pPr>
        <w:rPr>
          <w:b/>
          <w:bCs/>
          <w:sz w:val="28"/>
          <w:szCs w:val="28"/>
        </w:rPr>
      </w:pPr>
    </w:p>
    <w:p w14:paraId="410C714F" w14:textId="7BC1EB69" w:rsidR="00F243A4" w:rsidRDefault="00F243A4" w:rsidP="00F243A4">
      <w:pPr>
        <w:rPr>
          <w:b/>
          <w:bCs/>
          <w:sz w:val="28"/>
          <w:szCs w:val="28"/>
        </w:rPr>
      </w:pPr>
      <w:r w:rsidRPr="006E1DD2">
        <w:rPr>
          <w:b/>
          <w:bCs/>
          <w:sz w:val="28"/>
          <w:szCs w:val="28"/>
        </w:rPr>
        <w:lastRenderedPageBreak/>
        <w:t>8. Concluding Remarks</w:t>
      </w:r>
    </w:p>
    <w:p w14:paraId="0AB0A535" w14:textId="77777777" w:rsidR="006E1DD2" w:rsidRPr="006E1DD2" w:rsidRDefault="006E1DD2" w:rsidP="00F243A4">
      <w:pPr>
        <w:rPr>
          <w:b/>
          <w:bCs/>
          <w:sz w:val="28"/>
          <w:szCs w:val="28"/>
        </w:rPr>
      </w:pPr>
    </w:p>
    <w:p w14:paraId="6E267A36" w14:textId="61B07D14" w:rsidR="006E1DD2" w:rsidRPr="001453BF" w:rsidRDefault="001453BF" w:rsidP="001453BF">
      <w:r w:rsidRPr="001453BF">
        <w:t xml:space="preserve">The rapid evolution toward smart industrial environments has provided </w:t>
      </w:r>
      <w:proofErr w:type="spellStart"/>
      <w:r w:rsidRPr="001453BF">
        <w:t>SteelForm</w:t>
      </w:r>
      <w:proofErr w:type="spellEnd"/>
      <w:r w:rsidRPr="001453BF">
        <w:t xml:space="preserve"> Manufacturing with crucial market advantages, but it has simultaneously exposed the enterprise to complex vulnerabilities requiring a mature </w:t>
      </w:r>
      <w:proofErr w:type="spellStart"/>
      <w:r w:rsidRPr="001453BF">
        <w:t>defense</w:t>
      </w:r>
      <w:proofErr w:type="spellEnd"/>
      <w:r w:rsidRPr="001453BF">
        <w:t xml:space="preserve"> posture. By executing robust data governance, Zero Trust access controls, strict network segmentation, and real-time monitoring, the company can successfully shrink its attack surface. Furthermore, aligning organizational policies with structured international standards such as ISO/IEC 27001, the NIST Cybersecurity Framework, and IEC 62443 ensures that security measures keep pace with modern operational technology (OT) complexities and stringent regulatory requirements. </w:t>
      </w:r>
    </w:p>
    <w:p w14:paraId="34AF906E" w14:textId="29E2EE5B" w:rsidR="006E1DD2" w:rsidRDefault="001453BF">
      <w:r w:rsidRPr="001453BF">
        <w:t xml:space="preserve">Ultimately, pairing these advanced technical safeguards with continuous workforce education ensures that </w:t>
      </w:r>
      <w:proofErr w:type="spellStart"/>
      <w:r w:rsidRPr="001453BF">
        <w:t>SteelForm</w:t>
      </w:r>
      <w:proofErr w:type="spellEnd"/>
      <w:r w:rsidRPr="001453BF">
        <w:t xml:space="preserve"> protects its intellectual property, complies with data privacy laws, and safeguards the lasting trust of its industrial partners. As the cyber threat landscape continues to evolve alongside Industry 4.0 innovations, maintaining an adaptable, proactive security posture will serve as a core commercial enabler. This sustained commitment guarantees long-term operational resilience, production continuity, and commercial stability across all manufacturing operations. </w:t>
      </w:r>
    </w:p>
    <w:p w14:paraId="5F2229DB" w14:textId="77777777" w:rsidR="006E1DD2" w:rsidRDefault="006E1DD2"/>
    <w:p w14:paraId="47B2ED9C" w14:textId="77777777" w:rsidR="006E1DD2" w:rsidRDefault="006E1DD2"/>
    <w:p w14:paraId="1200FBBE" w14:textId="77777777" w:rsidR="006E1DD2" w:rsidRDefault="006E1DD2"/>
    <w:p w14:paraId="3A5A2503" w14:textId="77777777" w:rsidR="006E1DD2" w:rsidRDefault="006E1DD2"/>
    <w:p w14:paraId="61372733" w14:textId="77777777" w:rsidR="006E1DD2" w:rsidRDefault="006E1DD2"/>
    <w:p w14:paraId="2569DE02" w14:textId="77777777" w:rsidR="006E1DD2" w:rsidRDefault="006E1DD2"/>
    <w:p w14:paraId="086863D7" w14:textId="77777777" w:rsidR="006E1DD2" w:rsidRDefault="006E1DD2"/>
    <w:p w14:paraId="2FB36529" w14:textId="77777777" w:rsidR="006E1DD2" w:rsidRDefault="006E1DD2"/>
    <w:p w14:paraId="025F9A49" w14:textId="77777777" w:rsidR="006E1DD2" w:rsidRDefault="006E1DD2"/>
    <w:p w14:paraId="4B24FBAD" w14:textId="77777777" w:rsidR="006E1DD2" w:rsidRDefault="006E1DD2"/>
    <w:p w14:paraId="4B105D16" w14:textId="77777777" w:rsidR="006E1DD2" w:rsidRDefault="006E1DD2"/>
    <w:p w14:paraId="3B41279D" w14:textId="77777777" w:rsidR="006E1DD2" w:rsidRDefault="006E1DD2"/>
    <w:p w14:paraId="16FC7D86" w14:textId="77777777" w:rsidR="006E1DD2" w:rsidRDefault="006E1DD2"/>
    <w:p w14:paraId="0C82EE13" w14:textId="77777777" w:rsidR="006E1DD2" w:rsidRDefault="006E1DD2"/>
    <w:p w14:paraId="4F78F8FA" w14:textId="77777777" w:rsidR="006E1DD2" w:rsidRDefault="006E1DD2"/>
    <w:p w14:paraId="3023BB4B" w14:textId="77777777" w:rsidR="006E1DD2" w:rsidRDefault="006E1DD2"/>
    <w:p w14:paraId="3737D899" w14:textId="77777777" w:rsidR="006E1DD2" w:rsidRDefault="006E1DD2"/>
    <w:p w14:paraId="026A35C2" w14:textId="77777777" w:rsidR="006E1DD2" w:rsidRPr="006E1DD2" w:rsidRDefault="006E1DD2"/>
    <w:p w14:paraId="3AC3AA67" w14:textId="77777777" w:rsidR="006E1DD2" w:rsidRPr="006E1DD2" w:rsidRDefault="006E1DD2" w:rsidP="006E1DD2">
      <w:pPr>
        <w:rPr>
          <w:b/>
          <w:bCs/>
          <w:sz w:val="28"/>
          <w:szCs w:val="28"/>
        </w:rPr>
      </w:pPr>
      <w:r w:rsidRPr="006E1DD2">
        <w:rPr>
          <w:b/>
          <w:bCs/>
          <w:sz w:val="28"/>
          <w:szCs w:val="28"/>
        </w:rPr>
        <w:lastRenderedPageBreak/>
        <w:t>9. References</w:t>
      </w:r>
    </w:p>
    <w:p w14:paraId="7F6D0961" w14:textId="77777777" w:rsidR="006E1DD2" w:rsidRPr="006E1DD2" w:rsidRDefault="006E1DD2" w:rsidP="006E1DD2">
      <w:pPr>
        <w:numPr>
          <w:ilvl w:val="0"/>
          <w:numId w:val="13"/>
        </w:numPr>
      </w:pPr>
      <w:r w:rsidRPr="006E1DD2">
        <w:t xml:space="preserve">International Organization for Standardization. (2022). </w:t>
      </w:r>
      <w:r w:rsidRPr="006E1DD2">
        <w:rPr>
          <w:i/>
          <w:iCs/>
        </w:rPr>
        <w:t>ISO/IEC 27001:2022 Information security, cybersecurity and privacy protection — Information security management systems — Requirements</w:t>
      </w:r>
      <w:r w:rsidRPr="006E1DD2">
        <w:t>. ISO.</w:t>
      </w:r>
    </w:p>
    <w:p w14:paraId="150DD7E2" w14:textId="77777777" w:rsidR="006E1DD2" w:rsidRPr="006E1DD2" w:rsidRDefault="006E1DD2" w:rsidP="006E1DD2">
      <w:pPr>
        <w:numPr>
          <w:ilvl w:val="0"/>
          <w:numId w:val="13"/>
        </w:numPr>
      </w:pPr>
      <w:r w:rsidRPr="006E1DD2">
        <w:t xml:space="preserve">National Institute of Standards and Technology. (2012). </w:t>
      </w:r>
      <w:r w:rsidRPr="006E1DD2">
        <w:rPr>
          <w:i/>
          <w:iCs/>
        </w:rPr>
        <w:t>Computer Security Incident Handling Guide</w:t>
      </w:r>
      <w:r w:rsidRPr="006E1DD2">
        <w:t xml:space="preserve"> (NIST Special Publication 800-61 Revision 2). U.S. Department of Commerce.</w:t>
      </w:r>
    </w:p>
    <w:p w14:paraId="4F1FC680" w14:textId="77777777" w:rsidR="006E1DD2" w:rsidRPr="006E1DD2" w:rsidRDefault="006E1DD2" w:rsidP="006E1DD2">
      <w:pPr>
        <w:numPr>
          <w:ilvl w:val="0"/>
          <w:numId w:val="13"/>
        </w:numPr>
      </w:pPr>
      <w:r w:rsidRPr="006E1DD2">
        <w:t xml:space="preserve">National Institute of Standards and Technology. (2015). </w:t>
      </w:r>
      <w:r w:rsidRPr="006E1DD2">
        <w:rPr>
          <w:i/>
          <w:iCs/>
        </w:rPr>
        <w:t>Guide to Industrial Control Systems (ICS) Security</w:t>
      </w:r>
      <w:r w:rsidRPr="006E1DD2">
        <w:t xml:space="preserve"> (NIST Special Publication 800-82 Revision 2). U.S. Department of Commerce.</w:t>
      </w:r>
    </w:p>
    <w:p w14:paraId="110F0EB2" w14:textId="77777777" w:rsidR="006E1DD2" w:rsidRPr="006E1DD2" w:rsidRDefault="006E1DD2" w:rsidP="006E1DD2">
      <w:pPr>
        <w:numPr>
          <w:ilvl w:val="0"/>
          <w:numId w:val="13"/>
        </w:numPr>
      </w:pPr>
      <w:r w:rsidRPr="006E1DD2">
        <w:t xml:space="preserve">International Society of Automation / International Electrotechnical Commission. (2022). </w:t>
      </w:r>
      <w:r w:rsidRPr="006E1DD2">
        <w:rPr>
          <w:i/>
          <w:iCs/>
        </w:rPr>
        <w:t>IEC 62443: Security for industrial automation and control systems</w:t>
      </w:r>
      <w:r w:rsidRPr="006E1DD2">
        <w:t>. IEC.</w:t>
      </w:r>
    </w:p>
    <w:p w14:paraId="09B36F40" w14:textId="77777777" w:rsidR="006E1DD2" w:rsidRPr="006E1DD2" w:rsidRDefault="006E1DD2" w:rsidP="006E1DD2">
      <w:pPr>
        <w:numPr>
          <w:ilvl w:val="0"/>
          <w:numId w:val="13"/>
        </w:numPr>
      </w:pPr>
      <w:r w:rsidRPr="006E1DD2">
        <w:t xml:space="preserve">European Parliament and Council of the European Union. (2016). </w:t>
      </w:r>
      <w:r w:rsidRPr="006E1DD2">
        <w:rPr>
          <w:i/>
          <w:iCs/>
        </w:rPr>
        <w:t xml:space="preserve">Regulation (EU) 2016/679 of the European Parliament and of the Council on the protection of natural persons </w:t>
      </w:r>
      <w:proofErr w:type="gramStart"/>
      <w:r w:rsidRPr="006E1DD2">
        <w:rPr>
          <w:i/>
          <w:iCs/>
        </w:rPr>
        <w:t>with regard to</w:t>
      </w:r>
      <w:proofErr w:type="gramEnd"/>
      <w:r w:rsidRPr="006E1DD2">
        <w:rPr>
          <w:i/>
          <w:iCs/>
        </w:rPr>
        <w:t xml:space="preserve"> the processing of personal data and on the free movement of such data (General Data Protection Regulation)</w:t>
      </w:r>
      <w:r w:rsidRPr="006E1DD2">
        <w:t>. Official Journal of the European Union.</w:t>
      </w:r>
    </w:p>
    <w:p w14:paraId="43BFA0A6" w14:textId="77777777" w:rsidR="006E1DD2" w:rsidRPr="006E1DD2" w:rsidRDefault="006E1DD2" w:rsidP="006E1DD2">
      <w:pPr>
        <w:numPr>
          <w:ilvl w:val="0"/>
          <w:numId w:val="13"/>
        </w:numPr>
      </w:pPr>
      <w:r w:rsidRPr="006E1DD2">
        <w:t xml:space="preserve">Reed, A. (2024). Operational Constraints and Cybersecurity Challenges in Modern Industrial Sectors. </w:t>
      </w:r>
      <w:r w:rsidRPr="006E1DD2">
        <w:rPr>
          <w:i/>
          <w:iCs/>
        </w:rPr>
        <w:t>Journal of Manufacturing Technology Security</w:t>
      </w:r>
      <w:r w:rsidRPr="006E1DD2">
        <w:t xml:space="preserve">, 18(2), pp. 112-128. </w:t>
      </w:r>
    </w:p>
    <w:p w14:paraId="2982D533" w14:textId="77777777" w:rsidR="006E1DD2" w:rsidRPr="006E1DD2" w:rsidRDefault="006E1DD2" w:rsidP="006E1DD2">
      <w:pPr>
        <w:numPr>
          <w:ilvl w:val="0"/>
          <w:numId w:val="13"/>
        </w:numPr>
      </w:pPr>
      <w:r w:rsidRPr="006E1DD2">
        <w:t xml:space="preserve">Peltier, T. R. (2016). </w:t>
      </w:r>
      <w:r w:rsidRPr="006E1DD2">
        <w:rPr>
          <w:i/>
          <w:iCs/>
        </w:rPr>
        <w:t>Information Security Policies, Procedures, and Standards: Guidelines for Effective Information Security Management</w:t>
      </w:r>
      <w:r w:rsidRPr="006E1DD2">
        <w:t xml:space="preserve">. CRC Press. </w:t>
      </w:r>
    </w:p>
    <w:p w14:paraId="1B39D7A7" w14:textId="77777777" w:rsidR="006E1DD2" w:rsidRPr="006E1DD2" w:rsidRDefault="006E1DD2" w:rsidP="006E1DD2">
      <w:pPr>
        <w:numPr>
          <w:ilvl w:val="0"/>
          <w:numId w:val="13"/>
        </w:numPr>
      </w:pPr>
      <w:r w:rsidRPr="006E1DD2">
        <w:t xml:space="preserve">Stouffer, K., Pillitteri, V., Lightman, S., Abrams, M., &amp; Hahn, A. (2015). </w:t>
      </w:r>
      <w:r w:rsidRPr="006E1DD2">
        <w:rPr>
          <w:i/>
          <w:iCs/>
        </w:rPr>
        <w:t>Guide to Industrial Control Systems (ICS) Security</w:t>
      </w:r>
      <w:r w:rsidRPr="006E1DD2">
        <w:t>. NIST Special Publication 800-82, Revision 2. National Institute of Standards and Technology.</w:t>
      </w:r>
    </w:p>
    <w:p w14:paraId="1512D825" w14:textId="77777777" w:rsidR="006E1DD2" w:rsidRPr="006E1DD2" w:rsidRDefault="006E1DD2" w:rsidP="006E1DD2">
      <w:pPr>
        <w:numPr>
          <w:ilvl w:val="0"/>
          <w:numId w:val="13"/>
        </w:numPr>
      </w:pPr>
      <w:r w:rsidRPr="006E1DD2">
        <w:t xml:space="preserve">Nankya, M., </w:t>
      </w:r>
      <w:proofErr w:type="spellStart"/>
      <w:r w:rsidRPr="006E1DD2">
        <w:t>Chataut</w:t>
      </w:r>
      <w:proofErr w:type="spellEnd"/>
      <w:r w:rsidRPr="006E1DD2">
        <w:t xml:space="preserve">, R., &amp; Akl, R. (2023). Securing Industrial Control Systems: Components, Cyber Threats, and Machine Learning-Driven </w:t>
      </w:r>
      <w:proofErr w:type="spellStart"/>
      <w:r w:rsidRPr="006E1DD2">
        <w:t>Defense</w:t>
      </w:r>
      <w:proofErr w:type="spellEnd"/>
      <w:r w:rsidRPr="006E1DD2">
        <w:t xml:space="preserve"> Strategies. </w:t>
      </w:r>
      <w:r w:rsidRPr="006E1DD2">
        <w:rPr>
          <w:i/>
          <w:iCs/>
        </w:rPr>
        <w:t>PMC (PubMed Central)</w:t>
      </w:r>
      <w:r w:rsidRPr="006E1DD2">
        <w:t>.</w:t>
      </w:r>
    </w:p>
    <w:p w14:paraId="6832FC9A" w14:textId="77777777" w:rsidR="006E1DD2" w:rsidRDefault="006E1DD2">
      <w:pPr>
        <w:rPr>
          <w:b/>
          <w:bCs/>
        </w:rPr>
      </w:pPr>
    </w:p>
    <w:p w14:paraId="452EFD8B" w14:textId="77777777" w:rsidR="006E1DD2" w:rsidRDefault="006E1DD2">
      <w:pPr>
        <w:rPr>
          <w:b/>
          <w:bCs/>
        </w:rPr>
      </w:pPr>
    </w:p>
    <w:p w14:paraId="0DCD616A" w14:textId="77777777" w:rsidR="0068450F" w:rsidRDefault="0068450F">
      <w:pPr>
        <w:rPr>
          <w:b/>
          <w:bCs/>
        </w:rPr>
      </w:pPr>
    </w:p>
    <w:p w14:paraId="0A0C4E27" w14:textId="77777777" w:rsidR="0068450F" w:rsidRDefault="0068450F">
      <w:pPr>
        <w:rPr>
          <w:b/>
          <w:bCs/>
        </w:rPr>
      </w:pPr>
    </w:p>
    <w:p w14:paraId="5BA99549" w14:textId="77777777" w:rsidR="0068450F" w:rsidRDefault="0068450F">
      <w:pPr>
        <w:rPr>
          <w:b/>
          <w:bCs/>
        </w:rPr>
      </w:pPr>
    </w:p>
    <w:p w14:paraId="53D8D7F3" w14:textId="77777777" w:rsidR="0068450F" w:rsidRDefault="0068450F">
      <w:pPr>
        <w:rPr>
          <w:b/>
          <w:bCs/>
        </w:rPr>
      </w:pPr>
    </w:p>
    <w:p w14:paraId="24A869EE" w14:textId="77777777" w:rsidR="0068450F" w:rsidRDefault="0068450F">
      <w:pPr>
        <w:rPr>
          <w:b/>
          <w:bCs/>
        </w:rPr>
      </w:pPr>
    </w:p>
    <w:p w14:paraId="209A687B" w14:textId="77777777" w:rsidR="0068450F" w:rsidRDefault="0068450F">
      <w:pPr>
        <w:rPr>
          <w:b/>
          <w:bCs/>
        </w:rPr>
      </w:pPr>
    </w:p>
    <w:p w14:paraId="44E4F365" w14:textId="77777777" w:rsidR="0068450F" w:rsidRDefault="0068450F">
      <w:pPr>
        <w:rPr>
          <w:b/>
          <w:bCs/>
        </w:rPr>
      </w:pPr>
    </w:p>
    <w:p w14:paraId="06175E84" w14:textId="77777777" w:rsidR="0068450F" w:rsidRDefault="0068450F">
      <w:pPr>
        <w:rPr>
          <w:b/>
          <w:bCs/>
        </w:rPr>
      </w:pPr>
    </w:p>
    <w:p w14:paraId="72B14D37" w14:textId="43828E3C" w:rsidR="0068450F" w:rsidRDefault="0068450F">
      <w:pPr>
        <w:rPr>
          <w:b/>
          <w:bCs/>
          <w:sz w:val="36"/>
          <w:szCs w:val="36"/>
        </w:rPr>
      </w:pPr>
      <w:r w:rsidRPr="0068450F">
        <w:rPr>
          <w:b/>
          <w:bCs/>
          <w:sz w:val="36"/>
          <w:szCs w:val="36"/>
        </w:rPr>
        <w:lastRenderedPageBreak/>
        <w:t>Appendix</w:t>
      </w:r>
    </w:p>
    <w:p w14:paraId="78B698E2" w14:textId="77777777" w:rsidR="00904E74" w:rsidRDefault="00904E74">
      <w:pPr>
        <w:rPr>
          <w:b/>
          <w:bCs/>
          <w:sz w:val="36"/>
          <w:szCs w:val="36"/>
        </w:rPr>
      </w:pPr>
    </w:p>
    <w:p w14:paraId="5CE6A4A3" w14:textId="17ACD2F6" w:rsidR="0068450F" w:rsidRPr="0068450F" w:rsidRDefault="0068450F">
      <w:pPr>
        <w:rPr>
          <w:b/>
          <w:bCs/>
          <w:sz w:val="36"/>
          <w:szCs w:val="36"/>
        </w:rPr>
      </w:pPr>
      <w:r>
        <w:rPr>
          <w:b/>
          <w:bCs/>
          <w:noProof/>
          <w:sz w:val="36"/>
          <w:szCs w:val="36"/>
        </w:rPr>
        <w:drawing>
          <wp:inline distT="0" distB="0" distL="0" distR="0" wp14:anchorId="5C25F810" wp14:editId="3650FAF3">
            <wp:extent cx="5731510" cy="4298315"/>
            <wp:effectExtent l="0" t="0" r="2540" b="6985"/>
            <wp:docPr id="168040672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406722" name="Picture 1680406722"/>
                    <pic:cNvPicPr/>
                  </pic:nvPicPr>
                  <pic:blipFill>
                    <a:blip r:embed="rId9">
                      <a:extLst>
                        <a:ext uri="{28A0092B-C50C-407E-A947-70E740481C1C}">
                          <a14:useLocalDpi xmlns:a14="http://schemas.microsoft.com/office/drawing/2010/main" val="0"/>
                        </a:ext>
                      </a:extLst>
                    </a:blip>
                    <a:stretch>
                      <a:fillRect/>
                    </a:stretch>
                  </pic:blipFill>
                  <pic:spPr>
                    <a:xfrm>
                      <a:off x="0" y="0"/>
                      <a:ext cx="5731510" cy="4298315"/>
                    </a:xfrm>
                    <a:prstGeom prst="rect">
                      <a:avLst/>
                    </a:prstGeom>
                  </pic:spPr>
                </pic:pic>
              </a:graphicData>
            </a:graphic>
          </wp:inline>
        </w:drawing>
      </w:r>
    </w:p>
    <w:p w14:paraId="3D1C614D" w14:textId="77777777" w:rsidR="006E1DD2" w:rsidRDefault="006E1DD2">
      <w:pPr>
        <w:rPr>
          <w:b/>
          <w:bCs/>
        </w:rPr>
      </w:pPr>
    </w:p>
    <w:p w14:paraId="5EC1C731" w14:textId="77777777" w:rsidR="006E1DD2" w:rsidRDefault="006E1DD2">
      <w:pPr>
        <w:rPr>
          <w:b/>
          <w:bCs/>
        </w:rPr>
      </w:pPr>
    </w:p>
    <w:p w14:paraId="326DA95E" w14:textId="77777777" w:rsidR="003001CB" w:rsidRPr="003001CB" w:rsidRDefault="003001CB" w:rsidP="003001CB">
      <w:pPr>
        <w:rPr>
          <w:b/>
          <w:bCs/>
          <w:sz w:val="28"/>
          <w:szCs w:val="28"/>
        </w:rPr>
      </w:pPr>
      <w:r w:rsidRPr="003001CB">
        <w:rPr>
          <w:b/>
          <w:bCs/>
          <w:sz w:val="28"/>
          <w:szCs w:val="28"/>
        </w:rPr>
        <w:t>Slide 1: Title Slide</w:t>
      </w:r>
    </w:p>
    <w:p w14:paraId="340753DD" w14:textId="77777777" w:rsidR="003001CB" w:rsidRPr="00904E74" w:rsidRDefault="003001CB" w:rsidP="003001CB">
      <w:proofErr w:type="spellStart"/>
      <w:r w:rsidRPr="00904E74">
        <w:t>SteelForm</w:t>
      </w:r>
      <w:proofErr w:type="spellEnd"/>
      <w:r w:rsidRPr="00904E74">
        <w:t xml:space="preserve"> Manufacturing operates within a rapidly evolving digital ecosystem where the integration of modern industrial technologies necessitates a robust information protection strategy. This presentation outlines a comprehensive </w:t>
      </w:r>
      <w:proofErr w:type="spellStart"/>
      <w:r w:rsidRPr="00904E74">
        <w:t>defense</w:t>
      </w:r>
      <w:proofErr w:type="spellEnd"/>
      <w:r w:rsidRPr="00904E74">
        <w:t xml:space="preserve"> architecture designed to safeguard enterprise assets, ensure regulatory compliance, and mitigate complex cyber risks across all manufacturing operations.</w:t>
      </w:r>
    </w:p>
    <w:p w14:paraId="69316F25" w14:textId="77777777" w:rsidR="003001CB" w:rsidRDefault="003001CB" w:rsidP="003001CB">
      <w:pPr>
        <w:rPr>
          <w:b/>
          <w:bCs/>
        </w:rPr>
      </w:pPr>
    </w:p>
    <w:p w14:paraId="169DF044" w14:textId="77777777" w:rsidR="003001CB" w:rsidRDefault="003001CB" w:rsidP="003001CB">
      <w:pPr>
        <w:rPr>
          <w:b/>
          <w:bCs/>
        </w:rPr>
      </w:pPr>
    </w:p>
    <w:p w14:paraId="47003CC4" w14:textId="77777777" w:rsidR="003001CB" w:rsidRDefault="003001CB" w:rsidP="003001CB">
      <w:pPr>
        <w:rPr>
          <w:b/>
          <w:bCs/>
        </w:rPr>
      </w:pPr>
    </w:p>
    <w:p w14:paraId="6F924EEE" w14:textId="77777777" w:rsidR="003001CB" w:rsidRDefault="003001CB" w:rsidP="003001CB">
      <w:pPr>
        <w:rPr>
          <w:b/>
          <w:bCs/>
        </w:rPr>
      </w:pPr>
    </w:p>
    <w:p w14:paraId="024C251D" w14:textId="77777777" w:rsidR="003001CB" w:rsidRDefault="003001CB" w:rsidP="003001CB">
      <w:pPr>
        <w:rPr>
          <w:b/>
          <w:bCs/>
        </w:rPr>
      </w:pPr>
    </w:p>
    <w:p w14:paraId="1AA770AB" w14:textId="77777777" w:rsidR="003001CB" w:rsidRDefault="003001CB" w:rsidP="003001CB">
      <w:pPr>
        <w:rPr>
          <w:b/>
          <w:bCs/>
        </w:rPr>
      </w:pPr>
    </w:p>
    <w:p w14:paraId="45EFFA94" w14:textId="77777777" w:rsidR="003001CB" w:rsidRDefault="003001CB" w:rsidP="003001CB">
      <w:pPr>
        <w:rPr>
          <w:b/>
          <w:bCs/>
        </w:rPr>
      </w:pPr>
    </w:p>
    <w:p w14:paraId="44E4E0FB" w14:textId="2B0F93A1" w:rsidR="003001CB" w:rsidRDefault="003001CB" w:rsidP="003001CB">
      <w:pPr>
        <w:rPr>
          <w:b/>
          <w:bCs/>
        </w:rPr>
      </w:pPr>
      <w:r>
        <w:rPr>
          <w:b/>
          <w:bCs/>
          <w:noProof/>
        </w:rPr>
        <w:drawing>
          <wp:inline distT="0" distB="0" distL="0" distR="0" wp14:anchorId="0F9F533E" wp14:editId="580046C6">
            <wp:extent cx="5731510" cy="4298315"/>
            <wp:effectExtent l="0" t="0" r="2540" b="6985"/>
            <wp:docPr id="155464990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649902" name="Picture 1554649902"/>
                    <pic:cNvPicPr/>
                  </pic:nvPicPr>
                  <pic:blipFill>
                    <a:blip r:embed="rId10">
                      <a:extLst>
                        <a:ext uri="{28A0092B-C50C-407E-A947-70E740481C1C}">
                          <a14:useLocalDpi xmlns:a14="http://schemas.microsoft.com/office/drawing/2010/main" val="0"/>
                        </a:ext>
                      </a:extLst>
                    </a:blip>
                    <a:stretch>
                      <a:fillRect/>
                    </a:stretch>
                  </pic:blipFill>
                  <pic:spPr>
                    <a:xfrm>
                      <a:off x="0" y="0"/>
                      <a:ext cx="5731510" cy="4298315"/>
                    </a:xfrm>
                    <a:prstGeom prst="rect">
                      <a:avLst/>
                    </a:prstGeom>
                  </pic:spPr>
                </pic:pic>
              </a:graphicData>
            </a:graphic>
          </wp:inline>
        </w:drawing>
      </w:r>
    </w:p>
    <w:p w14:paraId="522AFC9D" w14:textId="77777777" w:rsidR="003001CB" w:rsidRDefault="003001CB" w:rsidP="003001CB">
      <w:pPr>
        <w:rPr>
          <w:b/>
          <w:bCs/>
        </w:rPr>
      </w:pPr>
    </w:p>
    <w:p w14:paraId="2F2BA0EC" w14:textId="77777777" w:rsidR="003C324C" w:rsidRPr="003C324C" w:rsidRDefault="003C324C" w:rsidP="003C324C">
      <w:pPr>
        <w:rPr>
          <w:b/>
          <w:bCs/>
          <w:sz w:val="28"/>
          <w:szCs w:val="28"/>
        </w:rPr>
      </w:pPr>
      <w:r w:rsidRPr="003C324C">
        <w:rPr>
          <w:b/>
          <w:bCs/>
          <w:sz w:val="28"/>
          <w:szCs w:val="28"/>
        </w:rPr>
        <w:t>Slide 2: Operational Scope &amp; Industrial Evolution</w:t>
      </w:r>
    </w:p>
    <w:p w14:paraId="37C957A6" w14:textId="77777777" w:rsidR="003C324C" w:rsidRPr="00904E74" w:rsidRDefault="003C324C" w:rsidP="003C324C">
      <w:proofErr w:type="spellStart"/>
      <w:r w:rsidRPr="00904E74">
        <w:t>SteelForm</w:t>
      </w:r>
      <w:proofErr w:type="spellEnd"/>
      <w:r w:rsidRPr="00904E74">
        <w:t xml:space="preserve"> Manufacturing specializes in delivering custom structural components for highly demanding automotive and aerospace markets. The adoption of Industry 4.0 paradigms involves the deployment of Internet of Things (IoT) data nodes, cloud-hosted production managers, and computer numerical control (CNC) automation. However, eliminating traditional air gaps to streamline data flow exposes the physical factory floor to enterprise network threat vectors.</w:t>
      </w:r>
    </w:p>
    <w:p w14:paraId="21C75B2B" w14:textId="77777777" w:rsidR="003001CB" w:rsidRPr="003001CB" w:rsidRDefault="003001CB" w:rsidP="003001CB">
      <w:pPr>
        <w:rPr>
          <w:b/>
          <w:bCs/>
        </w:rPr>
      </w:pPr>
    </w:p>
    <w:p w14:paraId="614FC00C" w14:textId="77777777" w:rsidR="006E1DD2" w:rsidRDefault="006E1DD2">
      <w:pPr>
        <w:rPr>
          <w:b/>
          <w:bCs/>
        </w:rPr>
      </w:pPr>
    </w:p>
    <w:p w14:paraId="6D885571" w14:textId="77777777" w:rsidR="003C324C" w:rsidRDefault="003C324C">
      <w:pPr>
        <w:rPr>
          <w:b/>
          <w:bCs/>
        </w:rPr>
      </w:pPr>
    </w:p>
    <w:p w14:paraId="78953B6C" w14:textId="77777777" w:rsidR="003C324C" w:rsidRDefault="003C324C">
      <w:pPr>
        <w:rPr>
          <w:b/>
          <w:bCs/>
        </w:rPr>
      </w:pPr>
    </w:p>
    <w:p w14:paraId="288B9F17" w14:textId="77777777" w:rsidR="003C324C" w:rsidRDefault="003C324C">
      <w:pPr>
        <w:rPr>
          <w:b/>
          <w:bCs/>
        </w:rPr>
      </w:pPr>
    </w:p>
    <w:p w14:paraId="618519CC" w14:textId="77777777" w:rsidR="003C324C" w:rsidRDefault="003C324C">
      <w:pPr>
        <w:rPr>
          <w:b/>
          <w:bCs/>
        </w:rPr>
      </w:pPr>
    </w:p>
    <w:p w14:paraId="6B807166" w14:textId="77777777" w:rsidR="003C324C" w:rsidRDefault="003C324C">
      <w:pPr>
        <w:rPr>
          <w:b/>
          <w:bCs/>
        </w:rPr>
      </w:pPr>
    </w:p>
    <w:p w14:paraId="2F70AB35" w14:textId="77777777" w:rsidR="003C324C" w:rsidRDefault="003C324C">
      <w:pPr>
        <w:rPr>
          <w:b/>
          <w:bCs/>
        </w:rPr>
      </w:pPr>
    </w:p>
    <w:p w14:paraId="094799F9" w14:textId="77777777" w:rsidR="003C324C" w:rsidRDefault="003C324C">
      <w:pPr>
        <w:rPr>
          <w:b/>
          <w:bCs/>
        </w:rPr>
      </w:pPr>
    </w:p>
    <w:p w14:paraId="3683A8C8" w14:textId="2910DC0D" w:rsidR="003C324C" w:rsidRDefault="003C324C">
      <w:pPr>
        <w:rPr>
          <w:b/>
          <w:bCs/>
        </w:rPr>
      </w:pPr>
      <w:r>
        <w:rPr>
          <w:b/>
          <w:bCs/>
          <w:noProof/>
        </w:rPr>
        <w:drawing>
          <wp:inline distT="0" distB="0" distL="0" distR="0" wp14:anchorId="06D69473" wp14:editId="79104C46">
            <wp:extent cx="5731510" cy="4298315"/>
            <wp:effectExtent l="0" t="0" r="2540" b="6985"/>
            <wp:docPr id="120879711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797110" name="Picture 1208797110"/>
                    <pic:cNvPicPr/>
                  </pic:nvPicPr>
                  <pic:blipFill>
                    <a:blip r:embed="rId11">
                      <a:extLst>
                        <a:ext uri="{28A0092B-C50C-407E-A947-70E740481C1C}">
                          <a14:useLocalDpi xmlns:a14="http://schemas.microsoft.com/office/drawing/2010/main" val="0"/>
                        </a:ext>
                      </a:extLst>
                    </a:blip>
                    <a:stretch>
                      <a:fillRect/>
                    </a:stretch>
                  </pic:blipFill>
                  <pic:spPr>
                    <a:xfrm>
                      <a:off x="0" y="0"/>
                      <a:ext cx="5731510" cy="4298315"/>
                    </a:xfrm>
                    <a:prstGeom prst="rect">
                      <a:avLst/>
                    </a:prstGeom>
                  </pic:spPr>
                </pic:pic>
              </a:graphicData>
            </a:graphic>
          </wp:inline>
        </w:drawing>
      </w:r>
    </w:p>
    <w:p w14:paraId="35CA9423" w14:textId="77777777" w:rsidR="003C324C" w:rsidRDefault="003C324C">
      <w:pPr>
        <w:rPr>
          <w:b/>
          <w:bCs/>
        </w:rPr>
      </w:pPr>
    </w:p>
    <w:p w14:paraId="54606C34" w14:textId="77777777" w:rsidR="00746E1D" w:rsidRPr="00746E1D" w:rsidRDefault="00746E1D" w:rsidP="00746E1D">
      <w:pPr>
        <w:rPr>
          <w:b/>
          <w:bCs/>
          <w:sz w:val="28"/>
          <w:szCs w:val="28"/>
        </w:rPr>
      </w:pPr>
      <w:r w:rsidRPr="00746E1D">
        <w:rPr>
          <w:b/>
          <w:bCs/>
          <w:sz w:val="28"/>
          <w:szCs w:val="28"/>
        </w:rPr>
        <w:t>Slide 3: Compliance Standards &amp; Theoretical Models</w:t>
      </w:r>
    </w:p>
    <w:p w14:paraId="1223DBCA" w14:textId="77777777" w:rsidR="00746E1D" w:rsidRPr="00904E74" w:rsidRDefault="00746E1D" w:rsidP="00746E1D">
      <w:r w:rsidRPr="00904E74">
        <w:t>The defensive framework is anchored by the CIA Triad, preserving the confidentiality of aerospace schematics, the integrity of machine tool commands, and the availability of production lines. Organizational compliance requires strict adherence to General Data Protection Regulation (GDPR) data privacy mandates. Furthermore, operations are aligned with internationally recognized benchmarks, operationalizing ISO/IEC 27001, IEC 62443, and the NIST security frameworks.</w:t>
      </w:r>
    </w:p>
    <w:p w14:paraId="54A2CBD3" w14:textId="77777777" w:rsidR="00746E1D" w:rsidRDefault="00746E1D" w:rsidP="00746E1D">
      <w:pPr>
        <w:rPr>
          <w:b/>
          <w:bCs/>
        </w:rPr>
      </w:pPr>
    </w:p>
    <w:p w14:paraId="2BCAB9D4" w14:textId="77777777" w:rsidR="00746E1D" w:rsidRDefault="00746E1D" w:rsidP="00746E1D">
      <w:pPr>
        <w:rPr>
          <w:b/>
          <w:bCs/>
        </w:rPr>
      </w:pPr>
    </w:p>
    <w:p w14:paraId="6E43F102" w14:textId="77777777" w:rsidR="00746E1D" w:rsidRDefault="00746E1D" w:rsidP="00746E1D">
      <w:pPr>
        <w:rPr>
          <w:b/>
          <w:bCs/>
        </w:rPr>
      </w:pPr>
    </w:p>
    <w:p w14:paraId="7316ADAD" w14:textId="77777777" w:rsidR="00746E1D" w:rsidRDefault="00746E1D" w:rsidP="00746E1D">
      <w:pPr>
        <w:rPr>
          <w:b/>
          <w:bCs/>
        </w:rPr>
      </w:pPr>
    </w:p>
    <w:p w14:paraId="69CE5629" w14:textId="77777777" w:rsidR="00746E1D" w:rsidRDefault="00746E1D" w:rsidP="00746E1D">
      <w:pPr>
        <w:rPr>
          <w:b/>
          <w:bCs/>
        </w:rPr>
      </w:pPr>
    </w:p>
    <w:p w14:paraId="59F733C8" w14:textId="77777777" w:rsidR="00746E1D" w:rsidRDefault="00746E1D" w:rsidP="00746E1D">
      <w:pPr>
        <w:rPr>
          <w:b/>
          <w:bCs/>
        </w:rPr>
      </w:pPr>
    </w:p>
    <w:p w14:paraId="0578903C" w14:textId="77777777" w:rsidR="00746E1D" w:rsidRPr="00746E1D" w:rsidRDefault="00746E1D" w:rsidP="00746E1D">
      <w:pPr>
        <w:rPr>
          <w:b/>
          <w:bCs/>
        </w:rPr>
      </w:pPr>
    </w:p>
    <w:p w14:paraId="58A264B1" w14:textId="77777777" w:rsidR="003C324C" w:rsidRDefault="003C324C">
      <w:pPr>
        <w:rPr>
          <w:b/>
          <w:bCs/>
        </w:rPr>
      </w:pPr>
    </w:p>
    <w:p w14:paraId="287075C6" w14:textId="77777777" w:rsidR="006E1DD2" w:rsidRDefault="006E1DD2">
      <w:pPr>
        <w:rPr>
          <w:b/>
          <w:bCs/>
        </w:rPr>
      </w:pPr>
    </w:p>
    <w:p w14:paraId="57B78B63" w14:textId="6934A0B8" w:rsidR="006E1DD2" w:rsidRDefault="00746E1D">
      <w:pPr>
        <w:rPr>
          <w:b/>
          <w:bCs/>
        </w:rPr>
      </w:pPr>
      <w:r>
        <w:rPr>
          <w:b/>
          <w:bCs/>
          <w:noProof/>
        </w:rPr>
        <w:drawing>
          <wp:inline distT="0" distB="0" distL="0" distR="0" wp14:anchorId="2306A15D" wp14:editId="560FC469">
            <wp:extent cx="5731510" cy="4298315"/>
            <wp:effectExtent l="0" t="0" r="2540" b="6985"/>
            <wp:docPr id="114482359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823594" name="Picture 1144823594"/>
                    <pic:cNvPicPr/>
                  </pic:nvPicPr>
                  <pic:blipFill>
                    <a:blip r:embed="rId12">
                      <a:extLst>
                        <a:ext uri="{28A0092B-C50C-407E-A947-70E740481C1C}">
                          <a14:useLocalDpi xmlns:a14="http://schemas.microsoft.com/office/drawing/2010/main" val="0"/>
                        </a:ext>
                      </a:extLst>
                    </a:blip>
                    <a:stretch>
                      <a:fillRect/>
                    </a:stretch>
                  </pic:blipFill>
                  <pic:spPr>
                    <a:xfrm>
                      <a:off x="0" y="0"/>
                      <a:ext cx="5731510" cy="4298315"/>
                    </a:xfrm>
                    <a:prstGeom prst="rect">
                      <a:avLst/>
                    </a:prstGeom>
                  </pic:spPr>
                </pic:pic>
              </a:graphicData>
            </a:graphic>
          </wp:inline>
        </w:drawing>
      </w:r>
    </w:p>
    <w:p w14:paraId="270F1FF8" w14:textId="77777777" w:rsidR="00746E1D" w:rsidRDefault="00746E1D">
      <w:pPr>
        <w:rPr>
          <w:b/>
          <w:bCs/>
        </w:rPr>
      </w:pPr>
    </w:p>
    <w:p w14:paraId="0C1F8AB1" w14:textId="77777777" w:rsidR="008F65CA" w:rsidRPr="008F65CA" w:rsidRDefault="008F65CA" w:rsidP="008F65CA">
      <w:pPr>
        <w:rPr>
          <w:b/>
          <w:bCs/>
          <w:sz w:val="28"/>
          <w:szCs w:val="28"/>
        </w:rPr>
      </w:pPr>
      <w:r w:rsidRPr="008F65CA">
        <w:rPr>
          <w:b/>
          <w:bCs/>
          <w:sz w:val="28"/>
          <w:szCs w:val="28"/>
        </w:rPr>
        <w:t>Slide 4: Comprehensive Threat Assessment</w:t>
      </w:r>
    </w:p>
    <w:p w14:paraId="31185C74" w14:textId="77777777" w:rsidR="008F65CA" w:rsidRPr="00904E74" w:rsidRDefault="008F65CA" w:rsidP="008F65CA">
      <w:r w:rsidRPr="00904E74">
        <w:t>External threat vectors facing the enterprise include ransomware encryption loops and double extortion tactics targeting cloud management tools. Additional external risks comprise spear-phishing campaigns and Business Email Compromise (BEC) schemes aimed at purchasing personnel. Internally, vulnerabilities stem from human operational error, unmonitored Shadow IT devices, and malicious insiders attempting to bypass standard network perimeters.</w:t>
      </w:r>
    </w:p>
    <w:p w14:paraId="59DBA6AF" w14:textId="77777777" w:rsidR="00746E1D" w:rsidRDefault="00746E1D">
      <w:pPr>
        <w:rPr>
          <w:b/>
          <w:bCs/>
        </w:rPr>
      </w:pPr>
    </w:p>
    <w:p w14:paraId="7FDE945C" w14:textId="77777777" w:rsidR="008F65CA" w:rsidRDefault="008F65CA">
      <w:pPr>
        <w:rPr>
          <w:b/>
          <w:bCs/>
        </w:rPr>
      </w:pPr>
    </w:p>
    <w:p w14:paraId="12D303D7" w14:textId="77777777" w:rsidR="008F65CA" w:rsidRDefault="008F65CA">
      <w:pPr>
        <w:rPr>
          <w:b/>
          <w:bCs/>
        </w:rPr>
      </w:pPr>
    </w:p>
    <w:p w14:paraId="7503EB3C" w14:textId="77777777" w:rsidR="008F65CA" w:rsidRDefault="008F65CA">
      <w:pPr>
        <w:rPr>
          <w:b/>
          <w:bCs/>
        </w:rPr>
      </w:pPr>
    </w:p>
    <w:p w14:paraId="4EC980C0" w14:textId="77777777" w:rsidR="008F65CA" w:rsidRDefault="008F65CA">
      <w:pPr>
        <w:rPr>
          <w:b/>
          <w:bCs/>
        </w:rPr>
      </w:pPr>
    </w:p>
    <w:p w14:paraId="46C85312" w14:textId="77777777" w:rsidR="008F65CA" w:rsidRDefault="008F65CA">
      <w:pPr>
        <w:rPr>
          <w:b/>
          <w:bCs/>
        </w:rPr>
      </w:pPr>
    </w:p>
    <w:p w14:paraId="23CBC567" w14:textId="77777777" w:rsidR="008F65CA" w:rsidRDefault="008F65CA">
      <w:pPr>
        <w:rPr>
          <w:b/>
          <w:bCs/>
        </w:rPr>
      </w:pPr>
    </w:p>
    <w:p w14:paraId="2CFE0F05" w14:textId="77777777" w:rsidR="008F65CA" w:rsidRDefault="008F65CA">
      <w:pPr>
        <w:rPr>
          <w:b/>
          <w:bCs/>
        </w:rPr>
      </w:pPr>
    </w:p>
    <w:p w14:paraId="09FD3356" w14:textId="77777777" w:rsidR="008F65CA" w:rsidRDefault="008F65CA">
      <w:pPr>
        <w:rPr>
          <w:b/>
          <w:bCs/>
        </w:rPr>
      </w:pPr>
    </w:p>
    <w:p w14:paraId="12659671" w14:textId="38BEF234" w:rsidR="008F65CA" w:rsidRDefault="008F65CA">
      <w:pPr>
        <w:rPr>
          <w:b/>
          <w:bCs/>
        </w:rPr>
      </w:pPr>
      <w:r>
        <w:rPr>
          <w:b/>
          <w:bCs/>
          <w:noProof/>
        </w:rPr>
        <w:lastRenderedPageBreak/>
        <w:drawing>
          <wp:inline distT="0" distB="0" distL="0" distR="0" wp14:anchorId="105E8D76" wp14:editId="5525C518">
            <wp:extent cx="5731510" cy="4298315"/>
            <wp:effectExtent l="0" t="0" r="2540" b="6985"/>
            <wp:docPr id="102418017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180171" name="Picture 1024180171"/>
                    <pic:cNvPicPr/>
                  </pic:nvPicPr>
                  <pic:blipFill>
                    <a:blip r:embed="rId13">
                      <a:extLst>
                        <a:ext uri="{28A0092B-C50C-407E-A947-70E740481C1C}">
                          <a14:useLocalDpi xmlns:a14="http://schemas.microsoft.com/office/drawing/2010/main" val="0"/>
                        </a:ext>
                      </a:extLst>
                    </a:blip>
                    <a:stretch>
                      <a:fillRect/>
                    </a:stretch>
                  </pic:blipFill>
                  <pic:spPr>
                    <a:xfrm>
                      <a:off x="0" y="0"/>
                      <a:ext cx="5731510" cy="4298315"/>
                    </a:xfrm>
                    <a:prstGeom prst="rect">
                      <a:avLst/>
                    </a:prstGeom>
                  </pic:spPr>
                </pic:pic>
              </a:graphicData>
            </a:graphic>
          </wp:inline>
        </w:drawing>
      </w:r>
    </w:p>
    <w:p w14:paraId="17CD25E2" w14:textId="77777777" w:rsidR="008F65CA" w:rsidRDefault="008F65CA">
      <w:pPr>
        <w:rPr>
          <w:b/>
          <w:bCs/>
        </w:rPr>
      </w:pPr>
    </w:p>
    <w:p w14:paraId="50057637" w14:textId="77777777" w:rsidR="00396248" w:rsidRPr="00396248" w:rsidRDefault="00396248" w:rsidP="00396248">
      <w:pPr>
        <w:rPr>
          <w:b/>
          <w:bCs/>
          <w:sz w:val="28"/>
          <w:szCs w:val="28"/>
        </w:rPr>
      </w:pPr>
      <w:r w:rsidRPr="00396248">
        <w:rPr>
          <w:b/>
          <w:bCs/>
          <w:sz w:val="28"/>
          <w:szCs w:val="28"/>
        </w:rPr>
        <w:t>Slide 5: Information Governance &amp; Policy Rules</w:t>
      </w:r>
    </w:p>
    <w:p w14:paraId="7C94FFEE" w14:textId="77777777" w:rsidR="00396248" w:rsidRPr="00904E74" w:rsidRDefault="00396248" w:rsidP="00396248">
      <w:r w:rsidRPr="00904E74">
        <w:t>Corporate security policies mandate rigorous data encryption standards enforced both at rest and in transit. The enterprise implements Zero Trust principles, ensuring the continuous validation of every user identity and endpoint device. Additionally, the Principle of Least Privilege (</w:t>
      </w:r>
      <w:proofErr w:type="spellStart"/>
      <w:r w:rsidRPr="00904E74">
        <w:t>PoLP</w:t>
      </w:r>
      <w:proofErr w:type="spellEnd"/>
      <w:r w:rsidRPr="00904E74">
        <w:t>) strictly restricts individual network access to only those resources immediately required for specific job functions.</w:t>
      </w:r>
    </w:p>
    <w:p w14:paraId="76F8206C" w14:textId="77777777" w:rsidR="00396248" w:rsidRDefault="00396248" w:rsidP="00396248">
      <w:pPr>
        <w:rPr>
          <w:b/>
          <w:bCs/>
        </w:rPr>
      </w:pPr>
    </w:p>
    <w:p w14:paraId="4339A0D1" w14:textId="77777777" w:rsidR="00396248" w:rsidRDefault="00396248" w:rsidP="00396248">
      <w:pPr>
        <w:rPr>
          <w:b/>
          <w:bCs/>
        </w:rPr>
      </w:pPr>
    </w:p>
    <w:p w14:paraId="397B2C75" w14:textId="77777777" w:rsidR="00396248" w:rsidRDefault="00396248" w:rsidP="00396248">
      <w:pPr>
        <w:rPr>
          <w:b/>
          <w:bCs/>
        </w:rPr>
      </w:pPr>
    </w:p>
    <w:p w14:paraId="5B51999E" w14:textId="77777777" w:rsidR="00396248" w:rsidRDefault="00396248" w:rsidP="00396248">
      <w:pPr>
        <w:rPr>
          <w:b/>
          <w:bCs/>
        </w:rPr>
      </w:pPr>
    </w:p>
    <w:p w14:paraId="7AF54722" w14:textId="77777777" w:rsidR="00396248" w:rsidRDefault="00396248" w:rsidP="00396248">
      <w:pPr>
        <w:rPr>
          <w:b/>
          <w:bCs/>
        </w:rPr>
      </w:pPr>
    </w:p>
    <w:p w14:paraId="35C6987B" w14:textId="77777777" w:rsidR="00396248" w:rsidRDefault="00396248" w:rsidP="00396248">
      <w:pPr>
        <w:rPr>
          <w:b/>
          <w:bCs/>
        </w:rPr>
      </w:pPr>
    </w:p>
    <w:p w14:paraId="55DB2E50" w14:textId="77777777" w:rsidR="00396248" w:rsidRDefault="00396248" w:rsidP="00396248">
      <w:pPr>
        <w:rPr>
          <w:b/>
          <w:bCs/>
        </w:rPr>
      </w:pPr>
    </w:p>
    <w:p w14:paraId="30119F90" w14:textId="77777777" w:rsidR="00396248" w:rsidRDefault="00396248" w:rsidP="00396248">
      <w:pPr>
        <w:rPr>
          <w:b/>
          <w:bCs/>
        </w:rPr>
      </w:pPr>
    </w:p>
    <w:p w14:paraId="741E96F7" w14:textId="77777777" w:rsidR="00396248" w:rsidRDefault="00396248" w:rsidP="00396248">
      <w:pPr>
        <w:rPr>
          <w:b/>
          <w:bCs/>
        </w:rPr>
      </w:pPr>
    </w:p>
    <w:p w14:paraId="141C5929" w14:textId="77777777" w:rsidR="00396248" w:rsidRDefault="00396248" w:rsidP="00396248">
      <w:pPr>
        <w:rPr>
          <w:b/>
          <w:bCs/>
        </w:rPr>
      </w:pPr>
    </w:p>
    <w:p w14:paraId="6024D734" w14:textId="1B6E91AF" w:rsidR="00396248" w:rsidRPr="00396248" w:rsidRDefault="00396248" w:rsidP="00396248">
      <w:pPr>
        <w:rPr>
          <w:b/>
          <w:bCs/>
        </w:rPr>
      </w:pPr>
      <w:r>
        <w:rPr>
          <w:b/>
          <w:bCs/>
          <w:noProof/>
        </w:rPr>
        <w:lastRenderedPageBreak/>
        <w:drawing>
          <wp:inline distT="0" distB="0" distL="0" distR="0" wp14:anchorId="7BD7B027" wp14:editId="054F0CFE">
            <wp:extent cx="5731510" cy="4298315"/>
            <wp:effectExtent l="0" t="0" r="2540" b="6985"/>
            <wp:docPr id="185132894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1328941" name="Picture 1851328941"/>
                    <pic:cNvPicPr/>
                  </pic:nvPicPr>
                  <pic:blipFill>
                    <a:blip r:embed="rId14">
                      <a:extLst>
                        <a:ext uri="{28A0092B-C50C-407E-A947-70E740481C1C}">
                          <a14:useLocalDpi xmlns:a14="http://schemas.microsoft.com/office/drawing/2010/main" val="0"/>
                        </a:ext>
                      </a:extLst>
                    </a:blip>
                    <a:stretch>
                      <a:fillRect/>
                    </a:stretch>
                  </pic:blipFill>
                  <pic:spPr>
                    <a:xfrm>
                      <a:off x="0" y="0"/>
                      <a:ext cx="5731510" cy="4298315"/>
                    </a:xfrm>
                    <a:prstGeom prst="rect">
                      <a:avLst/>
                    </a:prstGeom>
                  </pic:spPr>
                </pic:pic>
              </a:graphicData>
            </a:graphic>
          </wp:inline>
        </w:drawing>
      </w:r>
    </w:p>
    <w:p w14:paraId="27C80D78" w14:textId="77777777" w:rsidR="008F65CA" w:rsidRDefault="008F65CA">
      <w:pPr>
        <w:rPr>
          <w:b/>
          <w:bCs/>
        </w:rPr>
      </w:pPr>
    </w:p>
    <w:p w14:paraId="318874B9" w14:textId="77777777" w:rsidR="004E0EDC" w:rsidRPr="004E0EDC" w:rsidRDefault="004E0EDC" w:rsidP="004E0EDC">
      <w:pPr>
        <w:rPr>
          <w:b/>
          <w:bCs/>
          <w:sz w:val="28"/>
          <w:szCs w:val="28"/>
        </w:rPr>
      </w:pPr>
      <w:r w:rsidRPr="004E0EDC">
        <w:rPr>
          <w:b/>
          <w:bCs/>
          <w:sz w:val="28"/>
          <w:szCs w:val="28"/>
        </w:rPr>
        <w:t>Slide 6: Network Segmentation &amp; Technical Controls</w:t>
      </w:r>
    </w:p>
    <w:p w14:paraId="5AF2A0CB" w14:textId="77777777" w:rsidR="004E0EDC" w:rsidRPr="004E0EDC" w:rsidRDefault="004E0EDC" w:rsidP="004E0EDC">
      <w:r w:rsidRPr="004E0EDC">
        <w:t xml:space="preserve">To establish clear IT and OT network boundaries, the company deploys firewalls and Demilitarized Zones (DMZs) to segregate administrative systems from factory floors. Identity protection is fortified through the universal enforcement of Multi-Factor Authentication (MFA). Advanced endpoint </w:t>
      </w:r>
      <w:proofErr w:type="spellStart"/>
      <w:r w:rsidRPr="004E0EDC">
        <w:t>behavior</w:t>
      </w:r>
      <w:proofErr w:type="spellEnd"/>
      <w:r w:rsidRPr="004E0EDC">
        <w:t xml:space="preserve"> analysis utilizes Endpoint Detection and Response (EDR) platforms to achieve real-time threat isolation.</w:t>
      </w:r>
    </w:p>
    <w:p w14:paraId="29D7B981" w14:textId="77777777" w:rsidR="006E1DD2" w:rsidRDefault="006E1DD2"/>
    <w:p w14:paraId="1BFA9CCC" w14:textId="77777777" w:rsidR="004E0EDC" w:rsidRDefault="004E0EDC"/>
    <w:p w14:paraId="47DE8F98" w14:textId="77777777" w:rsidR="004E0EDC" w:rsidRDefault="004E0EDC"/>
    <w:p w14:paraId="2F715289" w14:textId="77777777" w:rsidR="004E0EDC" w:rsidRDefault="004E0EDC"/>
    <w:p w14:paraId="01421BF4" w14:textId="77777777" w:rsidR="004E0EDC" w:rsidRDefault="004E0EDC"/>
    <w:p w14:paraId="3ABA4506" w14:textId="77777777" w:rsidR="004E0EDC" w:rsidRDefault="004E0EDC"/>
    <w:p w14:paraId="12A14251" w14:textId="77777777" w:rsidR="004E0EDC" w:rsidRDefault="004E0EDC"/>
    <w:p w14:paraId="0DD77089" w14:textId="77777777" w:rsidR="004E0EDC" w:rsidRDefault="004E0EDC"/>
    <w:p w14:paraId="611ABD8C" w14:textId="77777777" w:rsidR="004E0EDC" w:rsidRDefault="004E0EDC"/>
    <w:p w14:paraId="69E2AF1E" w14:textId="77777777" w:rsidR="004E0EDC" w:rsidRDefault="004E0EDC"/>
    <w:p w14:paraId="504C8EEA" w14:textId="1EC96DE6" w:rsidR="004E0EDC" w:rsidRDefault="004E0EDC">
      <w:r>
        <w:rPr>
          <w:noProof/>
        </w:rPr>
        <w:lastRenderedPageBreak/>
        <w:drawing>
          <wp:inline distT="0" distB="0" distL="0" distR="0" wp14:anchorId="3089CDEC" wp14:editId="5E9B9DEF">
            <wp:extent cx="5731510" cy="4298315"/>
            <wp:effectExtent l="0" t="0" r="2540" b="6985"/>
            <wp:docPr id="154612571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125719" name="Picture 1546125719"/>
                    <pic:cNvPicPr/>
                  </pic:nvPicPr>
                  <pic:blipFill>
                    <a:blip r:embed="rId15">
                      <a:extLst>
                        <a:ext uri="{28A0092B-C50C-407E-A947-70E740481C1C}">
                          <a14:useLocalDpi xmlns:a14="http://schemas.microsoft.com/office/drawing/2010/main" val="0"/>
                        </a:ext>
                      </a:extLst>
                    </a:blip>
                    <a:stretch>
                      <a:fillRect/>
                    </a:stretch>
                  </pic:blipFill>
                  <pic:spPr>
                    <a:xfrm>
                      <a:off x="0" y="0"/>
                      <a:ext cx="5731510" cy="4298315"/>
                    </a:xfrm>
                    <a:prstGeom prst="rect">
                      <a:avLst/>
                    </a:prstGeom>
                  </pic:spPr>
                </pic:pic>
              </a:graphicData>
            </a:graphic>
          </wp:inline>
        </w:drawing>
      </w:r>
    </w:p>
    <w:p w14:paraId="21176C87" w14:textId="77777777" w:rsidR="00EA08C0" w:rsidRPr="00EA08C0" w:rsidRDefault="00EA08C0">
      <w:pPr>
        <w:rPr>
          <w:sz w:val="28"/>
          <w:szCs w:val="28"/>
        </w:rPr>
      </w:pPr>
    </w:p>
    <w:p w14:paraId="47852801" w14:textId="77777777" w:rsidR="00EA08C0" w:rsidRPr="00EA08C0" w:rsidRDefault="00EA08C0" w:rsidP="00EA08C0">
      <w:pPr>
        <w:rPr>
          <w:b/>
          <w:bCs/>
          <w:sz w:val="28"/>
          <w:szCs w:val="28"/>
        </w:rPr>
      </w:pPr>
      <w:r w:rsidRPr="00EA08C0">
        <w:rPr>
          <w:b/>
          <w:bCs/>
          <w:sz w:val="28"/>
          <w:szCs w:val="28"/>
        </w:rPr>
        <w:t>Slide 7: Email Filtering &amp; Resilient Backups</w:t>
      </w:r>
    </w:p>
    <w:p w14:paraId="5A5C989C" w14:textId="77777777" w:rsidR="00EA08C0" w:rsidRPr="00EA08C0" w:rsidRDefault="00EA08C0" w:rsidP="00EA08C0">
      <w:r w:rsidRPr="00EA08C0">
        <w:t>Secure email gateways execute deep anti-phishing inspections across all incoming links and mail attachments. Domain protection standards are upheld through the rigid configuration of SPF, DKIM, and DMARC protocols. Data recovery is secured via immutable 3-2-1 backup strategies, maintaining three copies across two media types alongside tamper-proof, off-site storage.</w:t>
      </w:r>
    </w:p>
    <w:p w14:paraId="35EF4671" w14:textId="77777777" w:rsidR="00EA08C0" w:rsidRDefault="00EA08C0"/>
    <w:p w14:paraId="3CD7CADE" w14:textId="77777777" w:rsidR="00EA08C0" w:rsidRDefault="00EA08C0"/>
    <w:p w14:paraId="1DC1BA25" w14:textId="77777777" w:rsidR="00EA08C0" w:rsidRDefault="00EA08C0"/>
    <w:p w14:paraId="5442C190" w14:textId="77777777" w:rsidR="00EA08C0" w:rsidRDefault="00EA08C0"/>
    <w:p w14:paraId="02424F2E" w14:textId="77777777" w:rsidR="00EA08C0" w:rsidRDefault="00EA08C0"/>
    <w:p w14:paraId="0698116F" w14:textId="77777777" w:rsidR="00EA08C0" w:rsidRDefault="00EA08C0"/>
    <w:p w14:paraId="6ED715FD" w14:textId="77777777" w:rsidR="00EA08C0" w:rsidRDefault="00EA08C0"/>
    <w:p w14:paraId="0698B5B3" w14:textId="77777777" w:rsidR="00EA08C0" w:rsidRDefault="00EA08C0"/>
    <w:p w14:paraId="4FACF197" w14:textId="77777777" w:rsidR="00EA08C0" w:rsidRDefault="00EA08C0"/>
    <w:p w14:paraId="497ACB34" w14:textId="77777777" w:rsidR="00EA08C0" w:rsidRDefault="00EA08C0"/>
    <w:p w14:paraId="500C7152" w14:textId="0811B200" w:rsidR="00EA08C0" w:rsidRDefault="00EA08C0">
      <w:r>
        <w:rPr>
          <w:noProof/>
        </w:rPr>
        <w:lastRenderedPageBreak/>
        <w:drawing>
          <wp:inline distT="0" distB="0" distL="0" distR="0" wp14:anchorId="29E64C9E" wp14:editId="0DE58247">
            <wp:extent cx="5731510" cy="4298315"/>
            <wp:effectExtent l="0" t="0" r="2540" b="6985"/>
            <wp:docPr id="151582674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5826748" name="Picture 1515826748"/>
                    <pic:cNvPicPr/>
                  </pic:nvPicPr>
                  <pic:blipFill>
                    <a:blip r:embed="rId16">
                      <a:extLst>
                        <a:ext uri="{28A0092B-C50C-407E-A947-70E740481C1C}">
                          <a14:useLocalDpi xmlns:a14="http://schemas.microsoft.com/office/drawing/2010/main" val="0"/>
                        </a:ext>
                      </a:extLst>
                    </a:blip>
                    <a:stretch>
                      <a:fillRect/>
                    </a:stretch>
                  </pic:blipFill>
                  <pic:spPr>
                    <a:xfrm>
                      <a:off x="0" y="0"/>
                      <a:ext cx="5731510" cy="4298315"/>
                    </a:xfrm>
                    <a:prstGeom prst="rect">
                      <a:avLst/>
                    </a:prstGeom>
                  </pic:spPr>
                </pic:pic>
              </a:graphicData>
            </a:graphic>
          </wp:inline>
        </w:drawing>
      </w:r>
    </w:p>
    <w:p w14:paraId="15F40229" w14:textId="77777777" w:rsidR="008D24AF" w:rsidRDefault="008D24AF"/>
    <w:p w14:paraId="35CA308B" w14:textId="77777777" w:rsidR="008D24AF" w:rsidRPr="008D24AF" w:rsidRDefault="008D24AF" w:rsidP="008D24AF">
      <w:pPr>
        <w:rPr>
          <w:b/>
          <w:bCs/>
          <w:sz w:val="28"/>
          <w:szCs w:val="28"/>
        </w:rPr>
      </w:pPr>
      <w:r w:rsidRPr="008D24AF">
        <w:rPr>
          <w:b/>
          <w:bCs/>
          <w:sz w:val="28"/>
          <w:szCs w:val="28"/>
        </w:rPr>
        <w:t>Slide 8: Surveillance &amp; Incident Response Lifecycle</w:t>
      </w:r>
    </w:p>
    <w:p w14:paraId="28B50383" w14:textId="77777777" w:rsidR="008D24AF" w:rsidRDefault="008D24AF" w:rsidP="008D24AF">
      <w:r w:rsidRPr="008D24AF">
        <w:t xml:space="preserve">Centralized network visibility is achieved through SIEM log aggregation combined with </w:t>
      </w:r>
      <w:proofErr w:type="spellStart"/>
      <w:r w:rsidRPr="008D24AF">
        <w:t>behavioral</w:t>
      </w:r>
      <w:proofErr w:type="spellEnd"/>
      <w:r w:rsidRPr="008D24AF">
        <w:t xml:space="preserve"> threat analytics. Incident management follows the structured phases of the NIST response lifecycle, beginning with system readiness preparation, advancing through detection and scope analysis, executing containment, eradication, and recovery, and concluding with a formal post-incident review.</w:t>
      </w:r>
    </w:p>
    <w:p w14:paraId="2C3F07FF" w14:textId="77777777" w:rsidR="008D24AF" w:rsidRDefault="008D24AF" w:rsidP="008D24AF"/>
    <w:p w14:paraId="0D85C216" w14:textId="77777777" w:rsidR="008D24AF" w:rsidRDefault="008D24AF" w:rsidP="008D24AF"/>
    <w:p w14:paraId="6B0ACDA5" w14:textId="77777777" w:rsidR="008D24AF" w:rsidRDefault="008D24AF" w:rsidP="008D24AF"/>
    <w:p w14:paraId="0600C92E" w14:textId="77777777" w:rsidR="008D24AF" w:rsidRDefault="008D24AF" w:rsidP="008D24AF"/>
    <w:p w14:paraId="1B26F33A" w14:textId="77777777" w:rsidR="008D24AF" w:rsidRDefault="008D24AF" w:rsidP="008D24AF"/>
    <w:p w14:paraId="7E229262" w14:textId="77777777" w:rsidR="008D24AF" w:rsidRDefault="008D24AF" w:rsidP="008D24AF"/>
    <w:p w14:paraId="0B4E5A97" w14:textId="77777777" w:rsidR="008D24AF" w:rsidRDefault="008D24AF" w:rsidP="008D24AF"/>
    <w:p w14:paraId="173ABB93" w14:textId="77777777" w:rsidR="008D24AF" w:rsidRDefault="008D24AF" w:rsidP="008D24AF"/>
    <w:p w14:paraId="4000A6F7" w14:textId="77777777" w:rsidR="008D24AF" w:rsidRDefault="008D24AF" w:rsidP="008D24AF"/>
    <w:p w14:paraId="7968E2D6" w14:textId="77777777" w:rsidR="008D24AF" w:rsidRDefault="008D24AF" w:rsidP="008D24AF"/>
    <w:p w14:paraId="09330CB8" w14:textId="50EC4B81" w:rsidR="008D24AF" w:rsidRPr="008D24AF" w:rsidRDefault="008D24AF" w:rsidP="008D24AF">
      <w:r>
        <w:rPr>
          <w:noProof/>
        </w:rPr>
        <w:lastRenderedPageBreak/>
        <w:drawing>
          <wp:inline distT="0" distB="0" distL="0" distR="0" wp14:anchorId="141962D7" wp14:editId="73A04E25">
            <wp:extent cx="5731510" cy="4298315"/>
            <wp:effectExtent l="0" t="0" r="2540" b="6985"/>
            <wp:docPr id="47130258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302586" name="Picture 471302586"/>
                    <pic:cNvPicPr/>
                  </pic:nvPicPr>
                  <pic:blipFill>
                    <a:blip r:embed="rId17">
                      <a:extLst>
                        <a:ext uri="{28A0092B-C50C-407E-A947-70E740481C1C}">
                          <a14:useLocalDpi xmlns:a14="http://schemas.microsoft.com/office/drawing/2010/main" val="0"/>
                        </a:ext>
                      </a:extLst>
                    </a:blip>
                    <a:stretch>
                      <a:fillRect/>
                    </a:stretch>
                  </pic:blipFill>
                  <pic:spPr>
                    <a:xfrm>
                      <a:off x="0" y="0"/>
                      <a:ext cx="5731510" cy="4298315"/>
                    </a:xfrm>
                    <a:prstGeom prst="rect">
                      <a:avLst/>
                    </a:prstGeom>
                  </pic:spPr>
                </pic:pic>
              </a:graphicData>
            </a:graphic>
          </wp:inline>
        </w:drawing>
      </w:r>
    </w:p>
    <w:p w14:paraId="1C2762CA" w14:textId="77777777" w:rsidR="008D24AF" w:rsidRDefault="008D24AF"/>
    <w:p w14:paraId="1CC1164F" w14:textId="77777777" w:rsidR="00674EDA" w:rsidRPr="00674EDA" w:rsidRDefault="00674EDA" w:rsidP="00674EDA">
      <w:pPr>
        <w:rPr>
          <w:b/>
          <w:bCs/>
          <w:sz w:val="28"/>
          <w:szCs w:val="28"/>
        </w:rPr>
      </w:pPr>
      <w:r w:rsidRPr="00674EDA">
        <w:rPr>
          <w:b/>
          <w:bCs/>
          <w:sz w:val="28"/>
          <w:szCs w:val="28"/>
        </w:rPr>
        <w:t>Slide 9: Workforce Education &amp; Culture Building</w:t>
      </w:r>
    </w:p>
    <w:p w14:paraId="36818AE0" w14:textId="77777777" w:rsidR="00674EDA" w:rsidRDefault="00674EDA" w:rsidP="00674EDA">
      <w:r w:rsidRPr="00674EDA">
        <w:t xml:space="preserve">Role-specific training tracks address departmental risks, such as focusing procurement staff on invoice fraud detection and social engineering tactics. Factory floor operators receive specialized instruction regarding physical IoT sensor security and USB storage restrictions. Continuous </w:t>
      </w:r>
      <w:proofErr w:type="spellStart"/>
      <w:r w:rsidRPr="00674EDA">
        <w:t>behavioral</w:t>
      </w:r>
      <w:proofErr w:type="spellEnd"/>
      <w:r w:rsidRPr="00674EDA">
        <w:t xml:space="preserve"> testing involves monthly unannounced phishing drills linked to immediate micro-learning, supported by a blame-free reporting culture that accelerates anomaly notification.</w:t>
      </w:r>
    </w:p>
    <w:p w14:paraId="4B30BE4C" w14:textId="77777777" w:rsidR="00674EDA" w:rsidRDefault="00674EDA" w:rsidP="00674EDA"/>
    <w:p w14:paraId="541DBD98" w14:textId="77777777" w:rsidR="00674EDA" w:rsidRDefault="00674EDA" w:rsidP="00674EDA"/>
    <w:p w14:paraId="457AFF98" w14:textId="77777777" w:rsidR="00674EDA" w:rsidRDefault="00674EDA" w:rsidP="00674EDA"/>
    <w:p w14:paraId="5C65B482" w14:textId="77777777" w:rsidR="00674EDA" w:rsidRDefault="00674EDA" w:rsidP="00674EDA"/>
    <w:p w14:paraId="3499FFC4" w14:textId="77777777" w:rsidR="00674EDA" w:rsidRDefault="00674EDA" w:rsidP="00674EDA"/>
    <w:p w14:paraId="7A7AE106" w14:textId="77777777" w:rsidR="00674EDA" w:rsidRDefault="00674EDA" w:rsidP="00674EDA"/>
    <w:p w14:paraId="3D4901F0" w14:textId="77777777" w:rsidR="00674EDA" w:rsidRDefault="00674EDA" w:rsidP="00674EDA"/>
    <w:p w14:paraId="7CEA3F34" w14:textId="77777777" w:rsidR="00674EDA" w:rsidRDefault="00674EDA" w:rsidP="00674EDA"/>
    <w:p w14:paraId="04CD7E71" w14:textId="77777777" w:rsidR="00674EDA" w:rsidRDefault="00674EDA" w:rsidP="00674EDA"/>
    <w:p w14:paraId="5F8711AF" w14:textId="2D244F65" w:rsidR="00674EDA" w:rsidRDefault="00674EDA" w:rsidP="00674EDA">
      <w:r>
        <w:rPr>
          <w:noProof/>
        </w:rPr>
        <w:lastRenderedPageBreak/>
        <w:drawing>
          <wp:inline distT="0" distB="0" distL="0" distR="0" wp14:anchorId="6506B00E" wp14:editId="6ECF384F">
            <wp:extent cx="5731510" cy="4298315"/>
            <wp:effectExtent l="0" t="0" r="2540" b="6985"/>
            <wp:docPr id="87399776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997767" name="Picture 873997767"/>
                    <pic:cNvPicPr/>
                  </pic:nvPicPr>
                  <pic:blipFill>
                    <a:blip r:embed="rId18">
                      <a:extLst>
                        <a:ext uri="{28A0092B-C50C-407E-A947-70E740481C1C}">
                          <a14:useLocalDpi xmlns:a14="http://schemas.microsoft.com/office/drawing/2010/main" val="0"/>
                        </a:ext>
                      </a:extLst>
                    </a:blip>
                    <a:stretch>
                      <a:fillRect/>
                    </a:stretch>
                  </pic:blipFill>
                  <pic:spPr>
                    <a:xfrm>
                      <a:off x="0" y="0"/>
                      <a:ext cx="5731510" cy="4298315"/>
                    </a:xfrm>
                    <a:prstGeom prst="rect">
                      <a:avLst/>
                    </a:prstGeom>
                  </pic:spPr>
                </pic:pic>
              </a:graphicData>
            </a:graphic>
          </wp:inline>
        </w:drawing>
      </w:r>
    </w:p>
    <w:p w14:paraId="6751EDAE" w14:textId="77777777" w:rsidR="00674EDA" w:rsidRDefault="00674EDA" w:rsidP="00674EDA"/>
    <w:p w14:paraId="592FD2D7" w14:textId="77777777" w:rsidR="003A3C75" w:rsidRPr="003A3C75" w:rsidRDefault="003A3C75" w:rsidP="003A3C75">
      <w:pPr>
        <w:rPr>
          <w:b/>
          <w:bCs/>
          <w:sz w:val="28"/>
          <w:szCs w:val="28"/>
        </w:rPr>
      </w:pPr>
      <w:r w:rsidRPr="003A3C75">
        <w:rPr>
          <w:b/>
          <w:bCs/>
          <w:sz w:val="28"/>
          <w:szCs w:val="28"/>
        </w:rPr>
        <w:t>Slide 10: Strategic Commercial Alignment</w:t>
      </w:r>
    </w:p>
    <w:p w14:paraId="1AB85760" w14:textId="77777777" w:rsidR="003A3C75" w:rsidRDefault="003A3C75" w:rsidP="003A3C75">
      <w:r w:rsidRPr="003A3C75">
        <w:t>Cybersecurity is successfully transitioned from an administrative expense into a primary commercial growth enabler. Aligning security protocols safeguards delicate partner relationships across complex automotive and aerospace supply chain networks. Ultimately, these measures protect overall enterprise valuation and secure proprietary intellectual property assets.</w:t>
      </w:r>
    </w:p>
    <w:p w14:paraId="343DB8F0" w14:textId="77777777" w:rsidR="003A3C75" w:rsidRDefault="003A3C75" w:rsidP="003A3C75"/>
    <w:p w14:paraId="162919B8" w14:textId="77777777" w:rsidR="003A3C75" w:rsidRDefault="003A3C75" w:rsidP="003A3C75"/>
    <w:p w14:paraId="5BC07D74" w14:textId="77777777" w:rsidR="003A3C75" w:rsidRDefault="003A3C75" w:rsidP="003A3C75"/>
    <w:p w14:paraId="5ED61AC3" w14:textId="77777777" w:rsidR="003A3C75" w:rsidRDefault="003A3C75" w:rsidP="003A3C75"/>
    <w:p w14:paraId="295BC25D" w14:textId="77777777" w:rsidR="003A3C75" w:rsidRDefault="003A3C75" w:rsidP="003A3C75"/>
    <w:p w14:paraId="62A206CE" w14:textId="77777777" w:rsidR="003A3C75" w:rsidRDefault="003A3C75" w:rsidP="003A3C75"/>
    <w:p w14:paraId="02D1D772" w14:textId="77777777" w:rsidR="003A3C75" w:rsidRDefault="003A3C75" w:rsidP="003A3C75"/>
    <w:p w14:paraId="6930D5E7" w14:textId="77777777" w:rsidR="003A3C75" w:rsidRDefault="003A3C75" w:rsidP="003A3C75"/>
    <w:p w14:paraId="1798F16B" w14:textId="77777777" w:rsidR="003A3C75" w:rsidRDefault="003A3C75" w:rsidP="003A3C75"/>
    <w:p w14:paraId="78DF0837" w14:textId="77777777" w:rsidR="003A3C75" w:rsidRDefault="003A3C75" w:rsidP="003A3C75"/>
    <w:p w14:paraId="2118C9FE" w14:textId="48D9B7B8" w:rsidR="003A3C75" w:rsidRDefault="003A3C75" w:rsidP="003A3C75">
      <w:r>
        <w:rPr>
          <w:noProof/>
        </w:rPr>
        <w:lastRenderedPageBreak/>
        <w:drawing>
          <wp:inline distT="0" distB="0" distL="0" distR="0" wp14:anchorId="6369E80E" wp14:editId="3C8BD228">
            <wp:extent cx="5731510" cy="4298315"/>
            <wp:effectExtent l="0" t="0" r="2540" b="6985"/>
            <wp:docPr id="1402108016"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2108016" name="Picture 1402108016"/>
                    <pic:cNvPicPr/>
                  </pic:nvPicPr>
                  <pic:blipFill>
                    <a:blip r:embed="rId19">
                      <a:extLst>
                        <a:ext uri="{28A0092B-C50C-407E-A947-70E740481C1C}">
                          <a14:useLocalDpi xmlns:a14="http://schemas.microsoft.com/office/drawing/2010/main" val="0"/>
                        </a:ext>
                      </a:extLst>
                    </a:blip>
                    <a:stretch>
                      <a:fillRect/>
                    </a:stretch>
                  </pic:blipFill>
                  <pic:spPr>
                    <a:xfrm>
                      <a:off x="0" y="0"/>
                      <a:ext cx="5731510" cy="4298315"/>
                    </a:xfrm>
                    <a:prstGeom prst="rect">
                      <a:avLst/>
                    </a:prstGeom>
                  </pic:spPr>
                </pic:pic>
              </a:graphicData>
            </a:graphic>
          </wp:inline>
        </w:drawing>
      </w:r>
    </w:p>
    <w:p w14:paraId="30C6B1D0" w14:textId="77777777" w:rsidR="003A3C75" w:rsidRDefault="003A3C75" w:rsidP="003A3C75"/>
    <w:p w14:paraId="67FD19A2" w14:textId="77777777" w:rsidR="00904E74" w:rsidRPr="00904E74" w:rsidRDefault="00904E74" w:rsidP="00904E74">
      <w:pPr>
        <w:rPr>
          <w:b/>
          <w:bCs/>
          <w:sz w:val="28"/>
          <w:szCs w:val="28"/>
        </w:rPr>
      </w:pPr>
      <w:r w:rsidRPr="00904E74">
        <w:rPr>
          <w:b/>
          <w:bCs/>
          <w:sz w:val="28"/>
          <w:szCs w:val="28"/>
        </w:rPr>
        <w:t>Slide 11: Conclusion: Long-Term Operational Resilience</w:t>
      </w:r>
    </w:p>
    <w:p w14:paraId="73CD5A41" w14:textId="77777777" w:rsidR="00904E74" w:rsidRPr="00904E74" w:rsidRDefault="00904E74" w:rsidP="00904E74">
      <w:r w:rsidRPr="00904E74">
        <w:t xml:space="preserve">The rapid evolution toward smart industrial environments has provided </w:t>
      </w:r>
      <w:proofErr w:type="spellStart"/>
      <w:r w:rsidRPr="00904E74">
        <w:t>SteelForm</w:t>
      </w:r>
      <w:proofErr w:type="spellEnd"/>
      <w:r w:rsidRPr="00904E74">
        <w:t xml:space="preserve"> Manufacturing with crucial market advantages while presenting complex digital and physical security hurdles. Executing robust governance, Zero Trust access controls, strict IT/OT network segmentation, and real-time monitoring successfully </w:t>
      </w:r>
      <w:proofErr w:type="gramStart"/>
      <w:r w:rsidRPr="00904E74">
        <w:t>minimizes</w:t>
      </w:r>
      <w:proofErr w:type="gramEnd"/>
      <w:r w:rsidRPr="00904E74">
        <w:t xml:space="preserve"> the organizational attack surface, while international standards ensure compliance. Pairing these advanced technical safeguards with continuous workforce education guarantees that the enterprise protects its intellectual property and preserves the lasting trust of its industrial partners, securing permanent commercial stability and production continuity.</w:t>
      </w:r>
    </w:p>
    <w:p w14:paraId="0B19528A" w14:textId="77777777" w:rsidR="003A3C75" w:rsidRDefault="003A3C75" w:rsidP="003A3C75"/>
    <w:p w14:paraId="2E9113CA" w14:textId="77777777" w:rsidR="003A3C75" w:rsidRPr="003A3C75" w:rsidRDefault="003A3C75" w:rsidP="003A3C75"/>
    <w:p w14:paraId="32729B6F" w14:textId="77777777" w:rsidR="00674EDA" w:rsidRPr="00674EDA" w:rsidRDefault="00674EDA" w:rsidP="00674EDA"/>
    <w:p w14:paraId="2A445692" w14:textId="77777777" w:rsidR="00674EDA" w:rsidRDefault="00674EDA"/>
    <w:sectPr w:rsidR="00674E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507966"/>
    <w:multiLevelType w:val="multilevel"/>
    <w:tmpl w:val="43545F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54E7E1A"/>
    <w:multiLevelType w:val="multilevel"/>
    <w:tmpl w:val="EF646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E42D20"/>
    <w:multiLevelType w:val="multilevel"/>
    <w:tmpl w:val="AA9A6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995499A"/>
    <w:multiLevelType w:val="multilevel"/>
    <w:tmpl w:val="A98AC4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D004363"/>
    <w:multiLevelType w:val="multilevel"/>
    <w:tmpl w:val="030C26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E22361A"/>
    <w:multiLevelType w:val="multilevel"/>
    <w:tmpl w:val="71FC2B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F9C3B6F"/>
    <w:multiLevelType w:val="multilevel"/>
    <w:tmpl w:val="8F5C3C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2F51FCA"/>
    <w:multiLevelType w:val="multilevel"/>
    <w:tmpl w:val="769E1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64C3891"/>
    <w:multiLevelType w:val="multilevel"/>
    <w:tmpl w:val="BC7A1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7863E89"/>
    <w:multiLevelType w:val="multilevel"/>
    <w:tmpl w:val="A3767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DCB4611"/>
    <w:multiLevelType w:val="multilevel"/>
    <w:tmpl w:val="8612EB2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3E01909"/>
    <w:multiLevelType w:val="multilevel"/>
    <w:tmpl w:val="371229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9AA349D"/>
    <w:multiLevelType w:val="multilevel"/>
    <w:tmpl w:val="5914E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32513352">
    <w:abstractNumId w:val="10"/>
  </w:num>
  <w:num w:numId="2" w16cid:durableId="1405832055">
    <w:abstractNumId w:val="11"/>
  </w:num>
  <w:num w:numId="3" w16cid:durableId="92173607">
    <w:abstractNumId w:val="5"/>
  </w:num>
  <w:num w:numId="4" w16cid:durableId="1376126354">
    <w:abstractNumId w:val="2"/>
  </w:num>
  <w:num w:numId="5" w16cid:durableId="1758020662">
    <w:abstractNumId w:val="9"/>
  </w:num>
  <w:num w:numId="6" w16cid:durableId="1033917256">
    <w:abstractNumId w:val="1"/>
  </w:num>
  <w:num w:numId="7" w16cid:durableId="193731840">
    <w:abstractNumId w:val="0"/>
  </w:num>
  <w:num w:numId="8" w16cid:durableId="1275404017">
    <w:abstractNumId w:val="4"/>
  </w:num>
  <w:num w:numId="9" w16cid:durableId="144516751">
    <w:abstractNumId w:val="3"/>
  </w:num>
  <w:num w:numId="10" w16cid:durableId="49886617">
    <w:abstractNumId w:val="8"/>
  </w:num>
  <w:num w:numId="11" w16cid:durableId="263929375">
    <w:abstractNumId w:val="7"/>
  </w:num>
  <w:num w:numId="12" w16cid:durableId="1645626571">
    <w:abstractNumId w:val="12"/>
  </w:num>
  <w:num w:numId="13" w16cid:durableId="181837939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4E08"/>
    <w:rsid w:val="0006428E"/>
    <w:rsid w:val="00144E82"/>
    <w:rsid w:val="001453BF"/>
    <w:rsid w:val="002F05A7"/>
    <w:rsid w:val="003001CB"/>
    <w:rsid w:val="00396248"/>
    <w:rsid w:val="003A3C75"/>
    <w:rsid w:val="003C324C"/>
    <w:rsid w:val="003C41B1"/>
    <w:rsid w:val="003F7723"/>
    <w:rsid w:val="004E0EDC"/>
    <w:rsid w:val="00522278"/>
    <w:rsid w:val="005F08A7"/>
    <w:rsid w:val="00674EDA"/>
    <w:rsid w:val="0068450F"/>
    <w:rsid w:val="006A049E"/>
    <w:rsid w:val="006E1DD2"/>
    <w:rsid w:val="00740EE7"/>
    <w:rsid w:val="00746E1D"/>
    <w:rsid w:val="008D24AF"/>
    <w:rsid w:val="008D3739"/>
    <w:rsid w:val="008F65CA"/>
    <w:rsid w:val="00904E74"/>
    <w:rsid w:val="009B26DC"/>
    <w:rsid w:val="00A910D4"/>
    <w:rsid w:val="00AC7D91"/>
    <w:rsid w:val="00AD3E5C"/>
    <w:rsid w:val="00BC369B"/>
    <w:rsid w:val="00EA08C0"/>
    <w:rsid w:val="00EA6049"/>
    <w:rsid w:val="00EC4E08"/>
    <w:rsid w:val="00F243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4DF958"/>
  <w15:chartTrackingRefBased/>
  <w15:docId w15:val="{8563CB34-DA0B-406D-A4B5-B35F299F1D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4E0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C4E0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C4E0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C4E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C4E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C4E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4E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4E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4E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4E0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C4E0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C4E0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C4E0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C4E0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C4E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4E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4E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4E08"/>
    <w:rPr>
      <w:rFonts w:eastAsiaTheme="majorEastAsia" w:cstheme="majorBidi"/>
      <w:color w:val="272727" w:themeColor="text1" w:themeTint="D8"/>
    </w:rPr>
  </w:style>
  <w:style w:type="paragraph" w:styleId="Title">
    <w:name w:val="Title"/>
    <w:basedOn w:val="Normal"/>
    <w:next w:val="Normal"/>
    <w:link w:val="TitleChar"/>
    <w:uiPriority w:val="10"/>
    <w:qFormat/>
    <w:rsid w:val="00EC4E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4E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4E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4E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4E08"/>
    <w:pPr>
      <w:spacing w:before="160"/>
      <w:jc w:val="center"/>
    </w:pPr>
    <w:rPr>
      <w:i/>
      <w:iCs/>
      <w:color w:val="404040" w:themeColor="text1" w:themeTint="BF"/>
    </w:rPr>
  </w:style>
  <w:style w:type="character" w:customStyle="1" w:styleId="QuoteChar">
    <w:name w:val="Quote Char"/>
    <w:basedOn w:val="DefaultParagraphFont"/>
    <w:link w:val="Quote"/>
    <w:uiPriority w:val="29"/>
    <w:rsid w:val="00EC4E08"/>
    <w:rPr>
      <w:i/>
      <w:iCs/>
      <w:color w:val="404040" w:themeColor="text1" w:themeTint="BF"/>
    </w:rPr>
  </w:style>
  <w:style w:type="paragraph" w:styleId="ListParagraph">
    <w:name w:val="List Paragraph"/>
    <w:basedOn w:val="Normal"/>
    <w:uiPriority w:val="34"/>
    <w:qFormat/>
    <w:rsid w:val="00EC4E08"/>
    <w:pPr>
      <w:ind w:left="720"/>
      <w:contextualSpacing/>
    </w:pPr>
  </w:style>
  <w:style w:type="character" w:styleId="IntenseEmphasis">
    <w:name w:val="Intense Emphasis"/>
    <w:basedOn w:val="DefaultParagraphFont"/>
    <w:uiPriority w:val="21"/>
    <w:qFormat/>
    <w:rsid w:val="00EC4E08"/>
    <w:rPr>
      <w:i/>
      <w:iCs/>
      <w:color w:val="0F4761" w:themeColor="accent1" w:themeShade="BF"/>
    </w:rPr>
  </w:style>
  <w:style w:type="paragraph" w:styleId="IntenseQuote">
    <w:name w:val="Intense Quote"/>
    <w:basedOn w:val="Normal"/>
    <w:next w:val="Normal"/>
    <w:link w:val="IntenseQuoteChar"/>
    <w:uiPriority w:val="30"/>
    <w:qFormat/>
    <w:rsid w:val="00EC4E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C4E08"/>
    <w:rPr>
      <w:i/>
      <w:iCs/>
      <w:color w:val="0F4761" w:themeColor="accent1" w:themeShade="BF"/>
    </w:rPr>
  </w:style>
  <w:style w:type="character" w:styleId="IntenseReference">
    <w:name w:val="Intense Reference"/>
    <w:basedOn w:val="DefaultParagraphFont"/>
    <w:uiPriority w:val="32"/>
    <w:qFormat/>
    <w:rsid w:val="00EC4E0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5" Type="http://schemas.openxmlformats.org/officeDocument/2006/relationships/styles" Target="style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10" ma:contentTypeDescription="Create a new document." ma:contentTypeScope="" ma:versionID="1ec019d238af7843b4fdfaf223b0d4af">
  <xsd:schema xmlns:xsd="http://www.w3.org/2001/XMLSchema" xmlns:xs="http://www.w3.org/2001/XMLSchema" xmlns:p="http://schemas.microsoft.com/office/2006/metadata/properties" xmlns:ns3="b4f9f7ee-5770-4a14-8925-17f3d16e50b7" targetNamespace="http://schemas.microsoft.com/office/2006/metadata/properties" ma:root="true" ma:fieldsID="4cd59135f70970d1b0e53145b13f607f"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34546FAE-4FBB-4E1C-8DDD-5CC34CA613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F24B051-EBDB-423C-834A-66614E0B8854}">
  <ds:schemaRefs>
    <ds:schemaRef ds:uri="http://schemas.microsoft.com/sharepoint/v3/contenttype/forms"/>
  </ds:schemaRefs>
</ds:datastoreItem>
</file>

<file path=customXml/itemProps3.xml><?xml version="1.0" encoding="utf-8"?>
<ds:datastoreItem xmlns:ds="http://schemas.openxmlformats.org/officeDocument/2006/customXml" ds:itemID="{0C9EA611-0D22-4984-BC51-8EF0F8C6B9B2}">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20</Pages>
  <Words>2982</Words>
  <Characters>16998</Characters>
  <Application>Microsoft Office Word</Application>
  <DocSecurity>0</DocSecurity>
  <Lines>141</Lines>
  <Paragraphs>39</Paragraphs>
  <ScaleCrop>false</ScaleCrop>
  <Company/>
  <LinksUpToDate>false</LinksUpToDate>
  <CharactersWithSpaces>19941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Sandu Doncila</dc:creator>
  <cp:keywords/>
  <dc:description/>
  <cp:lastModifiedBy>Sandu Doncila (2509918)</cp:lastModifiedBy>
  <cp:revision>28</cp:revision>
  <dcterms:created xsi:type="dcterms:W3CDTF">2026-07-20T23:10:00Z</dcterms:created>
  <dcterms:modified xsi:type="dcterms:W3CDTF">2026-07-21T00:11:00Z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