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colors2.xml" ContentType="application/vnd.openxmlformats-officedocument.drawingml.diagramColors+xml"/>
  <Override PartName="/word/diagrams/data1.xml" ContentType="application/vnd.openxmlformats-officedocument.drawingml.diagramData+xml"/>
  <Override PartName="/word/diagrams/data2.xml" ContentType="application/vnd.openxmlformats-officedocument.drawingml.diagramData+xml"/>
  <Override PartName="/word/diagrams/drawing1.xml" ContentType="application/vnd.ms-office.drawingml.diagramDrawing+xml"/>
  <Override PartName="/word/diagrams/drawing2.xml" ContentType="application/vnd.ms-office.drawingml.diagramDrawing+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1.xml" ContentType="application/vnd.openxmlformats-officedocument.drawingml.diagramStyle+xml"/>
  <Override PartName="/word/diagrams/quickStyle2.xml" ContentType="application/vnd.openxmlformats-officedocument.drawingml.diagram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bCs/>
          <w:sz w:val="36"/>
          <w:szCs w:val="32"/>
        </w:rPr>
      </w:pPr>
      <w:r>
        <w:rPr>
          <w:b/>
          <w:bCs/>
          <w:sz w:val="36"/>
          <w:szCs w:val="32"/>
        </w:rPr>
        <w:t>Module Code: LCBB4002</w:t>
      </w:r>
    </w:p>
    <w:p>
      <w:pPr>
        <w:jc w:val="center"/>
        <w:rPr>
          <w:b/>
          <w:bCs/>
          <w:sz w:val="36"/>
          <w:szCs w:val="32"/>
        </w:rPr>
      </w:pPr>
      <w:r>
        <w:rPr>
          <w:b/>
          <w:bCs/>
          <w:sz w:val="36"/>
          <w:szCs w:val="32"/>
        </w:rPr>
        <w:t xml:space="preserve">Module Title: </w:t>
      </w:r>
      <w:r>
        <w:rPr>
          <w:b/>
          <w:bCs/>
          <w:sz w:val="36"/>
          <w:szCs w:val="32"/>
        </w:rPr>
        <w:t xml:space="preserve">BHF  and </w:t>
      </w:r>
      <w:bookmarkStart w:id="10" w:name="_GoBack"/>
      <w:bookmarkEnd w:id="10"/>
      <w:r>
        <w:rPr>
          <w:b/>
          <w:bCs/>
          <w:sz w:val="36"/>
          <w:szCs w:val="32"/>
        </w:rPr>
        <w:t>Community Engagement</w:t>
      </w:r>
    </w:p>
    <w:p>
      <w:pPr>
        <w:jc w:val="center"/>
        <w:rPr>
          <w:b/>
          <w:bCs/>
          <w:sz w:val="36"/>
          <w:szCs w:val="32"/>
        </w:rPr>
      </w:pPr>
      <w:r>
        <w:rPr>
          <w:b/>
          <w:bCs/>
          <w:sz w:val="36"/>
          <w:szCs w:val="32"/>
        </w:rPr>
        <w:t>Assignment 1</w:t>
      </w:r>
    </w:p>
    <w:p/>
    <w:p/>
    <w:p/>
    <w:p/>
    <w:p>
      <w:pPr>
        <w:rPr>
          <w:sz w:val="40"/>
          <w:szCs w:val="40"/>
        </w:rPr>
      </w:pPr>
      <w:r>
        <w:rPr>
          <w:sz w:val="40"/>
          <w:szCs w:val="40"/>
        </w:rPr>
        <w:t>Student Name: Stanislav Dragov</w:t>
      </w:r>
    </w:p>
    <w:p>
      <w:pPr>
        <w:rPr>
          <w:sz w:val="40"/>
          <w:szCs w:val="40"/>
        </w:rPr>
      </w:pPr>
      <w:r>
        <w:rPr>
          <w:sz w:val="40"/>
          <w:szCs w:val="40"/>
        </w:rPr>
        <w:t>Student’s ID:  1919084</w:t>
      </w:r>
    </w:p>
    <w:p/>
    <w:p>
      <w:pPr>
        <w:pStyle w:val="2"/>
      </w:pPr>
    </w:p>
    <w:p>
      <w:pPr>
        <w:rPr>
          <w:rFonts w:eastAsiaTheme="majorEastAsia" w:cstheme="majorBidi"/>
          <w:color w:val="000000" w:themeColor="text1"/>
          <w:sz w:val="32"/>
          <w:szCs w:val="32"/>
          <w14:textFill>
            <w14:solidFill>
              <w14:schemeClr w14:val="tx1"/>
            </w14:solidFill>
          </w14:textFill>
        </w:rPr>
      </w:pPr>
      <w:r>
        <w:br w:type="page"/>
      </w:r>
    </w:p>
    <w:sdt>
      <w:sdtPr>
        <w:rPr>
          <w:rFonts w:ascii="Times New Roman" w:hAnsi="Times New Roman" w:eastAsiaTheme="minorHAnsi" w:cstheme="minorBidi"/>
          <w:color w:val="auto"/>
          <w:sz w:val="24"/>
          <w:szCs w:val="22"/>
          <w:lang w:val="en-GB"/>
        </w:rPr>
        <w:id w:val="565460053"/>
      </w:sdtPr>
      <w:sdtEndPr>
        <w:rPr>
          <w:rFonts w:ascii="Times New Roman" w:hAnsi="Times New Roman" w:eastAsiaTheme="minorHAnsi" w:cstheme="minorBidi"/>
          <w:b/>
          <w:bCs/>
          <w:color w:val="auto"/>
          <w:sz w:val="28"/>
          <w:szCs w:val="22"/>
          <w:lang w:val="en-GB"/>
        </w:rPr>
      </w:sdtEndPr>
      <w:sdtContent>
        <w:p>
          <w:pPr>
            <w:pStyle w:val="14"/>
            <w:jc w:val="center"/>
            <w:rPr>
              <w:rFonts w:ascii="Times New Roman" w:hAnsi="Times New Roman" w:cs="Times New Roman"/>
              <w:b/>
              <w:color w:val="000000" w:themeColor="text1"/>
              <w:lang w:val="en-GB"/>
              <w14:textFill>
                <w14:solidFill>
                  <w14:schemeClr w14:val="tx1"/>
                </w14:solidFill>
              </w14:textFill>
            </w:rPr>
          </w:pPr>
          <w:r>
            <w:rPr>
              <w:rFonts w:ascii="Times New Roman" w:hAnsi="Times New Roman" w:cs="Times New Roman"/>
              <w:b/>
              <w:color w:val="000000" w:themeColor="text1"/>
              <w:lang w:val="en-GB"/>
              <w14:textFill>
                <w14:solidFill>
                  <w14:schemeClr w14:val="tx1"/>
                </w14:solidFill>
              </w14:textFill>
            </w:rPr>
            <w:t>Table of Contents</w:t>
          </w:r>
        </w:p>
        <w:p>
          <w:pPr>
            <w:pStyle w:val="6"/>
            <w:tabs>
              <w:tab w:val="right" w:leader="dot" w:pos="9016"/>
            </w:tabs>
            <w:rPr>
              <w:rFonts w:asciiTheme="minorHAnsi" w:hAnsiTheme="minorHAnsi" w:eastAsiaTheme="minorEastAsia"/>
              <w:sz w:val="22"/>
              <w:lang w:eastAsia="en-GB"/>
            </w:rPr>
          </w:pPr>
          <w:r>
            <w:rPr>
              <w:sz w:val="28"/>
            </w:rPr>
            <w:fldChar w:fldCharType="begin"/>
          </w:r>
          <w:r>
            <w:rPr>
              <w:sz w:val="28"/>
            </w:rPr>
            <w:instrText xml:space="preserve"> TOC \o "1-3" \h \z \u </w:instrText>
          </w:r>
          <w:r>
            <w:rPr>
              <w:sz w:val="28"/>
            </w:rPr>
            <w:fldChar w:fldCharType="separate"/>
          </w:r>
          <w:r>
            <w:fldChar w:fldCharType="begin"/>
          </w:r>
          <w:r>
            <w:instrText xml:space="preserve"> HYPERLINK \l "_Toc69871392" </w:instrText>
          </w:r>
          <w:r>
            <w:fldChar w:fldCharType="separate"/>
          </w:r>
          <w:r>
            <w:rPr>
              <w:rStyle w:val="9"/>
            </w:rPr>
            <w:t>Introduction</w:t>
          </w:r>
          <w:r>
            <w:tab/>
          </w:r>
          <w:r>
            <w:fldChar w:fldCharType="begin"/>
          </w:r>
          <w:r>
            <w:instrText xml:space="preserve"> PAGEREF _Toc69871392 \h </w:instrText>
          </w:r>
          <w:r>
            <w:fldChar w:fldCharType="separate"/>
          </w:r>
          <w:r>
            <w:t>3</w:t>
          </w:r>
          <w:r>
            <w:fldChar w:fldCharType="end"/>
          </w:r>
          <w:r>
            <w:fldChar w:fldCharType="end"/>
          </w:r>
        </w:p>
        <w:p>
          <w:pPr>
            <w:pStyle w:val="6"/>
            <w:tabs>
              <w:tab w:val="right" w:leader="dot" w:pos="9016"/>
            </w:tabs>
            <w:rPr>
              <w:rFonts w:asciiTheme="minorHAnsi" w:hAnsiTheme="minorHAnsi" w:eastAsiaTheme="minorEastAsia"/>
              <w:sz w:val="22"/>
              <w:lang w:eastAsia="en-GB"/>
            </w:rPr>
          </w:pPr>
          <w:r>
            <w:fldChar w:fldCharType="begin"/>
          </w:r>
          <w:r>
            <w:instrText xml:space="preserve"> HYPERLINK \l "_Toc69871393" </w:instrText>
          </w:r>
          <w:r>
            <w:fldChar w:fldCharType="separate"/>
          </w:r>
          <w:r>
            <w:rPr>
              <w:rStyle w:val="9"/>
            </w:rPr>
            <w:t>Relationship and Engagement of BHF with The Stakeholders</w:t>
          </w:r>
          <w:r>
            <w:tab/>
          </w:r>
          <w:r>
            <w:fldChar w:fldCharType="begin"/>
          </w:r>
          <w:r>
            <w:instrText xml:space="preserve"> PAGEREF _Toc69871393 \h </w:instrText>
          </w:r>
          <w:r>
            <w:fldChar w:fldCharType="separate"/>
          </w:r>
          <w:r>
            <w:t>4</w:t>
          </w:r>
          <w:r>
            <w:fldChar w:fldCharType="end"/>
          </w:r>
          <w:r>
            <w:fldChar w:fldCharType="end"/>
          </w:r>
        </w:p>
        <w:p>
          <w:pPr>
            <w:pStyle w:val="6"/>
            <w:tabs>
              <w:tab w:val="right" w:leader="dot" w:pos="9016"/>
            </w:tabs>
            <w:rPr>
              <w:rFonts w:asciiTheme="minorHAnsi" w:hAnsiTheme="minorHAnsi" w:eastAsiaTheme="minorEastAsia"/>
              <w:sz w:val="22"/>
              <w:lang w:eastAsia="en-GB"/>
            </w:rPr>
          </w:pPr>
          <w:r>
            <w:fldChar w:fldCharType="begin"/>
          </w:r>
          <w:r>
            <w:instrText xml:space="preserve"> HYPERLINK \l "_Toc69871394" </w:instrText>
          </w:r>
          <w:r>
            <w:fldChar w:fldCharType="separate"/>
          </w:r>
          <w:r>
            <w:rPr>
              <w:rStyle w:val="9"/>
            </w:rPr>
            <w:t>Different Eras of British Heart Foundation and Evolvement of Community Engagement</w:t>
          </w:r>
          <w:r>
            <w:tab/>
          </w:r>
          <w:r>
            <w:fldChar w:fldCharType="begin"/>
          </w:r>
          <w:r>
            <w:instrText xml:space="preserve"> PAGEREF _Toc69871394 \h </w:instrText>
          </w:r>
          <w:r>
            <w:fldChar w:fldCharType="separate"/>
          </w:r>
          <w:r>
            <w:t>5</w:t>
          </w:r>
          <w:r>
            <w:fldChar w:fldCharType="end"/>
          </w:r>
          <w:r>
            <w:fldChar w:fldCharType="end"/>
          </w:r>
        </w:p>
        <w:p>
          <w:pPr>
            <w:pStyle w:val="7"/>
            <w:tabs>
              <w:tab w:val="right" w:leader="dot" w:pos="9016"/>
            </w:tabs>
            <w:rPr>
              <w:rFonts w:asciiTheme="minorHAnsi" w:hAnsiTheme="minorHAnsi" w:eastAsiaTheme="minorEastAsia"/>
              <w:sz w:val="22"/>
              <w:lang w:eastAsia="en-GB"/>
            </w:rPr>
          </w:pPr>
          <w:r>
            <w:fldChar w:fldCharType="begin"/>
          </w:r>
          <w:r>
            <w:instrText xml:space="preserve"> HYPERLINK \l "_Toc69871395" </w:instrText>
          </w:r>
          <w:r>
            <w:fldChar w:fldCharType="separate"/>
          </w:r>
          <w:r>
            <w:rPr>
              <w:rStyle w:val="9"/>
            </w:rPr>
            <w:t>The Emergence of British Heart Foundation</w:t>
          </w:r>
          <w:r>
            <w:tab/>
          </w:r>
          <w:r>
            <w:fldChar w:fldCharType="begin"/>
          </w:r>
          <w:r>
            <w:instrText xml:space="preserve"> PAGEREF _Toc69871395 \h </w:instrText>
          </w:r>
          <w:r>
            <w:fldChar w:fldCharType="separate"/>
          </w:r>
          <w:r>
            <w:t>5</w:t>
          </w:r>
          <w:r>
            <w:fldChar w:fldCharType="end"/>
          </w:r>
          <w:r>
            <w:fldChar w:fldCharType="end"/>
          </w:r>
        </w:p>
        <w:p>
          <w:pPr>
            <w:pStyle w:val="7"/>
            <w:tabs>
              <w:tab w:val="right" w:leader="dot" w:pos="9016"/>
            </w:tabs>
            <w:rPr>
              <w:rFonts w:asciiTheme="minorHAnsi" w:hAnsiTheme="minorHAnsi" w:eastAsiaTheme="minorEastAsia"/>
              <w:sz w:val="22"/>
              <w:lang w:eastAsia="en-GB"/>
            </w:rPr>
          </w:pPr>
          <w:r>
            <w:fldChar w:fldCharType="begin"/>
          </w:r>
          <w:r>
            <w:instrText xml:space="preserve"> HYPERLINK \l "_Toc69871396" </w:instrText>
          </w:r>
          <w:r>
            <w:fldChar w:fldCharType="separate"/>
          </w:r>
          <w:r>
            <w:rPr>
              <w:rStyle w:val="9"/>
            </w:rPr>
            <w:t>BHF in Contemporary Community Engagement</w:t>
          </w:r>
          <w:r>
            <w:tab/>
          </w:r>
          <w:r>
            <w:fldChar w:fldCharType="begin"/>
          </w:r>
          <w:r>
            <w:instrText xml:space="preserve"> PAGEREF _Toc69871396 \h </w:instrText>
          </w:r>
          <w:r>
            <w:fldChar w:fldCharType="separate"/>
          </w:r>
          <w:r>
            <w:t>5</w:t>
          </w:r>
          <w:r>
            <w:fldChar w:fldCharType="end"/>
          </w:r>
          <w:r>
            <w:fldChar w:fldCharType="end"/>
          </w:r>
        </w:p>
        <w:p>
          <w:pPr>
            <w:pStyle w:val="6"/>
            <w:tabs>
              <w:tab w:val="right" w:leader="dot" w:pos="9016"/>
            </w:tabs>
            <w:rPr>
              <w:rFonts w:asciiTheme="minorHAnsi" w:hAnsiTheme="minorHAnsi" w:eastAsiaTheme="minorEastAsia"/>
              <w:sz w:val="22"/>
              <w:lang w:eastAsia="en-GB"/>
            </w:rPr>
          </w:pPr>
          <w:r>
            <w:fldChar w:fldCharType="begin"/>
          </w:r>
          <w:r>
            <w:instrText xml:space="preserve"> HYPERLINK \l "_Toc69871397" </w:instrText>
          </w:r>
          <w:r>
            <w:fldChar w:fldCharType="separate"/>
          </w:r>
          <w:r>
            <w:rPr>
              <w:rStyle w:val="9"/>
            </w:rPr>
            <w:t>How BHF Use Social Media Platform to Outreach</w:t>
          </w:r>
          <w:r>
            <w:tab/>
          </w:r>
          <w:r>
            <w:fldChar w:fldCharType="begin"/>
          </w:r>
          <w:r>
            <w:instrText xml:space="preserve"> PAGEREF _Toc69871397 \h </w:instrText>
          </w:r>
          <w:r>
            <w:fldChar w:fldCharType="separate"/>
          </w:r>
          <w:r>
            <w:t>6</w:t>
          </w:r>
          <w:r>
            <w:fldChar w:fldCharType="end"/>
          </w:r>
          <w:r>
            <w:fldChar w:fldCharType="end"/>
          </w:r>
        </w:p>
        <w:p>
          <w:pPr>
            <w:pStyle w:val="6"/>
            <w:tabs>
              <w:tab w:val="right" w:leader="dot" w:pos="9016"/>
            </w:tabs>
            <w:rPr>
              <w:rFonts w:asciiTheme="minorHAnsi" w:hAnsiTheme="minorHAnsi" w:eastAsiaTheme="minorEastAsia"/>
              <w:sz w:val="22"/>
              <w:lang w:eastAsia="en-GB"/>
            </w:rPr>
          </w:pPr>
          <w:r>
            <w:fldChar w:fldCharType="begin"/>
          </w:r>
          <w:r>
            <w:instrText xml:space="preserve"> HYPERLINK \l "_Toc69871398" </w:instrText>
          </w:r>
          <w:r>
            <w:fldChar w:fldCharType="separate"/>
          </w:r>
          <w:r>
            <w:rPr>
              <w:rStyle w:val="9"/>
            </w:rPr>
            <w:t>Required Training and Development for The Employees of BHF to Deal with Social-Cultural Issues</w:t>
          </w:r>
          <w:r>
            <w:tab/>
          </w:r>
          <w:r>
            <w:fldChar w:fldCharType="begin"/>
          </w:r>
          <w:r>
            <w:instrText xml:space="preserve"> PAGEREF _Toc69871398 \h </w:instrText>
          </w:r>
          <w:r>
            <w:fldChar w:fldCharType="separate"/>
          </w:r>
          <w:r>
            <w:t>7</w:t>
          </w:r>
          <w:r>
            <w:fldChar w:fldCharType="end"/>
          </w:r>
          <w:r>
            <w:fldChar w:fldCharType="end"/>
          </w:r>
        </w:p>
        <w:p>
          <w:pPr>
            <w:pStyle w:val="6"/>
            <w:tabs>
              <w:tab w:val="right" w:leader="dot" w:pos="9016"/>
            </w:tabs>
            <w:rPr>
              <w:rFonts w:asciiTheme="minorHAnsi" w:hAnsiTheme="minorHAnsi" w:eastAsiaTheme="minorEastAsia"/>
              <w:sz w:val="22"/>
              <w:lang w:eastAsia="en-GB"/>
            </w:rPr>
          </w:pPr>
          <w:r>
            <w:fldChar w:fldCharType="begin"/>
          </w:r>
          <w:r>
            <w:instrText xml:space="preserve"> HYPERLINK \l "_Toc69871399" </w:instrText>
          </w:r>
          <w:r>
            <w:fldChar w:fldCharType="separate"/>
          </w:r>
          <w:r>
            <w:rPr>
              <w:rStyle w:val="9"/>
            </w:rPr>
            <w:t>Conclusion</w:t>
          </w:r>
          <w:r>
            <w:tab/>
          </w:r>
          <w:r>
            <w:fldChar w:fldCharType="begin"/>
          </w:r>
          <w:r>
            <w:instrText xml:space="preserve"> PAGEREF _Toc69871399 \h </w:instrText>
          </w:r>
          <w:r>
            <w:fldChar w:fldCharType="separate"/>
          </w:r>
          <w:r>
            <w:t>9</w:t>
          </w:r>
          <w:r>
            <w:fldChar w:fldCharType="end"/>
          </w:r>
          <w:r>
            <w:fldChar w:fldCharType="end"/>
          </w:r>
        </w:p>
        <w:p>
          <w:pPr>
            <w:pStyle w:val="6"/>
            <w:tabs>
              <w:tab w:val="right" w:leader="dot" w:pos="9016"/>
            </w:tabs>
            <w:rPr>
              <w:rFonts w:asciiTheme="minorHAnsi" w:hAnsiTheme="minorHAnsi" w:eastAsiaTheme="minorEastAsia"/>
              <w:sz w:val="22"/>
              <w:lang w:eastAsia="en-GB"/>
            </w:rPr>
          </w:pPr>
          <w:r>
            <w:fldChar w:fldCharType="begin"/>
          </w:r>
          <w:r>
            <w:instrText xml:space="preserve"> HYPERLINK \l "_Toc69871400" </w:instrText>
          </w:r>
          <w:r>
            <w:fldChar w:fldCharType="separate"/>
          </w:r>
          <w:r>
            <w:rPr>
              <w:rStyle w:val="9"/>
            </w:rPr>
            <w:t>Recommendation</w:t>
          </w:r>
          <w:r>
            <w:tab/>
          </w:r>
          <w:r>
            <w:fldChar w:fldCharType="begin"/>
          </w:r>
          <w:r>
            <w:instrText xml:space="preserve"> PAGEREF _Toc69871400 \h </w:instrText>
          </w:r>
          <w:r>
            <w:fldChar w:fldCharType="separate"/>
          </w:r>
          <w:r>
            <w:t>9</w:t>
          </w:r>
          <w:r>
            <w:fldChar w:fldCharType="end"/>
          </w:r>
          <w:r>
            <w:fldChar w:fldCharType="end"/>
          </w:r>
        </w:p>
        <w:p>
          <w:pPr>
            <w:pStyle w:val="6"/>
            <w:tabs>
              <w:tab w:val="right" w:leader="dot" w:pos="9016"/>
            </w:tabs>
            <w:rPr>
              <w:rFonts w:asciiTheme="minorHAnsi" w:hAnsiTheme="minorHAnsi" w:eastAsiaTheme="minorEastAsia"/>
              <w:sz w:val="22"/>
              <w:lang w:eastAsia="en-GB"/>
            </w:rPr>
          </w:pPr>
          <w:r>
            <w:fldChar w:fldCharType="begin"/>
          </w:r>
          <w:r>
            <w:instrText xml:space="preserve"> HYPERLINK \l "_Toc69871401" </w:instrText>
          </w:r>
          <w:r>
            <w:fldChar w:fldCharType="separate"/>
          </w:r>
          <w:r>
            <w:rPr>
              <w:rStyle w:val="9"/>
            </w:rPr>
            <w:t>References</w:t>
          </w:r>
          <w:r>
            <w:tab/>
          </w:r>
          <w:r>
            <w:fldChar w:fldCharType="begin"/>
          </w:r>
          <w:r>
            <w:instrText xml:space="preserve"> PAGEREF _Toc69871401 \h </w:instrText>
          </w:r>
          <w:r>
            <w:fldChar w:fldCharType="separate"/>
          </w:r>
          <w:r>
            <w:t>10</w:t>
          </w:r>
          <w:r>
            <w:fldChar w:fldCharType="end"/>
          </w:r>
          <w:r>
            <w:fldChar w:fldCharType="end"/>
          </w:r>
        </w:p>
        <w:p>
          <w:pPr>
            <w:rPr>
              <w:sz w:val="28"/>
            </w:rPr>
          </w:pPr>
          <w:r>
            <w:rPr>
              <w:b/>
              <w:bCs/>
              <w:sz w:val="28"/>
            </w:rPr>
            <w:fldChar w:fldCharType="end"/>
          </w:r>
        </w:p>
      </w:sdtContent>
    </w:sdt>
    <w:p>
      <w:pPr>
        <w:pStyle w:val="2"/>
      </w:pPr>
    </w:p>
    <w:p>
      <w:pPr>
        <w:rPr>
          <w:rFonts w:eastAsiaTheme="majorEastAsia" w:cstheme="majorBidi"/>
          <w:color w:val="000000" w:themeColor="text1"/>
          <w:sz w:val="32"/>
          <w:szCs w:val="32"/>
          <w14:textFill>
            <w14:solidFill>
              <w14:schemeClr w14:val="tx1"/>
            </w14:solidFill>
          </w14:textFill>
        </w:rPr>
      </w:pPr>
      <w:r>
        <w:br w:type="page"/>
      </w:r>
    </w:p>
    <w:p>
      <w:pPr>
        <w:pStyle w:val="2"/>
      </w:pPr>
      <w:bookmarkStart w:id="0" w:name="_Toc69871392"/>
      <w:r>
        <w:t>Introduction</w:t>
      </w:r>
      <w:bookmarkEnd w:id="0"/>
      <w:r>
        <w:t xml:space="preserve"> </w:t>
      </w:r>
    </w:p>
    <w:p>
      <w:r>
        <w:t>Community engagement refers to the process of working collaboratively and affiliation with different stakeholders to achieve sustainable outcomes and the betterment of the community (Dostilio and Welch, 2019). For this purpose, not for profit organization like the British heart foundation work collaboratively and comprehensively to ensure the social standard and the betterment of society. Since 1961, it has been providing cardiovascular services, conducting social campaigns, public awareness, and has developed various cost-effective disease treatment for heart victims as well as people across the UK (Bhf.org, 2021). So, this report is generated to show the engagement of BHF with the community and its relationship with the holders. Later on, the author discussed how the organization has evolved its community engagement and depicted its milestones. The author also analysed various techniques used by BHF to better reach the beneficiaries through using various social media platforms. In the end, the author discussed various training and development programs needed for the employees of BHF to deal with the social-cultural issues and external factors that are needed to be considered while building a relationship with the partners.</w:t>
      </w:r>
    </w:p>
    <w:p/>
    <w:p/>
    <w:p/>
    <w:p/>
    <w:p/>
    <w:p/>
    <w:p/>
    <w:p/>
    <w:p/>
    <w:p/>
    <w:p/>
    <w:p>
      <w:pPr>
        <w:pStyle w:val="2"/>
      </w:pPr>
      <w:bookmarkStart w:id="1" w:name="_Toc69871393"/>
      <w:r>
        <w:t>Relationship and Engagement of BHF with The Stakeholders</w:t>
      </w:r>
      <w:bookmarkEnd w:id="1"/>
      <w:r>
        <w:t xml:space="preserve"> </w:t>
      </w:r>
    </w:p>
    <w:p>
      <w:r>
        <w:t>British heart foundation is the single largest funder in the field of cardiovascular disease and research and a not for profit organization. Since its emergence in 1961 by a group of medical professionals concerned about the rising case of cardiovascular disease, it has been working for the community to reduce heart disease and provide fund to research this field to make the treatment available and make people aware of the consequences (Bhf.org, 2021). Over the years, it has been engaging with communities with support from partners and sponsors to raise awareness and increase people engagement with the organization with the motto of Fight for Every Heartbeat (Bhf.org, 2021). So, the major stakeholders of BHF are:</w:t>
      </w:r>
    </w:p>
    <w:p>
      <w:r>
        <w:rPr>
          <w:b/>
        </w:rPr>
        <w:t>1. Board of Trustees:</w:t>
      </w:r>
      <w:r>
        <w:t xml:space="preserve"> Board of trustees is a group of people that are responsible to oversee the directors and act as top management of the organization (Young, 2016). The main role of the board of trustee is to ensure the or values and purposes of the organization are aligned with the operation process. They are mainly appointed to work as the top management for any not for profit organization like the British Heart Foundation. They handle financial activities, sponsors, consequences of the organization through appointing management individual and relation with the donors (Wolf, 2014).</w:t>
      </w:r>
    </w:p>
    <w:p>
      <w:r>
        <w:rPr>
          <w:b/>
        </w:rPr>
        <w:t>2. Volunteers:</w:t>
      </w:r>
      <w:r>
        <w:t xml:space="preserve"> For any not for profit organization, volunteers are a crucial part of the operation. They are the individuals who work willingly and take part in the organization’s activities (Young, 2016). Volunteers could be celebrities, popular personality, doctors, teachers or any individual. Volunteers work hand in hand in any social engagement, raise funds for any campaign s and provide services on behalf of the organization. They are the front-line participants in any social activities of not for profit organization.</w:t>
      </w:r>
    </w:p>
    <w:p>
      <w:r>
        <w:rPr>
          <w:b/>
        </w:rPr>
        <w:t xml:space="preserve">3. Corporate Partners and Sponsors: </w:t>
      </w:r>
      <w:r>
        <w:t>Partners and sponsors are the lifeblood for not for profit organizations like BHF. The major fund of the BHF comes from legacies and wills accounting for 40% of the total contribution (Bhf.org, 2021). The rest of the contribution of BHF comes from voluntary income, profit from the retail section and investment income. BHF use these funds in research projects. It aims to spend around 100 million pounds a year on a research scientist. It also sponsors TV series like Kitchen Detective and Kids Fit Squad to encourage healthy life activities and eating and practical advice (Baker, 2021).</w:t>
      </w:r>
    </w:p>
    <w:p>
      <w:r>
        <w:rPr>
          <w:b/>
        </w:rPr>
        <w:t>4. Employees:</w:t>
      </w:r>
      <w:r>
        <w:t xml:space="preserve"> After the board of trustees, employees play a key role in the operation of BHF. Besides its organization management, it has a large retail chain of shops throughout Britain. Along with 160 furniture and electrical shops, it has more than 737 shops. The shops are responsible for staffing around 22,500 volunteers along with the regular managers, assistant etc (Bhf.org, 2021). These participants are involved in life-saving words founded by the sponsors and retail division of BHF.</w:t>
      </w:r>
    </w:p>
    <w:p>
      <w:r>
        <w:rPr>
          <w:b/>
        </w:rPr>
        <w:t>5. Customers and Local Communities:</w:t>
      </w:r>
      <w:r>
        <w:t xml:space="preserve"> Customers and local communities are also an integral part of the operation of BHF. They play various versatile roles sometimes as a volunteer, sometimes as a fundraiser, or sometimes they arrange public shows, football activities, cycles races to raise awareness and bolster BHF's relation with sponsors and donors (Baker, 2021). With their help, BHF becomes able to arrange social program like London to Brighton bike ride, skipping challenges like Jump rope for heart etc.</w:t>
      </w:r>
    </w:p>
    <w:p>
      <w:pPr>
        <w:pStyle w:val="2"/>
      </w:pPr>
      <w:bookmarkStart w:id="2" w:name="_Toc69871394"/>
      <w:r>
        <w:t>Different Eras of British Heart Foundation and Evolvement of Community Engagement</w:t>
      </w:r>
      <w:bookmarkEnd w:id="2"/>
      <w:r>
        <w:t xml:space="preserve"> </w:t>
      </w:r>
    </w:p>
    <w:p>
      <w:pPr>
        <w:pStyle w:val="3"/>
      </w:pPr>
      <w:bookmarkStart w:id="3" w:name="_Toc69871395"/>
      <w:r>
        <w:t>The Emergence of British Heart Foundation</w:t>
      </w:r>
      <w:bookmarkEnd w:id="3"/>
    </w:p>
    <w:p>
      <w:r>
        <w:t>BHF has a long story of community engagement since 1961. It was established at a time when cardiovascular disease was the cause of 51% of death in the UK (Bhf.org, 2021). In the first decade, BHF became able to install UK's first pacemaker in 1963. Later on, it brought the first coronary carry unit, the first defibrillator in an ambulance, revolutionize heart valve surgery, heart transplant etc (Bhf.org, 2021). In the next decades, it initiated political trials aiming to save heart attack victims as 7 out of every 10 victims did not survive in that period. In 1985, BHF professor Magdi Yacoub developed the arterial switch that is used to treat babies with congenital heart disease. BHF biggest contribution to the community came in 1986 when the professor established UK's first heart transplant centre (Bhf.org, 2021). For this, the professor was knighted in 1992 and received the order of merit in 2014 (Bhf.org, 2021).</w:t>
      </w:r>
    </w:p>
    <w:p>
      <w:pPr>
        <w:pStyle w:val="3"/>
      </w:pPr>
      <w:bookmarkStart w:id="4" w:name="_Toc69871396"/>
      <w:r>
        <w:t>BHF in Contemporary Community Engagement</w:t>
      </w:r>
      <w:bookmarkEnd w:id="4"/>
    </w:p>
    <w:p>
      <w:r>
        <w:t>BHF community engagement has increased muchly from the beginning of 21 century. Besides various social awareness, public campaigns, it increased its interaction with sponsors to increase the flow of fund and contributed this collection in disease research, research projects etc. It started to run an anti-smoking campaign in 2004 that led to a smoking ban in public places in 2007 (Baker, 2021). It has also been conducting CPR training and defibrillator awareness since 2014. By 2017, it had trained more than 2.4 million people across the UK (Bhf.org, 2021). It has also been investing in the centre of research excellence, centres of regenerative medicine, offering free CPR kits in school. Besides these various public challenges like jump rope for heart, wear red day, the big donation has been conducted to raise awareness and save more lives.</w:t>
      </w:r>
    </w:p>
    <w:p>
      <w:pPr>
        <w:pStyle w:val="2"/>
      </w:pPr>
      <w:bookmarkStart w:id="5" w:name="_Toc69871397"/>
      <w:r>
        <w:t>How BHF Use Social Media Platform to Outreach</w:t>
      </w:r>
      <w:bookmarkEnd w:id="5"/>
      <w:r>
        <w:t xml:space="preserve"> </w:t>
      </w:r>
    </w:p>
    <w:p>
      <w:r>
        <w:t xml:space="preserve">Besides its conventional activities like public campaign, awareness program etc, BHF continuously use social media to spread awareness and reach to the more public including both partners and beneficiaries. Its creative and professional social media activities have increased its revenue as well as public engagement. BHF biggest social media campaign was conducted in 2016 using Twitter. </w:t>
      </w:r>
    </w:p>
    <w:p>
      <w:pPr>
        <w:jc w:val="left"/>
      </w:pPr>
      <w:r>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pPr>
        <w:jc w:val="center"/>
      </w:pPr>
      <w:r>
        <w:t>Figure: Use Social Media Platform by BHF (Bhf.org, 2021)</w:t>
      </w:r>
    </w:p>
    <w:p>
      <w:r>
        <w:t>The campaign started with the hashtag “RestartAheart” and the goal was to raise awareness about the treatment of cardiac arrest. Since then, the organization arranges this campaign every year to make people understand the need for CPR training that is very much helpful in increasing the survival rate immediately after cardiac arrest. People who survived a heart attack also gave feedback using Twitter's auto-response feature and less than 1 in 10 people got a response of survival (Marketing.twitter.com, 2021). It got a total of 26,000 likes and 47, 000 mentioned over the Twitter platform. It was mainly aimed to raise awareness among the people outside of the social platform to learn about CPR and defibrillation.</w:t>
      </w:r>
    </w:p>
    <w:p>
      <w:r>
        <w:t>Also, in 2021, BHF launched another campaign with Dechox. The title of this campaign was ‘give up Dechox chocolate and raise money for heart research. The three types of program in the campaign were Chocoholic for Change, Sweet Toothed Supporter, And Leader of The Snack Pack (Global Social Media Agency, 2021). Under these three categories, people give up chocolate for 31 days and support the campaign through donations. It also opened a Facebook group named Dechox Facebook group for supporters to add boost.</w:t>
      </w:r>
    </w:p>
    <w:p>
      <w:r>
        <w:t>Since its social media involvement, BHF has been encouraging its supporters, volunteers, fundraisers and shop customers to create social media content. In 2016, it invited comedian Joe Pasquale to announce a raffle draw winner (Bhf.org, 2021). So, with this familiar and branded voice, it became able to engage more supporters and draw celebrity’s attention to the organization’s activities.</w:t>
      </w:r>
    </w:p>
    <w:p>
      <w:r>
        <w:t>Partnering with SoAmpli, BHF has been able to create content for users and reach more health concern people. It became able to reach more than 650,000 people by this platform (Bhf.org, 2021). Another initiative taken by BHF is email signatures and fundraising badges for the supporters and stakeholders. They can use an email signature and attach it with the email body to let others know that they are fundraising for the BHF (Bhf.org, 2021). You can also use fundraising badges on the social platform like Facebook and Twitter to let other know about the fundraising condition.</w:t>
      </w:r>
    </w:p>
    <w:p>
      <w:pPr>
        <w:pStyle w:val="2"/>
      </w:pPr>
      <w:bookmarkStart w:id="6" w:name="_Toc69871398"/>
      <w:r>
        <w:t>Required Training and Development for The Employees of BHF to Deal with Social-Cultural Issues</w:t>
      </w:r>
      <w:bookmarkEnd w:id="6"/>
    </w:p>
    <w:p>
      <w:r>
        <w:t xml:space="preserve">Not for profit organization like BHF has to deal with various social-cultural issues as most of its activities are related with the society. To deal with these types of issues, organization need to have proper training and development and continuous training program for the employees to better understand the problem. </w:t>
      </w:r>
    </w:p>
    <w:p>
      <w:r>
        <w:t>The first type of training and development program needed for BHS employees is social communication (Dostilio and Welch, 2019). Employees of BHF and its volunteers always have to interact with the corporate supporters and beneficiaries to keep the flow of the operation and bridge the relationship between them. For this, employees have to contact them, participate in the social campaign, bringing beneficiaries to the organization’s activities.</w:t>
      </w:r>
    </w:p>
    <w:p>
      <w:r>
        <w:t>Another training and development program that is needed for the employees of BHF is leadership. The operation of the organization is carried out by over 3,000 employees who look after more than 22,000 volunteers (Bhf.org, 2021).</w:t>
      </w:r>
    </w:p>
    <w:p>
      <w:r>
        <w:drawing>
          <wp:inline distT="0" distB="0" distL="0" distR="0">
            <wp:extent cx="5486400" cy="3200400"/>
            <wp:effectExtent l="19050" t="0" r="381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pPr>
        <w:jc w:val="center"/>
      </w:pPr>
      <w:r>
        <w:t>Figure: Existing Learning and Development Programs of BHF (Bhf.org, 2021)</w:t>
      </w:r>
    </w:p>
    <w:p>
      <w:r>
        <w:t>To organize volunteers’ activities and keep them attached with the organizations go require robust leadership skill. Strategic And dynamic leadership development program can increase employee’s confidence and boost up there are skills to manage volunteers (Lane and Devin, 2017). For this BHF has a personal development plan, mentoring and coaching program to make sure the employee has the proper skills to tackle the organization's socio-cultural issues (Bhf.org, 2021).</w:t>
      </w:r>
    </w:p>
    <w:p>
      <w:r>
        <w:t>Besides workability skills, employees needed to be physically healthy and have good health. over the years, BHF has taken various measures to ensure employees good health and social well-being besides their organizational skills. As a result, 56% office employee is happy with your work life and 72% think their managers are helpful and encourage and support them to take care of their health and social wellbeing (Baker, 2021).</w:t>
      </w:r>
    </w:p>
    <w:p/>
    <w:p/>
    <w:p/>
    <w:p/>
    <w:p>
      <w:pPr>
        <w:pStyle w:val="2"/>
        <w:rPr>
          <w:rStyle w:val="9"/>
          <w:color w:val="000000" w:themeColor="text1"/>
          <w:u w:val="none"/>
          <w14:textFill>
            <w14:solidFill>
              <w14:schemeClr w14:val="tx1"/>
            </w14:solidFill>
          </w14:textFill>
        </w:rPr>
      </w:pPr>
      <w:bookmarkStart w:id="7" w:name="_Toc69871399"/>
      <w:r>
        <w:rPr>
          <w:rStyle w:val="9"/>
          <w:color w:val="000000" w:themeColor="text1"/>
          <w:u w:val="none"/>
          <w14:textFill>
            <w14:solidFill>
              <w14:schemeClr w14:val="tx1"/>
            </w14:solidFill>
          </w14:textFill>
        </w:rPr>
        <w:t>Conclusion</w:t>
      </w:r>
      <w:bookmarkEnd w:id="7"/>
    </w:p>
    <w:p>
      <w:pPr>
        <w:rPr>
          <w:rStyle w:val="9"/>
          <w:color w:val="000000" w:themeColor="text1"/>
          <w:u w:val="none"/>
          <w14:textFill>
            <w14:solidFill>
              <w14:schemeClr w14:val="tx1"/>
            </w14:solidFill>
          </w14:textFill>
        </w:rPr>
      </w:pPr>
      <w:r>
        <w:rPr>
          <w:rStyle w:val="9"/>
          <w:color w:val="000000" w:themeColor="text1"/>
          <w:u w:val="none"/>
          <w14:textFill>
            <w14:solidFill>
              <w14:schemeClr w14:val="tx1"/>
            </w14:solidFill>
          </w14:textFill>
        </w:rPr>
        <w:t>Lastly, organizations like BHF should keep up community engagement program to increase public awareness and collaboration between the organization and partners. Training and development programs are necessary to make employees more beneficiary and donor-centric (Lane and Devin, 2017). It would increase collaboration and engage people from various background to work hand in hand for the betterment of society. Other not for organizations, corporate partners, donors, volunteers, stakeholders should come forward to help each other and make life free from chronic diseases. Collaboration and interaction from all parties are needed to make sure someone is there to help and collaborative endeavour is the bloodline of the society.</w:t>
      </w:r>
    </w:p>
    <w:p>
      <w:pPr>
        <w:pStyle w:val="2"/>
      </w:pPr>
      <w:bookmarkStart w:id="8" w:name="_Toc69871400"/>
      <w:r>
        <w:t>Recommendation</w:t>
      </w:r>
      <w:bookmarkEnd w:id="8"/>
    </w:p>
    <w:p>
      <w:r>
        <w:t>Besides its leading position, BHF can take various measures to improve its relationship with the partners and resolute the concerns raised by the stakeholders. It should stop animal testing or find any alternatives to this to decrease the lethal experiments. As BHF was fined in 2016 for its unsystematic activities, it should stop such practices to keep a good relationship with the corporate partners and donor organization. Rather it can provide training and development to the employees to increase their communication skills that are necessary to collect funding from the donors. Minimizing such practices will increase donors trust over the operation of the organization (Young, 2016). It can arrange more and more social campaigns and public challenges to increase awareness and make them understand the value of well-being and healthy life. Besides these, the organization should keep up their innovation in the disease treatment sector that would be helpful to provide cardiovascular services across the world. It can also strengthen its retail chain to reach more people and increase the number of volunteers to comprehensively run programs.</w:t>
      </w:r>
    </w:p>
    <w:p/>
    <w:p/>
    <w:p/>
    <w:p/>
    <w:p/>
    <w:p>
      <w:pPr>
        <w:pStyle w:val="2"/>
      </w:pPr>
      <w:bookmarkStart w:id="9" w:name="_Toc69871401"/>
      <w:r>
        <w:t>References</w:t>
      </w:r>
      <w:bookmarkEnd w:id="9"/>
    </w:p>
    <w:p>
      <w:r>
        <w:t>Baker, R., 2021. </w:t>
      </w:r>
      <w:r>
        <w:rPr>
          <w:i/>
          <w:iCs/>
        </w:rPr>
        <w:t>British Heart Foundation launches integrated campaign – Marketing Week</w:t>
      </w:r>
      <w:r>
        <w:t>. [online] Marketing Week. Available at: &lt;https://www.marketingweek.com/british-heart-foundation-launches-integrated-campaign/&gt; [Accessed 18 April 2021].</w:t>
      </w:r>
    </w:p>
    <w:p>
      <w:r>
        <w:t>Bhf.org.uk. 2021. </w:t>
      </w:r>
      <w:r>
        <w:rPr>
          <w:i/>
          <w:iCs/>
        </w:rPr>
        <w:t>Bhf.org</w:t>
      </w:r>
      <w:r>
        <w:t>. [online] Available at: &lt;https://www.BHF.org.uk/what-we-do/our-research/our-successes/the-difference-the-BHF-has-made-since-1961#1965&gt; [Accessed 18 April 2021].</w:t>
      </w:r>
    </w:p>
    <w:p>
      <w:r>
        <w:t>British Heart Foundation. 2021. </w:t>
      </w:r>
      <w:r>
        <w:rPr>
          <w:i/>
          <w:iCs/>
        </w:rPr>
        <w:t>Career development - British Heart Foundation</w:t>
      </w:r>
      <w:r>
        <w:t>. [online] Available at: &lt;https://jobs.BHF.org.uk/career-development.aspx&gt; [Accessed 18 April 2021].</w:t>
      </w:r>
    </w:p>
    <w:p>
      <w:r>
        <w:t>Calvo, N. and Calvo, F., 2018. Corporate social responsibility and multiple agency theory: A case study of internal stakeholder engagement. </w:t>
      </w:r>
      <w:r>
        <w:rPr>
          <w:i/>
          <w:iCs/>
        </w:rPr>
        <w:t>Corporate Social Responsibility and Environmental Management</w:t>
      </w:r>
      <w:r>
        <w:t>, 25(6), pp.1223-1230.</w:t>
      </w:r>
    </w:p>
    <w:p>
      <w:r>
        <w:t>Dostilio, L. and Welch, M., 2019. </w:t>
      </w:r>
      <w:r>
        <w:rPr>
          <w:i/>
          <w:iCs/>
        </w:rPr>
        <w:t>The Community Engagement Professional's Guidebook</w:t>
      </w:r>
      <w:r>
        <w:t>. Bloomfield: Campus Compact.</w:t>
      </w:r>
    </w:p>
    <w:p>
      <w:r>
        <w:t>Global Social Media Agency. 2021. </w:t>
      </w:r>
      <w:r>
        <w:rPr>
          <w:i/>
          <w:iCs/>
        </w:rPr>
        <w:t>Global Social Media Agency</w:t>
      </w:r>
      <w:r>
        <w:t>. [online] Available at: &lt;https://www.social-republic.co.uk/blog/british-heart-foundation-spreading-awareness-with-social-media/&gt; [Accessed 19 April 2021].</w:t>
      </w:r>
    </w:p>
    <w:p>
      <w:r>
        <w:t>Lane, A. and Devin, B., 2017. Operationalizing Stakeholder Engagement in CSR: A Process Approach. </w:t>
      </w:r>
      <w:r>
        <w:rPr>
          <w:i/>
          <w:iCs/>
        </w:rPr>
        <w:t>Corporate Social Responsibility and Environmental Management</w:t>
      </w:r>
      <w:r>
        <w:t>, 25(3), pp.267-280.</w:t>
      </w:r>
    </w:p>
    <w:p>
      <w:r>
        <w:t>Marketing.twitter.com. 2021. </w:t>
      </w:r>
      <w:r>
        <w:rPr>
          <w:i/>
          <w:iCs/>
        </w:rPr>
        <w:t>How @TheBHF launched a Twitter campaign powered by hearts</w:t>
      </w:r>
      <w:r>
        <w:t>. [online] Available at: &lt;https://marketing.twitter.com/en_gb/success-stories/british-heart-foundation&gt; [Accessed 19 April 2021].</w:t>
      </w:r>
    </w:p>
    <w:p>
      <w:r>
        <w:t>Marketing.twitter.com. 2021. </w:t>
      </w:r>
      <w:r>
        <w:rPr>
          <w:i/>
          <w:iCs/>
        </w:rPr>
        <w:t>Marketing.twitter.com</w:t>
      </w:r>
      <w:r>
        <w:t>. [online] Available at: &lt;https://marketing.twitter.com/en_gb/success-stories/british-heart-foundation&gt; [Accessed 19 April 2021].</w:t>
      </w:r>
    </w:p>
    <w:p>
      <w:r>
        <w:t>Morrill, A., 2011. </w:t>
      </w:r>
      <w:r>
        <w:rPr>
          <w:i/>
          <w:iCs/>
        </w:rPr>
        <w:t>Nonprofit organizations</w:t>
      </w:r>
      <w:r>
        <w:t>. New York: Ferguson.</w:t>
      </w:r>
    </w:p>
    <w:p>
      <w:r>
        <w:t>Rampersad, R., 2017. Corporate social responsibility: Applying sustainability principles in stakeholder engagement. </w:t>
      </w:r>
      <w:r>
        <w:rPr>
          <w:i/>
          <w:iCs/>
        </w:rPr>
        <w:t>Corporate Ownership and Control</w:t>
      </w:r>
      <w:r>
        <w:t>, 14(2), pp.222-229.</w:t>
      </w:r>
    </w:p>
    <w:p>
      <w:r>
        <w:t>Wolf, T., 2014. </w:t>
      </w:r>
      <w:r>
        <w:rPr>
          <w:i/>
          <w:iCs/>
        </w:rPr>
        <w:t>Managing a nonprofit organization</w:t>
      </w:r>
      <w:r>
        <w:t>. [Place of publication not identified]: Free Press.</w:t>
      </w:r>
    </w:p>
    <w:p>
      <w:r>
        <w:t>Young, D., 2016. </w:t>
      </w:r>
      <w:r>
        <w:rPr>
          <w:i/>
          <w:iCs/>
        </w:rPr>
        <w:t>Management control in nonprofit organizations</w:t>
      </w:r>
      <w:r>
        <w:t>. Cambridge, Mass.: Crimson Press.</w:t>
      </w:r>
    </w:p>
    <w:p/>
    <w:sectPr>
      <w:footerReference r:id="rId3" w:type="default"/>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86"/>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宋体-简"/>
    <w:panose1 w:val="00000000000000000000"/>
    <w:charset w:val="86"/>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Calibri">
    <w:altName w:val="Helvetica Neue"/>
    <w:panose1 w:val="020F0502020204030204"/>
    <w:charset w:val="86"/>
    <w:family w:val="swiss"/>
    <w:pitch w:val="default"/>
    <w:sig w:usb0="00000000" w:usb1="00000000" w:usb2="00000001" w:usb3="00000000" w:csb0="0000019F" w:csb1="00000000"/>
  </w:font>
  <w:font w:name="Calibri Light">
    <w:altName w:val="Helvetica Neue"/>
    <w:panose1 w:val="020F0302020204030204"/>
    <w:charset w:val="00"/>
    <w:family w:val="swiss"/>
    <w:pitch w:val="default"/>
    <w:sig w:usb0="00000000" w:usb1="00000000" w:usb2="00000009" w:usb3="00000000" w:csb0="000001FF" w:csb1="00000000"/>
  </w:font>
  <w:font w:name="Hiragino Sans CNS">
    <w:panose1 w:val="020B0300000000000000"/>
    <w:charset w:val="88"/>
    <w:family w:val="auto"/>
    <w:pitch w:val="default"/>
    <w:sig w:usb0="A00002FF" w:usb1="28CFFDFA" w:usb2="00000016" w:usb3="00000000" w:csb0="00120005" w:csb1="00000000"/>
  </w:font>
  <w:font w:name="Calibri">
    <w:altName w:val="Helvetica Neue"/>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001846185"/>
    </w:sdtPr>
    <w:sdtEndPr>
      <w:rPr>
        <w:color w:val="7F7F7F" w:themeColor="background1" w:themeShade="80"/>
        <w:spacing w:val="60"/>
      </w:rPr>
    </w:sdtEndPr>
    <w:sdtContent>
      <w:p>
        <w:pPr>
          <w:pStyle w:val="4"/>
          <w:pBdr>
            <w:top w:val="single" w:color="D8D8D8" w:themeColor="background1" w:themeShade="D9" w:sz="4" w:space="1"/>
          </w:pBdr>
          <w:rPr>
            <w:b/>
            <w:bCs/>
          </w:rPr>
        </w:pPr>
        <w:r>
          <w:fldChar w:fldCharType="begin"/>
        </w:r>
        <w:r>
          <w:instrText xml:space="preserve"> PAGE   \* MERGEFORMAT </w:instrText>
        </w:r>
        <w:r>
          <w:fldChar w:fldCharType="separate"/>
        </w:r>
        <w:r>
          <w:rPr>
            <w:b/>
            <w:bCs/>
          </w:rPr>
          <w:t>2</w:t>
        </w:r>
        <w:r>
          <w:rPr>
            <w:b/>
            <w:bCs/>
          </w:rPr>
          <w:fldChar w:fldCharType="end"/>
        </w:r>
        <w:r>
          <w:rPr>
            <w:b/>
            <w:bCs/>
          </w:rPr>
          <w:t xml:space="preserve"> | </w:t>
        </w:r>
        <w:r>
          <w:rPr>
            <w:color w:val="7F7F7F" w:themeColor="background1" w:themeShade="80"/>
            <w:spacing w:val="60"/>
          </w:rPr>
          <w:t>Page</w:t>
        </w:r>
      </w:p>
    </w:sdtContent>
  </w:sdt>
  <w:p>
    <w:pPr>
      <w:pStyle w:val="4"/>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YysbA0NrA0NDEwNjdW0lEKTi0uzszPAykwqQUAyym/3iwAAAA="/>
  </w:docVars>
  <w:rsids>
    <w:rsidRoot w:val="00E14890"/>
    <w:rsid w:val="00025798"/>
    <w:rsid w:val="00034113"/>
    <w:rsid w:val="00043019"/>
    <w:rsid w:val="000A29E0"/>
    <w:rsid w:val="000C05A5"/>
    <w:rsid w:val="000C5D6F"/>
    <w:rsid w:val="00117ED0"/>
    <w:rsid w:val="001657E8"/>
    <w:rsid w:val="001A5C39"/>
    <w:rsid w:val="001E1C3F"/>
    <w:rsid w:val="0023167A"/>
    <w:rsid w:val="00247D46"/>
    <w:rsid w:val="002668FC"/>
    <w:rsid w:val="0028236B"/>
    <w:rsid w:val="00313342"/>
    <w:rsid w:val="00325B04"/>
    <w:rsid w:val="003339F0"/>
    <w:rsid w:val="003A5868"/>
    <w:rsid w:val="003A5EB1"/>
    <w:rsid w:val="003B0FC7"/>
    <w:rsid w:val="003C6DEF"/>
    <w:rsid w:val="00411D60"/>
    <w:rsid w:val="004462DD"/>
    <w:rsid w:val="00480ADA"/>
    <w:rsid w:val="004D2D18"/>
    <w:rsid w:val="00504CDF"/>
    <w:rsid w:val="00513B94"/>
    <w:rsid w:val="005259C0"/>
    <w:rsid w:val="00573428"/>
    <w:rsid w:val="00574EF9"/>
    <w:rsid w:val="00581919"/>
    <w:rsid w:val="005A0672"/>
    <w:rsid w:val="005C4B56"/>
    <w:rsid w:val="005C5274"/>
    <w:rsid w:val="005E455E"/>
    <w:rsid w:val="005F123E"/>
    <w:rsid w:val="00601186"/>
    <w:rsid w:val="00611357"/>
    <w:rsid w:val="00622041"/>
    <w:rsid w:val="006338DF"/>
    <w:rsid w:val="006661BD"/>
    <w:rsid w:val="006B11D2"/>
    <w:rsid w:val="006B2269"/>
    <w:rsid w:val="006C0748"/>
    <w:rsid w:val="006E1F44"/>
    <w:rsid w:val="00706420"/>
    <w:rsid w:val="00716058"/>
    <w:rsid w:val="00775C3B"/>
    <w:rsid w:val="00777609"/>
    <w:rsid w:val="00794FA8"/>
    <w:rsid w:val="007C0AE8"/>
    <w:rsid w:val="007C4DDB"/>
    <w:rsid w:val="007C524A"/>
    <w:rsid w:val="007C79FE"/>
    <w:rsid w:val="007E063E"/>
    <w:rsid w:val="008640A8"/>
    <w:rsid w:val="00864E57"/>
    <w:rsid w:val="008F6BD1"/>
    <w:rsid w:val="00942773"/>
    <w:rsid w:val="009659F2"/>
    <w:rsid w:val="009B58B9"/>
    <w:rsid w:val="009C196D"/>
    <w:rsid w:val="009F4119"/>
    <w:rsid w:val="00A25FE8"/>
    <w:rsid w:val="00A95EE8"/>
    <w:rsid w:val="00AD13C1"/>
    <w:rsid w:val="00AD5D5D"/>
    <w:rsid w:val="00B07086"/>
    <w:rsid w:val="00B11A68"/>
    <w:rsid w:val="00B650B9"/>
    <w:rsid w:val="00B678A3"/>
    <w:rsid w:val="00B75598"/>
    <w:rsid w:val="00B90776"/>
    <w:rsid w:val="00BC4185"/>
    <w:rsid w:val="00C0703E"/>
    <w:rsid w:val="00C10905"/>
    <w:rsid w:val="00C209CD"/>
    <w:rsid w:val="00C67A2D"/>
    <w:rsid w:val="00CA1035"/>
    <w:rsid w:val="00CE3607"/>
    <w:rsid w:val="00CF1E75"/>
    <w:rsid w:val="00D1577E"/>
    <w:rsid w:val="00D17639"/>
    <w:rsid w:val="00DC69AF"/>
    <w:rsid w:val="00DD1A63"/>
    <w:rsid w:val="00E10FB6"/>
    <w:rsid w:val="00E14890"/>
    <w:rsid w:val="00E30499"/>
    <w:rsid w:val="00E30782"/>
    <w:rsid w:val="00E46624"/>
    <w:rsid w:val="00EA6627"/>
    <w:rsid w:val="00EE537E"/>
    <w:rsid w:val="00EF55B9"/>
    <w:rsid w:val="00F01280"/>
    <w:rsid w:val="00F668A1"/>
    <w:rsid w:val="00FE4783"/>
    <w:rsid w:val="657B134A"/>
    <w:rsid w:val="73DF56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sz w:val="24"/>
      <w:szCs w:val="22"/>
      <w:lang w:val="en-GB" w:eastAsia="en-US" w:bidi="ar-SA"/>
    </w:rPr>
  </w:style>
  <w:style w:type="paragraph" w:styleId="2">
    <w:name w:val="heading 1"/>
    <w:basedOn w:val="1"/>
    <w:next w:val="1"/>
    <w:link w:val="11"/>
    <w:qFormat/>
    <w:uiPriority w:val="9"/>
    <w:pPr>
      <w:keepNext/>
      <w:keepLines/>
      <w:spacing w:before="240" w:after="0"/>
      <w:outlineLvl w:val="0"/>
    </w:pPr>
    <w:rPr>
      <w:rFonts w:eastAsiaTheme="majorEastAsia" w:cstheme="majorBidi"/>
      <w:b/>
      <w:color w:val="000000" w:themeColor="text1"/>
      <w:sz w:val="32"/>
      <w:szCs w:val="32"/>
      <w14:textFill>
        <w14:solidFill>
          <w14:schemeClr w14:val="tx1"/>
        </w14:solidFill>
      </w14:textFill>
    </w:rPr>
  </w:style>
  <w:style w:type="paragraph" w:styleId="3">
    <w:name w:val="heading 2"/>
    <w:basedOn w:val="1"/>
    <w:next w:val="1"/>
    <w:link w:val="12"/>
    <w:unhideWhenUsed/>
    <w:qFormat/>
    <w:uiPriority w:val="9"/>
    <w:pPr>
      <w:keepNext/>
      <w:keepLines/>
      <w:spacing w:before="40" w:after="0"/>
      <w:outlineLvl w:val="1"/>
    </w:pPr>
    <w:rPr>
      <w:rFonts w:eastAsiaTheme="majorEastAsia" w:cstheme="majorBidi"/>
      <w:b/>
      <w:color w:val="000000" w:themeColor="text1"/>
      <w:sz w:val="28"/>
      <w:szCs w:val="26"/>
      <w14:textFill>
        <w14:solidFill>
          <w14:schemeClr w14:val="tx1"/>
        </w14:solidFill>
      </w14:textFill>
    </w:rPr>
  </w:style>
  <w:style w:type="character" w:default="1" w:styleId="8">
    <w:name w:val="Default Paragraph Font"/>
    <w:unhideWhenUsed/>
    <w:qFormat/>
    <w:uiPriority w:val="1"/>
  </w:style>
  <w:style w:type="table" w:default="1" w:styleId="10">
    <w:name w:val="Normal Table"/>
    <w:unhideWhenUsed/>
    <w:qFormat/>
    <w:uiPriority w:val="99"/>
    <w:tblPr>
      <w:tblCellMar>
        <w:top w:w="0" w:type="dxa"/>
        <w:left w:w="108" w:type="dxa"/>
        <w:bottom w:w="0" w:type="dxa"/>
        <w:right w:w="108" w:type="dxa"/>
      </w:tblCellMar>
    </w:tblPr>
  </w:style>
  <w:style w:type="paragraph" w:styleId="4">
    <w:name w:val="footer"/>
    <w:basedOn w:val="1"/>
    <w:link w:val="16"/>
    <w:unhideWhenUsed/>
    <w:qFormat/>
    <w:uiPriority w:val="99"/>
    <w:pPr>
      <w:tabs>
        <w:tab w:val="center" w:pos="4513"/>
        <w:tab w:val="right" w:pos="9026"/>
      </w:tabs>
      <w:spacing w:after="0" w:line="240" w:lineRule="auto"/>
    </w:pPr>
  </w:style>
  <w:style w:type="paragraph" w:styleId="5">
    <w:name w:val="header"/>
    <w:basedOn w:val="1"/>
    <w:link w:val="15"/>
    <w:unhideWhenUsed/>
    <w:qFormat/>
    <w:uiPriority w:val="99"/>
    <w:pPr>
      <w:tabs>
        <w:tab w:val="center" w:pos="4513"/>
        <w:tab w:val="right" w:pos="9026"/>
      </w:tabs>
      <w:spacing w:after="0" w:line="240" w:lineRule="auto"/>
    </w:pPr>
  </w:style>
  <w:style w:type="paragraph" w:styleId="6">
    <w:name w:val="toc 1"/>
    <w:basedOn w:val="1"/>
    <w:next w:val="1"/>
    <w:unhideWhenUsed/>
    <w:qFormat/>
    <w:uiPriority w:val="39"/>
    <w:pPr>
      <w:spacing w:after="100"/>
    </w:pPr>
  </w:style>
  <w:style w:type="paragraph" w:styleId="7">
    <w:name w:val="toc 2"/>
    <w:basedOn w:val="1"/>
    <w:next w:val="1"/>
    <w:unhideWhenUsed/>
    <w:qFormat/>
    <w:uiPriority w:val="39"/>
    <w:pPr>
      <w:spacing w:after="100"/>
      <w:ind w:left="240"/>
    </w:pPr>
  </w:style>
  <w:style w:type="character" w:styleId="9">
    <w:name w:val="Hyperlink"/>
    <w:basedOn w:val="8"/>
    <w:unhideWhenUsed/>
    <w:qFormat/>
    <w:uiPriority w:val="99"/>
    <w:rPr>
      <w:color w:val="0563C1" w:themeColor="hyperlink"/>
      <w:u w:val="single"/>
      <w14:textFill>
        <w14:solidFill>
          <w14:schemeClr w14:val="hlink"/>
        </w14:solidFill>
      </w14:textFill>
    </w:rPr>
  </w:style>
  <w:style w:type="character" w:customStyle="1" w:styleId="11">
    <w:name w:val="Heading 1 Char"/>
    <w:basedOn w:val="8"/>
    <w:link w:val="2"/>
    <w:qFormat/>
    <w:uiPriority w:val="9"/>
    <w:rPr>
      <w:rFonts w:ascii="Times New Roman" w:hAnsi="Times New Roman" w:eastAsiaTheme="majorEastAsia" w:cstheme="majorBidi"/>
      <w:b/>
      <w:color w:val="000000" w:themeColor="text1"/>
      <w:sz w:val="32"/>
      <w:szCs w:val="32"/>
      <w14:textFill>
        <w14:solidFill>
          <w14:schemeClr w14:val="tx1"/>
        </w14:solidFill>
      </w14:textFill>
    </w:rPr>
  </w:style>
  <w:style w:type="character" w:customStyle="1" w:styleId="12">
    <w:name w:val="Heading 2 Char"/>
    <w:basedOn w:val="8"/>
    <w:link w:val="3"/>
    <w:qFormat/>
    <w:uiPriority w:val="9"/>
    <w:rPr>
      <w:rFonts w:ascii="Times New Roman" w:hAnsi="Times New Roman" w:eastAsiaTheme="majorEastAsia" w:cstheme="majorBidi"/>
      <w:b/>
      <w:color w:val="000000" w:themeColor="text1"/>
      <w:sz w:val="28"/>
      <w:szCs w:val="26"/>
      <w14:textFill>
        <w14:solidFill>
          <w14:schemeClr w14:val="tx1"/>
        </w14:solidFill>
      </w14:textFill>
    </w:rPr>
  </w:style>
  <w:style w:type="character" w:customStyle="1" w:styleId="13">
    <w:name w:val="Unresolved Mention"/>
    <w:basedOn w:val="8"/>
    <w:unhideWhenUsed/>
    <w:qFormat/>
    <w:uiPriority w:val="99"/>
    <w:rPr>
      <w:color w:val="605E5C"/>
      <w:shd w:val="clear" w:color="auto" w:fill="E1DFDD"/>
    </w:rPr>
  </w:style>
  <w:style w:type="paragraph" w:customStyle="1" w:styleId="14">
    <w:name w:val="TOC Heading"/>
    <w:basedOn w:val="2"/>
    <w:next w:val="1"/>
    <w:unhideWhenUsed/>
    <w:qFormat/>
    <w:uiPriority w:val="39"/>
    <w:pPr>
      <w:spacing w:line="259" w:lineRule="auto"/>
      <w:jc w:val="left"/>
      <w:outlineLvl w:val="9"/>
    </w:pPr>
    <w:rPr>
      <w:rFonts w:asciiTheme="majorHAnsi" w:hAnsiTheme="majorHAnsi"/>
      <w:b w:val="0"/>
      <w:color w:val="2F5597" w:themeColor="accent1" w:themeShade="BF"/>
      <w:lang w:val="en-US"/>
    </w:rPr>
  </w:style>
  <w:style w:type="character" w:customStyle="1" w:styleId="15">
    <w:name w:val="Header Char"/>
    <w:basedOn w:val="8"/>
    <w:link w:val="5"/>
    <w:qFormat/>
    <w:uiPriority w:val="99"/>
    <w:rPr>
      <w:rFonts w:ascii="Times New Roman" w:hAnsi="Times New Roman"/>
      <w:sz w:val="24"/>
    </w:rPr>
  </w:style>
  <w:style w:type="character" w:customStyle="1" w:styleId="16">
    <w:name w:val="Footer Char"/>
    <w:basedOn w:val="8"/>
    <w:link w:val="4"/>
    <w:qFormat/>
    <w:uiPriority w:val="99"/>
    <w:rPr>
      <w:rFonts w:ascii="Times New Roman" w:hAnsi="Times New Roman"/>
      <w:sz w:val="24"/>
    </w:rPr>
  </w:style>
</w:styles>
</file>

<file path=word/_rels/document.xml.rels><?xml version="1.0" encoding="UTF-8" standalone="yes"?>
<Relationships xmlns="http://schemas.openxmlformats.org/package/2006/relationships"><Relationship Id="rId9" Type="http://schemas.openxmlformats.org/officeDocument/2006/relationships/diagramData" Target="diagrams/data2.xml"/><Relationship Id="rId8" Type="http://schemas.openxmlformats.org/officeDocument/2006/relationships/diagramColors" Target="diagrams/colors1.xml"/><Relationship Id="rId7" Type="http://schemas.openxmlformats.org/officeDocument/2006/relationships/diagramQuickStyle" Target="diagrams/quickStyle1.xml"/><Relationship Id="rId6" Type="http://schemas.openxmlformats.org/officeDocument/2006/relationships/diagramLayout" Target="diagrams/layout1.xml"/><Relationship Id="rId5" Type="http://schemas.openxmlformats.org/officeDocument/2006/relationships/diagramData" Target="diagrams/data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diagramColors" Target="diagrams/colors2.xml"/><Relationship Id="rId11" Type="http://schemas.openxmlformats.org/officeDocument/2006/relationships/diagramQuickStyle" Target="diagrams/quickStyle2.xml"/><Relationship Id="rId10" Type="http://schemas.openxmlformats.org/officeDocument/2006/relationships/diagramLayout" Target="diagrams/layout2.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5_1">
  <dgm:title val=""/>
  <dgm:desc val=""/>
  <dgm:catLst>
    <dgm:cat type="accent5" pri="11100"/>
  </dgm:catLst>
  <dgm:styleLbl name="align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align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b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b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con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fgAcc0">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2">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3">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4">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f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dgm:txEffectClrLst/>
  </dgm:styleLbl>
  <dgm:styleLbl name="parChTrans2D2">
    <dgm:fillClrLst meth="repeat">
      <a:schemeClr val="accent5"/>
    </dgm:fillClrLst>
    <dgm:linClrLst meth="repeat">
      <a:schemeClr val="accent5"/>
    </dgm:linClrLst>
    <dgm:effectClrLst/>
    <dgm:txLinClrLst/>
    <dgm:txFillClrLst/>
    <dgm:txEffectClrLst/>
  </dgm:styleLbl>
  <dgm:styleLbl name="parChTrans2D3">
    <dgm:fillClrLst meth="repeat">
      <a:schemeClr val="accent5"/>
    </dgm:fillClrLst>
    <dgm:linClrLst meth="repeat">
      <a:schemeClr val="accent5"/>
    </dgm:linClrLst>
    <dgm:effectClrLst/>
    <dgm:txLinClrLst/>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trAlignAcc1">
    <dgm:fillClrLst meth="repeat">
      <a:schemeClr val="accent5">
        <a:alpha val="40000"/>
        <a:tint val="40000"/>
      </a:schemeClr>
    </dgm:fillClrLst>
    <dgm:linClrLst meth="repeat">
      <a:schemeClr val="accent5"/>
    </dgm:linClrLst>
    <dgm:effectClrLst/>
    <dgm:txLinClrLst/>
    <dgm:txFillClrLst meth="repeat">
      <a:schemeClr val="dk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accent5">
        <a:shade val="80000"/>
      </a:schemeClr>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55C7356D-EECD-41A6-8F67-7E6E14C85CAF}" type="doc">
      <dgm:prSet loTypeId="urn:microsoft.com/office/officeart/2008/layout/VerticalCurvedList" loCatId="list" qsTypeId="urn:microsoft.com/office/officeart/2005/8/quickstyle/simple1" qsCatId="simple" csTypeId="urn:microsoft.com/office/officeart/2005/8/colors/accent3_1" csCatId="accent3" phldr="1"/>
      <dgm:spPr/>
      <dgm:t>
        <a:bodyPr/>
        <a:p>
          <a:endParaRPr lang="en-GB"/>
        </a:p>
      </dgm:t>
    </dgm:pt>
    <dgm:pt modelId="{EA4B5997-4A0F-4569-ABA9-67AA8928A530}">
      <dgm:prSet phldrT="[Text]"/>
      <dgm:spPr/>
      <dgm:t>
        <a:bodyPr/>
        <a:p>
          <a:r>
            <a:rPr lang="en-GB">
              <a:latin typeface="Times New Roman" panose="02020503050405090304" charset="0"/>
              <a:cs typeface="Times New Roman" panose="02020503050405090304" charset="0"/>
            </a:rPr>
            <a:t>Twitter Campaign</a:t>
          </a:r>
        </a:p>
      </dgm:t>
    </dgm:pt>
    <dgm:pt modelId="{65038608-5A17-4D4F-B261-259FD31C6A35}" cxnId="{ED95BAAB-CC7B-448E-9063-3A540D0858F2}" type="parTrans">
      <dgm:prSet/>
      <dgm:spPr/>
      <dgm:t>
        <a:bodyPr/>
        <a:p>
          <a:endParaRPr lang="en-GB">
            <a:latin typeface="Times New Roman" panose="02020503050405090304" charset="0"/>
            <a:cs typeface="Times New Roman" panose="02020503050405090304" charset="0"/>
          </a:endParaRPr>
        </a:p>
      </dgm:t>
    </dgm:pt>
    <dgm:pt modelId="{52CFFC2C-89D8-4323-B5AA-4BEB6B26CFAA}" cxnId="{ED95BAAB-CC7B-448E-9063-3A540D0858F2}" type="sibTrans">
      <dgm:prSet/>
      <dgm:spPr/>
      <dgm:t>
        <a:bodyPr/>
        <a:p>
          <a:endParaRPr lang="en-GB">
            <a:latin typeface="Times New Roman" panose="02020503050405090304" charset="0"/>
            <a:cs typeface="Times New Roman" panose="02020503050405090304" charset="0"/>
          </a:endParaRPr>
        </a:p>
      </dgm:t>
    </dgm:pt>
    <dgm:pt modelId="{35591023-EEC8-4D02-B6C3-BFA4491336DC}">
      <dgm:prSet phldrT="[Text]"/>
      <dgm:spPr/>
      <dgm:t>
        <a:bodyPr/>
        <a:p>
          <a:r>
            <a:rPr lang="en-GB">
              <a:latin typeface="Times New Roman" panose="02020503050405090304" charset="0"/>
              <a:cs typeface="Times New Roman" panose="02020503050405090304" charset="0"/>
            </a:rPr>
            <a:t>Campaign With Dechox</a:t>
          </a:r>
        </a:p>
      </dgm:t>
    </dgm:pt>
    <dgm:pt modelId="{967EDC61-F8EF-4D41-BF2B-8D05C563EB0C}" cxnId="{4F383180-60E7-474F-964E-CA98C914A373}" type="parTrans">
      <dgm:prSet/>
      <dgm:spPr/>
      <dgm:t>
        <a:bodyPr/>
        <a:p>
          <a:endParaRPr lang="en-GB">
            <a:latin typeface="Times New Roman" panose="02020503050405090304" charset="0"/>
            <a:cs typeface="Times New Roman" panose="02020503050405090304" charset="0"/>
          </a:endParaRPr>
        </a:p>
      </dgm:t>
    </dgm:pt>
    <dgm:pt modelId="{82D332CB-7179-4F51-9666-5859643C0055}" cxnId="{4F383180-60E7-474F-964E-CA98C914A373}" type="sibTrans">
      <dgm:prSet/>
      <dgm:spPr/>
      <dgm:t>
        <a:bodyPr/>
        <a:p>
          <a:endParaRPr lang="en-GB">
            <a:latin typeface="Times New Roman" panose="02020503050405090304" charset="0"/>
            <a:cs typeface="Times New Roman" panose="02020503050405090304" charset="0"/>
          </a:endParaRPr>
        </a:p>
      </dgm:t>
    </dgm:pt>
    <dgm:pt modelId="{A4645A2D-351D-4948-93E5-C3BA98578897}">
      <dgm:prSet phldrT="[Text]"/>
      <dgm:spPr/>
      <dgm:t>
        <a:bodyPr/>
        <a:p>
          <a:r>
            <a:rPr lang="en-GB">
              <a:latin typeface="Times New Roman" panose="02020503050405090304" charset="0"/>
              <a:cs typeface="Times New Roman" panose="02020503050405090304" charset="0"/>
            </a:rPr>
            <a:t>Email Signature</a:t>
          </a:r>
        </a:p>
      </dgm:t>
    </dgm:pt>
    <dgm:pt modelId="{75A1C7BC-8493-449D-8946-28E60865D880}" cxnId="{988C9E38-0121-4097-A116-E524F9FBA99F}" type="parTrans">
      <dgm:prSet/>
      <dgm:spPr/>
      <dgm:t>
        <a:bodyPr/>
        <a:p>
          <a:endParaRPr lang="en-GB">
            <a:latin typeface="Times New Roman" panose="02020503050405090304" charset="0"/>
            <a:cs typeface="Times New Roman" panose="02020503050405090304" charset="0"/>
          </a:endParaRPr>
        </a:p>
      </dgm:t>
    </dgm:pt>
    <dgm:pt modelId="{E3F5A9CA-1F32-4607-AFB0-6E57FAF64016}" cxnId="{988C9E38-0121-4097-A116-E524F9FBA99F}" type="sibTrans">
      <dgm:prSet/>
      <dgm:spPr/>
      <dgm:t>
        <a:bodyPr/>
        <a:p>
          <a:endParaRPr lang="en-GB">
            <a:latin typeface="Times New Roman" panose="02020503050405090304" charset="0"/>
            <a:cs typeface="Times New Roman" panose="02020503050405090304" charset="0"/>
          </a:endParaRPr>
        </a:p>
      </dgm:t>
    </dgm:pt>
    <dgm:pt modelId="{FBA3AC9F-943C-4C38-8A67-9D304B73F391}">
      <dgm:prSet phldrT="[Text]"/>
      <dgm:spPr/>
      <dgm:t>
        <a:bodyPr/>
        <a:p>
          <a:r>
            <a:rPr lang="en-GB">
              <a:latin typeface="Times New Roman" panose="02020503050405090304" charset="0"/>
              <a:cs typeface="Times New Roman" panose="02020503050405090304" charset="0"/>
            </a:rPr>
            <a:t>Fundraising Badges</a:t>
          </a:r>
        </a:p>
      </dgm:t>
    </dgm:pt>
    <dgm:pt modelId="{4FBBCBC4-11E4-4EEF-BDB4-D47EC07594FE}" cxnId="{DA51E204-AE40-4244-93AF-8A8A39BB3544}" type="parTrans">
      <dgm:prSet/>
      <dgm:spPr/>
      <dgm:t>
        <a:bodyPr/>
        <a:p>
          <a:endParaRPr lang="en-GB">
            <a:latin typeface="Times New Roman" panose="02020503050405090304" charset="0"/>
            <a:cs typeface="Times New Roman" panose="02020503050405090304" charset="0"/>
          </a:endParaRPr>
        </a:p>
      </dgm:t>
    </dgm:pt>
    <dgm:pt modelId="{DD498D49-E25A-405E-B0C2-D6E82045AFC1}" cxnId="{DA51E204-AE40-4244-93AF-8A8A39BB3544}" type="sibTrans">
      <dgm:prSet/>
      <dgm:spPr/>
      <dgm:t>
        <a:bodyPr/>
        <a:p>
          <a:endParaRPr lang="en-GB">
            <a:latin typeface="Times New Roman" panose="02020503050405090304" charset="0"/>
            <a:cs typeface="Times New Roman" panose="02020503050405090304" charset="0"/>
          </a:endParaRPr>
        </a:p>
      </dgm:t>
    </dgm:pt>
    <dgm:pt modelId="{7CEC2E8C-F234-422E-971B-C3626705D5B7}">
      <dgm:prSet phldrT="[Text]"/>
      <dgm:spPr/>
      <dgm:t>
        <a:bodyPr/>
        <a:p>
          <a:r>
            <a:rPr lang="en-GB">
              <a:latin typeface="Times New Roman" panose="02020503050405090304" charset="0"/>
              <a:cs typeface="Times New Roman" panose="02020503050405090304" charset="0"/>
            </a:rPr>
            <a:t>Facebook Group</a:t>
          </a:r>
        </a:p>
      </dgm:t>
    </dgm:pt>
    <dgm:pt modelId="{AD5CC458-C9A7-4BE6-9BC7-62DB709E73C9}" cxnId="{CF289FDA-42EF-48C6-8D73-53AF564E81B7}" type="parTrans">
      <dgm:prSet/>
      <dgm:spPr/>
      <dgm:t>
        <a:bodyPr/>
        <a:p>
          <a:endParaRPr lang="en-GB">
            <a:latin typeface="Times New Roman" panose="02020503050405090304" charset="0"/>
            <a:cs typeface="Times New Roman" panose="02020503050405090304" charset="0"/>
          </a:endParaRPr>
        </a:p>
      </dgm:t>
    </dgm:pt>
    <dgm:pt modelId="{4AE232D1-A5C6-41A8-9608-96CF19918855}" cxnId="{CF289FDA-42EF-48C6-8D73-53AF564E81B7}" type="sibTrans">
      <dgm:prSet/>
      <dgm:spPr/>
      <dgm:t>
        <a:bodyPr/>
        <a:p>
          <a:endParaRPr lang="en-GB">
            <a:latin typeface="Times New Roman" panose="02020503050405090304" charset="0"/>
            <a:cs typeface="Times New Roman" panose="02020503050405090304" charset="0"/>
          </a:endParaRPr>
        </a:p>
      </dgm:t>
    </dgm:pt>
    <dgm:pt modelId="{0AA297B3-9248-492C-BBA1-8F84DAA5B658}" type="pres">
      <dgm:prSet presAssocID="{55C7356D-EECD-41A6-8F67-7E6E14C85CAF}" presName="Name0" presStyleCnt="0">
        <dgm:presLayoutVars>
          <dgm:chMax val="7"/>
          <dgm:chPref val="7"/>
          <dgm:dir/>
        </dgm:presLayoutVars>
      </dgm:prSet>
      <dgm:spPr/>
    </dgm:pt>
    <dgm:pt modelId="{E10628FE-1D4E-4ACB-BE40-DCC3B7FFD802}" type="pres">
      <dgm:prSet presAssocID="{55C7356D-EECD-41A6-8F67-7E6E14C85CAF}" presName="Name1" presStyleCnt="0"/>
      <dgm:spPr/>
    </dgm:pt>
    <dgm:pt modelId="{EB090FBD-E31B-44AA-BE19-67ACA4586764}" type="pres">
      <dgm:prSet presAssocID="{55C7356D-EECD-41A6-8F67-7E6E14C85CAF}" presName="cycle" presStyleCnt="0"/>
      <dgm:spPr/>
    </dgm:pt>
    <dgm:pt modelId="{711CFBA7-7309-4F23-9DBD-CA58353E2165}" type="pres">
      <dgm:prSet presAssocID="{55C7356D-EECD-41A6-8F67-7E6E14C85CAF}" presName="srcNode" presStyleLbl="node1" presStyleIdx="0" presStyleCnt="5"/>
      <dgm:spPr/>
    </dgm:pt>
    <dgm:pt modelId="{EBC58BD9-848B-4BE9-BBD6-F968B898E3B8}" type="pres">
      <dgm:prSet presAssocID="{55C7356D-EECD-41A6-8F67-7E6E14C85CAF}" presName="conn" presStyleLbl="parChTrans1D2" presStyleIdx="0" presStyleCnt="1"/>
      <dgm:spPr/>
    </dgm:pt>
    <dgm:pt modelId="{5F475151-837C-4A6C-99EA-6E147187EC84}" type="pres">
      <dgm:prSet presAssocID="{55C7356D-EECD-41A6-8F67-7E6E14C85CAF}" presName="extraNode" presStyleLbl="node1" presStyleIdx="0" presStyleCnt="5"/>
      <dgm:spPr/>
    </dgm:pt>
    <dgm:pt modelId="{18CF306E-3ED1-465C-B927-0806BC779E3B}" type="pres">
      <dgm:prSet presAssocID="{55C7356D-EECD-41A6-8F67-7E6E14C85CAF}" presName="dstNode" presStyleLbl="node1" presStyleIdx="0" presStyleCnt="5"/>
      <dgm:spPr/>
    </dgm:pt>
    <dgm:pt modelId="{50A9884E-5E53-45F3-978E-1DD81271A1E5}" type="pres">
      <dgm:prSet presAssocID="{EA4B5997-4A0F-4569-ABA9-67AA8928A530}" presName="text_1" presStyleLbl="node1" presStyleIdx="0" presStyleCnt="5">
        <dgm:presLayoutVars>
          <dgm:bulletEnabled val="1"/>
        </dgm:presLayoutVars>
      </dgm:prSet>
      <dgm:spPr/>
    </dgm:pt>
    <dgm:pt modelId="{0D44E02D-40C1-41AF-BBAA-4462143273BF}" type="pres">
      <dgm:prSet presAssocID="{EA4B5997-4A0F-4569-ABA9-67AA8928A530}" presName="accent_1" presStyleCnt="0"/>
      <dgm:spPr/>
    </dgm:pt>
    <dgm:pt modelId="{C2069184-B762-4B36-9CC1-A82500B05B19}" type="pres">
      <dgm:prSet presAssocID="{EA4B5997-4A0F-4569-ABA9-67AA8928A530}" presName="accentRepeatNode" presStyleLbl="solidFgAcc1" presStyleIdx="0" presStyleCnt="5"/>
      <dgm:spPr/>
    </dgm:pt>
    <dgm:pt modelId="{8DC0EE44-A72A-42CC-A593-F6AF7D1B3B62}" type="pres">
      <dgm:prSet presAssocID="{35591023-EEC8-4D02-B6C3-BFA4491336DC}" presName="text_2" presStyleLbl="node1" presStyleIdx="1" presStyleCnt="5">
        <dgm:presLayoutVars>
          <dgm:bulletEnabled val="1"/>
        </dgm:presLayoutVars>
      </dgm:prSet>
      <dgm:spPr/>
    </dgm:pt>
    <dgm:pt modelId="{99FAA07D-1BD3-472F-857C-6E975F246330}" type="pres">
      <dgm:prSet presAssocID="{35591023-EEC8-4D02-B6C3-BFA4491336DC}" presName="accent_2" presStyleCnt="0"/>
      <dgm:spPr/>
    </dgm:pt>
    <dgm:pt modelId="{F7FAAF43-9841-4FFF-B5A2-FAD395DD39C3}" type="pres">
      <dgm:prSet presAssocID="{35591023-EEC8-4D02-B6C3-BFA4491336DC}" presName="accentRepeatNode" presStyleLbl="solidFgAcc1" presStyleIdx="1" presStyleCnt="5"/>
      <dgm:spPr/>
    </dgm:pt>
    <dgm:pt modelId="{B98763AB-A927-4757-959A-C6EBB9765C3F}" type="pres">
      <dgm:prSet presAssocID="{7CEC2E8C-F234-422E-971B-C3626705D5B7}" presName="text_3" presStyleLbl="node1" presStyleIdx="2" presStyleCnt="5">
        <dgm:presLayoutVars>
          <dgm:bulletEnabled val="1"/>
        </dgm:presLayoutVars>
      </dgm:prSet>
      <dgm:spPr/>
    </dgm:pt>
    <dgm:pt modelId="{256D170B-474A-4B98-8FBC-8D00FDE7FE56}" type="pres">
      <dgm:prSet presAssocID="{7CEC2E8C-F234-422E-971B-C3626705D5B7}" presName="accent_3" presStyleCnt="0"/>
      <dgm:spPr/>
    </dgm:pt>
    <dgm:pt modelId="{4CFEE06C-C2C2-4E6C-9E2E-95F9F3C6ED11}" type="pres">
      <dgm:prSet presAssocID="{7CEC2E8C-F234-422E-971B-C3626705D5B7}" presName="accentRepeatNode" presStyleLbl="solidFgAcc1" presStyleIdx="2" presStyleCnt="5"/>
      <dgm:spPr/>
    </dgm:pt>
    <dgm:pt modelId="{F6C74A27-F5D6-419B-8073-4751ACEF8AC3}" type="pres">
      <dgm:prSet presAssocID="{A4645A2D-351D-4948-93E5-C3BA98578897}" presName="text_4" presStyleLbl="node1" presStyleIdx="3" presStyleCnt="5">
        <dgm:presLayoutVars>
          <dgm:bulletEnabled val="1"/>
        </dgm:presLayoutVars>
      </dgm:prSet>
      <dgm:spPr/>
    </dgm:pt>
    <dgm:pt modelId="{408756CE-E686-4DAE-9FE0-EFB22D7B12BF}" type="pres">
      <dgm:prSet presAssocID="{A4645A2D-351D-4948-93E5-C3BA98578897}" presName="accent_4" presStyleCnt="0"/>
      <dgm:spPr/>
    </dgm:pt>
    <dgm:pt modelId="{3791E74F-5B6B-41C3-9C9D-3F0FCFD578FD}" type="pres">
      <dgm:prSet presAssocID="{A4645A2D-351D-4948-93E5-C3BA98578897}" presName="accentRepeatNode" presStyleLbl="solidFgAcc1" presStyleIdx="3" presStyleCnt="5"/>
      <dgm:spPr/>
    </dgm:pt>
    <dgm:pt modelId="{6485B542-96D3-4B05-89B8-A26D82307A31}" type="pres">
      <dgm:prSet presAssocID="{FBA3AC9F-943C-4C38-8A67-9D304B73F391}" presName="text_5" presStyleLbl="node1" presStyleIdx="4" presStyleCnt="5">
        <dgm:presLayoutVars>
          <dgm:bulletEnabled val="1"/>
        </dgm:presLayoutVars>
      </dgm:prSet>
      <dgm:spPr/>
    </dgm:pt>
    <dgm:pt modelId="{DEA4EB72-6FD6-452A-B002-85ECACB7CF95}" type="pres">
      <dgm:prSet presAssocID="{FBA3AC9F-943C-4C38-8A67-9D304B73F391}" presName="accent_5" presStyleCnt="0"/>
      <dgm:spPr/>
    </dgm:pt>
    <dgm:pt modelId="{5CF58966-0FDD-488E-A98F-E5EB16E8F5D9}" type="pres">
      <dgm:prSet presAssocID="{FBA3AC9F-943C-4C38-8A67-9D304B73F391}" presName="accentRepeatNode" presStyleLbl="solidFgAcc1" presStyleIdx="4" presStyleCnt="5"/>
      <dgm:spPr/>
    </dgm:pt>
  </dgm:ptLst>
  <dgm:cxnLst>
    <dgm:cxn modelId="{DA51E204-AE40-4244-93AF-8A8A39BB3544}" srcId="{55C7356D-EECD-41A6-8F67-7E6E14C85CAF}" destId="{FBA3AC9F-943C-4C38-8A67-9D304B73F391}" srcOrd="4" destOrd="0" parTransId="{4FBBCBC4-11E4-4EEF-BDB4-D47EC07594FE}" sibTransId="{DD498D49-E25A-405E-B0C2-D6E82045AFC1}"/>
    <dgm:cxn modelId="{32227F23-70E8-468D-A067-B158377312B2}" type="presOf" srcId="{EA4B5997-4A0F-4569-ABA9-67AA8928A530}" destId="{50A9884E-5E53-45F3-978E-1DD81271A1E5}" srcOrd="0" destOrd="0" presId="urn:microsoft.com/office/officeart/2008/layout/VerticalCurvedList"/>
    <dgm:cxn modelId="{507A3B37-C73B-4F0D-8468-1F0D066F56B5}" type="presOf" srcId="{FBA3AC9F-943C-4C38-8A67-9D304B73F391}" destId="{6485B542-96D3-4B05-89B8-A26D82307A31}" srcOrd="0" destOrd="0" presId="urn:microsoft.com/office/officeart/2008/layout/VerticalCurvedList"/>
    <dgm:cxn modelId="{988C9E38-0121-4097-A116-E524F9FBA99F}" srcId="{55C7356D-EECD-41A6-8F67-7E6E14C85CAF}" destId="{A4645A2D-351D-4948-93E5-C3BA98578897}" srcOrd="3" destOrd="0" parTransId="{75A1C7BC-8493-449D-8946-28E60865D880}" sibTransId="{E3F5A9CA-1F32-4607-AFB0-6E57FAF64016}"/>
    <dgm:cxn modelId="{8AF91061-F1C5-4406-B0D8-C2C007E4DC66}" type="presOf" srcId="{52CFFC2C-89D8-4323-B5AA-4BEB6B26CFAA}" destId="{EBC58BD9-848B-4BE9-BBD6-F968B898E3B8}" srcOrd="0" destOrd="0" presId="urn:microsoft.com/office/officeart/2008/layout/VerticalCurvedList"/>
    <dgm:cxn modelId="{7D9A1641-84B2-47CE-AAE5-8CCC73F7096D}" type="presOf" srcId="{55C7356D-EECD-41A6-8F67-7E6E14C85CAF}" destId="{0AA297B3-9248-492C-BBA1-8F84DAA5B658}" srcOrd="0" destOrd="0" presId="urn:microsoft.com/office/officeart/2008/layout/VerticalCurvedList"/>
    <dgm:cxn modelId="{7FFD1263-BCCB-4093-917D-BC6FDC3A23CE}" type="presOf" srcId="{A4645A2D-351D-4948-93E5-C3BA98578897}" destId="{F6C74A27-F5D6-419B-8073-4751ACEF8AC3}" srcOrd="0" destOrd="0" presId="urn:microsoft.com/office/officeart/2008/layout/VerticalCurvedList"/>
    <dgm:cxn modelId="{8F09816A-00C0-4F34-A72A-37D27565B949}" type="presOf" srcId="{7CEC2E8C-F234-422E-971B-C3626705D5B7}" destId="{B98763AB-A927-4757-959A-C6EBB9765C3F}" srcOrd="0" destOrd="0" presId="urn:microsoft.com/office/officeart/2008/layout/VerticalCurvedList"/>
    <dgm:cxn modelId="{4F383180-60E7-474F-964E-CA98C914A373}" srcId="{55C7356D-EECD-41A6-8F67-7E6E14C85CAF}" destId="{35591023-EEC8-4D02-B6C3-BFA4491336DC}" srcOrd="1" destOrd="0" parTransId="{967EDC61-F8EF-4D41-BF2B-8D05C563EB0C}" sibTransId="{82D332CB-7179-4F51-9666-5859643C0055}"/>
    <dgm:cxn modelId="{DCE5AC91-0C02-4C86-A90B-ED0D662E00DF}" type="presOf" srcId="{35591023-EEC8-4D02-B6C3-BFA4491336DC}" destId="{8DC0EE44-A72A-42CC-A593-F6AF7D1B3B62}" srcOrd="0" destOrd="0" presId="urn:microsoft.com/office/officeart/2008/layout/VerticalCurvedList"/>
    <dgm:cxn modelId="{ED95BAAB-CC7B-448E-9063-3A540D0858F2}" srcId="{55C7356D-EECD-41A6-8F67-7E6E14C85CAF}" destId="{EA4B5997-4A0F-4569-ABA9-67AA8928A530}" srcOrd="0" destOrd="0" parTransId="{65038608-5A17-4D4F-B261-259FD31C6A35}" sibTransId="{52CFFC2C-89D8-4323-B5AA-4BEB6B26CFAA}"/>
    <dgm:cxn modelId="{CF289FDA-42EF-48C6-8D73-53AF564E81B7}" srcId="{55C7356D-EECD-41A6-8F67-7E6E14C85CAF}" destId="{7CEC2E8C-F234-422E-971B-C3626705D5B7}" srcOrd="2" destOrd="0" parTransId="{AD5CC458-C9A7-4BE6-9BC7-62DB709E73C9}" sibTransId="{4AE232D1-A5C6-41A8-9608-96CF19918855}"/>
    <dgm:cxn modelId="{A58C9822-EE8E-40EC-9744-97FB30394959}" type="presParOf" srcId="{0AA297B3-9248-492C-BBA1-8F84DAA5B658}" destId="{E10628FE-1D4E-4ACB-BE40-DCC3B7FFD802}" srcOrd="0" destOrd="0" presId="urn:microsoft.com/office/officeart/2008/layout/VerticalCurvedList"/>
    <dgm:cxn modelId="{BBB07BA8-CA26-4F64-9AEC-0774289020EB}" type="presParOf" srcId="{E10628FE-1D4E-4ACB-BE40-DCC3B7FFD802}" destId="{EB090FBD-E31B-44AA-BE19-67ACA4586764}" srcOrd="0" destOrd="0" presId="urn:microsoft.com/office/officeart/2008/layout/VerticalCurvedList"/>
    <dgm:cxn modelId="{3B408065-82E5-4E51-86FF-662A1180D720}" type="presParOf" srcId="{EB090FBD-E31B-44AA-BE19-67ACA4586764}" destId="{711CFBA7-7309-4F23-9DBD-CA58353E2165}" srcOrd="0" destOrd="0" presId="urn:microsoft.com/office/officeart/2008/layout/VerticalCurvedList"/>
    <dgm:cxn modelId="{C00B6492-C4D5-46D3-936F-225DAB300B3D}" type="presParOf" srcId="{EB090FBD-E31B-44AA-BE19-67ACA4586764}" destId="{EBC58BD9-848B-4BE9-BBD6-F968B898E3B8}" srcOrd="1" destOrd="0" presId="urn:microsoft.com/office/officeart/2008/layout/VerticalCurvedList"/>
    <dgm:cxn modelId="{8F0C4D61-5A29-482A-B953-EE80DA2BB8F2}" type="presParOf" srcId="{EB090FBD-E31B-44AA-BE19-67ACA4586764}" destId="{5F475151-837C-4A6C-99EA-6E147187EC84}" srcOrd="2" destOrd="0" presId="urn:microsoft.com/office/officeart/2008/layout/VerticalCurvedList"/>
    <dgm:cxn modelId="{2D3735C1-FB5A-48C7-BB66-F45930710566}" type="presParOf" srcId="{EB090FBD-E31B-44AA-BE19-67ACA4586764}" destId="{18CF306E-3ED1-465C-B927-0806BC779E3B}" srcOrd="3" destOrd="0" presId="urn:microsoft.com/office/officeart/2008/layout/VerticalCurvedList"/>
    <dgm:cxn modelId="{F688DB7E-A051-4E3F-833B-AC8AAFE2D986}" type="presParOf" srcId="{E10628FE-1D4E-4ACB-BE40-DCC3B7FFD802}" destId="{50A9884E-5E53-45F3-978E-1DD81271A1E5}" srcOrd="1" destOrd="0" presId="urn:microsoft.com/office/officeart/2008/layout/VerticalCurvedList"/>
    <dgm:cxn modelId="{272E2D4D-11A1-4EDD-8CE0-67F5409BF041}" type="presParOf" srcId="{E10628FE-1D4E-4ACB-BE40-DCC3B7FFD802}" destId="{0D44E02D-40C1-41AF-BBAA-4462143273BF}" srcOrd="2" destOrd="0" presId="urn:microsoft.com/office/officeart/2008/layout/VerticalCurvedList"/>
    <dgm:cxn modelId="{C5ACA820-8F39-454B-83BB-F88E6E5D890B}" type="presParOf" srcId="{0D44E02D-40C1-41AF-BBAA-4462143273BF}" destId="{C2069184-B762-4B36-9CC1-A82500B05B19}" srcOrd="0" destOrd="0" presId="urn:microsoft.com/office/officeart/2008/layout/VerticalCurvedList"/>
    <dgm:cxn modelId="{BFD8D28C-D9A2-4178-AD8D-BA7F76EEAE1E}" type="presParOf" srcId="{E10628FE-1D4E-4ACB-BE40-DCC3B7FFD802}" destId="{8DC0EE44-A72A-42CC-A593-F6AF7D1B3B62}" srcOrd="3" destOrd="0" presId="urn:microsoft.com/office/officeart/2008/layout/VerticalCurvedList"/>
    <dgm:cxn modelId="{208D7342-7F1E-4730-9CD7-46DA9028EC91}" type="presParOf" srcId="{E10628FE-1D4E-4ACB-BE40-DCC3B7FFD802}" destId="{99FAA07D-1BD3-472F-857C-6E975F246330}" srcOrd="4" destOrd="0" presId="urn:microsoft.com/office/officeart/2008/layout/VerticalCurvedList"/>
    <dgm:cxn modelId="{80816847-42E8-4AB2-A431-96A08B22155F}" type="presParOf" srcId="{99FAA07D-1BD3-472F-857C-6E975F246330}" destId="{F7FAAF43-9841-4FFF-B5A2-FAD395DD39C3}" srcOrd="0" destOrd="0" presId="urn:microsoft.com/office/officeart/2008/layout/VerticalCurvedList"/>
    <dgm:cxn modelId="{2215D744-5BC6-4F77-81B5-27EDF2849957}" type="presParOf" srcId="{E10628FE-1D4E-4ACB-BE40-DCC3B7FFD802}" destId="{B98763AB-A927-4757-959A-C6EBB9765C3F}" srcOrd="5" destOrd="0" presId="urn:microsoft.com/office/officeart/2008/layout/VerticalCurvedList"/>
    <dgm:cxn modelId="{101D1001-4738-4ABB-A112-E362B816207C}" type="presParOf" srcId="{E10628FE-1D4E-4ACB-BE40-DCC3B7FFD802}" destId="{256D170B-474A-4B98-8FBC-8D00FDE7FE56}" srcOrd="6" destOrd="0" presId="urn:microsoft.com/office/officeart/2008/layout/VerticalCurvedList"/>
    <dgm:cxn modelId="{6F9114F5-8B1A-4ACB-B2AE-306B10B73B57}" type="presParOf" srcId="{256D170B-474A-4B98-8FBC-8D00FDE7FE56}" destId="{4CFEE06C-C2C2-4E6C-9E2E-95F9F3C6ED11}" srcOrd="0" destOrd="0" presId="urn:microsoft.com/office/officeart/2008/layout/VerticalCurvedList"/>
    <dgm:cxn modelId="{9AB5A5C6-A068-45B1-91F3-58E5D2C680DC}" type="presParOf" srcId="{E10628FE-1D4E-4ACB-BE40-DCC3B7FFD802}" destId="{F6C74A27-F5D6-419B-8073-4751ACEF8AC3}" srcOrd="7" destOrd="0" presId="urn:microsoft.com/office/officeart/2008/layout/VerticalCurvedList"/>
    <dgm:cxn modelId="{5B4A0633-6D82-44BE-A683-813B0295C01C}" type="presParOf" srcId="{E10628FE-1D4E-4ACB-BE40-DCC3B7FFD802}" destId="{408756CE-E686-4DAE-9FE0-EFB22D7B12BF}" srcOrd="8" destOrd="0" presId="urn:microsoft.com/office/officeart/2008/layout/VerticalCurvedList"/>
    <dgm:cxn modelId="{F50F2B89-5B3A-48C0-BB6F-E313C5F24A2B}" type="presParOf" srcId="{408756CE-E686-4DAE-9FE0-EFB22D7B12BF}" destId="{3791E74F-5B6B-41C3-9C9D-3F0FCFD578FD}" srcOrd="0" destOrd="0" presId="urn:microsoft.com/office/officeart/2008/layout/VerticalCurvedList"/>
    <dgm:cxn modelId="{59B776AA-B7ED-45EC-9230-0DB13BC41773}" type="presParOf" srcId="{E10628FE-1D4E-4ACB-BE40-DCC3B7FFD802}" destId="{6485B542-96D3-4B05-89B8-A26D82307A31}" srcOrd="9" destOrd="0" presId="urn:microsoft.com/office/officeart/2008/layout/VerticalCurvedList"/>
    <dgm:cxn modelId="{979FF072-BF9F-489E-83B2-7CB43E48B5FA}" type="presParOf" srcId="{E10628FE-1D4E-4ACB-BE40-DCC3B7FFD802}" destId="{DEA4EB72-6FD6-452A-B002-85ECACB7CF95}" srcOrd="10" destOrd="0" presId="urn:microsoft.com/office/officeart/2008/layout/VerticalCurvedList"/>
    <dgm:cxn modelId="{2B95C9A7-D813-4724-9B9D-E8F4A971EA96}" type="presParOf" srcId="{DEA4EB72-6FD6-452A-B002-85ECACB7CF95}" destId="{5CF58966-0FDD-488E-A98F-E5EB16E8F5D9}" srcOrd="0" destOrd="0" presId="urn:microsoft.com/office/officeart/2008/layout/VerticalCurvedList"/>
  </dgm:cxnLst>
  <dgm:bg/>
  <dgm:whole/>
</dgm:dataModel>
</file>

<file path=word/diagrams/data2.xml><?xml version="1.0" encoding="utf-8"?>
<dgm:dataModel xmlns:dgm="http://schemas.openxmlformats.org/drawingml/2006/diagram" xmlns:a="http://schemas.openxmlformats.org/drawingml/2006/main">
  <dgm:ptLst>
    <dgm:pt modelId="{B4358ABA-C979-4255-83EE-41CE86EC38C0}" type="doc">
      <dgm:prSet loTypeId="urn:microsoft.com/office/officeart/2005/8/layout/bProcess4" loCatId="process" qsTypeId="urn:microsoft.com/office/officeart/2005/8/quickstyle/simple1" qsCatId="simple" csTypeId="urn:microsoft.com/office/officeart/2005/8/colors/accent5_1" csCatId="accent5" phldr="1"/>
      <dgm:spPr/>
      <dgm:t>
        <a:bodyPr/>
        <a:p>
          <a:endParaRPr lang="en-GB"/>
        </a:p>
      </dgm:t>
    </dgm:pt>
    <dgm:pt modelId="{22E09F83-C9E9-4E3A-8202-608CC07E0285}">
      <dgm:prSet phldrT="[Text]"/>
      <dgm:spPr/>
      <dgm:t>
        <a:bodyPr/>
        <a:p>
          <a:r>
            <a:rPr lang="en-GB" b="1" i="0">
              <a:latin typeface="Times New Roman" panose="02020503050405090304" charset="0"/>
              <a:cs typeface="Times New Roman" panose="02020503050405090304" charset="0"/>
            </a:rPr>
            <a:t>Continuing Professional Development</a:t>
          </a:r>
          <a:endParaRPr lang="en-GB" b="1">
            <a:latin typeface="Times New Roman" panose="02020503050405090304" charset="0"/>
            <a:cs typeface="Times New Roman" panose="02020503050405090304" charset="0"/>
          </a:endParaRPr>
        </a:p>
      </dgm:t>
    </dgm:pt>
    <dgm:pt modelId="{2C9E965F-31C8-4952-92CF-C5BF7CDB7FFC}" cxnId="{11E64CE2-A5F6-4740-98B0-A2832F39350A}" type="parTrans">
      <dgm:prSet/>
      <dgm:spPr/>
      <dgm:t>
        <a:bodyPr/>
        <a:p>
          <a:endParaRPr lang="en-GB" b="1">
            <a:latin typeface="Times New Roman" panose="02020503050405090304" charset="0"/>
            <a:cs typeface="Times New Roman" panose="02020503050405090304" charset="0"/>
          </a:endParaRPr>
        </a:p>
      </dgm:t>
    </dgm:pt>
    <dgm:pt modelId="{60E96627-5893-4560-8331-2B96B9355DC3}" cxnId="{11E64CE2-A5F6-4740-98B0-A2832F39350A}" type="sibTrans">
      <dgm:prSet/>
      <dgm:spPr/>
      <dgm:t>
        <a:bodyPr/>
        <a:p>
          <a:endParaRPr lang="en-GB" b="1">
            <a:latin typeface="Times New Roman" panose="02020503050405090304" charset="0"/>
            <a:cs typeface="Times New Roman" panose="02020503050405090304" charset="0"/>
          </a:endParaRPr>
        </a:p>
      </dgm:t>
    </dgm:pt>
    <dgm:pt modelId="{F5BD0D0E-10C6-464C-857F-583F6C9283F4}">
      <dgm:prSet phldrT="[Text]"/>
      <dgm:spPr/>
      <dgm:t>
        <a:bodyPr/>
        <a:p>
          <a:r>
            <a:rPr lang="en-GB" b="1" i="0">
              <a:latin typeface="Times New Roman" panose="02020503050405090304" charset="0"/>
              <a:cs typeface="Times New Roman" panose="02020503050405090304" charset="0"/>
            </a:rPr>
            <a:t>Events &amp; Resources</a:t>
          </a:r>
          <a:endParaRPr lang="en-GB" b="1">
            <a:latin typeface="Times New Roman" panose="02020503050405090304" charset="0"/>
            <a:cs typeface="Times New Roman" panose="02020503050405090304" charset="0"/>
          </a:endParaRPr>
        </a:p>
      </dgm:t>
    </dgm:pt>
    <dgm:pt modelId="{451521F7-F4B3-45F5-8A0A-D1510B0B4104}" cxnId="{A28FE4E6-B6C9-4E21-A827-B5C9CA8BC533}" type="parTrans">
      <dgm:prSet/>
      <dgm:spPr/>
      <dgm:t>
        <a:bodyPr/>
        <a:p>
          <a:endParaRPr lang="en-GB" b="1">
            <a:latin typeface="Times New Roman" panose="02020503050405090304" charset="0"/>
            <a:cs typeface="Times New Roman" panose="02020503050405090304" charset="0"/>
          </a:endParaRPr>
        </a:p>
      </dgm:t>
    </dgm:pt>
    <dgm:pt modelId="{4A2CFBA6-06DF-4500-BEA0-40C3717300CA}" cxnId="{A28FE4E6-B6C9-4E21-A827-B5C9CA8BC533}" type="sibTrans">
      <dgm:prSet/>
      <dgm:spPr/>
      <dgm:t>
        <a:bodyPr/>
        <a:p>
          <a:endParaRPr lang="en-GB" b="1">
            <a:latin typeface="Times New Roman" panose="02020503050405090304" charset="0"/>
            <a:cs typeface="Times New Roman" panose="02020503050405090304" charset="0"/>
          </a:endParaRPr>
        </a:p>
      </dgm:t>
    </dgm:pt>
    <dgm:pt modelId="{432EDE8D-4151-49B2-A4B2-740A162D62AE}">
      <dgm:prSet phldrT="[Text]"/>
      <dgm:spPr/>
      <dgm:t>
        <a:bodyPr/>
        <a:p>
          <a:r>
            <a:rPr lang="en-GB" b="1" i="0">
              <a:latin typeface="Times New Roman" panose="02020503050405090304" charset="0"/>
              <a:cs typeface="Times New Roman" panose="02020503050405090304" charset="0"/>
            </a:rPr>
            <a:t>Job Shadowing</a:t>
          </a:r>
          <a:endParaRPr lang="en-GB" b="1">
            <a:latin typeface="Times New Roman" panose="02020503050405090304" charset="0"/>
            <a:cs typeface="Times New Roman" panose="02020503050405090304" charset="0"/>
          </a:endParaRPr>
        </a:p>
      </dgm:t>
    </dgm:pt>
    <dgm:pt modelId="{15F99226-BF02-44B4-89F4-EE365841FF6D}" cxnId="{E67CF537-8284-43B9-804E-ED234B28CA73}" type="parTrans">
      <dgm:prSet/>
      <dgm:spPr/>
      <dgm:t>
        <a:bodyPr/>
        <a:p>
          <a:endParaRPr lang="en-GB" b="1">
            <a:latin typeface="Times New Roman" panose="02020503050405090304" charset="0"/>
            <a:cs typeface="Times New Roman" panose="02020503050405090304" charset="0"/>
          </a:endParaRPr>
        </a:p>
      </dgm:t>
    </dgm:pt>
    <dgm:pt modelId="{9D58AD66-DFD3-4D3B-A5CB-5AFA5391F64B}" cxnId="{E67CF537-8284-43B9-804E-ED234B28CA73}" type="sibTrans">
      <dgm:prSet/>
      <dgm:spPr/>
      <dgm:t>
        <a:bodyPr/>
        <a:p>
          <a:endParaRPr lang="en-GB" b="1">
            <a:latin typeface="Times New Roman" panose="02020503050405090304" charset="0"/>
            <a:cs typeface="Times New Roman" panose="02020503050405090304" charset="0"/>
          </a:endParaRPr>
        </a:p>
      </dgm:t>
    </dgm:pt>
    <dgm:pt modelId="{DE653485-F526-464E-9FD6-EB18FA860008}">
      <dgm:prSet phldrT="[Text]"/>
      <dgm:spPr/>
      <dgm:t>
        <a:bodyPr/>
        <a:p>
          <a:r>
            <a:rPr lang="en-GB" b="1">
              <a:latin typeface="Times New Roman" panose="02020503050405090304" charset="0"/>
              <a:cs typeface="Times New Roman" panose="02020503050405090304" charset="0"/>
            </a:rPr>
            <a:t>Leadership</a:t>
          </a:r>
        </a:p>
      </dgm:t>
    </dgm:pt>
    <dgm:pt modelId="{F475A6F4-8CAB-42A9-B750-6B1DE5EC49F6}" cxnId="{F6052A56-1DBE-4A5E-B466-8C8727BA9CC8}" type="parTrans">
      <dgm:prSet/>
      <dgm:spPr/>
      <dgm:t>
        <a:bodyPr/>
        <a:p>
          <a:endParaRPr lang="en-GB" b="1">
            <a:latin typeface="Times New Roman" panose="02020503050405090304" charset="0"/>
            <a:cs typeface="Times New Roman" panose="02020503050405090304" charset="0"/>
          </a:endParaRPr>
        </a:p>
      </dgm:t>
    </dgm:pt>
    <dgm:pt modelId="{D4C2CB85-664B-4EA5-9F75-0311B825C8A6}" cxnId="{F6052A56-1DBE-4A5E-B466-8C8727BA9CC8}" type="sibTrans">
      <dgm:prSet/>
      <dgm:spPr/>
      <dgm:t>
        <a:bodyPr/>
        <a:p>
          <a:endParaRPr lang="en-GB" b="1">
            <a:latin typeface="Times New Roman" panose="02020503050405090304" charset="0"/>
            <a:cs typeface="Times New Roman" panose="02020503050405090304" charset="0"/>
          </a:endParaRPr>
        </a:p>
      </dgm:t>
    </dgm:pt>
    <dgm:pt modelId="{C41E6986-2F85-4CFA-A2F4-4955EC4D7804}">
      <dgm:prSet phldrT="[Text]"/>
      <dgm:spPr/>
      <dgm:t>
        <a:bodyPr/>
        <a:p>
          <a:r>
            <a:rPr lang="en-GB" b="1" i="0">
              <a:latin typeface="Times New Roman" panose="02020503050405090304" charset="0"/>
              <a:cs typeface="Times New Roman" panose="02020503050405090304" charset="0"/>
            </a:rPr>
            <a:t>Online Resources</a:t>
          </a:r>
          <a:endParaRPr lang="en-GB" b="1">
            <a:latin typeface="Times New Roman" panose="02020503050405090304" charset="0"/>
            <a:cs typeface="Times New Roman" panose="02020503050405090304" charset="0"/>
          </a:endParaRPr>
        </a:p>
      </dgm:t>
    </dgm:pt>
    <dgm:pt modelId="{84C243CD-2B93-4128-9479-7A8698E8A028}" cxnId="{EECB1462-28CD-417F-BC97-FF1D1B72570F}" type="parTrans">
      <dgm:prSet/>
      <dgm:spPr/>
      <dgm:t>
        <a:bodyPr/>
        <a:p>
          <a:endParaRPr lang="en-GB" b="1">
            <a:latin typeface="Times New Roman" panose="02020503050405090304" charset="0"/>
            <a:cs typeface="Times New Roman" panose="02020503050405090304" charset="0"/>
          </a:endParaRPr>
        </a:p>
      </dgm:t>
    </dgm:pt>
    <dgm:pt modelId="{94B40131-0F40-43F2-8882-B198B2BFD339}" cxnId="{EECB1462-28CD-417F-BC97-FF1D1B72570F}" type="sibTrans">
      <dgm:prSet/>
      <dgm:spPr/>
      <dgm:t>
        <a:bodyPr/>
        <a:p>
          <a:endParaRPr lang="en-GB" b="1">
            <a:latin typeface="Times New Roman" panose="02020503050405090304" charset="0"/>
            <a:cs typeface="Times New Roman" panose="02020503050405090304" charset="0"/>
          </a:endParaRPr>
        </a:p>
      </dgm:t>
    </dgm:pt>
    <dgm:pt modelId="{E779C961-60DA-4162-B7A9-0FC1C90C4465}">
      <dgm:prSet phldrT="[Text]"/>
      <dgm:spPr/>
      <dgm:t>
        <a:bodyPr/>
        <a:p>
          <a:r>
            <a:rPr lang="en-GB" b="1" i="0">
              <a:latin typeface="Times New Roman" panose="02020503050405090304" charset="0"/>
              <a:cs typeface="Times New Roman" panose="02020503050405090304" charset="0"/>
            </a:rPr>
            <a:t>Personal Development Plan</a:t>
          </a:r>
          <a:endParaRPr lang="en-GB" b="1">
            <a:latin typeface="Times New Roman" panose="02020503050405090304" charset="0"/>
            <a:cs typeface="Times New Roman" panose="02020503050405090304" charset="0"/>
          </a:endParaRPr>
        </a:p>
      </dgm:t>
    </dgm:pt>
    <dgm:pt modelId="{82666BAA-644E-44AC-8CA9-BAC18D30EE61}" cxnId="{4AE0B81E-1974-406D-8A68-82A8241EBAE9}" type="parTrans">
      <dgm:prSet/>
      <dgm:spPr/>
      <dgm:t>
        <a:bodyPr/>
        <a:p>
          <a:endParaRPr lang="en-GB" b="1">
            <a:latin typeface="Times New Roman" panose="02020503050405090304" charset="0"/>
            <a:cs typeface="Times New Roman" panose="02020503050405090304" charset="0"/>
          </a:endParaRPr>
        </a:p>
      </dgm:t>
    </dgm:pt>
    <dgm:pt modelId="{10965254-F03A-4015-86AC-B265FE58BEFF}" cxnId="{4AE0B81E-1974-406D-8A68-82A8241EBAE9}" type="sibTrans">
      <dgm:prSet/>
      <dgm:spPr/>
      <dgm:t>
        <a:bodyPr/>
        <a:p>
          <a:endParaRPr lang="en-GB" b="1">
            <a:latin typeface="Times New Roman" panose="02020503050405090304" charset="0"/>
            <a:cs typeface="Times New Roman" panose="02020503050405090304" charset="0"/>
          </a:endParaRPr>
        </a:p>
      </dgm:t>
    </dgm:pt>
    <dgm:pt modelId="{BE5F6D6C-3221-41D3-876D-FF28C13D00F1}">
      <dgm:prSet phldrT="[Text]"/>
      <dgm:spPr/>
      <dgm:t>
        <a:bodyPr/>
        <a:p>
          <a:r>
            <a:rPr lang="en-GB" b="1" i="0">
              <a:latin typeface="Times New Roman" panose="02020503050405090304" charset="0"/>
              <a:cs typeface="Times New Roman" panose="02020503050405090304" charset="0"/>
            </a:rPr>
            <a:t>Mentoring &amp; Coaching</a:t>
          </a:r>
          <a:endParaRPr lang="en-GB" b="1">
            <a:latin typeface="Times New Roman" panose="02020503050405090304" charset="0"/>
            <a:cs typeface="Times New Roman" panose="02020503050405090304" charset="0"/>
          </a:endParaRPr>
        </a:p>
      </dgm:t>
    </dgm:pt>
    <dgm:pt modelId="{D30FAB9C-5610-444A-BCB3-3F08EAF22008}" cxnId="{6D7349A4-7EEB-4651-93E3-3754A36C90EF}" type="parTrans">
      <dgm:prSet/>
      <dgm:spPr/>
      <dgm:t>
        <a:bodyPr/>
        <a:p>
          <a:endParaRPr lang="en-GB" b="1">
            <a:latin typeface="Times New Roman" panose="02020503050405090304" charset="0"/>
            <a:cs typeface="Times New Roman" panose="02020503050405090304" charset="0"/>
          </a:endParaRPr>
        </a:p>
      </dgm:t>
    </dgm:pt>
    <dgm:pt modelId="{C6103CE9-1819-4A61-8D11-1E4627FF03AF}" cxnId="{6D7349A4-7EEB-4651-93E3-3754A36C90EF}" type="sibTrans">
      <dgm:prSet/>
      <dgm:spPr/>
      <dgm:t>
        <a:bodyPr/>
        <a:p>
          <a:endParaRPr lang="en-GB" b="1">
            <a:latin typeface="Times New Roman" panose="02020503050405090304" charset="0"/>
            <a:cs typeface="Times New Roman" panose="02020503050405090304" charset="0"/>
          </a:endParaRPr>
        </a:p>
      </dgm:t>
    </dgm:pt>
    <dgm:pt modelId="{F33A8491-B4A8-4533-845E-2E6DD3018ECE}">
      <dgm:prSet phldrT="[Text]"/>
      <dgm:spPr/>
      <dgm:t>
        <a:bodyPr/>
        <a:p>
          <a:r>
            <a:rPr lang="en-GB" b="1" i="0">
              <a:latin typeface="Times New Roman" panose="02020503050405090304" charset="0"/>
              <a:cs typeface="Times New Roman" panose="02020503050405090304" charset="0"/>
            </a:rPr>
            <a:t>Induction</a:t>
          </a:r>
          <a:endParaRPr lang="en-GB" b="1">
            <a:latin typeface="Times New Roman" panose="02020503050405090304" charset="0"/>
            <a:cs typeface="Times New Roman" panose="02020503050405090304" charset="0"/>
          </a:endParaRPr>
        </a:p>
      </dgm:t>
    </dgm:pt>
    <dgm:pt modelId="{5BD22E1B-8CD3-492B-A3CD-FC229F23727F}" cxnId="{48519562-25D4-46CB-BEED-1D27566F29F1}" type="parTrans">
      <dgm:prSet/>
      <dgm:spPr/>
      <dgm:t>
        <a:bodyPr/>
        <a:p>
          <a:endParaRPr lang="en-GB" b="1">
            <a:latin typeface="Times New Roman" panose="02020503050405090304" charset="0"/>
            <a:cs typeface="Times New Roman" panose="02020503050405090304" charset="0"/>
          </a:endParaRPr>
        </a:p>
      </dgm:t>
    </dgm:pt>
    <dgm:pt modelId="{BD53611A-3F0C-4572-8B2C-C5A9B7B8474E}" cxnId="{48519562-25D4-46CB-BEED-1D27566F29F1}" type="sibTrans">
      <dgm:prSet/>
      <dgm:spPr/>
      <dgm:t>
        <a:bodyPr/>
        <a:p>
          <a:endParaRPr lang="en-GB" b="1">
            <a:latin typeface="Times New Roman" panose="02020503050405090304" charset="0"/>
            <a:cs typeface="Times New Roman" panose="02020503050405090304" charset="0"/>
          </a:endParaRPr>
        </a:p>
      </dgm:t>
    </dgm:pt>
    <dgm:pt modelId="{61AF658E-E6F5-4223-96C7-C16E7C2B202C}" type="pres">
      <dgm:prSet presAssocID="{B4358ABA-C979-4255-83EE-41CE86EC38C0}" presName="Name0" presStyleCnt="0">
        <dgm:presLayoutVars>
          <dgm:dir/>
          <dgm:resizeHandles/>
        </dgm:presLayoutVars>
      </dgm:prSet>
      <dgm:spPr/>
    </dgm:pt>
    <dgm:pt modelId="{B97C31DA-BD18-4443-83E9-E71DFCEFFB38}" type="pres">
      <dgm:prSet presAssocID="{22E09F83-C9E9-4E3A-8202-608CC07E0285}" presName="compNode" presStyleCnt="0"/>
      <dgm:spPr/>
    </dgm:pt>
    <dgm:pt modelId="{98682DC2-FAC9-476B-A68E-242345F583AC}" type="pres">
      <dgm:prSet presAssocID="{22E09F83-C9E9-4E3A-8202-608CC07E0285}" presName="dummyConnPt" presStyleCnt="0"/>
      <dgm:spPr/>
    </dgm:pt>
    <dgm:pt modelId="{ABFC254A-364E-4BE2-8D51-E008E623B3B1}" type="pres">
      <dgm:prSet presAssocID="{22E09F83-C9E9-4E3A-8202-608CC07E0285}" presName="node" presStyleLbl="node1" presStyleIdx="0" presStyleCnt="8">
        <dgm:presLayoutVars>
          <dgm:bulletEnabled val="1"/>
        </dgm:presLayoutVars>
      </dgm:prSet>
      <dgm:spPr/>
    </dgm:pt>
    <dgm:pt modelId="{879977F2-AF4F-4A15-BA3D-DF804F26EF38}" type="pres">
      <dgm:prSet presAssocID="{60E96627-5893-4560-8331-2B96B9355DC3}" presName="sibTrans" presStyleLbl="bgSibTrans2D1" presStyleIdx="0" presStyleCnt="7"/>
      <dgm:spPr/>
    </dgm:pt>
    <dgm:pt modelId="{DDC7F0D4-1532-423C-9A7F-9AB926B866E3}" type="pres">
      <dgm:prSet presAssocID="{F5BD0D0E-10C6-464C-857F-583F6C9283F4}" presName="compNode" presStyleCnt="0"/>
      <dgm:spPr/>
    </dgm:pt>
    <dgm:pt modelId="{FFC7BFE9-489D-49F0-8CDE-2EF8F77185C2}" type="pres">
      <dgm:prSet presAssocID="{F5BD0D0E-10C6-464C-857F-583F6C9283F4}" presName="dummyConnPt" presStyleCnt="0"/>
      <dgm:spPr/>
    </dgm:pt>
    <dgm:pt modelId="{0158F2BC-FBF7-4676-95A8-76D1D4DC9424}" type="pres">
      <dgm:prSet presAssocID="{F5BD0D0E-10C6-464C-857F-583F6C9283F4}" presName="node" presStyleLbl="node1" presStyleIdx="1" presStyleCnt="8">
        <dgm:presLayoutVars>
          <dgm:bulletEnabled val="1"/>
        </dgm:presLayoutVars>
      </dgm:prSet>
      <dgm:spPr/>
    </dgm:pt>
    <dgm:pt modelId="{15F4BE11-AC00-43F8-91E9-29C537FBB81A}" type="pres">
      <dgm:prSet presAssocID="{4A2CFBA6-06DF-4500-BEA0-40C3717300CA}" presName="sibTrans" presStyleLbl="bgSibTrans2D1" presStyleIdx="1" presStyleCnt="7"/>
      <dgm:spPr/>
    </dgm:pt>
    <dgm:pt modelId="{849F8913-1396-4F55-8325-436958A1B91F}" type="pres">
      <dgm:prSet presAssocID="{432EDE8D-4151-49B2-A4B2-740A162D62AE}" presName="compNode" presStyleCnt="0"/>
      <dgm:spPr/>
    </dgm:pt>
    <dgm:pt modelId="{95D369A6-CB93-4A5D-8DE8-B3CC798E7C8B}" type="pres">
      <dgm:prSet presAssocID="{432EDE8D-4151-49B2-A4B2-740A162D62AE}" presName="dummyConnPt" presStyleCnt="0"/>
      <dgm:spPr/>
    </dgm:pt>
    <dgm:pt modelId="{7E5290D5-980C-492A-816E-DECB80CF5D41}" type="pres">
      <dgm:prSet presAssocID="{432EDE8D-4151-49B2-A4B2-740A162D62AE}" presName="node" presStyleLbl="node1" presStyleIdx="2" presStyleCnt="8">
        <dgm:presLayoutVars>
          <dgm:bulletEnabled val="1"/>
        </dgm:presLayoutVars>
      </dgm:prSet>
      <dgm:spPr/>
    </dgm:pt>
    <dgm:pt modelId="{3C8F6750-959B-4668-8064-4A559686B6BA}" type="pres">
      <dgm:prSet presAssocID="{9D58AD66-DFD3-4D3B-A5CB-5AFA5391F64B}" presName="sibTrans" presStyleLbl="bgSibTrans2D1" presStyleIdx="2" presStyleCnt="7"/>
      <dgm:spPr/>
    </dgm:pt>
    <dgm:pt modelId="{F760C0D0-0886-4F05-BB04-F14D95C668F7}" type="pres">
      <dgm:prSet presAssocID="{DE653485-F526-464E-9FD6-EB18FA860008}" presName="compNode" presStyleCnt="0"/>
      <dgm:spPr/>
    </dgm:pt>
    <dgm:pt modelId="{B39C8D2C-F703-4628-9CB4-49CE4A37CDFE}" type="pres">
      <dgm:prSet presAssocID="{DE653485-F526-464E-9FD6-EB18FA860008}" presName="dummyConnPt" presStyleCnt="0"/>
      <dgm:spPr/>
    </dgm:pt>
    <dgm:pt modelId="{74560CA1-F6BB-40C1-9229-962A844F02D8}" type="pres">
      <dgm:prSet presAssocID="{DE653485-F526-464E-9FD6-EB18FA860008}" presName="node" presStyleLbl="node1" presStyleIdx="3" presStyleCnt="8">
        <dgm:presLayoutVars>
          <dgm:bulletEnabled val="1"/>
        </dgm:presLayoutVars>
      </dgm:prSet>
      <dgm:spPr/>
    </dgm:pt>
    <dgm:pt modelId="{A9ADEBB4-E325-4BD3-AB66-9549ED380891}" type="pres">
      <dgm:prSet presAssocID="{D4C2CB85-664B-4EA5-9F75-0311B825C8A6}" presName="sibTrans" presStyleLbl="bgSibTrans2D1" presStyleIdx="3" presStyleCnt="7"/>
      <dgm:spPr/>
    </dgm:pt>
    <dgm:pt modelId="{0FDC1D27-3548-43BF-BCA0-49E680CC7A45}" type="pres">
      <dgm:prSet presAssocID="{C41E6986-2F85-4CFA-A2F4-4955EC4D7804}" presName="compNode" presStyleCnt="0"/>
      <dgm:spPr/>
    </dgm:pt>
    <dgm:pt modelId="{F5A9D0CD-9DB7-441D-89FB-719F8A5C873C}" type="pres">
      <dgm:prSet presAssocID="{C41E6986-2F85-4CFA-A2F4-4955EC4D7804}" presName="dummyConnPt" presStyleCnt="0"/>
      <dgm:spPr/>
    </dgm:pt>
    <dgm:pt modelId="{02638095-4FFB-481E-988D-7977D0CA1FC7}" type="pres">
      <dgm:prSet presAssocID="{C41E6986-2F85-4CFA-A2F4-4955EC4D7804}" presName="node" presStyleLbl="node1" presStyleIdx="4" presStyleCnt="8">
        <dgm:presLayoutVars>
          <dgm:bulletEnabled val="1"/>
        </dgm:presLayoutVars>
      </dgm:prSet>
      <dgm:spPr/>
    </dgm:pt>
    <dgm:pt modelId="{C4B0BC81-4388-4ED0-9124-7C4FAFBFCF66}" type="pres">
      <dgm:prSet presAssocID="{94B40131-0F40-43F2-8882-B198B2BFD339}" presName="sibTrans" presStyleLbl="bgSibTrans2D1" presStyleIdx="4" presStyleCnt="7"/>
      <dgm:spPr/>
    </dgm:pt>
    <dgm:pt modelId="{BB8F84E1-C0E1-46FB-8B7A-21DE82D32F35}" type="pres">
      <dgm:prSet presAssocID="{E779C961-60DA-4162-B7A9-0FC1C90C4465}" presName="compNode" presStyleCnt="0"/>
      <dgm:spPr/>
    </dgm:pt>
    <dgm:pt modelId="{B2B082FE-6D98-431B-B42D-0DC07D86E3BC}" type="pres">
      <dgm:prSet presAssocID="{E779C961-60DA-4162-B7A9-0FC1C90C4465}" presName="dummyConnPt" presStyleCnt="0"/>
      <dgm:spPr/>
    </dgm:pt>
    <dgm:pt modelId="{A5352724-C97A-41F1-A08F-B2861F158EEF}" type="pres">
      <dgm:prSet presAssocID="{E779C961-60DA-4162-B7A9-0FC1C90C4465}" presName="node" presStyleLbl="node1" presStyleIdx="5" presStyleCnt="8">
        <dgm:presLayoutVars>
          <dgm:bulletEnabled val="1"/>
        </dgm:presLayoutVars>
      </dgm:prSet>
      <dgm:spPr/>
    </dgm:pt>
    <dgm:pt modelId="{CED319DB-6B7E-47E3-9CA9-FC8C3A17BF00}" type="pres">
      <dgm:prSet presAssocID="{10965254-F03A-4015-86AC-B265FE58BEFF}" presName="sibTrans" presStyleLbl="bgSibTrans2D1" presStyleIdx="5" presStyleCnt="7"/>
      <dgm:spPr/>
    </dgm:pt>
    <dgm:pt modelId="{670C6FFC-333F-4AE1-9FD6-BE41152AC1B9}" type="pres">
      <dgm:prSet presAssocID="{BE5F6D6C-3221-41D3-876D-FF28C13D00F1}" presName="compNode" presStyleCnt="0"/>
      <dgm:spPr/>
    </dgm:pt>
    <dgm:pt modelId="{DF64F091-735B-4F24-B289-3D5DD2FD0E55}" type="pres">
      <dgm:prSet presAssocID="{BE5F6D6C-3221-41D3-876D-FF28C13D00F1}" presName="dummyConnPt" presStyleCnt="0"/>
      <dgm:spPr/>
    </dgm:pt>
    <dgm:pt modelId="{59BA35B3-6482-4296-8810-E1D8FBCBE7FB}" type="pres">
      <dgm:prSet presAssocID="{BE5F6D6C-3221-41D3-876D-FF28C13D00F1}" presName="node" presStyleLbl="node1" presStyleIdx="6" presStyleCnt="8">
        <dgm:presLayoutVars>
          <dgm:bulletEnabled val="1"/>
        </dgm:presLayoutVars>
      </dgm:prSet>
      <dgm:spPr/>
    </dgm:pt>
    <dgm:pt modelId="{8C6A876C-5766-41AD-AD7D-BE64438849D3}" type="pres">
      <dgm:prSet presAssocID="{C6103CE9-1819-4A61-8D11-1E4627FF03AF}" presName="sibTrans" presStyleLbl="bgSibTrans2D1" presStyleIdx="6" presStyleCnt="7"/>
      <dgm:spPr/>
    </dgm:pt>
    <dgm:pt modelId="{0AB90E28-8229-413F-B7EB-3C6EF3C049CD}" type="pres">
      <dgm:prSet presAssocID="{F33A8491-B4A8-4533-845E-2E6DD3018ECE}" presName="compNode" presStyleCnt="0"/>
      <dgm:spPr/>
    </dgm:pt>
    <dgm:pt modelId="{26FFD58B-1A6A-472F-87B3-30D33AF201C6}" type="pres">
      <dgm:prSet presAssocID="{F33A8491-B4A8-4533-845E-2E6DD3018ECE}" presName="dummyConnPt" presStyleCnt="0"/>
      <dgm:spPr/>
    </dgm:pt>
    <dgm:pt modelId="{5549F4DA-E4F3-406D-AEC3-C6982650B73D}" type="pres">
      <dgm:prSet presAssocID="{F33A8491-B4A8-4533-845E-2E6DD3018ECE}" presName="node" presStyleLbl="node1" presStyleIdx="7" presStyleCnt="8">
        <dgm:presLayoutVars>
          <dgm:bulletEnabled val="1"/>
        </dgm:presLayoutVars>
      </dgm:prSet>
      <dgm:spPr/>
    </dgm:pt>
  </dgm:ptLst>
  <dgm:cxnLst>
    <dgm:cxn modelId="{4FC9FE00-20E1-4D95-970F-B8147F27FBFA}" type="presOf" srcId="{4A2CFBA6-06DF-4500-BEA0-40C3717300CA}" destId="{15F4BE11-AC00-43F8-91E9-29C537FBB81A}" srcOrd="0" destOrd="0" presId="urn:microsoft.com/office/officeart/2005/8/layout/bProcess4"/>
    <dgm:cxn modelId="{3951F701-5A47-4608-9E97-F5421CC588B2}" type="presOf" srcId="{F5BD0D0E-10C6-464C-857F-583F6C9283F4}" destId="{0158F2BC-FBF7-4676-95A8-76D1D4DC9424}" srcOrd="0" destOrd="0" presId="urn:microsoft.com/office/officeart/2005/8/layout/bProcess4"/>
    <dgm:cxn modelId="{52854403-D1DF-4D44-B752-50E7A42AD82A}" type="presOf" srcId="{9D58AD66-DFD3-4D3B-A5CB-5AFA5391F64B}" destId="{3C8F6750-959B-4668-8064-4A559686B6BA}" srcOrd="0" destOrd="0" presId="urn:microsoft.com/office/officeart/2005/8/layout/bProcess4"/>
    <dgm:cxn modelId="{E2C3440E-09B0-47A1-9994-F14FC3C35F20}" type="presOf" srcId="{BE5F6D6C-3221-41D3-876D-FF28C13D00F1}" destId="{59BA35B3-6482-4296-8810-E1D8FBCBE7FB}" srcOrd="0" destOrd="0" presId="urn:microsoft.com/office/officeart/2005/8/layout/bProcess4"/>
    <dgm:cxn modelId="{EE00D51C-0241-41F8-A6A7-F14DDA9BC36A}" type="presOf" srcId="{C41E6986-2F85-4CFA-A2F4-4955EC4D7804}" destId="{02638095-4FFB-481E-988D-7977D0CA1FC7}" srcOrd="0" destOrd="0" presId="urn:microsoft.com/office/officeart/2005/8/layout/bProcess4"/>
    <dgm:cxn modelId="{4AE0B81E-1974-406D-8A68-82A8241EBAE9}" srcId="{B4358ABA-C979-4255-83EE-41CE86EC38C0}" destId="{E779C961-60DA-4162-B7A9-0FC1C90C4465}" srcOrd="5" destOrd="0" parTransId="{82666BAA-644E-44AC-8CA9-BAC18D30EE61}" sibTransId="{10965254-F03A-4015-86AC-B265FE58BEFF}"/>
    <dgm:cxn modelId="{73B52132-89B4-43E5-A967-978DB7B8ADFB}" type="presOf" srcId="{C6103CE9-1819-4A61-8D11-1E4627FF03AF}" destId="{8C6A876C-5766-41AD-AD7D-BE64438849D3}" srcOrd="0" destOrd="0" presId="urn:microsoft.com/office/officeart/2005/8/layout/bProcess4"/>
    <dgm:cxn modelId="{E67CF537-8284-43B9-804E-ED234B28CA73}" srcId="{B4358ABA-C979-4255-83EE-41CE86EC38C0}" destId="{432EDE8D-4151-49B2-A4B2-740A162D62AE}" srcOrd="2" destOrd="0" parTransId="{15F99226-BF02-44B4-89F4-EE365841FF6D}" sibTransId="{9D58AD66-DFD3-4D3B-A5CB-5AFA5391F64B}"/>
    <dgm:cxn modelId="{EECB1462-28CD-417F-BC97-FF1D1B72570F}" srcId="{B4358ABA-C979-4255-83EE-41CE86EC38C0}" destId="{C41E6986-2F85-4CFA-A2F4-4955EC4D7804}" srcOrd="4" destOrd="0" parTransId="{84C243CD-2B93-4128-9479-7A8698E8A028}" sibTransId="{94B40131-0F40-43F2-8882-B198B2BFD339}"/>
    <dgm:cxn modelId="{48519562-25D4-46CB-BEED-1D27566F29F1}" srcId="{B4358ABA-C979-4255-83EE-41CE86EC38C0}" destId="{F33A8491-B4A8-4533-845E-2E6DD3018ECE}" srcOrd="7" destOrd="0" parTransId="{5BD22E1B-8CD3-492B-A3CD-FC229F23727F}" sibTransId="{BD53611A-3F0C-4572-8B2C-C5A9B7B8474E}"/>
    <dgm:cxn modelId="{89C66744-083D-46F2-AD6C-E281D3AD92BF}" type="presOf" srcId="{DE653485-F526-464E-9FD6-EB18FA860008}" destId="{74560CA1-F6BB-40C1-9229-962A844F02D8}" srcOrd="0" destOrd="0" presId="urn:microsoft.com/office/officeart/2005/8/layout/bProcess4"/>
    <dgm:cxn modelId="{9FB76650-65A3-4475-A34C-FEB7F2C1CFA6}" type="presOf" srcId="{B4358ABA-C979-4255-83EE-41CE86EC38C0}" destId="{61AF658E-E6F5-4223-96C7-C16E7C2B202C}" srcOrd="0" destOrd="0" presId="urn:microsoft.com/office/officeart/2005/8/layout/bProcess4"/>
    <dgm:cxn modelId="{2CE24A53-3DEE-4265-A916-F7ECA6954A2D}" type="presOf" srcId="{432EDE8D-4151-49B2-A4B2-740A162D62AE}" destId="{7E5290D5-980C-492A-816E-DECB80CF5D41}" srcOrd="0" destOrd="0" presId="urn:microsoft.com/office/officeart/2005/8/layout/bProcess4"/>
    <dgm:cxn modelId="{F6052A56-1DBE-4A5E-B466-8C8727BA9CC8}" srcId="{B4358ABA-C979-4255-83EE-41CE86EC38C0}" destId="{DE653485-F526-464E-9FD6-EB18FA860008}" srcOrd="3" destOrd="0" parTransId="{F475A6F4-8CAB-42A9-B750-6B1DE5EC49F6}" sibTransId="{D4C2CB85-664B-4EA5-9F75-0311B825C8A6}"/>
    <dgm:cxn modelId="{B05F827F-B067-430A-ACAE-0A9927C0F2C7}" type="presOf" srcId="{60E96627-5893-4560-8331-2B96B9355DC3}" destId="{879977F2-AF4F-4A15-BA3D-DF804F26EF38}" srcOrd="0" destOrd="0" presId="urn:microsoft.com/office/officeart/2005/8/layout/bProcess4"/>
    <dgm:cxn modelId="{C5AE4699-F5DA-45EE-920C-4D6E3E2A665E}" type="presOf" srcId="{D4C2CB85-664B-4EA5-9F75-0311B825C8A6}" destId="{A9ADEBB4-E325-4BD3-AB66-9549ED380891}" srcOrd="0" destOrd="0" presId="urn:microsoft.com/office/officeart/2005/8/layout/bProcess4"/>
    <dgm:cxn modelId="{6D7349A4-7EEB-4651-93E3-3754A36C90EF}" srcId="{B4358ABA-C979-4255-83EE-41CE86EC38C0}" destId="{BE5F6D6C-3221-41D3-876D-FF28C13D00F1}" srcOrd="6" destOrd="0" parTransId="{D30FAB9C-5610-444A-BCB3-3F08EAF22008}" sibTransId="{C6103CE9-1819-4A61-8D11-1E4627FF03AF}"/>
    <dgm:cxn modelId="{4BCF31AC-930C-4D20-B613-FC8083516A73}" type="presOf" srcId="{10965254-F03A-4015-86AC-B265FE58BEFF}" destId="{CED319DB-6B7E-47E3-9CA9-FC8C3A17BF00}" srcOrd="0" destOrd="0" presId="urn:microsoft.com/office/officeart/2005/8/layout/bProcess4"/>
    <dgm:cxn modelId="{94A2CEB8-9915-4B72-92DC-031E531123BC}" type="presOf" srcId="{94B40131-0F40-43F2-8882-B198B2BFD339}" destId="{C4B0BC81-4388-4ED0-9124-7C4FAFBFCF66}" srcOrd="0" destOrd="0" presId="urn:microsoft.com/office/officeart/2005/8/layout/bProcess4"/>
    <dgm:cxn modelId="{A34C1AC8-9154-4A5F-AD7B-2A23C05D08CE}" type="presOf" srcId="{E779C961-60DA-4162-B7A9-0FC1C90C4465}" destId="{A5352724-C97A-41F1-A08F-B2861F158EEF}" srcOrd="0" destOrd="0" presId="urn:microsoft.com/office/officeart/2005/8/layout/bProcess4"/>
    <dgm:cxn modelId="{E79A9BD9-959F-42EC-AC57-2E31BECE560D}" type="presOf" srcId="{22E09F83-C9E9-4E3A-8202-608CC07E0285}" destId="{ABFC254A-364E-4BE2-8D51-E008E623B3B1}" srcOrd="0" destOrd="0" presId="urn:microsoft.com/office/officeart/2005/8/layout/bProcess4"/>
    <dgm:cxn modelId="{D4B79BE0-B2FF-4834-BD7A-3850F839AB6F}" type="presOf" srcId="{F33A8491-B4A8-4533-845E-2E6DD3018ECE}" destId="{5549F4DA-E4F3-406D-AEC3-C6982650B73D}" srcOrd="0" destOrd="0" presId="urn:microsoft.com/office/officeart/2005/8/layout/bProcess4"/>
    <dgm:cxn modelId="{11E64CE2-A5F6-4740-98B0-A2832F39350A}" srcId="{B4358ABA-C979-4255-83EE-41CE86EC38C0}" destId="{22E09F83-C9E9-4E3A-8202-608CC07E0285}" srcOrd="0" destOrd="0" parTransId="{2C9E965F-31C8-4952-92CF-C5BF7CDB7FFC}" sibTransId="{60E96627-5893-4560-8331-2B96B9355DC3}"/>
    <dgm:cxn modelId="{A28FE4E6-B6C9-4E21-A827-B5C9CA8BC533}" srcId="{B4358ABA-C979-4255-83EE-41CE86EC38C0}" destId="{F5BD0D0E-10C6-464C-857F-583F6C9283F4}" srcOrd="1" destOrd="0" parTransId="{451521F7-F4B3-45F5-8A0A-D1510B0B4104}" sibTransId="{4A2CFBA6-06DF-4500-BEA0-40C3717300CA}"/>
    <dgm:cxn modelId="{639D3BDC-07A7-40F1-8798-530A5BFF54D3}" type="presParOf" srcId="{61AF658E-E6F5-4223-96C7-C16E7C2B202C}" destId="{B97C31DA-BD18-4443-83E9-E71DFCEFFB38}" srcOrd="0" destOrd="0" presId="urn:microsoft.com/office/officeart/2005/8/layout/bProcess4"/>
    <dgm:cxn modelId="{C8FAF727-2F67-48A7-98D9-25BB4D6A6121}" type="presParOf" srcId="{B97C31DA-BD18-4443-83E9-E71DFCEFFB38}" destId="{98682DC2-FAC9-476B-A68E-242345F583AC}" srcOrd="0" destOrd="0" presId="urn:microsoft.com/office/officeart/2005/8/layout/bProcess4"/>
    <dgm:cxn modelId="{4D727A4B-796A-4C9C-B577-54A8C5030B44}" type="presParOf" srcId="{B97C31DA-BD18-4443-83E9-E71DFCEFFB38}" destId="{ABFC254A-364E-4BE2-8D51-E008E623B3B1}" srcOrd="1" destOrd="0" presId="urn:microsoft.com/office/officeart/2005/8/layout/bProcess4"/>
    <dgm:cxn modelId="{EEC041B7-74C9-4DC7-84A0-F30E8303DCD4}" type="presParOf" srcId="{61AF658E-E6F5-4223-96C7-C16E7C2B202C}" destId="{879977F2-AF4F-4A15-BA3D-DF804F26EF38}" srcOrd="1" destOrd="0" presId="urn:microsoft.com/office/officeart/2005/8/layout/bProcess4"/>
    <dgm:cxn modelId="{6DC70813-BF3E-4556-9C8E-A40150B06AE7}" type="presParOf" srcId="{61AF658E-E6F5-4223-96C7-C16E7C2B202C}" destId="{DDC7F0D4-1532-423C-9A7F-9AB926B866E3}" srcOrd="2" destOrd="0" presId="urn:microsoft.com/office/officeart/2005/8/layout/bProcess4"/>
    <dgm:cxn modelId="{2ED16873-5D3A-4208-9368-5C9340D8CE3A}" type="presParOf" srcId="{DDC7F0D4-1532-423C-9A7F-9AB926B866E3}" destId="{FFC7BFE9-489D-49F0-8CDE-2EF8F77185C2}" srcOrd="0" destOrd="0" presId="urn:microsoft.com/office/officeart/2005/8/layout/bProcess4"/>
    <dgm:cxn modelId="{2544CF3A-E884-4747-8F4B-8FCD2C28FD34}" type="presParOf" srcId="{DDC7F0D4-1532-423C-9A7F-9AB926B866E3}" destId="{0158F2BC-FBF7-4676-95A8-76D1D4DC9424}" srcOrd="1" destOrd="0" presId="urn:microsoft.com/office/officeart/2005/8/layout/bProcess4"/>
    <dgm:cxn modelId="{E4E04223-FA74-495E-B864-1DEDD53B4F62}" type="presParOf" srcId="{61AF658E-E6F5-4223-96C7-C16E7C2B202C}" destId="{15F4BE11-AC00-43F8-91E9-29C537FBB81A}" srcOrd="3" destOrd="0" presId="urn:microsoft.com/office/officeart/2005/8/layout/bProcess4"/>
    <dgm:cxn modelId="{77661AB5-23DD-4474-AEB2-883B6FCF74C2}" type="presParOf" srcId="{61AF658E-E6F5-4223-96C7-C16E7C2B202C}" destId="{849F8913-1396-4F55-8325-436958A1B91F}" srcOrd="4" destOrd="0" presId="urn:microsoft.com/office/officeart/2005/8/layout/bProcess4"/>
    <dgm:cxn modelId="{6DF69495-40B5-49BD-8284-A25315A8D8DB}" type="presParOf" srcId="{849F8913-1396-4F55-8325-436958A1B91F}" destId="{95D369A6-CB93-4A5D-8DE8-B3CC798E7C8B}" srcOrd="0" destOrd="0" presId="urn:microsoft.com/office/officeart/2005/8/layout/bProcess4"/>
    <dgm:cxn modelId="{519926B0-86F9-415E-97D9-5163F0895D5C}" type="presParOf" srcId="{849F8913-1396-4F55-8325-436958A1B91F}" destId="{7E5290D5-980C-492A-816E-DECB80CF5D41}" srcOrd="1" destOrd="0" presId="urn:microsoft.com/office/officeart/2005/8/layout/bProcess4"/>
    <dgm:cxn modelId="{CCE9352F-27CC-4E13-8F15-573C4E61DC58}" type="presParOf" srcId="{61AF658E-E6F5-4223-96C7-C16E7C2B202C}" destId="{3C8F6750-959B-4668-8064-4A559686B6BA}" srcOrd="5" destOrd="0" presId="urn:microsoft.com/office/officeart/2005/8/layout/bProcess4"/>
    <dgm:cxn modelId="{85859898-4FA1-4C18-B79B-239D3B34A887}" type="presParOf" srcId="{61AF658E-E6F5-4223-96C7-C16E7C2B202C}" destId="{F760C0D0-0886-4F05-BB04-F14D95C668F7}" srcOrd="6" destOrd="0" presId="urn:microsoft.com/office/officeart/2005/8/layout/bProcess4"/>
    <dgm:cxn modelId="{D8696831-C517-42DE-8440-7921ECFF7BAF}" type="presParOf" srcId="{F760C0D0-0886-4F05-BB04-F14D95C668F7}" destId="{B39C8D2C-F703-4628-9CB4-49CE4A37CDFE}" srcOrd="0" destOrd="0" presId="urn:microsoft.com/office/officeart/2005/8/layout/bProcess4"/>
    <dgm:cxn modelId="{27B50984-D8B7-4D00-846D-78A6856636B3}" type="presParOf" srcId="{F760C0D0-0886-4F05-BB04-F14D95C668F7}" destId="{74560CA1-F6BB-40C1-9229-962A844F02D8}" srcOrd="1" destOrd="0" presId="urn:microsoft.com/office/officeart/2005/8/layout/bProcess4"/>
    <dgm:cxn modelId="{91E152DC-E855-4D24-97E2-4A19EC6FD29E}" type="presParOf" srcId="{61AF658E-E6F5-4223-96C7-C16E7C2B202C}" destId="{A9ADEBB4-E325-4BD3-AB66-9549ED380891}" srcOrd="7" destOrd="0" presId="urn:microsoft.com/office/officeart/2005/8/layout/bProcess4"/>
    <dgm:cxn modelId="{E0740765-FA2A-439E-A166-04D4CE499D34}" type="presParOf" srcId="{61AF658E-E6F5-4223-96C7-C16E7C2B202C}" destId="{0FDC1D27-3548-43BF-BCA0-49E680CC7A45}" srcOrd="8" destOrd="0" presId="urn:microsoft.com/office/officeart/2005/8/layout/bProcess4"/>
    <dgm:cxn modelId="{1AE225EE-0159-43A9-A1FD-9CBC699A69EA}" type="presParOf" srcId="{0FDC1D27-3548-43BF-BCA0-49E680CC7A45}" destId="{F5A9D0CD-9DB7-441D-89FB-719F8A5C873C}" srcOrd="0" destOrd="0" presId="urn:microsoft.com/office/officeart/2005/8/layout/bProcess4"/>
    <dgm:cxn modelId="{6177C9F1-587F-4CF0-8FBA-82475FFDD164}" type="presParOf" srcId="{0FDC1D27-3548-43BF-BCA0-49E680CC7A45}" destId="{02638095-4FFB-481E-988D-7977D0CA1FC7}" srcOrd="1" destOrd="0" presId="urn:microsoft.com/office/officeart/2005/8/layout/bProcess4"/>
    <dgm:cxn modelId="{49695724-9E1F-409D-BE79-0BC77714F97C}" type="presParOf" srcId="{61AF658E-E6F5-4223-96C7-C16E7C2B202C}" destId="{C4B0BC81-4388-4ED0-9124-7C4FAFBFCF66}" srcOrd="9" destOrd="0" presId="urn:microsoft.com/office/officeart/2005/8/layout/bProcess4"/>
    <dgm:cxn modelId="{A705F72D-6ED3-4FEF-B930-7DD94E0D0640}" type="presParOf" srcId="{61AF658E-E6F5-4223-96C7-C16E7C2B202C}" destId="{BB8F84E1-C0E1-46FB-8B7A-21DE82D32F35}" srcOrd="10" destOrd="0" presId="urn:microsoft.com/office/officeart/2005/8/layout/bProcess4"/>
    <dgm:cxn modelId="{76DFEE2D-7F70-47B6-9C87-53569AC9BE90}" type="presParOf" srcId="{BB8F84E1-C0E1-46FB-8B7A-21DE82D32F35}" destId="{B2B082FE-6D98-431B-B42D-0DC07D86E3BC}" srcOrd="0" destOrd="0" presId="urn:microsoft.com/office/officeart/2005/8/layout/bProcess4"/>
    <dgm:cxn modelId="{6FDE0E8A-1536-4037-88A6-1B42EB0E1209}" type="presParOf" srcId="{BB8F84E1-C0E1-46FB-8B7A-21DE82D32F35}" destId="{A5352724-C97A-41F1-A08F-B2861F158EEF}" srcOrd="1" destOrd="0" presId="urn:microsoft.com/office/officeart/2005/8/layout/bProcess4"/>
    <dgm:cxn modelId="{4A4AC6C4-2954-4353-A008-4291443630F3}" type="presParOf" srcId="{61AF658E-E6F5-4223-96C7-C16E7C2B202C}" destId="{CED319DB-6B7E-47E3-9CA9-FC8C3A17BF00}" srcOrd="11" destOrd="0" presId="urn:microsoft.com/office/officeart/2005/8/layout/bProcess4"/>
    <dgm:cxn modelId="{2D610C2A-755E-40F9-A2B9-2061574B2977}" type="presParOf" srcId="{61AF658E-E6F5-4223-96C7-C16E7C2B202C}" destId="{670C6FFC-333F-4AE1-9FD6-BE41152AC1B9}" srcOrd="12" destOrd="0" presId="urn:microsoft.com/office/officeart/2005/8/layout/bProcess4"/>
    <dgm:cxn modelId="{8231F90F-CB99-4613-8091-2A2A6921EE72}" type="presParOf" srcId="{670C6FFC-333F-4AE1-9FD6-BE41152AC1B9}" destId="{DF64F091-735B-4F24-B289-3D5DD2FD0E55}" srcOrd="0" destOrd="0" presId="urn:microsoft.com/office/officeart/2005/8/layout/bProcess4"/>
    <dgm:cxn modelId="{711DF71B-D9BB-486B-8322-ADB74861A595}" type="presParOf" srcId="{670C6FFC-333F-4AE1-9FD6-BE41152AC1B9}" destId="{59BA35B3-6482-4296-8810-E1D8FBCBE7FB}" srcOrd="1" destOrd="0" presId="urn:microsoft.com/office/officeart/2005/8/layout/bProcess4"/>
    <dgm:cxn modelId="{BF6A0DAF-9841-4CCE-84E2-5EC8E9D5EF7F}" type="presParOf" srcId="{61AF658E-E6F5-4223-96C7-C16E7C2B202C}" destId="{8C6A876C-5766-41AD-AD7D-BE64438849D3}" srcOrd="13" destOrd="0" presId="urn:microsoft.com/office/officeart/2005/8/layout/bProcess4"/>
    <dgm:cxn modelId="{2E5DC0EA-82E2-4FCB-AFE6-0CD39BA6C8B6}" type="presParOf" srcId="{61AF658E-E6F5-4223-96C7-C16E7C2B202C}" destId="{0AB90E28-8229-413F-B7EB-3C6EF3C049CD}" srcOrd="14" destOrd="0" presId="urn:microsoft.com/office/officeart/2005/8/layout/bProcess4"/>
    <dgm:cxn modelId="{50BF5379-9508-4C08-A4A1-9ADCE544F8D5}" type="presParOf" srcId="{0AB90E28-8229-413F-B7EB-3C6EF3C049CD}" destId="{26FFD58B-1A6A-472F-87B3-30D33AF201C6}" srcOrd="0" destOrd="0" presId="urn:microsoft.com/office/officeart/2005/8/layout/bProcess4"/>
    <dgm:cxn modelId="{92CED6C0-A09B-453B-BE9E-0AEC8DBA766B}" type="presParOf" srcId="{0AB90E28-8229-413F-B7EB-3C6EF3C049CD}" destId="{5549F4DA-E4F3-406D-AEC3-C6982650B73D}" srcOrd="1" destOrd="0" presId="urn:microsoft.com/office/officeart/2005/8/layout/bProcess4"/>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BC58BD9-848B-4BE9-BBD6-F968B898E3B8}">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A9884E-5E53-45F3-978E-1DD81271A1E5}">
      <dsp:nvSpPr>
        <dsp:cNvPr id="0" name=""/>
        <dsp:cNvSpPr/>
      </dsp:nvSpPr>
      <dsp:spPr>
        <a:xfrm>
          <a:off x="304736" y="199960"/>
          <a:ext cx="5140116" cy="400178"/>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latin typeface="Times New Roman" panose="02020603050405020304" pitchFamily="18" charset="0"/>
              <a:cs typeface="Times New Roman" panose="02020603050405020304" pitchFamily="18" charset="0"/>
            </a:rPr>
            <a:t>Twitter Campaign</a:t>
          </a:r>
        </a:p>
      </dsp:txBody>
      <dsp:txXfrm>
        <a:off x="304736" y="199960"/>
        <a:ext cx="5140116" cy="400178"/>
      </dsp:txXfrm>
    </dsp:sp>
    <dsp:sp modelId="{C2069184-B762-4B36-9CC1-A82500B05B19}">
      <dsp:nvSpPr>
        <dsp:cNvPr id="0" name=""/>
        <dsp:cNvSpPr/>
      </dsp:nvSpPr>
      <dsp:spPr>
        <a:xfrm>
          <a:off x="54625" y="149938"/>
          <a:ext cx="500222" cy="500222"/>
        </a:xfrm>
        <a:prstGeom prst="ellipse">
          <a:avLst/>
        </a:prstGeom>
        <a:solidFill>
          <a:schemeClr val="lt1">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DC0EE44-A72A-42CC-A593-F6AF7D1B3B62}">
      <dsp:nvSpPr>
        <dsp:cNvPr id="0" name=""/>
        <dsp:cNvSpPr/>
      </dsp:nvSpPr>
      <dsp:spPr>
        <a:xfrm>
          <a:off x="591492" y="800035"/>
          <a:ext cx="4853360" cy="400178"/>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latin typeface="Times New Roman" panose="02020603050405020304" pitchFamily="18" charset="0"/>
              <a:cs typeface="Times New Roman" panose="02020603050405020304" pitchFamily="18" charset="0"/>
            </a:rPr>
            <a:t>Campaign With Dechox</a:t>
          </a:r>
        </a:p>
      </dsp:txBody>
      <dsp:txXfrm>
        <a:off x="591492" y="800035"/>
        <a:ext cx="4853360" cy="400178"/>
      </dsp:txXfrm>
    </dsp:sp>
    <dsp:sp modelId="{F7FAAF43-9841-4FFF-B5A2-FAD395DD39C3}">
      <dsp:nvSpPr>
        <dsp:cNvPr id="0" name=""/>
        <dsp:cNvSpPr/>
      </dsp:nvSpPr>
      <dsp:spPr>
        <a:xfrm>
          <a:off x="341380" y="750013"/>
          <a:ext cx="500222" cy="500222"/>
        </a:xfrm>
        <a:prstGeom prst="ellipse">
          <a:avLst/>
        </a:prstGeom>
        <a:solidFill>
          <a:schemeClr val="lt1">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98763AB-A927-4757-959A-C6EBB9765C3F}">
      <dsp:nvSpPr>
        <dsp:cNvPr id="0" name=""/>
        <dsp:cNvSpPr/>
      </dsp:nvSpPr>
      <dsp:spPr>
        <a:xfrm>
          <a:off x="679503" y="1400110"/>
          <a:ext cx="4765349" cy="400178"/>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latin typeface="Times New Roman" panose="02020603050405020304" pitchFamily="18" charset="0"/>
              <a:cs typeface="Times New Roman" panose="02020603050405020304" pitchFamily="18" charset="0"/>
            </a:rPr>
            <a:t>Facebook Group</a:t>
          </a:r>
        </a:p>
      </dsp:txBody>
      <dsp:txXfrm>
        <a:off x="679503" y="1400110"/>
        <a:ext cx="4765349" cy="400178"/>
      </dsp:txXfrm>
    </dsp:sp>
    <dsp:sp modelId="{4CFEE06C-C2C2-4E6C-9E2E-95F9F3C6ED11}">
      <dsp:nvSpPr>
        <dsp:cNvPr id="0" name=""/>
        <dsp:cNvSpPr/>
      </dsp:nvSpPr>
      <dsp:spPr>
        <a:xfrm>
          <a:off x="429391" y="1350088"/>
          <a:ext cx="500222" cy="500222"/>
        </a:xfrm>
        <a:prstGeom prst="ellipse">
          <a:avLst/>
        </a:prstGeom>
        <a:solidFill>
          <a:schemeClr val="lt1">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6C74A27-F5D6-419B-8073-4751ACEF8AC3}">
      <dsp:nvSpPr>
        <dsp:cNvPr id="0" name=""/>
        <dsp:cNvSpPr/>
      </dsp:nvSpPr>
      <dsp:spPr>
        <a:xfrm>
          <a:off x="591492" y="2000185"/>
          <a:ext cx="4853360" cy="400178"/>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latin typeface="Times New Roman" panose="02020603050405020304" pitchFamily="18" charset="0"/>
              <a:cs typeface="Times New Roman" panose="02020603050405020304" pitchFamily="18" charset="0"/>
            </a:rPr>
            <a:t>Email Signature</a:t>
          </a:r>
        </a:p>
      </dsp:txBody>
      <dsp:txXfrm>
        <a:off x="591492" y="2000185"/>
        <a:ext cx="4853360" cy="400178"/>
      </dsp:txXfrm>
    </dsp:sp>
    <dsp:sp modelId="{3791E74F-5B6B-41C3-9C9D-3F0FCFD578FD}">
      <dsp:nvSpPr>
        <dsp:cNvPr id="0" name=""/>
        <dsp:cNvSpPr/>
      </dsp:nvSpPr>
      <dsp:spPr>
        <a:xfrm>
          <a:off x="341380" y="1950163"/>
          <a:ext cx="500222" cy="500222"/>
        </a:xfrm>
        <a:prstGeom prst="ellipse">
          <a:avLst/>
        </a:prstGeom>
        <a:solidFill>
          <a:schemeClr val="lt1">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485B542-96D3-4B05-89B8-A26D82307A31}">
      <dsp:nvSpPr>
        <dsp:cNvPr id="0" name=""/>
        <dsp:cNvSpPr/>
      </dsp:nvSpPr>
      <dsp:spPr>
        <a:xfrm>
          <a:off x="304736" y="2600260"/>
          <a:ext cx="5140116" cy="400178"/>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latin typeface="Times New Roman" panose="02020603050405020304" pitchFamily="18" charset="0"/>
              <a:cs typeface="Times New Roman" panose="02020603050405020304" pitchFamily="18" charset="0"/>
            </a:rPr>
            <a:t>Fundraising Badges</a:t>
          </a:r>
        </a:p>
      </dsp:txBody>
      <dsp:txXfrm>
        <a:off x="304736" y="2600260"/>
        <a:ext cx="5140116" cy="400178"/>
      </dsp:txXfrm>
    </dsp:sp>
    <dsp:sp modelId="{5CF58966-0FDD-488E-A98F-E5EB16E8F5D9}">
      <dsp:nvSpPr>
        <dsp:cNvPr id="0" name=""/>
        <dsp:cNvSpPr/>
      </dsp:nvSpPr>
      <dsp:spPr>
        <a:xfrm>
          <a:off x="54625" y="2550238"/>
          <a:ext cx="500222" cy="500222"/>
        </a:xfrm>
        <a:prstGeom prst="ellipse">
          <a:avLst/>
        </a:prstGeom>
        <a:solidFill>
          <a:schemeClr val="lt1">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9977F2-AF4F-4A15-BA3D-DF804F26EF38}">
      <dsp:nvSpPr>
        <dsp:cNvPr id="0" name=""/>
        <dsp:cNvSpPr/>
      </dsp:nvSpPr>
      <dsp:spPr>
        <a:xfrm rot="5400000">
          <a:off x="-249478" y="744045"/>
          <a:ext cx="1113305" cy="134775"/>
        </a:xfrm>
        <a:prstGeom prst="rect">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BFC254A-364E-4BE2-8D51-E008E623B3B1}">
      <dsp:nvSpPr>
        <dsp:cNvPr id="0" name=""/>
        <dsp:cNvSpPr/>
      </dsp:nvSpPr>
      <dsp:spPr>
        <a:xfrm>
          <a:off x="2759" y="27815"/>
          <a:ext cx="1497508" cy="898505"/>
        </a:xfrm>
        <a:prstGeom prst="roundRect">
          <a:avLst>
            <a:gd name="adj" fmla="val 10000"/>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1" i="0" kern="1200">
              <a:latin typeface="Times New Roman" panose="02020603050405020304" pitchFamily="18" charset="0"/>
              <a:cs typeface="Times New Roman" panose="02020603050405020304" pitchFamily="18" charset="0"/>
            </a:rPr>
            <a:t>Continuing Professional Development</a:t>
          </a:r>
          <a:endParaRPr lang="en-GB" sz="1700" b="1" kern="1200">
            <a:latin typeface="Times New Roman" panose="02020603050405020304" pitchFamily="18" charset="0"/>
            <a:cs typeface="Times New Roman" panose="02020603050405020304" pitchFamily="18" charset="0"/>
          </a:endParaRPr>
        </a:p>
      </dsp:txBody>
      <dsp:txXfrm>
        <a:off x="29075" y="54131"/>
        <a:ext cx="1444876" cy="845873"/>
      </dsp:txXfrm>
    </dsp:sp>
    <dsp:sp modelId="{15F4BE11-AC00-43F8-91E9-29C537FBB81A}">
      <dsp:nvSpPr>
        <dsp:cNvPr id="0" name=""/>
        <dsp:cNvSpPr/>
      </dsp:nvSpPr>
      <dsp:spPr>
        <a:xfrm rot="5400000">
          <a:off x="-249478" y="1867177"/>
          <a:ext cx="1113305" cy="134775"/>
        </a:xfrm>
        <a:prstGeom prst="rect">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158F2BC-FBF7-4676-95A8-76D1D4DC9424}">
      <dsp:nvSpPr>
        <dsp:cNvPr id="0" name=""/>
        <dsp:cNvSpPr/>
      </dsp:nvSpPr>
      <dsp:spPr>
        <a:xfrm>
          <a:off x="2759" y="1150947"/>
          <a:ext cx="1497508" cy="898505"/>
        </a:xfrm>
        <a:prstGeom prst="roundRect">
          <a:avLst>
            <a:gd name="adj" fmla="val 10000"/>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1" i="0" kern="1200">
              <a:latin typeface="Times New Roman" panose="02020603050405020304" pitchFamily="18" charset="0"/>
              <a:cs typeface="Times New Roman" panose="02020603050405020304" pitchFamily="18" charset="0"/>
            </a:rPr>
            <a:t>Events &amp; Resources</a:t>
          </a:r>
          <a:endParaRPr lang="en-GB" sz="1700" b="1" kern="1200">
            <a:latin typeface="Times New Roman" panose="02020603050405020304" pitchFamily="18" charset="0"/>
            <a:cs typeface="Times New Roman" panose="02020603050405020304" pitchFamily="18" charset="0"/>
          </a:endParaRPr>
        </a:p>
      </dsp:txBody>
      <dsp:txXfrm>
        <a:off x="29075" y="1177263"/>
        <a:ext cx="1444876" cy="845873"/>
      </dsp:txXfrm>
    </dsp:sp>
    <dsp:sp modelId="{3C8F6750-959B-4668-8064-4A559686B6BA}">
      <dsp:nvSpPr>
        <dsp:cNvPr id="0" name=""/>
        <dsp:cNvSpPr/>
      </dsp:nvSpPr>
      <dsp:spPr>
        <a:xfrm>
          <a:off x="312087" y="2428742"/>
          <a:ext cx="1981860" cy="134775"/>
        </a:xfrm>
        <a:prstGeom prst="rect">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E5290D5-980C-492A-816E-DECB80CF5D41}">
      <dsp:nvSpPr>
        <dsp:cNvPr id="0" name=""/>
        <dsp:cNvSpPr/>
      </dsp:nvSpPr>
      <dsp:spPr>
        <a:xfrm>
          <a:off x="2759" y="2274078"/>
          <a:ext cx="1497508" cy="898505"/>
        </a:xfrm>
        <a:prstGeom prst="roundRect">
          <a:avLst>
            <a:gd name="adj" fmla="val 10000"/>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1" i="0" kern="1200">
              <a:latin typeface="Times New Roman" panose="02020603050405020304" pitchFamily="18" charset="0"/>
              <a:cs typeface="Times New Roman" panose="02020603050405020304" pitchFamily="18" charset="0"/>
            </a:rPr>
            <a:t>Job Shadowing</a:t>
          </a:r>
          <a:endParaRPr lang="en-GB" sz="1700" b="1" kern="1200">
            <a:latin typeface="Times New Roman" panose="02020603050405020304" pitchFamily="18" charset="0"/>
            <a:cs typeface="Times New Roman" panose="02020603050405020304" pitchFamily="18" charset="0"/>
          </a:endParaRPr>
        </a:p>
      </dsp:txBody>
      <dsp:txXfrm>
        <a:off x="29075" y="2300394"/>
        <a:ext cx="1444876" cy="845873"/>
      </dsp:txXfrm>
    </dsp:sp>
    <dsp:sp modelId="{A9ADEBB4-E325-4BD3-AB66-9549ED380891}">
      <dsp:nvSpPr>
        <dsp:cNvPr id="0" name=""/>
        <dsp:cNvSpPr/>
      </dsp:nvSpPr>
      <dsp:spPr>
        <a:xfrm rot="16200000">
          <a:off x="1742207" y="1867177"/>
          <a:ext cx="1113305" cy="134775"/>
        </a:xfrm>
        <a:prstGeom prst="rect">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4560CA1-F6BB-40C1-9229-962A844F02D8}">
      <dsp:nvSpPr>
        <dsp:cNvPr id="0" name=""/>
        <dsp:cNvSpPr/>
      </dsp:nvSpPr>
      <dsp:spPr>
        <a:xfrm>
          <a:off x="1994445" y="2274078"/>
          <a:ext cx="1497508" cy="898505"/>
        </a:xfrm>
        <a:prstGeom prst="roundRect">
          <a:avLst>
            <a:gd name="adj" fmla="val 10000"/>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1" kern="1200">
              <a:latin typeface="Times New Roman" panose="02020603050405020304" pitchFamily="18" charset="0"/>
              <a:cs typeface="Times New Roman" panose="02020603050405020304" pitchFamily="18" charset="0"/>
            </a:rPr>
            <a:t>Leadership</a:t>
          </a:r>
        </a:p>
      </dsp:txBody>
      <dsp:txXfrm>
        <a:off x="2020761" y="2300394"/>
        <a:ext cx="1444876" cy="845873"/>
      </dsp:txXfrm>
    </dsp:sp>
    <dsp:sp modelId="{C4B0BC81-4388-4ED0-9124-7C4FAFBFCF66}">
      <dsp:nvSpPr>
        <dsp:cNvPr id="0" name=""/>
        <dsp:cNvSpPr/>
      </dsp:nvSpPr>
      <dsp:spPr>
        <a:xfrm rot="16200000">
          <a:off x="1742207" y="744045"/>
          <a:ext cx="1113305" cy="134775"/>
        </a:xfrm>
        <a:prstGeom prst="rect">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2638095-4FFB-481E-988D-7977D0CA1FC7}">
      <dsp:nvSpPr>
        <dsp:cNvPr id="0" name=""/>
        <dsp:cNvSpPr/>
      </dsp:nvSpPr>
      <dsp:spPr>
        <a:xfrm>
          <a:off x="1994445" y="1150947"/>
          <a:ext cx="1497508" cy="898505"/>
        </a:xfrm>
        <a:prstGeom prst="roundRect">
          <a:avLst>
            <a:gd name="adj" fmla="val 10000"/>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1" i="0" kern="1200">
              <a:latin typeface="Times New Roman" panose="02020603050405020304" pitchFamily="18" charset="0"/>
              <a:cs typeface="Times New Roman" panose="02020603050405020304" pitchFamily="18" charset="0"/>
            </a:rPr>
            <a:t>Online Resources</a:t>
          </a:r>
          <a:endParaRPr lang="en-GB" sz="1700" b="1" kern="1200">
            <a:latin typeface="Times New Roman" panose="02020603050405020304" pitchFamily="18" charset="0"/>
            <a:cs typeface="Times New Roman" panose="02020603050405020304" pitchFamily="18" charset="0"/>
          </a:endParaRPr>
        </a:p>
      </dsp:txBody>
      <dsp:txXfrm>
        <a:off x="2020761" y="1177263"/>
        <a:ext cx="1444876" cy="845873"/>
      </dsp:txXfrm>
    </dsp:sp>
    <dsp:sp modelId="{CED319DB-6B7E-47E3-9CA9-FC8C3A17BF00}">
      <dsp:nvSpPr>
        <dsp:cNvPr id="0" name=""/>
        <dsp:cNvSpPr/>
      </dsp:nvSpPr>
      <dsp:spPr>
        <a:xfrm>
          <a:off x="2303773" y="182479"/>
          <a:ext cx="1981860" cy="134775"/>
        </a:xfrm>
        <a:prstGeom prst="rect">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5352724-C97A-41F1-A08F-B2861F158EEF}">
      <dsp:nvSpPr>
        <dsp:cNvPr id="0" name=""/>
        <dsp:cNvSpPr/>
      </dsp:nvSpPr>
      <dsp:spPr>
        <a:xfrm>
          <a:off x="1994445" y="27815"/>
          <a:ext cx="1497508" cy="898505"/>
        </a:xfrm>
        <a:prstGeom prst="roundRect">
          <a:avLst>
            <a:gd name="adj" fmla="val 10000"/>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1" i="0" kern="1200">
              <a:latin typeface="Times New Roman" panose="02020603050405020304" pitchFamily="18" charset="0"/>
              <a:cs typeface="Times New Roman" panose="02020603050405020304" pitchFamily="18" charset="0"/>
            </a:rPr>
            <a:t>Personal Development Plan</a:t>
          </a:r>
          <a:endParaRPr lang="en-GB" sz="1700" b="1" kern="1200">
            <a:latin typeface="Times New Roman" panose="02020603050405020304" pitchFamily="18" charset="0"/>
            <a:cs typeface="Times New Roman" panose="02020603050405020304" pitchFamily="18" charset="0"/>
          </a:endParaRPr>
        </a:p>
      </dsp:txBody>
      <dsp:txXfrm>
        <a:off x="2020761" y="54131"/>
        <a:ext cx="1444876" cy="845873"/>
      </dsp:txXfrm>
    </dsp:sp>
    <dsp:sp modelId="{8C6A876C-5766-41AD-AD7D-BE64438849D3}">
      <dsp:nvSpPr>
        <dsp:cNvPr id="0" name=""/>
        <dsp:cNvSpPr/>
      </dsp:nvSpPr>
      <dsp:spPr>
        <a:xfrm rot="5400000">
          <a:off x="3733894" y="744045"/>
          <a:ext cx="1113305" cy="134775"/>
        </a:xfrm>
        <a:prstGeom prst="rect">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9BA35B3-6482-4296-8810-E1D8FBCBE7FB}">
      <dsp:nvSpPr>
        <dsp:cNvPr id="0" name=""/>
        <dsp:cNvSpPr/>
      </dsp:nvSpPr>
      <dsp:spPr>
        <a:xfrm>
          <a:off x="3986132" y="27815"/>
          <a:ext cx="1497508" cy="898505"/>
        </a:xfrm>
        <a:prstGeom prst="roundRect">
          <a:avLst>
            <a:gd name="adj" fmla="val 10000"/>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1" i="0" kern="1200">
              <a:latin typeface="Times New Roman" panose="02020603050405020304" pitchFamily="18" charset="0"/>
              <a:cs typeface="Times New Roman" panose="02020603050405020304" pitchFamily="18" charset="0"/>
            </a:rPr>
            <a:t>Mentoring &amp; Coaching</a:t>
          </a:r>
          <a:endParaRPr lang="en-GB" sz="1700" b="1" kern="1200">
            <a:latin typeface="Times New Roman" panose="02020603050405020304" pitchFamily="18" charset="0"/>
            <a:cs typeface="Times New Roman" panose="02020603050405020304" pitchFamily="18" charset="0"/>
          </a:endParaRPr>
        </a:p>
      </dsp:txBody>
      <dsp:txXfrm>
        <a:off x="4012448" y="54131"/>
        <a:ext cx="1444876" cy="845873"/>
      </dsp:txXfrm>
    </dsp:sp>
    <dsp:sp modelId="{5549F4DA-E4F3-406D-AEC3-C6982650B73D}">
      <dsp:nvSpPr>
        <dsp:cNvPr id="0" name=""/>
        <dsp:cNvSpPr/>
      </dsp:nvSpPr>
      <dsp:spPr>
        <a:xfrm>
          <a:off x="3986132" y="1150947"/>
          <a:ext cx="1497508" cy="898505"/>
        </a:xfrm>
        <a:prstGeom prst="roundRect">
          <a:avLst>
            <a:gd name="adj" fmla="val 10000"/>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1" i="0" kern="1200">
              <a:latin typeface="Times New Roman" panose="02020603050405020304" pitchFamily="18" charset="0"/>
              <a:cs typeface="Times New Roman" panose="02020603050405020304" pitchFamily="18" charset="0"/>
            </a:rPr>
            <a:t>Induction</a:t>
          </a:r>
          <a:endParaRPr lang="en-GB" sz="1700" b="1" kern="1200">
            <a:latin typeface="Times New Roman" panose="02020603050405020304" pitchFamily="18" charset="0"/>
            <a:cs typeface="Times New Roman" panose="02020603050405020304" pitchFamily="18" charset="0"/>
          </a:endParaRPr>
        </a:p>
      </dsp:txBody>
      <dsp:txXfrm>
        <a:off x="4012448" y="1177263"/>
        <a:ext cx="1444876" cy="845873"/>
      </dsp:txXfrm>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srcNode" val="srcNode"/>
            <dgm:param type="dstNode" val="dstNode"/>
            <dgm:param type="endSty" val="noArr"/>
            <dgm:param type="connRout" val="curve"/>
            <dgm:param type="begPts" val="ctr"/>
            <dgm:param type="endPts" val="ct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parTxRTLAlign" val="l"/>
                <dgm:param type="shpTxLTRAlignCh" val="l"/>
                <dgm:param type="shpTxRTLAlignCh" val="l"/>
              </dgm:alg>
            </dgm:if>
            <dgm:else name="Name2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parTxRTLAlign" val="l"/>
                <dgm:param type="shpTxLTRAlignCh" val="l"/>
                <dgm:param type="shpTxRTLAlignCh" val="l"/>
              </dgm:alg>
            </dgm:if>
            <dgm:else name="Name3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parTxRTLAlign" val="l"/>
                <dgm:param type="shpTxLTRAlignCh" val="l"/>
                <dgm:param type="shpTxRTLAlignCh" val="l"/>
              </dgm:alg>
            </dgm:if>
            <dgm:else name="Name3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parTxRTLAlign" val="l"/>
                <dgm:param type="shpTxLTRAlignCh" val="l"/>
                <dgm:param type="shpTxRTLAlignCh" val="l"/>
              </dgm:alg>
            </dgm:if>
            <dgm:else name="Name4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parTxRTLAlign" val="l"/>
                <dgm:param type="shpTxLTRAlignCh" val="l"/>
                <dgm:param type="shpTxRTLAlignCh" val="l"/>
              </dgm:alg>
            </dgm:if>
            <dgm:else name="Name4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parTxRTLAlign" val="l"/>
                <dgm:param type="shpTxLTRAlignCh" val="l"/>
                <dgm:param type="shpTxRTLAlignCh" val="l"/>
              </dgm:alg>
            </dgm:if>
            <dgm:else name="Name5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parTxRTLAlign" val="l"/>
                <dgm:param type="shpTxLTRAlignCh" val="l"/>
                <dgm:param type="shpTxRTLAlignCh" val="l"/>
              </dgm:alg>
            </dgm:if>
            <dgm:else name="Name5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bkpt" val="bal"/>
          <dgm:param type="contDir" val="revDir"/>
          <dgm:param type="grDir" val="tL"/>
          <dgm:param type="flowDir" val="col"/>
        </dgm:alg>
      </dgm:if>
      <dgm:else name="Name3">
        <dgm:alg type="snake">
          <dgm:param type="bkpt" val="bal"/>
          <dgm:param type="contDir" val="revDir"/>
          <dgm:param type="grDir" val="tR"/>
          <dgm:param type="flowDir" val="co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Sty" val="noArr"/>
                <dgm:param type="endSty" val="noArr"/>
                <dgm:param type="begPts" val="auto auto tCtr"/>
                <dgm:param type="endPts" val="auto auto bCtr"/>
              </dgm:alg>
            </dgm:if>
            <dgm:else name="Name9">
              <dgm:alg type="conn">
                <dgm:param type="srcNode" val="dummyConnPt"/>
                <dgm:param type="dstNode" val="dummyConnPt"/>
                <dgm:param type="begSty" val="noArr"/>
                <dgm:param type="endSty" val="noArr"/>
                <dgm:param type="begPts" val="auto auto tCtr"/>
                <dgm:param type="endPts" val="auto auto bCt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3</Pages>
  <Words>2505</Words>
  <Characters>14283</Characters>
  <Lines>119</Lines>
  <Paragraphs>33</Paragraphs>
  <ScaleCrop>false</ScaleCrop>
  <LinksUpToDate>false</LinksUpToDate>
  <CharactersWithSpaces>16755</CharactersWithSpaces>
  <Application>WPS Office_2.7.0.4476_F1E327BC-269C-435d-A152-05C5408002CA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2021-04-21T00:24:00Z</dcterms:created>
  <dcterms:modified xsi:type="dcterms:W3CDTF">2021-05-03T20:35:13Z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1033-2.7.0.4476</vt:lpwstr>
  </property>
</Properties>
</file>