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B2D1B6" wp14:paraId="2F38F2BC" wp14:textId="6FD38AEE">
      <w:pPr>
        <w:spacing w:before="0" w:beforeAutospacing="off" w:after="20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5B2D1B6" w:rsidR="388C30CE">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4342720E">
        <w:drawing>
          <wp:inline xmlns:wp14="http://schemas.microsoft.com/office/word/2010/wordprocessingDrawing" wp14:editId="2AE90AAA" wp14:anchorId="0231DF50">
            <wp:extent cx="5553075" cy="2227665"/>
            <wp:effectExtent l="0" t="0" r="0" b="0"/>
            <wp:docPr id="562214144" name="drawing" descr="University of Wales Trinity Saint David - myda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2214144" name="Picture 562214144"/>
                    <pic:cNvPicPr/>
                  </pic:nvPicPr>
                  <pic:blipFill>
                    <a:blip xmlns:r="http://schemas.openxmlformats.org/officeDocument/2006/relationships" r:embed="rId1857538701">
                      <a:extLst>
                        <a:ext uri="{28A0092B-C50C-407E-A947-70E740481C1C}">
                          <a14:useLocalDpi xmlns:a14="http://schemas.microsoft.com/office/drawing/2010/main"/>
                        </a:ext>
                      </a:extLst>
                    </a:blip>
                    <a:stretch>
                      <a:fillRect/>
                    </a:stretch>
                  </pic:blipFill>
                  <pic:spPr>
                    <a:xfrm rot="0">
                      <a:off x="0" y="0"/>
                      <a:ext cx="5553075" cy="2227665"/>
                    </a:xfrm>
                    <a:prstGeom prst="rect">
                      <a:avLst/>
                    </a:prstGeom>
                  </pic:spPr>
                </pic:pic>
              </a:graphicData>
            </a:graphic>
          </wp:inline>
        </w:drawing>
      </w:r>
    </w:p>
    <w:p xmlns:wp14="http://schemas.microsoft.com/office/word/2010/wordml" w:rsidP="55B2D1B6" wp14:paraId="0D4F179A" wp14:textId="2C6A0E40">
      <w:pPr>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pP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BA (Hons) Leadership and Management Skills for the Workplace</w:t>
      </w:r>
      <w:r>
        <w:br/>
      </w:r>
      <w:r>
        <w:br/>
      </w: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Module: Leading and Implementing Change (LCLM6003)</w:t>
      </w:r>
      <w:r>
        <w:br/>
      </w:r>
      <w:r>
        <w:br/>
      </w: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Assignment Title:</w:t>
      </w:r>
      <w:r>
        <w:br/>
      </w: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A Strategic Change Plan</w:t>
      </w:r>
      <w:r>
        <w:br/>
      </w:r>
      <w:r>
        <w:br/>
      </w: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Student Name:</w:t>
      </w:r>
      <w:r w:rsidRPr="55B2D1B6" w:rsidR="034A645D">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 Abena Amankwaa Frempong</w:t>
      </w:r>
      <w:r>
        <w:br/>
      </w: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Student ID:</w:t>
      </w:r>
      <w:r w:rsidRPr="55B2D1B6" w:rsidR="70BD55D8">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 2236776</w:t>
      </w:r>
      <w:r>
        <w:br/>
      </w:r>
      <w:r>
        <w:br/>
      </w: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Lecturer(s):</w:t>
      </w:r>
      <w:r w:rsidRPr="55B2D1B6" w:rsidR="0C73823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 </w:t>
      </w:r>
      <w:r w:rsidRPr="55B2D1B6" w:rsidR="1AFF4CBE">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Dr Sujeewa Herath</w:t>
      </w:r>
      <w:r>
        <w:br/>
      </w:r>
      <w:r>
        <w:br/>
      </w: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Submission Date:</w:t>
      </w:r>
      <w:r w:rsidRPr="55B2D1B6" w:rsidR="1345C05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 23 March 2026</w:t>
      </w:r>
      <w:r>
        <w:br/>
      </w:r>
      <w:r>
        <w:br/>
      </w:r>
      <w:r w:rsidRPr="55B2D1B6" w:rsidR="26824374">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Word Count:</w:t>
      </w:r>
      <w:r w:rsidRPr="55B2D1B6" w:rsidR="52D2A29F">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 4000</w:t>
      </w:r>
    </w:p>
    <w:p xmlns:wp14="http://schemas.microsoft.com/office/word/2010/wordml" w:rsidP="4FFD3E6A" wp14:paraId="0B5B8B89" wp14:textId="3E886F79">
      <w:pPr>
        <w:spacing w:before="0" w:beforeAutospacing="off" w:after="20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4FFD3E6A" wp14:paraId="638BE999" wp14:textId="7694663F">
      <w:pPr>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4FFD3E6A" wp14:paraId="6E483634" wp14:textId="418C402C">
      <w:pPr>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4FFD3E6A" wp14:paraId="4042AAC4" wp14:textId="57E89DB3">
      <w:pPr>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4FFD3E6A" wp14:paraId="3EC893C0" wp14:textId="0166D8AC">
      <w:pPr>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4FFD3E6A" wp14:paraId="03067906" wp14:textId="5B3EE5C8">
      <w:pPr>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5B2D1B6" w:rsidP="55B2D1B6" w:rsidRDefault="55B2D1B6" w14:paraId="4F7F091A" w14:textId="3932DA59">
      <w:pPr>
        <w:pStyle w:val="Normal"/>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55B2D1B6" wp14:paraId="0353CB86" wp14:textId="24F9EC2F">
      <w:pPr>
        <w:pStyle w:val="Normal"/>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5B2D1B6" w:rsidR="35B60A35">
        <w:rPr>
          <w:rFonts w:ascii="Arial" w:hAnsi="Arial" w:eastAsia="Arial" w:cs="Arial"/>
          <w:b w:val="1"/>
          <w:bCs w:val="1"/>
          <w:i w:val="0"/>
          <w:iCs w:val="0"/>
          <w:strike w:val="0"/>
          <w:dstrike w:val="0"/>
          <w:noProof w:val="0"/>
          <w:color w:val="000000" w:themeColor="text1" w:themeTint="FF" w:themeShade="FF"/>
          <w:sz w:val="22"/>
          <w:szCs w:val="22"/>
          <w:u w:val="none"/>
          <w:lang w:val="en-GB"/>
        </w:rPr>
        <w:t>Table of Content</w:t>
      </w:r>
    </w:p>
    <w:sdt>
      <w:sdtPr>
        <w:id w:val="1298764887"/>
        <w:docPartObj>
          <w:docPartGallery w:val="Table of Contents"/>
          <w:docPartUnique/>
        </w:docPartObj>
      </w:sdtPr>
      <w:sdtContent>
        <w:p w:rsidR="55B2D1B6" w:rsidP="55B2D1B6" w:rsidRDefault="55B2D1B6" w14:paraId="50B36D61" w14:textId="01E2B45E">
          <w:pPr>
            <w:pStyle w:val="TOC2"/>
            <w:tabs>
              <w:tab w:val="right" w:leader="dot" w:pos="9015"/>
            </w:tabs>
            <w:bidi w:val="0"/>
            <w:rPr>
              <w:rStyle w:val="Hyperlink"/>
            </w:rPr>
          </w:pPr>
          <w:r>
            <w:fldChar w:fldCharType="begin"/>
          </w:r>
          <w:r>
            <w:instrText xml:space="preserve">TOC \o \z \u \h</w:instrText>
          </w:r>
          <w:r>
            <w:fldChar w:fldCharType="separate"/>
          </w:r>
          <w:hyperlink w:anchor="_Toc629017774">
            <w:r w:rsidRPr="55B2D1B6" w:rsidR="55B2D1B6">
              <w:rPr>
                <w:rStyle w:val="Hyperlink"/>
              </w:rPr>
              <w:t>Environmental and Organisational Analysis</w:t>
            </w:r>
            <w:r>
              <w:tab/>
            </w:r>
            <w:r>
              <w:fldChar w:fldCharType="begin"/>
            </w:r>
            <w:r>
              <w:instrText xml:space="preserve">PAGEREF _Toc629017774 \h</w:instrText>
            </w:r>
            <w:r>
              <w:fldChar w:fldCharType="separate"/>
            </w:r>
            <w:r w:rsidRPr="55B2D1B6" w:rsidR="55B2D1B6">
              <w:rPr>
                <w:rStyle w:val="Hyperlink"/>
              </w:rPr>
              <w:t>3</w:t>
            </w:r>
            <w:r>
              <w:fldChar w:fldCharType="end"/>
            </w:r>
          </w:hyperlink>
        </w:p>
        <w:p w:rsidR="55B2D1B6" w:rsidP="55B2D1B6" w:rsidRDefault="55B2D1B6" w14:paraId="7A39C937" w14:textId="4CFDD8D2">
          <w:pPr>
            <w:pStyle w:val="TOC3"/>
            <w:tabs>
              <w:tab w:val="right" w:leader="dot" w:pos="9015"/>
            </w:tabs>
            <w:bidi w:val="0"/>
            <w:rPr>
              <w:rStyle w:val="Hyperlink"/>
            </w:rPr>
          </w:pPr>
          <w:hyperlink w:anchor="_Toc608551540">
            <w:r w:rsidRPr="55B2D1B6" w:rsidR="55B2D1B6">
              <w:rPr>
                <w:rStyle w:val="Hyperlink"/>
              </w:rPr>
              <w:t>External Environment Analysis</w:t>
            </w:r>
            <w:r>
              <w:tab/>
            </w:r>
            <w:r>
              <w:fldChar w:fldCharType="begin"/>
            </w:r>
            <w:r>
              <w:instrText xml:space="preserve">PAGEREF _Toc608551540 \h</w:instrText>
            </w:r>
            <w:r>
              <w:fldChar w:fldCharType="separate"/>
            </w:r>
            <w:r w:rsidRPr="55B2D1B6" w:rsidR="55B2D1B6">
              <w:rPr>
                <w:rStyle w:val="Hyperlink"/>
              </w:rPr>
              <w:t>3</w:t>
            </w:r>
            <w:r>
              <w:fldChar w:fldCharType="end"/>
            </w:r>
          </w:hyperlink>
        </w:p>
        <w:p w:rsidR="55B2D1B6" w:rsidP="55B2D1B6" w:rsidRDefault="55B2D1B6" w14:paraId="6F8BFE62" w14:textId="6C7B47F7">
          <w:pPr>
            <w:pStyle w:val="TOC3"/>
            <w:tabs>
              <w:tab w:val="right" w:leader="dot" w:pos="9015"/>
            </w:tabs>
            <w:bidi w:val="0"/>
            <w:rPr>
              <w:rStyle w:val="Hyperlink"/>
            </w:rPr>
          </w:pPr>
          <w:hyperlink w:anchor="_Toc1535537052">
            <w:r w:rsidRPr="55B2D1B6" w:rsidR="55B2D1B6">
              <w:rPr>
                <w:rStyle w:val="Hyperlink"/>
              </w:rPr>
              <w:t>Internal Environment Analysis</w:t>
            </w:r>
            <w:r>
              <w:tab/>
            </w:r>
            <w:r>
              <w:fldChar w:fldCharType="begin"/>
            </w:r>
            <w:r>
              <w:instrText xml:space="preserve">PAGEREF _Toc1535537052 \h</w:instrText>
            </w:r>
            <w:r>
              <w:fldChar w:fldCharType="separate"/>
            </w:r>
            <w:r w:rsidRPr="55B2D1B6" w:rsidR="55B2D1B6">
              <w:rPr>
                <w:rStyle w:val="Hyperlink"/>
              </w:rPr>
              <w:t>4</w:t>
            </w:r>
            <w:r>
              <w:fldChar w:fldCharType="end"/>
            </w:r>
          </w:hyperlink>
        </w:p>
        <w:p w:rsidR="55B2D1B6" w:rsidP="55B2D1B6" w:rsidRDefault="55B2D1B6" w14:paraId="2ECC4712" w14:textId="71D68B1A">
          <w:pPr>
            <w:pStyle w:val="TOC2"/>
            <w:tabs>
              <w:tab w:val="right" w:leader="dot" w:pos="9015"/>
            </w:tabs>
            <w:bidi w:val="0"/>
            <w:rPr>
              <w:rStyle w:val="Hyperlink"/>
            </w:rPr>
          </w:pPr>
          <w:hyperlink w:anchor="_Toc339111940">
            <w:r w:rsidRPr="55B2D1B6" w:rsidR="55B2D1B6">
              <w:rPr>
                <w:rStyle w:val="Hyperlink"/>
              </w:rPr>
              <w:t>SWOT Analysis of Tesco</w:t>
            </w:r>
            <w:r>
              <w:tab/>
            </w:r>
            <w:r>
              <w:fldChar w:fldCharType="begin"/>
            </w:r>
            <w:r>
              <w:instrText xml:space="preserve">PAGEREF _Toc339111940 \h</w:instrText>
            </w:r>
            <w:r>
              <w:fldChar w:fldCharType="separate"/>
            </w:r>
            <w:r w:rsidRPr="55B2D1B6" w:rsidR="55B2D1B6">
              <w:rPr>
                <w:rStyle w:val="Hyperlink"/>
              </w:rPr>
              <w:t>4</w:t>
            </w:r>
            <w:r>
              <w:fldChar w:fldCharType="end"/>
            </w:r>
          </w:hyperlink>
        </w:p>
        <w:p w:rsidR="55B2D1B6" w:rsidP="55B2D1B6" w:rsidRDefault="55B2D1B6" w14:paraId="675920FA" w14:textId="2DF3D94E">
          <w:pPr>
            <w:pStyle w:val="TOC3"/>
            <w:tabs>
              <w:tab w:val="right" w:leader="dot" w:pos="9015"/>
            </w:tabs>
            <w:bidi w:val="0"/>
            <w:rPr>
              <w:rStyle w:val="Hyperlink"/>
            </w:rPr>
          </w:pPr>
          <w:hyperlink w:anchor="_Toc747674100">
            <w:r w:rsidRPr="55B2D1B6" w:rsidR="55B2D1B6">
              <w:rPr>
                <w:rStyle w:val="Hyperlink"/>
              </w:rPr>
              <w:t>Triggers for Change</w:t>
            </w:r>
            <w:r>
              <w:tab/>
            </w:r>
            <w:r>
              <w:fldChar w:fldCharType="begin"/>
            </w:r>
            <w:r>
              <w:instrText xml:space="preserve">PAGEREF _Toc747674100 \h</w:instrText>
            </w:r>
            <w:r>
              <w:fldChar w:fldCharType="separate"/>
            </w:r>
            <w:r w:rsidRPr="55B2D1B6" w:rsidR="55B2D1B6">
              <w:rPr>
                <w:rStyle w:val="Hyperlink"/>
              </w:rPr>
              <w:t>5</w:t>
            </w:r>
            <w:r>
              <w:fldChar w:fldCharType="end"/>
            </w:r>
          </w:hyperlink>
        </w:p>
        <w:p w:rsidR="55B2D1B6" w:rsidP="55B2D1B6" w:rsidRDefault="55B2D1B6" w14:paraId="517D86D8" w14:textId="7C5AEC9A">
          <w:pPr>
            <w:pStyle w:val="TOC3"/>
            <w:tabs>
              <w:tab w:val="right" w:leader="dot" w:pos="9015"/>
            </w:tabs>
            <w:bidi w:val="0"/>
            <w:rPr>
              <w:rStyle w:val="Hyperlink"/>
            </w:rPr>
          </w:pPr>
          <w:hyperlink w:anchor="_Toc680652493">
            <w:r w:rsidRPr="55B2D1B6" w:rsidR="55B2D1B6">
              <w:rPr>
                <w:rStyle w:val="Hyperlink"/>
              </w:rPr>
              <w:t>Lewin’s Three-Step Model</w:t>
            </w:r>
            <w:r>
              <w:tab/>
            </w:r>
            <w:r>
              <w:fldChar w:fldCharType="begin"/>
            </w:r>
            <w:r>
              <w:instrText xml:space="preserve">PAGEREF _Toc680652493 \h</w:instrText>
            </w:r>
            <w:r>
              <w:fldChar w:fldCharType="separate"/>
            </w:r>
            <w:r w:rsidRPr="55B2D1B6" w:rsidR="55B2D1B6">
              <w:rPr>
                <w:rStyle w:val="Hyperlink"/>
              </w:rPr>
              <w:t>6</w:t>
            </w:r>
            <w:r>
              <w:fldChar w:fldCharType="end"/>
            </w:r>
          </w:hyperlink>
        </w:p>
        <w:p w:rsidR="55B2D1B6" w:rsidP="55B2D1B6" w:rsidRDefault="55B2D1B6" w14:paraId="346F0ED2" w14:textId="0FF4669E">
          <w:pPr>
            <w:pStyle w:val="TOC3"/>
            <w:tabs>
              <w:tab w:val="right" w:leader="dot" w:pos="9015"/>
            </w:tabs>
            <w:bidi w:val="0"/>
            <w:rPr>
              <w:rStyle w:val="Hyperlink"/>
            </w:rPr>
          </w:pPr>
          <w:hyperlink w:anchor="_Toc861109149">
            <w:r w:rsidRPr="55B2D1B6" w:rsidR="55B2D1B6">
              <w:rPr>
                <w:rStyle w:val="Hyperlink"/>
              </w:rPr>
              <w:t>Kotter’s Eight-Step Model</w:t>
            </w:r>
            <w:r>
              <w:tab/>
            </w:r>
            <w:r>
              <w:fldChar w:fldCharType="begin"/>
            </w:r>
            <w:r>
              <w:instrText xml:space="preserve">PAGEREF _Toc861109149 \h</w:instrText>
            </w:r>
            <w:r>
              <w:fldChar w:fldCharType="separate"/>
            </w:r>
            <w:r w:rsidRPr="55B2D1B6" w:rsidR="55B2D1B6">
              <w:rPr>
                <w:rStyle w:val="Hyperlink"/>
              </w:rPr>
              <w:t>6</w:t>
            </w:r>
            <w:r>
              <w:fldChar w:fldCharType="end"/>
            </w:r>
          </w:hyperlink>
        </w:p>
        <w:p w:rsidR="55B2D1B6" w:rsidP="55B2D1B6" w:rsidRDefault="55B2D1B6" w14:paraId="49CEC283" w14:textId="0A3AC8DE">
          <w:pPr>
            <w:pStyle w:val="TOC3"/>
            <w:tabs>
              <w:tab w:val="right" w:leader="dot" w:pos="9015"/>
            </w:tabs>
            <w:bidi w:val="0"/>
            <w:rPr>
              <w:rStyle w:val="Hyperlink"/>
            </w:rPr>
          </w:pPr>
          <w:hyperlink w:anchor="_Toc1019156515">
            <w:r w:rsidRPr="55B2D1B6" w:rsidR="55B2D1B6">
              <w:rPr>
                <w:rStyle w:val="Hyperlink"/>
              </w:rPr>
              <w:t>ADKAR Model</w:t>
            </w:r>
            <w:r>
              <w:tab/>
            </w:r>
            <w:r>
              <w:fldChar w:fldCharType="begin"/>
            </w:r>
            <w:r>
              <w:instrText xml:space="preserve">PAGEREF _Toc1019156515 \h</w:instrText>
            </w:r>
            <w:r>
              <w:fldChar w:fldCharType="separate"/>
            </w:r>
            <w:r w:rsidRPr="55B2D1B6" w:rsidR="55B2D1B6">
              <w:rPr>
                <w:rStyle w:val="Hyperlink"/>
              </w:rPr>
              <w:t>7</w:t>
            </w:r>
            <w:r>
              <w:fldChar w:fldCharType="end"/>
            </w:r>
          </w:hyperlink>
        </w:p>
        <w:p w:rsidR="55B2D1B6" w:rsidP="55B2D1B6" w:rsidRDefault="55B2D1B6" w14:paraId="6324C120" w14:textId="64683066">
          <w:pPr>
            <w:pStyle w:val="TOC3"/>
            <w:tabs>
              <w:tab w:val="right" w:leader="dot" w:pos="9015"/>
            </w:tabs>
            <w:bidi w:val="0"/>
            <w:rPr>
              <w:rStyle w:val="Hyperlink"/>
            </w:rPr>
          </w:pPr>
          <w:hyperlink w:anchor="_Toc847261483">
            <w:r w:rsidRPr="55B2D1B6" w:rsidR="55B2D1B6">
              <w:rPr>
                <w:rStyle w:val="Hyperlink"/>
              </w:rPr>
              <w:t>McKinsey 7S Framework</w:t>
            </w:r>
            <w:r>
              <w:tab/>
            </w:r>
            <w:r>
              <w:fldChar w:fldCharType="begin"/>
            </w:r>
            <w:r>
              <w:instrText xml:space="preserve">PAGEREF _Toc847261483 \h</w:instrText>
            </w:r>
            <w:r>
              <w:fldChar w:fldCharType="separate"/>
            </w:r>
            <w:r w:rsidRPr="55B2D1B6" w:rsidR="55B2D1B6">
              <w:rPr>
                <w:rStyle w:val="Hyperlink"/>
              </w:rPr>
              <w:t>7</w:t>
            </w:r>
            <w:r>
              <w:fldChar w:fldCharType="end"/>
            </w:r>
          </w:hyperlink>
        </w:p>
        <w:p w:rsidR="55B2D1B6" w:rsidP="55B2D1B6" w:rsidRDefault="55B2D1B6" w14:paraId="0FE90E33" w14:textId="73A1F4D2">
          <w:pPr>
            <w:pStyle w:val="TOC3"/>
            <w:tabs>
              <w:tab w:val="right" w:leader="dot" w:pos="9015"/>
            </w:tabs>
            <w:bidi w:val="0"/>
            <w:rPr>
              <w:rStyle w:val="Hyperlink"/>
            </w:rPr>
          </w:pPr>
          <w:hyperlink w:anchor="_Toc340628477">
            <w:r w:rsidRPr="55B2D1B6" w:rsidR="55B2D1B6">
              <w:rPr>
                <w:rStyle w:val="Hyperlink"/>
              </w:rPr>
              <w:t>Justification of a Hybrid Change Management Approach</w:t>
            </w:r>
            <w:r>
              <w:tab/>
            </w:r>
            <w:r>
              <w:fldChar w:fldCharType="begin"/>
            </w:r>
            <w:r>
              <w:instrText xml:space="preserve">PAGEREF _Toc340628477 \h</w:instrText>
            </w:r>
            <w:r>
              <w:fldChar w:fldCharType="separate"/>
            </w:r>
            <w:r w:rsidRPr="55B2D1B6" w:rsidR="55B2D1B6">
              <w:rPr>
                <w:rStyle w:val="Hyperlink"/>
              </w:rPr>
              <w:t>7</w:t>
            </w:r>
            <w:r>
              <w:fldChar w:fldCharType="end"/>
            </w:r>
          </w:hyperlink>
        </w:p>
        <w:p w:rsidR="55B2D1B6" w:rsidP="55B2D1B6" w:rsidRDefault="55B2D1B6" w14:paraId="6E18151F" w14:textId="1C3A40F5">
          <w:pPr>
            <w:pStyle w:val="TOC2"/>
            <w:tabs>
              <w:tab w:val="right" w:leader="dot" w:pos="9015"/>
            </w:tabs>
            <w:bidi w:val="0"/>
            <w:rPr>
              <w:rStyle w:val="Hyperlink"/>
            </w:rPr>
          </w:pPr>
          <w:hyperlink w:anchor="_Toc2146578403">
            <w:r w:rsidRPr="55B2D1B6" w:rsidR="55B2D1B6">
              <w:rPr>
                <w:rStyle w:val="Hyperlink"/>
              </w:rPr>
              <w:t>Leadership and Organisational Culture in Change Management</w:t>
            </w:r>
            <w:r>
              <w:tab/>
            </w:r>
            <w:r>
              <w:fldChar w:fldCharType="begin"/>
            </w:r>
            <w:r>
              <w:instrText xml:space="preserve">PAGEREF _Toc2146578403 \h</w:instrText>
            </w:r>
            <w:r>
              <w:fldChar w:fldCharType="separate"/>
            </w:r>
            <w:r w:rsidRPr="55B2D1B6" w:rsidR="55B2D1B6">
              <w:rPr>
                <w:rStyle w:val="Hyperlink"/>
              </w:rPr>
              <w:t>8</w:t>
            </w:r>
            <w:r>
              <w:fldChar w:fldCharType="end"/>
            </w:r>
          </w:hyperlink>
        </w:p>
        <w:p w:rsidR="55B2D1B6" w:rsidP="55B2D1B6" w:rsidRDefault="55B2D1B6" w14:paraId="3ED99632" w14:textId="59E34787">
          <w:pPr>
            <w:pStyle w:val="TOC3"/>
            <w:tabs>
              <w:tab w:val="right" w:leader="dot" w:pos="9015"/>
            </w:tabs>
            <w:bidi w:val="0"/>
            <w:rPr>
              <w:rStyle w:val="Hyperlink"/>
            </w:rPr>
          </w:pPr>
          <w:hyperlink w:anchor="_Toc1230550796">
            <w:r w:rsidRPr="55B2D1B6" w:rsidR="55B2D1B6">
              <w:rPr>
                <w:rStyle w:val="Hyperlink"/>
              </w:rPr>
              <w:t>Leadership and Change Management</w:t>
            </w:r>
            <w:r>
              <w:tab/>
            </w:r>
            <w:r>
              <w:fldChar w:fldCharType="begin"/>
            </w:r>
            <w:r>
              <w:instrText xml:space="preserve">PAGEREF _Toc1230550796 \h</w:instrText>
            </w:r>
            <w:r>
              <w:fldChar w:fldCharType="separate"/>
            </w:r>
            <w:r w:rsidRPr="55B2D1B6" w:rsidR="55B2D1B6">
              <w:rPr>
                <w:rStyle w:val="Hyperlink"/>
              </w:rPr>
              <w:t>8</w:t>
            </w:r>
            <w:r>
              <w:fldChar w:fldCharType="end"/>
            </w:r>
          </w:hyperlink>
        </w:p>
        <w:p w:rsidR="55B2D1B6" w:rsidP="55B2D1B6" w:rsidRDefault="55B2D1B6" w14:paraId="38D4FB00" w14:textId="0063F8EE">
          <w:pPr>
            <w:pStyle w:val="TOC3"/>
            <w:tabs>
              <w:tab w:val="right" w:leader="dot" w:pos="9015"/>
            </w:tabs>
            <w:bidi w:val="0"/>
            <w:rPr>
              <w:rStyle w:val="Hyperlink"/>
            </w:rPr>
          </w:pPr>
          <w:hyperlink w:anchor="_Toc384697282">
            <w:r w:rsidRPr="55B2D1B6" w:rsidR="55B2D1B6">
              <w:rPr>
                <w:rStyle w:val="Hyperlink"/>
              </w:rPr>
              <w:t>Culture as an Enabler or Barrier to Change</w:t>
            </w:r>
            <w:r>
              <w:tab/>
            </w:r>
            <w:r>
              <w:fldChar w:fldCharType="begin"/>
            </w:r>
            <w:r>
              <w:instrText xml:space="preserve">PAGEREF _Toc384697282 \h</w:instrText>
            </w:r>
            <w:r>
              <w:fldChar w:fldCharType="separate"/>
            </w:r>
            <w:r w:rsidRPr="55B2D1B6" w:rsidR="55B2D1B6">
              <w:rPr>
                <w:rStyle w:val="Hyperlink"/>
              </w:rPr>
              <w:t>9</w:t>
            </w:r>
            <w:r>
              <w:fldChar w:fldCharType="end"/>
            </w:r>
          </w:hyperlink>
        </w:p>
        <w:p w:rsidR="55B2D1B6" w:rsidP="55B2D1B6" w:rsidRDefault="55B2D1B6" w14:paraId="36C98777" w14:textId="749A15E4">
          <w:pPr>
            <w:pStyle w:val="TOC2"/>
            <w:tabs>
              <w:tab w:val="right" w:leader="dot" w:pos="9015"/>
            </w:tabs>
            <w:bidi w:val="0"/>
            <w:rPr>
              <w:rStyle w:val="Hyperlink"/>
            </w:rPr>
          </w:pPr>
          <w:hyperlink w:anchor="_Toc742805853">
            <w:r w:rsidRPr="55B2D1B6" w:rsidR="55B2D1B6">
              <w:rPr>
                <w:rStyle w:val="Hyperlink"/>
              </w:rPr>
              <w:t>Proposed Strategic Change Management Plan</w:t>
            </w:r>
            <w:r>
              <w:tab/>
            </w:r>
            <w:r>
              <w:fldChar w:fldCharType="begin"/>
            </w:r>
            <w:r>
              <w:instrText xml:space="preserve">PAGEREF _Toc742805853 \h</w:instrText>
            </w:r>
            <w:r>
              <w:fldChar w:fldCharType="separate"/>
            </w:r>
            <w:r w:rsidRPr="55B2D1B6" w:rsidR="55B2D1B6">
              <w:rPr>
                <w:rStyle w:val="Hyperlink"/>
              </w:rPr>
              <w:t>10</w:t>
            </w:r>
            <w:r>
              <w:fldChar w:fldCharType="end"/>
            </w:r>
          </w:hyperlink>
        </w:p>
        <w:p w:rsidR="55B2D1B6" w:rsidP="55B2D1B6" w:rsidRDefault="55B2D1B6" w14:paraId="367D6BEE" w14:textId="60E1A3CF">
          <w:pPr>
            <w:pStyle w:val="TOC3"/>
            <w:tabs>
              <w:tab w:val="right" w:leader="dot" w:pos="9015"/>
            </w:tabs>
            <w:bidi w:val="0"/>
            <w:rPr>
              <w:rStyle w:val="Hyperlink"/>
            </w:rPr>
          </w:pPr>
          <w:hyperlink w:anchor="_Toc519372306">
            <w:r w:rsidRPr="55B2D1B6" w:rsidR="55B2D1B6">
              <w:rPr>
                <w:rStyle w:val="Hyperlink"/>
              </w:rPr>
              <w:t>Change Vision and Objectives</w:t>
            </w:r>
            <w:r>
              <w:tab/>
            </w:r>
            <w:r>
              <w:fldChar w:fldCharType="begin"/>
            </w:r>
            <w:r>
              <w:instrText xml:space="preserve">PAGEREF _Toc519372306 \h</w:instrText>
            </w:r>
            <w:r>
              <w:fldChar w:fldCharType="separate"/>
            </w:r>
            <w:r w:rsidRPr="55B2D1B6" w:rsidR="55B2D1B6">
              <w:rPr>
                <w:rStyle w:val="Hyperlink"/>
              </w:rPr>
              <w:t>10</w:t>
            </w:r>
            <w:r>
              <w:fldChar w:fldCharType="end"/>
            </w:r>
          </w:hyperlink>
        </w:p>
        <w:p w:rsidR="55B2D1B6" w:rsidP="55B2D1B6" w:rsidRDefault="55B2D1B6" w14:paraId="6F51D840" w14:textId="0F1D0385">
          <w:pPr>
            <w:pStyle w:val="TOC3"/>
            <w:tabs>
              <w:tab w:val="right" w:leader="dot" w:pos="9015"/>
            </w:tabs>
            <w:bidi w:val="0"/>
            <w:rPr>
              <w:rStyle w:val="Hyperlink"/>
            </w:rPr>
          </w:pPr>
          <w:hyperlink w:anchor="_Toc1788324806">
            <w:r w:rsidRPr="55B2D1B6" w:rsidR="55B2D1B6">
              <w:rPr>
                <w:rStyle w:val="Hyperlink"/>
              </w:rPr>
              <w:t>Stakeholder Analysis</w:t>
            </w:r>
            <w:r>
              <w:tab/>
            </w:r>
            <w:r>
              <w:fldChar w:fldCharType="begin"/>
            </w:r>
            <w:r>
              <w:instrText xml:space="preserve">PAGEREF _Toc1788324806 \h</w:instrText>
            </w:r>
            <w:r>
              <w:fldChar w:fldCharType="separate"/>
            </w:r>
            <w:r w:rsidRPr="55B2D1B6" w:rsidR="55B2D1B6">
              <w:rPr>
                <w:rStyle w:val="Hyperlink"/>
              </w:rPr>
              <w:t>10</w:t>
            </w:r>
            <w:r>
              <w:fldChar w:fldCharType="end"/>
            </w:r>
          </w:hyperlink>
        </w:p>
        <w:p w:rsidR="55B2D1B6" w:rsidP="55B2D1B6" w:rsidRDefault="55B2D1B6" w14:paraId="276D15CC" w14:textId="591D66AD">
          <w:pPr>
            <w:pStyle w:val="TOC2"/>
            <w:tabs>
              <w:tab w:val="right" w:leader="dot" w:pos="9015"/>
            </w:tabs>
            <w:bidi w:val="0"/>
            <w:rPr>
              <w:rStyle w:val="Hyperlink"/>
            </w:rPr>
          </w:pPr>
          <w:hyperlink w:anchor="_Toc1505424357">
            <w:r w:rsidRPr="55B2D1B6" w:rsidR="55B2D1B6">
              <w:rPr>
                <w:rStyle w:val="Hyperlink"/>
              </w:rPr>
              <w:t>Table: Mendelow Stakeholder Matrix – Tesco Strategic Change</w:t>
            </w:r>
            <w:r>
              <w:tab/>
            </w:r>
            <w:r>
              <w:fldChar w:fldCharType="begin"/>
            </w:r>
            <w:r>
              <w:instrText xml:space="preserve">PAGEREF _Toc1505424357 \h</w:instrText>
            </w:r>
            <w:r>
              <w:fldChar w:fldCharType="separate"/>
            </w:r>
            <w:r w:rsidRPr="55B2D1B6" w:rsidR="55B2D1B6">
              <w:rPr>
                <w:rStyle w:val="Hyperlink"/>
              </w:rPr>
              <w:t>11</w:t>
            </w:r>
            <w:r>
              <w:fldChar w:fldCharType="end"/>
            </w:r>
          </w:hyperlink>
        </w:p>
        <w:p w:rsidR="55B2D1B6" w:rsidP="55B2D1B6" w:rsidRDefault="55B2D1B6" w14:paraId="0439DF53" w14:textId="3A96D91D">
          <w:pPr>
            <w:pStyle w:val="TOC3"/>
            <w:tabs>
              <w:tab w:val="right" w:leader="dot" w:pos="9015"/>
            </w:tabs>
            <w:bidi w:val="0"/>
            <w:rPr>
              <w:rStyle w:val="Hyperlink"/>
            </w:rPr>
          </w:pPr>
          <w:hyperlink w:anchor="_Toc1096363861">
            <w:r w:rsidRPr="55B2D1B6" w:rsidR="55B2D1B6">
              <w:rPr>
                <w:rStyle w:val="Hyperlink"/>
              </w:rPr>
              <w:t>Communication Plan</w:t>
            </w:r>
            <w:r>
              <w:tab/>
            </w:r>
            <w:r>
              <w:fldChar w:fldCharType="begin"/>
            </w:r>
            <w:r>
              <w:instrText xml:space="preserve">PAGEREF _Toc1096363861 \h</w:instrText>
            </w:r>
            <w:r>
              <w:fldChar w:fldCharType="separate"/>
            </w:r>
            <w:r w:rsidRPr="55B2D1B6" w:rsidR="55B2D1B6">
              <w:rPr>
                <w:rStyle w:val="Hyperlink"/>
              </w:rPr>
              <w:t>12</w:t>
            </w:r>
            <w:r>
              <w:fldChar w:fldCharType="end"/>
            </w:r>
          </w:hyperlink>
        </w:p>
        <w:p w:rsidR="55B2D1B6" w:rsidP="55B2D1B6" w:rsidRDefault="55B2D1B6" w14:paraId="1FBDE692" w14:textId="17E4B064">
          <w:pPr>
            <w:pStyle w:val="TOC3"/>
            <w:tabs>
              <w:tab w:val="right" w:leader="dot" w:pos="9015"/>
            </w:tabs>
            <w:bidi w:val="0"/>
            <w:rPr>
              <w:rStyle w:val="Hyperlink"/>
            </w:rPr>
          </w:pPr>
          <w:hyperlink w:anchor="_Toc249362301">
            <w:r w:rsidRPr="55B2D1B6" w:rsidR="55B2D1B6">
              <w:rPr>
                <w:rStyle w:val="Hyperlink"/>
              </w:rPr>
              <w:t>Financial and Resource Plan</w:t>
            </w:r>
            <w:r>
              <w:tab/>
            </w:r>
            <w:r>
              <w:fldChar w:fldCharType="begin"/>
            </w:r>
            <w:r>
              <w:instrText xml:space="preserve">PAGEREF _Toc249362301 \h</w:instrText>
            </w:r>
            <w:r>
              <w:fldChar w:fldCharType="separate"/>
            </w:r>
            <w:r w:rsidRPr="55B2D1B6" w:rsidR="55B2D1B6">
              <w:rPr>
                <w:rStyle w:val="Hyperlink"/>
              </w:rPr>
              <w:t>12</w:t>
            </w:r>
            <w:r>
              <w:fldChar w:fldCharType="end"/>
            </w:r>
          </w:hyperlink>
        </w:p>
        <w:p w:rsidR="55B2D1B6" w:rsidP="55B2D1B6" w:rsidRDefault="55B2D1B6" w14:paraId="317D9A8A" w14:textId="67B08926">
          <w:pPr>
            <w:pStyle w:val="TOC3"/>
            <w:tabs>
              <w:tab w:val="right" w:leader="dot" w:pos="9015"/>
            </w:tabs>
            <w:bidi w:val="0"/>
            <w:rPr>
              <w:rStyle w:val="Hyperlink"/>
            </w:rPr>
          </w:pPr>
          <w:hyperlink w:anchor="_Toc899529065">
            <w:r w:rsidRPr="55B2D1B6" w:rsidR="55B2D1B6">
              <w:rPr>
                <w:rStyle w:val="Hyperlink"/>
              </w:rPr>
              <w:t>The proposed change programme requires investment in technology upgrades, workforce training, and change management resources. Key cost areas include AI and self-checkout enhancements, system integration, training programmes, and temporary staffing support during transition periods.</w:t>
            </w:r>
            <w:r>
              <w:tab/>
            </w:r>
            <w:r>
              <w:fldChar w:fldCharType="begin"/>
            </w:r>
            <w:r>
              <w:instrText xml:space="preserve">PAGEREF _Toc899529065 \h</w:instrText>
            </w:r>
            <w:r>
              <w:fldChar w:fldCharType="separate"/>
            </w:r>
            <w:r w:rsidRPr="55B2D1B6" w:rsidR="55B2D1B6">
              <w:rPr>
                <w:rStyle w:val="Hyperlink"/>
              </w:rPr>
              <w:t>13</w:t>
            </w:r>
            <w:r>
              <w:fldChar w:fldCharType="end"/>
            </w:r>
          </w:hyperlink>
        </w:p>
        <w:p w:rsidR="55B2D1B6" w:rsidP="55B2D1B6" w:rsidRDefault="55B2D1B6" w14:paraId="7BC47AD2" w14:textId="475CC853">
          <w:pPr>
            <w:pStyle w:val="TOC3"/>
            <w:tabs>
              <w:tab w:val="right" w:leader="dot" w:pos="9015"/>
            </w:tabs>
            <w:bidi w:val="0"/>
            <w:rPr>
              <w:rStyle w:val="Hyperlink"/>
            </w:rPr>
          </w:pPr>
          <w:hyperlink w:anchor="_Toc422447603">
            <w:r w:rsidRPr="55B2D1B6" w:rsidR="55B2D1B6">
              <w:rPr>
                <w:rStyle w:val="Hyperlink"/>
              </w:rPr>
              <w:t>Risk Assessment and Mitigation</w:t>
            </w:r>
            <w:r>
              <w:tab/>
            </w:r>
            <w:r>
              <w:fldChar w:fldCharType="begin"/>
            </w:r>
            <w:r>
              <w:instrText xml:space="preserve">PAGEREF _Toc422447603 \h</w:instrText>
            </w:r>
            <w:r>
              <w:fldChar w:fldCharType="separate"/>
            </w:r>
            <w:r w:rsidRPr="55B2D1B6" w:rsidR="55B2D1B6">
              <w:rPr>
                <w:rStyle w:val="Hyperlink"/>
              </w:rPr>
              <w:t>13</w:t>
            </w:r>
            <w:r>
              <w:fldChar w:fldCharType="end"/>
            </w:r>
          </w:hyperlink>
        </w:p>
        <w:p w:rsidR="55B2D1B6" w:rsidP="55B2D1B6" w:rsidRDefault="55B2D1B6" w14:paraId="3C5B15C6" w14:textId="1C52D441">
          <w:pPr>
            <w:pStyle w:val="TOC3"/>
            <w:tabs>
              <w:tab w:val="right" w:leader="dot" w:pos="9015"/>
            </w:tabs>
            <w:bidi w:val="0"/>
            <w:rPr>
              <w:rStyle w:val="Hyperlink"/>
            </w:rPr>
          </w:pPr>
          <w:hyperlink w:anchor="_Toc500955308">
            <w:r w:rsidRPr="55B2D1B6" w:rsidR="55B2D1B6">
              <w:rPr>
                <w:rStyle w:val="Hyperlink"/>
              </w:rPr>
              <w:t>Evaluation and KPIs</w:t>
            </w:r>
            <w:r>
              <w:tab/>
            </w:r>
            <w:r>
              <w:fldChar w:fldCharType="begin"/>
            </w:r>
            <w:r>
              <w:instrText xml:space="preserve">PAGEREF _Toc500955308 \h</w:instrText>
            </w:r>
            <w:r>
              <w:fldChar w:fldCharType="separate"/>
            </w:r>
            <w:r w:rsidRPr="55B2D1B6" w:rsidR="55B2D1B6">
              <w:rPr>
                <w:rStyle w:val="Hyperlink"/>
              </w:rPr>
              <w:t>13</w:t>
            </w:r>
            <w:r>
              <w:fldChar w:fldCharType="end"/>
            </w:r>
          </w:hyperlink>
        </w:p>
        <w:p w:rsidR="55B2D1B6" w:rsidP="55B2D1B6" w:rsidRDefault="55B2D1B6" w14:paraId="6C1FD738" w14:textId="69CF6D98">
          <w:pPr>
            <w:pStyle w:val="TOC2"/>
            <w:tabs>
              <w:tab w:val="right" w:leader="dot" w:pos="9015"/>
            </w:tabs>
            <w:bidi w:val="0"/>
            <w:rPr>
              <w:rStyle w:val="Hyperlink"/>
            </w:rPr>
          </w:pPr>
          <w:hyperlink w:anchor="_Toc706533409">
            <w:r w:rsidRPr="55B2D1B6" w:rsidR="55B2D1B6">
              <w:rPr>
                <w:rStyle w:val="Hyperlink"/>
              </w:rPr>
              <w:t>Conclusion</w:t>
            </w:r>
            <w:r>
              <w:tab/>
            </w:r>
            <w:r>
              <w:fldChar w:fldCharType="begin"/>
            </w:r>
            <w:r>
              <w:instrText xml:space="preserve">PAGEREF _Toc706533409 \h</w:instrText>
            </w:r>
            <w:r>
              <w:fldChar w:fldCharType="separate"/>
            </w:r>
            <w:r w:rsidRPr="55B2D1B6" w:rsidR="55B2D1B6">
              <w:rPr>
                <w:rStyle w:val="Hyperlink"/>
              </w:rPr>
              <w:t>14</w:t>
            </w:r>
            <w:r>
              <w:fldChar w:fldCharType="end"/>
            </w:r>
          </w:hyperlink>
        </w:p>
        <w:p w:rsidR="55B2D1B6" w:rsidP="55B2D1B6" w:rsidRDefault="55B2D1B6" w14:paraId="4FBE5D21" w14:textId="58A4ED4B">
          <w:pPr>
            <w:pStyle w:val="TOC2"/>
            <w:tabs>
              <w:tab w:val="right" w:leader="dot" w:pos="9015"/>
            </w:tabs>
            <w:bidi w:val="0"/>
            <w:rPr>
              <w:rStyle w:val="Hyperlink"/>
            </w:rPr>
          </w:pPr>
          <w:hyperlink w:anchor="_Toc1549371564">
            <w:r w:rsidRPr="55B2D1B6" w:rsidR="55B2D1B6">
              <w:rPr>
                <w:rStyle w:val="Hyperlink"/>
              </w:rPr>
              <w:t>References</w:t>
            </w:r>
            <w:r>
              <w:tab/>
            </w:r>
            <w:r>
              <w:fldChar w:fldCharType="begin"/>
            </w:r>
            <w:r>
              <w:instrText xml:space="preserve">PAGEREF _Toc1549371564 \h</w:instrText>
            </w:r>
            <w:r>
              <w:fldChar w:fldCharType="separate"/>
            </w:r>
            <w:r w:rsidRPr="55B2D1B6" w:rsidR="55B2D1B6">
              <w:rPr>
                <w:rStyle w:val="Hyperlink"/>
              </w:rPr>
              <w:t>15</w:t>
            </w:r>
            <w:r>
              <w:fldChar w:fldCharType="end"/>
            </w:r>
          </w:hyperlink>
          <w:r>
            <w:fldChar w:fldCharType="end"/>
          </w:r>
        </w:p>
      </w:sdtContent>
    </w:sdt>
    <w:p xmlns:wp14="http://schemas.microsoft.com/office/word/2010/wordml" w:rsidP="4FFD3E6A" wp14:paraId="22983C1A" wp14:textId="6ED2ECAF">
      <w:pPr>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4FFD3E6A" wp14:paraId="2F5E9F44" wp14:textId="3FDBC3A6">
      <w:pPr>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4FFD3E6A" wp14:paraId="3CFCD28D" wp14:textId="2E991035">
      <w:pPr>
        <w:spacing w:before="0" w:beforeAutospacing="off" w:after="20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55B2D1B6" wp14:paraId="3838291A" wp14:textId="6B5C41D8">
      <w:pPr>
        <w:pStyle w:val="Normal"/>
        <w:spacing w:before="0" w:beforeAutospacing="off" w:after="200" w:afterAutospacing="off"/>
        <w:jc w:val="left"/>
        <w:rPr>
          <w:rFonts w:ascii="Arial" w:hAnsi="Arial" w:eastAsia="Arial" w:cs="Arial"/>
          <w:b w:val="1"/>
          <w:bCs w:val="1"/>
          <w:noProof w:val="0"/>
          <w:color w:val="auto"/>
          <w:sz w:val="36"/>
          <w:szCs w:val="36"/>
          <w:lang w:val="en-GB"/>
        </w:rPr>
      </w:pPr>
      <w:r w:rsidR="08839F18">
        <w:drawing>
          <wp:inline xmlns:wp14="http://schemas.microsoft.com/office/word/2010/wordprocessingDrawing" wp14:editId="5B176A5D" wp14:anchorId="7CBF52E0">
            <wp:extent cx="5985846" cy="2245232"/>
            <wp:effectExtent l="0" t="0" r="0" b="3175"/>
            <wp:docPr id="39420639" name="drawing" descr="Tesco - Long Eaton © David Lally cc-by-sa/2.0 :: Geograph Britain an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420639" name="Picture 39420639"/>
                    <pic:cNvPicPr/>
                  </pic:nvPicPr>
                  <pic:blipFill>
                    <a:blip xmlns:r="http://schemas.openxmlformats.org/officeDocument/2006/relationships" r:embed="rId912477528">
                      <a:extLst>
                        <a:ext uri="{28A0092B-C50C-407E-A947-70E740481C1C}">
                          <a14:useLocalDpi xmlns:a14="http://schemas.microsoft.com/office/drawing/2010/main"/>
                        </a:ext>
                      </a:extLst>
                    </a:blip>
                    <a:srcRect/>
                    <a:stretch>
                      <a:fillRect/>
                    </a:stretch>
                  </pic:blipFill>
                  <pic:spPr>
                    <a:xfrm>
                      <a:off x="0" y="0"/>
                      <a:ext cx="5985846" cy="2245232"/>
                    </a:xfrm>
                    <a:prstGeom prst="rect">
                      <a:avLst/>
                    </a:prstGeom>
                    <a:ln>
                      <a:noFill/>
                    </a:ln>
                    <a:effectLst>
                      <a:softEdge rad="112500"/>
                    </a:effectLst>
                  </pic:spPr>
                </pic:pic>
              </a:graphicData>
            </a:graphic>
          </wp:inline>
        </w:drawing>
      </w:r>
      <w:r w:rsidRPr="55B2D1B6" w:rsidR="27A15D69">
        <w:rPr>
          <w:rFonts w:ascii="Arial" w:hAnsi="Arial" w:eastAsia="Arial" w:cs="Arial"/>
          <w:b w:val="1"/>
          <w:bCs w:val="1"/>
          <w:noProof w:val="0"/>
          <w:color w:val="auto"/>
          <w:sz w:val="36"/>
          <w:szCs w:val="36"/>
          <w:lang w:val="en-GB"/>
        </w:rPr>
        <w:t>Introduction to the Organisation</w:t>
      </w:r>
    </w:p>
    <w:p xmlns:wp14="http://schemas.microsoft.com/office/word/2010/wordml" w:rsidP="55B2D1B6" wp14:paraId="01687187" wp14:textId="45682308">
      <w:pPr>
        <w:pStyle w:val="Normal"/>
        <w:spacing w:before="240" w:beforeAutospacing="off" w:after="240" w:afterAutospacing="off"/>
        <w:jc w:val="left"/>
        <w:rPr>
          <w:rFonts w:ascii="Arial" w:hAnsi="Arial" w:eastAsia="Arial" w:cs="Arial"/>
          <w:noProof w:val="0"/>
          <w:sz w:val="22"/>
          <w:szCs w:val="22"/>
          <w:lang w:val="en-GB"/>
        </w:rPr>
      </w:pPr>
      <w:r w:rsidRPr="55B2D1B6" w:rsidR="4FFA49D3">
        <w:rPr>
          <w:rFonts w:ascii="Arial" w:hAnsi="Arial" w:eastAsia="Arial" w:cs="Arial"/>
          <w:b w:val="0"/>
          <w:bCs w:val="0"/>
          <w:noProof w:val="0"/>
          <w:sz w:val="22"/>
          <w:szCs w:val="22"/>
          <w:lang w:val="en-GB"/>
        </w:rPr>
        <w:t>Tesco</w:t>
      </w:r>
      <w:r w:rsidRPr="55B2D1B6" w:rsidR="4FFA49D3">
        <w:rPr>
          <w:rFonts w:ascii="Arial" w:hAnsi="Arial" w:eastAsia="Arial" w:cs="Arial"/>
          <w:b w:val="0"/>
          <w:bCs w:val="0"/>
          <w:noProof w:val="0"/>
          <w:sz w:val="22"/>
          <w:szCs w:val="22"/>
          <w:lang w:val="en-GB"/>
        </w:rPr>
        <w:t xml:space="preserve"> </w:t>
      </w:r>
      <w:r w:rsidRPr="55B2D1B6" w:rsidR="4FFA49D3">
        <w:rPr>
          <w:rFonts w:ascii="Arial" w:hAnsi="Arial" w:eastAsia="Arial" w:cs="Arial"/>
          <w:noProof w:val="0"/>
          <w:sz w:val="22"/>
          <w:szCs w:val="22"/>
          <w:lang w:val="en-GB"/>
        </w:rPr>
        <w:t xml:space="preserve">is the largest grocery retailer in the United Kingdom and one of the most established multinational supermarket chains globally. Founded in 1919, Tesco </w:t>
      </w:r>
      <w:r w:rsidRPr="55B2D1B6" w:rsidR="4FFA49D3">
        <w:rPr>
          <w:rFonts w:ascii="Arial" w:hAnsi="Arial" w:eastAsia="Arial" w:cs="Arial"/>
          <w:noProof w:val="0"/>
          <w:sz w:val="22"/>
          <w:szCs w:val="22"/>
          <w:lang w:val="en-GB"/>
        </w:rPr>
        <w:t>operates</w:t>
      </w:r>
      <w:r w:rsidRPr="55B2D1B6" w:rsidR="4FFA49D3">
        <w:rPr>
          <w:rFonts w:ascii="Arial" w:hAnsi="Arial" w:eastAsia="Arial" w:cs="Arial"/>
          <w:noProof w:val="0"/>
          <w:sz w:val="22"/>
          <w:szCs w:val="22"/>
          <w:lang w:val="en-GB"/>
        </w:rPr>
        <w:t xml:space="preserve"> across multiple retail formats including large superstores, convenience stores, online grocery services, and financial services through Tesco Bank. The organisation’s mission centres on serving customers better every day, while its strategic vision emphasises value, convenience, sustainability, and long-term growth. Tesco’s scale, extensive supply chain, and data-driven loyalty programmes position it as a dominant player within the highly competitive UK grocery sector</w:t>
      </w:r>
      <w:r w:rsidRPr="55B2D1B6" w:rsidR="5208CE9C">
        <w:rPr>
          <w:rFonts w:ascii="Arial" w:hAnsi="Arial" w:eastAsia="Arial" w:cs="Arial"/>
          <w:noProof w:val="0"/>
          <w:sz w:val="22"/>
          <w:szCs w:val="22"/>
          <w:lang w:val="en-GB"/>
        </w:rPr>
        <w:t>(Tesco plc (2024).</w:t>
      </w:r>
    </w:p>
    <w:p xmlns:wp14="http://schemas.microsoft.com/office/word/2010/wordml" w:rsidP="4FFD3E6A" wp14:paraId="6B801F30" wp14:textId="23F1E36A">
      <w:pPr>
        <w:spacing w:before="240" w:beforeAutospacing="off" w:after="240" w:afterAutospacing="off"/>
        <w:jc w:val="left"/>
      </w:pPr>
      <w:r w:rsidRPr="55B2D1B6" w:rsidR="4FFA49D3">
        <w:rPr>
          <w:rFonts w:ascii="Arial" w:hAnsi="Arial" w:eastAsia="Arial" w:cs="Arial"/>
          <w:noProof w:val="0"/>
          <w:sz w:val="22"/>
          <w:szCs w:val="22"/>
          <w:lang w:val="en-GB"/>
        </w:rPr>
        <w:t>The UK retail environment in which Tesco operates has undergone significant transformation over the past decade. Rapid digital disruption, growth in online shopping, advances in artificial intelligence, and shifting consumer expectations have fundamentally altered how grocery retailers compete and deliver value. These changes have been intensified by economic uncertainty, inflationary pressures, and increasing regulatory and environmental demands. As a result, traditional retail models have become less sustainable without continuous innovation and strategic change. Tesco’s ability to respond effectively to these pressures is therefore critical to its long-term competitiveness and organisational resilience.</w:t>
      </w:r>
    </w:p>
    <w:p xmlns:wp14="http://schemas.microsoft.com/office/word/2010/wordml" w:rsidP="4FFD3E6A" wp14:paraId="231BA9F9" wp14:textId="4CA9738C">
      <w:pPr>
        <w:spacing w:before="240" w:beforeAutospacing="off" w:after="240" w:afterAutospacing="off"/>
        <w:jc w:val="left"/>
      </w:pPr>
      <w:r w:rsidRPr="4FFD3E6A" w:rsidR="0FB39E3F">
        <w:rPr>
          <w:rFonts w:ascii="Arial" w:hAnsi="Arial" w:eastAsia="Arial" w:cs="Arial"/>
          <w:noProof w:val="0"/>
          <w:sz w:val="22"/>
          <w:szCs w:val="22"/>
          <w:lang w:val="en-GB"/>
        </w:rPr>
        <w:t>The purpose of this report is to analyse Tesco’s internal and external environments, critically evaluate relevant change management models, assess the role of leadership and organisational culture in managing change, and develop a comprehensive strategic change management plan. The proposed plan aims to address the key triggers of change affecting Tesco while supporting the organisation’s strategic objectives and long-term vision in a sustainable and ethical manner.</w:t>
      </w:r>
    </w:p>
    <w:p xmlns:wp14="http://schemas.microsoft.com/office/word/2010/wordml" w:rsidP="0124D3B5" wp14:paraId="463E9346" wp14:textId="7B0C3A24">
      <w:pPr>
        <w:pStyle w:val="Heading2"/>
        <w:spacing w:before="0" w:beforeAutospacing="off" w:after="200" w:afterAutospacing="off"/>
        <w:jc w:val="left"/>
        <w:rPr>
          <w:rFonts w:ascii="Arial" w:hAnsi="Arial" w:eastAsia="Arial" w:cs="Arial"/>
          <w:b w:val="1"/>
          <w:bCs w:val="1"/>
          <w:noProof w:val="0"/>
          <w:color w:val="auto"/>
          <w:sz w:val="36"/>
          <w:szCs w:val="36"/>
          <w:lang w:val="en-GB"/>
        </w:rPr>
      </w:pPr>
      <w:bookmarkStart w:name="_Toc629017774" w:id="259448120"/>
      <w:r w:rsidRPr="55B2D1B6" w:rsidR="1052FF85">
        <w:rPr>
          <w:rFonts w:ascii="Arial" w:hAnsi="Arial" w:eastAsia="Arial" w:cs="Arial"/>
          <w:b w:val="1"/>
          <w:bCs w:val="1"/>
          <w:noProof w:val="0"/>
          <w:color w:val="auto"/>
          <w:sz w:val="36"/>
          <w:szCs w:val="36"/>
          <w:lang w:val="en-GB"/>
        </w:rPr>
        <w:t>Environmental and Organisational Analysis</w:t>
      </w:r>
      <w:bookmarkEnd w:id="259448120"/>
    </w:p>
    <w:p xmlns:wp14="http://schemas.microsoft.com/office/word/2010/wordml" w:rsidP="4FFD3E6A" wp14:paraId="668DC151" wp14:textId="5CFA3E32">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noProof w:val="0"/>
          <w:sz w:val="22"/>
          <w:szCs w:val="22"/>
          <w:lang w:val="en-GB"/>
        </w:rPr>
        <w:t xml:space="preserve">This section critically analyses the internal and external environments influencing </w:t>
      </w:r>
      <w:r w:rsidRPr="4FFD3E6A" w:rsidR="6BDCCF79">
        <w:rPr>
          <w:rFonts w:ascii="Arial" w:hAnsi="Arial" w:eastAsia="Arial" w:cs="Arial"/>
          <w:b w:val="0"/>
          <w:bCs w:val="0"/>
          <w:noProof w:val="0"/>
          <w:sz w:val="22"/>
          <w:szCs w:val="22"/>
          <w:lang w:val="en-GB"/>
        </w:rPr>
        <w:t>Tesco</w:t>
      </w:r>
      <w:r w:rsidRPr="4FFD3E6A" w:rsidR="6BDCCF79">
        <w:rPr>
          <w:rFonts w:ascii="Arial" w:hAnsi="Arial" w:eastAsia="Arial" w:cs="Arial"/>
          <w:noProof w:val="0"/>
          <w:sz w:val="22"/>
          <w:szCs w:val="22"/>
          <w:lang w:val="en-GB"/>
        </w:rPr>
        <w:t xml:space="preserve">, </w:t>
      </w:r>
      <w:r w:rsidRPr="4FFD3E6A" w:rsidR="6BDCCF79">
        <w:rPr>
          <w:rFonts w:ascii="Arial" w:hAnsi="Arial" w:eastAsia="Arial" w:cs="Arial"/>
          <w:noProof w:val="0"/>
          <w:sz w:val="22"/>
          <w:szCs w:val="22"/>
          <w:lang w:val="en-GB"/>
        </w:rPr>
        <w:t>identifying</w:t>
      </w:r>
      <w:r w:rsidRPr="4FFD3E6A" w:rsidR="6BDCCF79">
        <w:rPr>
          <w:rFonts w:ascii="Arial" w:hAnsi="Arial" w:eastAsia="Arial" w:cs="Arial"/>
          <w:noProof w:val="0"/>
          <w:sz w:val="22"/>
          <w:szCs w:val="22"/>
          <w:lang w:val="en-GB"/>
        </w:rPr>
        <w:t xml:space="preserve"> the key drivers and triggers for strategic change. The analysis integrates recognised strategic frameworks to evaluate how environmental pressures, digital disruption, and organisational capabilities shape Tesco’s need for change.</w:t>
      </w:r>
    </w:p>
    <w:p xmlns:wp14="http://schemas.microsoft.com/office/word/2010/wordml" w:rsidP="4FFD3E6A" wp14:paraId="3C55EB89" wp14:textId="2F780DD1">
      <w:pPr>
        <w:pStyle w:val="Heading3"/>
        <w:spacing w:before="281" w:beforeAutospacing="off" w:after="281" w:afterAutospacing="off"/>
        <w:rPr>
          <w:rFonts w:ascii="Arial" w:hAnsi="Arial" w:eastAsia="Arial" w:cs="Arial"/>
          <w:b w:val="1"/>
          <w:bCs w:val="1"/>
          <w:noProof w:val="0"/>
          <w:color w:val="auto"/>
          <w:sz w:val="22"/>
          <w:szCs w:val="22"/>
          <w:lang w:val="en-GB"/>
        </w:rPr>
      </w:pPr>
      <w:bookmarkStart w:name="_Toc608551540" w:id="1100780342"/>
      <w:r w:rsidRPr="55B2D1B6" w:rsidR="1052FF85">
        <w:rPr>
          <w:rFonts w:ascii="Arial" w:hAnsi="Arial" w:eastAsia="Arial" w:cs="Arial"/>
          <w:b w:val="1"/>
          <w:bCs w:val="1"/>
          <w:noProof w:val="0"/>
          <w:color w:val="auto"/>
          <w:sz w:val="22"/>
          <w:szCs w:val="22"/>
          <w:lang w:val="en-GB"/>
        </w:rPr>
        <w:t>External Environment Analysis</w:t>
      </w:r>
      <w:bookmarkEnd w:id="1100780342"/>
    </w:p>
    <w:p xmlns:wp14="http://schemas.microsoft.com/office/word/2010/wordml" w:rsidP="4FFD3E6A" wp14:paraId="1E7769D5" wp14:textId="431D5B6E">
      <w:pPr>
        <w:spacing w:before="240" w:beforeAutospacing="off" w:after="240" w:afterAutospacing="off"/>
        <w:rPr>
          <w:rFonts w:ascii="Arial" w:hAnsi="Arial" w:eastAsia="Arial" w:cs="Arial"/>
          <w:noProof w:val="0"/>
          <w:sz w:val="22"/>
          <w:szCs w:val="22"/>
          <w:lang w:val="en-GB"/>
        </w:rPr>
      </w:pPr>
      <w:r w:rsidRPr="55B2D1B6" w:rsidR="6A147695">
        <w:rPr>
          <w:rFonts w:ascii="Arial" w:hAnsi="Arial" w:eastAsia="Arial" w:cs="Arial"/>
          <w:noProof w:val="0"/>
          <w:sz w:val="22"/>
          <w:szCs w:val="22"/>
          <w:lang w:val="en-GB"/>
        </w:rPr>
        <w:t>To evaluate Tesco’s external environment, a</w:t>
      </w:r>
      <w:r w:rsidRPr="55B2D1B6" w:rsidR="6A147695">
        <w:rPr>
          <w:rFonts w:ascii="Arial" w:hAnsi="Arial" w:eastAsia="Arial" w:cs="Arial"/>
          <w:b w:val="0"/>
          <w:bCs w:val="0"/>
          <w:noProof w:val="0"/>
          <w:sz w:val="22"/>
          <w:szCs w:val="22"/>
          <w:lang w:val="en-GB"/>
        </w:rPr>
        <w:t xml:space="preserve"> </w:t>
      </w:r>
      <w:r w:rsidRPr="55B2D1B6" w:rsidR="6A147695">
        <w:rPr>
          <w:rFonts w:ascii="Arial" w:hAnsi="Arial" w:eastAsia="Arial" w:cs="Arial"/>
          <w:b w:val="0"/>
          <w:bCs w:val="0"/>
          <w:noProof w:val="0"/>
          <w:sz w:val="22"/>
          <w:szCs w:val="22"/>
          <w:lang w:val="en-GB"/>
        </w:rPr>
        <w:t>PESTLE framework</w:t>
      </w:r>
      <w:r w:rsidRPr="55B2D1B6" w:rsidR="6A147695">
        <w:rPr>
          <w:rFonts w:ascii="Arial" w:hAnsi="Arial" w:eastAsia="Arial" w:cs="Arial"/>
          <w:noProof w:val="0"/>
          <w:sz w:val="22"/>
          <w:szCs w:val="22"/>
          <w:lang w:val="en-GB"/>
        </w:rPr>
        <w:t xml:space="preserve"> is applied, enabling a systematic assessment of macro</w:t>
      </w:r>
      <w:r w:rsidRPr="55B2D1B6" w:rsidR="224D540F">
        <w:rPr>
          <w:rFonts w:ascii="Arial" w:hAnsi="Arial" w:eastAsia="Arial" w:cs="Arial"/>
          <w:noProof w:val="0"/>
          <w:sz w:val="22"/>
          <w:szCs w:val="22"/>
          <w:lang w:val="en-GB"/>
        </w:rPr>
        <w:t xml:space="preserve"> </w:t>
      </w:r>
      <w:r w:rsidRPr="55B2D1B6" w:rsidR="6A147695">
        <w:rPr>
          <w:rFonts w:ascii="Arial" w:hAnsi="Arial" w:eastAsia="Arial" w:cs="Arial"/>
          <w:noProof w:val="0"/>
          <w:sz w:val="22"/>
          <w:szCs w:val="22"/>
          <w:lang w:val="en-GB"/>
        </w:rPr>
        <w:t>environmental forces that influence organisational strategy (Johnson et al., 2020).</w:t>
      </w:r>
    </w:p>
    <w:p xmlns:wp14="http://schemas.microsoft.com/office/word/2010/wordml" w:rsidP="4FFD3E6A" wp14:paraId="3A9ECE6C" wp14:textId="6519AAD8">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b w:val="1"/>
          <w:bCs w:val="1"/>
          <w:noProof w:val="0"/>
          <w:sz w:val="22"/>
          <w:szCs w:val="22"/>
          <w:lang w:val="en-GB"/>
        </w:rPr>
        <w:t>Political factors</w:t>
      </w:r>
      <w:r w:rsidRPr="4FFD3E6A" w:rsidR="6BDCCF79">
        <w:rPr>
          <w:rFonts w:ascii="Arial" w:hAnsi="Arial" w:eastAsia="Arial" w:cs="Arial"/>
          <w:noProof w:val="0"/>
          <w:sz w:val="22"/>
          <w:szCs w:val="22"/>
          <w:lang w:val="en-GB"/>
        </w:rPr>
        <w:t xml:space="preserve"> have played a significant role in shaping Tesco’s operating environment. The UK’s exit from the European Union has resulted in supply chain complexity, labour shortages, and increased administrative costs for food retailers. Additionally, government scrutiny over competition, food pricing, and employment practices places ongoing pressure on large retailers to </w:t>
      </w:r>
      <w:r w:rsidRPr="4FFD3E6A" w:rsidR="6BDCCF79">
        <w:rPr>
          <w:rFonts w:ascii="Arial" w:hAnsi="Arial" w:eastAsia="Arial" w:cs="Arial"/>
          <w:noProof w:val="0"/>
          <w:sz w:val="22"/>
          <w:szCs w:val="22"/>
          <w:lang w:val="en-GB"/>
        </w:rPr>
        <w:t>maintain</w:t>
      </w:r>
      <w:r w:rsidRPr="4FFD3E6A" w:rsidR="6BDCCF79">
        <w:rPr>
          <w:rFonts w:ascii="Arial" w:hAnsi="Arial" w:eastAsia="Arial" w:cs="Arial"/>
          <w:noProof w:val="0"/>
          <w:sz w:val="22"/>
          <w:szCs w:val="22"/>
          <w:lang w:val="en-GB"/>
        </w:rPr>
        <w:t xml:space="preserve"> compliance while controlling costs (Baines et al., 2022).</w:t>
      </w:r>
    </w:p>
    <w:p xmlns:wp14="http://schemas.microsoft.com/office/word/2010/wordml" w:rsidP="4FFD3E6A" wp14:paraId="3AE57D4E" wp14:textId="193128B2">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b w:val="1"/>
          <w:bCs w:val="1"/>
          <w:noProof w:val="0"/>
          <w:sz w:val="22"/>
          <w:szCs w:val="22"/>
          <w:lang w:val="en-GB"/>
        </w:rPr>
        <w:t>Economic factors</w:t>
      </w:r>
      <w:r w:rsidRPr="4FFD3E6A" w:rsidR="6BDCCF79">
        <w:rPr>
          <w:rFonts w:ascii="Arial" w:hAnsi="Arial" w:eastAsia="Arial" w:cs="Arial"/>
          <w:noProof w:val="0"/>
          <w:sz w:val="22"/>
          <w:szCs w:val="22"/>
          <w:lang w:val="en-GB"/>
        </w:rPr>
        <w:t xml:space="preserve"> </w:t>
      </w:r>
      <w:r w:rsidRPr="4FFD3E6A" w:rsidR="6BDCCF79">
        <w:rPr>
          <w:rFonts w:ascii="Arial" w:hAnsi="Arial" w:eastAsia="Arial" w:cs="Arial"/>
          <w:noProof w:val="0"/>
          <w:sz w:val="22"/>
          <w:szCs w:val="22"/>
          <w:lang w:val="en-GB"/>
        </w:rPr>
        <w:t>represent</w:t>
      </w:r>
      <w:r w:rsidRPr="4FFD3E6A" w:rsidR="6BDCCF79">
        <w:rPr>
          <w:rFonts w:ascii="Arial" w:hAnsi="Arial" w:eastAsia="Arial" w:cs="Arial"/>
          <w:noProof w:val="0"/>
          <w:sz w:val="22"/>
          <w:szCs w:val="22"/>
          <w:lang w:val="en-GB"/>
        </w:rPr>
        <w:t xml:space="preserve"> a major challenge for Tesco. Rising inflation, increased energy costs, and pressure on household disposable income have heightened price sensitivity among consumers. As grocery retail </w:t>
      </w:r>
      <w:r w:rsidRPr="4FFD3E6A" w:rsidR="6BDCCF79">
        <w:rPr>
          <w:rFonts w:ascii="Arial" w:hAnsi="Arial" w:eastAsia="Arial" w:cs="Arial"/>
          <w:noProof w:val="0"/>
          <w:sz w:val="22"/>
          <w:szCs w:val="22"/>
          <w:lang w:val="en-GB"/>
        </w:rPr>
        <w:t>operates</w:t>
      </w:r>
      <w:r w:rsidRPr="4FFD3E6A" w:rsidR="6BDCCF79">
        <w:rPr>
          <w:rFonts w:ascii="Arial" w:hAnsi="Arial" w:eastAsia="Arial" w:cs="Arial"/>
          <w:noProof w:val="0"/>
          <w:sz w:val="22"/>
          <w:szCs w:val="22"/>
          <w:lang w:val="en-GB"/>
        </w:rPr>
        <w:t xml:space="preserve"> on thin margins, Tesco must balance competitive pricing with profitability. Economic volatility has also increased operational costs, particularly in </w:t>
      </w:r>
      <w:r w:rsidRPr="4FFD3E6A" w:rsidR="6BDCCF79">
        <w:rPr>
          <w:rFonts w:ascii="Arial" w:hAnsi="Arial" w:eastAsia="Arial" w:cs="Arial"/>
          <w:noProof w:val="0"/>
          <w:sz w:val="22"/>
          <w:szCs w:val="22"/>
          <w:lang w:val="en-GB"/>
        </w:rPr>
        <w:t>logistics</w:t>
      </w:r>
      <w:r w:rsidRPr="4FFD3E6A" w:rsidR="6BDCCF79">
        <w:rPr>
          <w:rFonts w:ascii="Arial" w:hAnsi="Arial" w:eastAsia="Arial" w:cs="Arial"/>
          <w:noProof w:val="0"/>
          <w:sz w:val="22"/>
          <w:szCs w:val="22"/>
          <w:lang w:val="en-GB"/>
        </w:rPr>
        <w:t xml:space="preserve"> and wages, further intensifying the need for efficiency-driven strategic change.</w:t>
      </w:r>
    </w:p>
    <w:p xmlns:wp14="http://schemas.microsoft.com/office/word/2010/wordml" w:rsidP="4FFD3E6A" wp14:paraId="7A77EF4E" wp14:textId="542F004C">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b w:val="1"/>
          <w:bCs w:val="1"/>
          <w:noProof w:val="0"/>
          <w:sz w:val="22"/>
          <w:szCs w:val="22"/>
          <w:lang w:val="en-GB"/>
        </w:rPr>
        <w:t>Social factors</w:t>
      </w:r>
      <w:r w:rsidRPr="4FFD3E6A" w:rsidR="6BDCCF79">
        <w:rPr>
          <w:rFonts w:ascii="Arial" w:hAnsi="Arial" w:eastAsia="Arial" w:cs="Arial"/>
          <w:noProof w:val="0"/>
          <w:sz w:val="22"/>
          <w:szCs w:val="22"/>
          <w:lang w:val="en-GB"/>
        </w:rPr>
        <w:t xml:space="preserve"> have significantly reshaped consumer behaviour. Customers increasingly demand convenience, speed, and seamless omnichannel experiences, driving growth in online grocery shopping and click-and-collect services. At the same time, ethical consumerism has become more prominent, with greater expectations around sustainability, responsible sourcing, and fair employment practices (Mintel, 2023). These shifts require Tesco to adapt not only its service delivery but also its organisational values and practices.</w:t>
      </w:r>
    </w:p>
    <w:p xmlns:wp14="http://schemas.microsoft.com/office/word/2010/wordml" w:rsidP="4FFD3E6A" wp14:paraId="1B7A00D4" wp14:textId="7F7225A0">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b w:val="1"/>
          <w:bCs w:val="1"/>
          <w:noProof w:val="0"/>
          <w:sz w:val="22"/>
          <w:szCs w:val="22"/>
          <w:lang w:val="en-GB"/>
        </w:rPr>
        <w:t>Technological factors</w:t>
      </w:r>
      <w:r w:rsidRPr="4FFD3E6A" w:rsidR="6BDCCF79">
        <w:rPr>
          <w:rFonts w:ascii="Arial" w:hAnsi="Arial" w:eastAsia="Arial" w:cs="Arial"/>
          <w:noProof w:val="0"/>
          <w:sz w:val="22"/>
          <w:szCs w:val="22"/>
          <w:lang w:val="en-GB"/>
        </w:rPr>
        <w:t xml:space="preserve"> are among the most influential drivers of change. Digital disruption through online platforms, self-checkout systems, artificial intelligence, and data analytics has transformed grocery retail. Tesco’s use of Clubcard data and AI-driven demand forecasting provides competitive </w:t>
      </w:r>
      <w:r w:rsidRPr="4FFD3E6A" w:rsidR="0890EF11">
        <w:rPr>
          <w:rFonts w:ascii="Arial" w:hAnsi="Arial" w:eastAsia="Arial" w:cs="Arial"/>
          <w:noProof w:val="0"/>
          <w:sz w:val="22"/>
          <w:szCs w:val="22"/>
          <w:lang w:val="en-GB"/>
        </w:rPr>
        <w:t>advantage yet</w:t>
      </w:r>
      <w:r w:rsidRPr="4FFD3E6A" w:rsidR="6BDCCF79">
        <w:rPr>
          <w:rFonts w:ascii="Arial" w:hAnsi="Arial" w:eastAsia="Arial" w:cs="Arial"/>
          <w:noProof w:val="0"/>
          <w:sz w:val="22"/>
          <w:szCs w:val="22"/>
          <w:lang w:val="en-GB"/>
        </w:rPr>
        <w:t xml:space="preserve"> also increases dependency on complex digital systems. Technology adoption has therefore become both a strategic opportunity and a source of operational risk.</w:t>
      </w:r>
    </w:p>
    <w:p xmlns:wp14="http://schemas.microsoft.com/office/word/2010/wordml" w:rsidP="4FFD3E6A" wp14:paraId="632772A1" wp14:textId="395613C4">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b w:val="1"/>
          <w:bCs w:val="1"/>
          <w:noProof w:val="0"/>
          <w:sz w:val="22"/>
          <w:szCs w:val="22"/>
          <w:lang w:val="en-GB"/>
        </w:rPr>
        <w:t>Legal factors</w:t>
      </w:r>
      <w:r w:rsidRPr="4FFD3E6A" w:rsidR="6BDCCF79">
        <w:rPr>
          <w:rFonts w:ascii="Arial" w:hAnsi="Arial" w:eastAsia="Arial" w:cs="Arial"/>
          <w:noProof w:val="0"/>
          <w:sz w:val="22"/>
          <w:szCs w:val="22"/>
          <w:lang w:val="en-GB"/>
        </w:rPr>
        <w:t xml:space="preserve">, including GDPR, competition law, and food safety regulations, impose strict compliance requirements. Failure to manage customer data responsibly or </w:t>
      </w:r>
      <w:r w:rsidRPr="4FFD3E6A" w:rsidR="6BDCCF79">
        <w:rPr>
          <w:rFonts w:ascii="Arial" w:hAnsi="Arial" w:eastAsia="Arial" w:cs="Arial"/>
          <w:noProof w:val="0"/>
          <w:sz w:val="22"/>
          <w:szCs w:val="22"/>
          <w:lang w:val="en-GB"/>
        </w:rPr>
        <w:t>maintain</w:t>
      </w:r>
      <w:r w:rsidRPr="4FFD3E6A" w:rsidR="6BDCCF79">
        <w:rPr>
          <w:rFonts w:ascii="Arial" w:hAnsi="Arial" w:eastAsia="Arial" w:cs="Arial"/>
          <w:noProof w:val="0"/>
          <w:sz w:val="22"/>
          <w:szCs w:val="22"/>
          <w:lang w:val="en-GB"/>
        </w:rPr>
        <w:t xml:space="preserve"> regulatory standards could result in reputational and financial damage.</w:t>
      </w:r>
    </w:p>
    <w:p xmlns:wp14="http://schemas.microsoft.com/office/word/2010/wordml" w:rsidP="4FFD3E6A" wp14:paraId="25F5C6F2" wp14:textId="3D11FF29">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b w:val="1"/>
          <w:bCs w:val="1"/>
          <w:noProof w:val="0"/>
          <w:sz w:val="22"/>
          <w:szCs w:val="22"/>
          <w:lang w:val="en-GB"/>
        </w:rPr>
        <w:t>Environmental factors</w:t>
      </w:r>
      <w:r w:rsidRPr="4FFD3E6A" w:rsidR="6BDCCF79">
        <w:rPr>
          <w:rFonts w:ascii="Arial" w:hAnsi="Arial" w:eastAsia="Arial" w:cs="Arial"/>
          <w:noProof w:val="0"/>
          <w:sz w:val="22"/>
          <w:szCs w:val="22"/>
          <w:lang w:val="en-GB"/>
        </w:rPr>
        <w:t xml:space="preserve"> continue to exert pressure on Tesco to reduce its carbon footprint, food waste, and plastic usage. Climate change-related disruptions also pose risks to supply chain stability, reinforcing the need for sustainable operational strategies.</w:t>
      </w:r>
    </w:p>
    <w:p xmlns:wp14="http://schemas.microsoft.com/office/word/2010/wordml" w:rsidP="4FFD3E6A" wp14:paraId="4D12261D" wp14:textId="195449D3">
      <w:pPr>
        <w:rPr>
          <w:rFonts w:ascii="Arial" w:hAnsi="Arial" w:eastAsia="Arial" w:cs="Arial"/>
        </w:rPr>
      </w:pPr>
    </w:p>
    <w:p xmlns:wp14="http://schemas.microsoft.com/office/word/2010/wordml" w:rsidP="4FFD3E6A" wp14:paraId="106A92FB" wp14:textId="73B4573C">
      <w:pPr>
        <w:pStyle w:val="Heading3"/>
        <w:spacing w:before="281" w:beforeAutospacing="off" w:after="281" w:afterAutospacing="off"/>
        <w:rPr>
          <w:rFonts w:ascii="Arial" w:hAnsi="Arial" w:eastAsia="Arial" w:cs="Arial"/>
          <w:b w:val="1"/>
          <w:bCs w:val="1"/>
          <w:noProof w:val="0"/>
          <w:color w:val="auto"/>
          <w:sz w:val="28"/>
          <w:szCs w:val="28"/>
          <w:lang w:val="en-GB"/>
        </w:rPr>
      </w:pPr>
      <w:r w:rsidRPr="55B2D1B6" w:rsidR="1052FF85">
        <w:rPr>
          <w:rFonts w:ascii="Arial" w:hAnsi="Arial" w:eastAsia="Arial" w:cs="Arial"/>
          <w:b w:val="1"/>
          <w:bCs w:val="1"/>
          <w:noProof w:val="0"/>
          <w:color w:val="auto"/>
          <w:sz w:val="28"/>
          <w:szCs w:val="28"/>
          <w:lang w:val="en-GB"/>
        </w:rPr>
        <w:t xml:space="preserve"> </w:t>
      </w:r>
      <w:bookmarkStart w:name="_Toc1535537052" w:id="1841309416"/>
      <w:r w:rsidRPr="55B2D1B6" w:rsidR="1052FF85">
        <w:rPr>
          <w:rFonts w:ascii="Arial" w:hAnsi="Arial" w:eastAsia="Arial" w:cs="Arial"/>
          <w:b w:val="1"/>
          <w:bCs w:val="1"/>
          <w:noProof w:val="0"/>
          <w:color w:val="auto"/>
          <w:sz w:val="28"/>
          <w:szCs w:val="28"/>
          <w:lang w:val="en-GB"/>
        </w:rPr>
        <w:t>Internal Environment Analysis</w:t>
      </w:r>
      <w:bookmarkEnd w:id="1841309416"/>
    </w:p>
    <w:p xmlns:wp14="http://schemas.microsoft.com/office/word/2010/wordml" w:rsidP="4FFD3E6A" wp14:paraId="4E52BA8F" wp14:textId="4544842C">
      <w:pPr>
        <w:spacing w:before="240" w:beforeAutospacing="off" w:after="240" w:afterAutospacing="off"/>
        <w:rPr>
          <w:rFonts w:ascii="Arial" w:hAnsi="Arial" w:eastAsia="Arial" w:cs="Arial"/>
          <w:noProof w:val="0"/>
          <w:sz w:val="22"/>
          <w:szCs w:val="22"/>
          <w:lang w:val="en-GB"/>
        </w:rPr>
      </w:pPr>
      <w:r w:rsidRPr="55B2D1B6" w:rsidR="6A147695">
        <w:rPr>
          <w:rFonts w:ascii="Arial" w:hAnsi="Arial" w:eastAsia="Arial" w:cs="Arial"/>
          <w:noProof w:val="0"/>
          <w:sz w:val="22"/>
          <w:szCs w:val="22"/>
          <w:lang w:val="en-GB"/>
        </w:rPr>
        <w:t xml:space="preserve">An internal analysis using </w:t>
      </w:r>
      <w:r w:rsidRPr="55B2D1B6" w:rsidR="6A147695">
        <w:rPr>
          <w:rFonts w:ascii="Arial" w:hAnsi="Arial" w:eastAsia="Arial" w:cs="Arial"/>
          <w:b w:val="0"/>
          <w:bCs w:val="0"/>
          <w:noProof w:val="0"/>
          <w:sz w:val="22"/>
          <w:szCs w:val="22"/>
          <w:lang w:val="en-GB"/>
        </w:rPr>
        <w:t>SWOT</w:t>
      </w:r>
      <w:r w:rsidRPr="55B2D1B6" w:rsidR="6A147695">
        <w:rPr>
          <w:rFonts w:ascii="Arial" w:hAnsi="Arial" w:eastAsia="Arial" w:cs="Arial"/>
          <w:b w:val="0"/>
          <w:bCs w:val="0"/>
          <w:noProof w:val="0"/>
          <w:sz w:val="22"/>
          <w:szCs w:val="22"/>
          <w:lang w:val="en-GB"/>
        </w:rPr>
        <w:t xml:space="preserve"> </w:t>
      </w:r>
      <w:r w:rsidRPr="55B2D1B6" w:rsidR="6A147695">
        <w:rPr>
          <w:rFonts w:ascii="Arial" w:hAnsi="Arial" w:eastAsia="Arial" w:cs="Arial"/>
          <w:noProof w:val="0"/>
          <w:sz w:val="22"/>
          <w:szCs w:val="22"/>
          <w:lang w:val="en-GB"/>
        </w:rPr>
        <w:t>highlights Tesco’s organisational strengths, weaknesses, opportunities, and threats, providing insight into its readiness for change.</w:t>
      </w:r>
    </w:p>
    <w:p w:rsidR="0A3B2D1C" w:rsidP="55B2D1B6" w:rsidRDefault="0A3B2D1C" w14:paraId="10A7AE55" w14:textId="12470356">
      <w:pPr>
        <w:pStyle w:val="Heading2"/>
        <w:spacing w:before="299" w:beforeAutospacing="off" w:after="299" w:afterAutospacing="off"/>
        <w:rPr>
          <w:rFonts w:ascii="Arial" w:hAnsi="Arial" w:eastAsia="Arial" w:cs="Arial"/>
          <w:b w:val="1"/>
          <w:bCs w:val="1"/>
          <w:noProof w:val="0"/>
          <w:color w:val="auto"/>
          <w:sz w:val="36"/>
          <w:szCs w:val="36"/>
          <w:lang w:val="en-GB"/>
        </w:rPr>
      </w:pPr>
      <w:bookmarkStart w:name="_Toc339111940" w:id="319421663"/>
      <w:r w:rsidRPr="55B2D1B6" w:rsidR="0A3B2D1C">
        <w:rPr>
          <w:rFonts w:ascii="Arial" w:hAnsi="Arial" w:eastAsia="Arial" w:cs="Arial"/>
          <w:b w:val="1"/>
          <w:bCs w:val="1"/>
          <w:noProof w:val="0"/>
          <w:color w:val="auto"/>
          <w:sz w:val="36"/>
          <w:szCs w:val="36"/>
          <w:lang w:val="en-GB"/>
        </w:rPr>
        <w:t>SWOT Analysis of Tesco</w:t>
      </w:r>
      <w:bookmarkEnd w:id="319421663"/>
    </w:p>
    <w:tbl>
      <w:tblPr>
        <w:tblStyle w:val="TableGridLight"/>
        <w:bidiVisual w:val="0"/>
        <w:tblW w:w="0" w:type="auto"/>
        <w:tblLook w:val="06A0" w:firstRow="1" w:lastRow="0" w:firstColumn="1" w:lastColumn="0" w:noHBand="1" w:noVBand="1"/>
      </w:tblPr>
      <w:tblGrid>
        <w:gridCol w:w="4845"/>
        <w:gridCol w:w="5160"/>
      </w:tblGrid>
      <w:tr w:rsidR="55B2D1B6" w:rsidTr="55B2D1B6" w14:paraId="726EB7EC">
        <w:trPr>
          <w:trHeight w:val="300"/>
        </w:trPr>
        <w:tc>
          <w:tcPr>
            <w:tcW w:w="4845" w:type="dxa"/>
            <w:tcMar/>
          </w:tcPr>
          <w:p w:rsidR="55B2D1B6" w:rsidP="55B2D1B6" w:rsidRDefault="55B2D1B6" w14:paraId="5BE1C5CC" w14:textId="19F3DCF4">
            <w:pPr>
              <w:spacing w:before="0" w:beforeAutospacing="off" w:after="0" w:afterAutospacing="off"/>
              <w:jc w:val="center"/>
              <w:rPr>
                <w:rFonts w:ascii="Arial" w:hAnsi="Arial" w:eastAsia="Arial" w:cs="Arial"/>
                <w:b w:val="1"/>
                <w:bCs w:val="1"/>
                <w:sz w:val="28"/>
                <w:szCs w:val="28"/>
              </w:rPr>
            </w:pPr>
            <w:r w:rsidRPr="55B2D1B6" w:rsidR="55B2D1B6">
              <w:rPr>
                <w:rFonts w:ascii="Arial" w:hAnsi="Arial" w:eastAsia="Arial" w:cs="Arial"/>
                <w:b w:val="1"/>
                <w:bCs w:val="1"/>
                <w:sz w:val="28"/>
                <w:szCs w:val="28"/>
              </w:rPr>
              <w:t>Strengths</w:t>
            </w:r>
          </w:p>
        </w:tc>
        <w:tc>
          <w:tcPr>
            <w:tcW w:w="5160" w:type="dxa"/>
            <w:tcMar/>
          </w:tcPr>
          <w:p w:rsidR="55B2D1B6" w:rsidP="55B2D1B6" w:rsidRDefault="55B2D1B6" w14:paraId="733BC769" w14:textId="4DED6289">
            <w:pPr>
              <w:spacing w:before="0" w:beforeAutospacing="off" w:after="0" w:afterAutospacing="off"/>
              <w:jc w:val="center"/>
              <w:rPr>
                <w:rFonts w:ascii="Arial" w:hAnsi="Arial" w:eastAsia="Arial" w:cs="Arial"/>
                <w:b w:val="1"/>
                <w:bCs w:val="1"/>
                <w:sz w:val="28"/>
                <w:szCs w:val="28"/>
              </w:rPr>
            </w:pPr>
            <w:r w:rsidRPr="55B2D1B6" w:rsidR="55B2D1B6">
              <w:rPr>
                <w:rFonts w:ascii="Arial" w:hAnsi="Arial" w:eastAsia="Arial" w:cs="Arial"/>
                <w:b w:val="1"/>
                <w:bCs w:val="1"/>
                <w:sz w:val="28"/>
                <w:szCs w:val="28"/>
              </w:rPr>
              <w:t>Weaknesses</w:t>
            </w:r>
          </w:p>
        </w:tc>
      </w:tr>
      <w:tr w:rsidR="55B2D1B6" w:rsidTr="55B2D1B6" w14:paraId="7AAFAC35">
        <w:trPr>
          <w:trHeight w:val="300"/>
        </w:trPr>
        <w:tc>
          <w:tcPr>
            <w:tcW w:w="4845" w:type="dxa"/>
            <w:tcMar/>
          </w:tcPr>
          <w:p w:rsidR="55B2D1B6" w:rsidP="55B2D1B6" w:rsidRDefault="55B2D1B6" w14:paraId="5328714D" w14:textId="3B368E4A">
            <w:pPr>
              <w:pStyle w:val="Normal"/>
              <w:bidi w:val="0"/>
              <w:jc w:val="center"/>
              <w:rPr>
                <w:b w:val="1"/>
                <w:bCs w:val="1"/>
              </w:rPr>
            </w:pPr>
          </w:p>
        </w:tc>
        <w:tc>
          <w:tcPr>
            <w:tcW w:w="5160" w:type="dxa"/>
            <w:tcMar/>
          </w:tcPr>
          <w:p w:rsidR="55B2D1B6" w:rsidP="55B2D1B6" w:rsidRDefault="55B2D1B6" w14:paraId="73E7A275" w14:textId="5B55FD45">
            <w:pPr>
              <w:pStyle w:val="Normal"/>
              <w:bidi w:val="0"/>
              <w:jc w:val="center"/>
              <w:rPr>
                <w:b w:val="1"/>
                <w:bCs w:val="1"/>
              </w:rPr>
            </w:pPr>
          </w:p>
        </w:tc>
      </w:tr>
      <w:tr w:rsidR="55B2D1B6" w:rsidTr="55B2D1B6" w14:paraId="6D02BF4F">
        <w:trPr>
          <w:trHeight w:val="300"/>
        </w:trPr>
        <w:tc>
          <w:tcPr>
            <w:tcW w:w="4845" w:type="dxa"/>
            <w:tcMar/>
          </w:tcPr>
          <w:p w:rsidR="55B2D1B6" w:rsidP="55B2D1B6" w:rsidRDefault="55B2D1B6" w14:paraId="26A05052" w14:textId="0169B1A9">
            <w:pPr>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Strong brand recognition in the UK grocery market</w:t>
            </w:r>
          </w:p>
        </w:tc>
        <w:tc>
          <w:tcPr>
            <w:tcW w:w="5160" w:type="dxa"/>
            <w:tcMar/>
          </w:tcPr>
          <w:p w:rsidR="55B2D1B6" w:rsidP="55B2D1B6" w:rsidRDefault="55B2D1B6" w14:paraId="5D8F0C61" w14:textId="602A0316">
            <w:pPr>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Thin profit margins in food retail</w:t>
            </w:r>
          </w:p>
        </w:tc>
      </w:tr>
      <w:tr w:rsidR="55B2D1B6" w:rsidTr="55B2D1B6" w14:paraId="28200FDD">
        <w:trPr>
          <w:trHeight w:val="300"/>
        </w:trPr>
        <w:tc>
          <w:tcPr>
            <w:tcW w:w="4845" w:type="dxa"/>
            <w:tcMar/>
          </w:tcPr>
          <w:p w:rsidR="55B2D1B6" w:rsidP="55B2D1B6" w:rsidRDefault="55B2D1B6" w14:paraId="66FF1DEB" w14:textId="40BD9E80">
            <w:pPr>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Extensive store network across multiple formats</w:t>
            </w:r>
          </w:p>
        </w:tc>
        <w:tc>
          <w:tcPr>
            <w:tcW w:w="5160" w:type="dxa"/>
            <w:tcMar/>
          </w:tcPr>
          <w:p w:rsidR="55B2D1B6" w:rsidP="55B2D1B6" w:rsidRDefault="55B2D1B6" w14:paraId="76D8411C" w14:textId="6E995353">
            <w:pPr>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Operational complexity across stores and online services</w:t>
            </w:r>
          </w:p>
        </w:tc>
      </w:tr>
      <w:tr w:rsidR="55B2D1B6" w:rsidTr="55B2D1B6" w14:paraId="5078A435">
        <w:trPr>
          <w:trHeight w:val="300"/>
        </w:trPr>
        <w:tc>
          <w:tcPr>
            <w:tcW w:w="4845" w:type="dxa"/>
            <w:tcMar/>
          </w:tcPr>
          <w:p w:rsidR="55B2D1B6" w:rsidP="55B2D1B6" w:rsidRDefault="55B2D1B6" w14:paraId="14A39E8C" w14:textId="725DED1C">
            <w:pPr>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Strong online grocery platform</w:t>
            </w:r>
          </w:p>
        </w:tc>
        <w:tc>
          <w:tcPr>
            <w:tcW w:w="5160" w:type="dxa"/>
            <w:tcMar/>
          </w:tcPr>
          <w:p w:rsidR="55B2D1B6" w:rsidP="55B2D1B6" w:rsidRDefault="55B2D1B6" w14:paraId="12A9959F" w14:textId="71325C2D">
            <w:pPr>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Customer frustration with self-checkout at busy times</w:t>
            </w:r>
          </w:p>
        </w:tc>
      </w:tr>
      <w:tr w:rsidR="55B2D1B6" w:rsidTr="55B2D1B6" w14:paraId="3B1F4E9D">
        <w:trPr>
          <w:trHeight w:val="615"/>
        </w:trPr>
        <w:tc>
          <w:tcPr>
            <w:tcW w:w="4845" w:type="dxa"/>
            <w:tcMar/>
          </w:tcPr>
          <w:p w:rsidR="55B2D1B6" w:rsidP="55B2D1B6" w:rsidRDefault="55B2D1B6" w14:paraId="39ADA94A" w14:textId="5209F50A">
            <w:pPr>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Valuable Clubcard data and customer insight</w:t>
            </w:r>
          </w:p>
        </w:tc>
        <w:tc>
          <w:tcPr>
            <w:tcW w:w="5160" w:type="dxa"/>
            <w:tcMar/>
          </w:tcPr>
          <w:p w:rsidR="55B2D1B6" w:rsidP="55B2D1B6" w:rsidRDefault="55B2D1B6" w14:paraId="5B1D1E23" w14:textId="45C58C14">
            <w:pPr>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Dependence on digital systems and supply chain efficiency</w:t>
            </w:r>
          </w:p>
        </w:tc>
      </w:tr>
    </w:tbl>
    <w:tbl>
      <w:tblPr>
        <w:tblStyle w:val="TableGridLight"/>
        <w:bidiVisual w:val="0"/>
        <w:tblW w:w="0" w:type="auto"/>
        <w:tblLook w:val="06A0" w:firstRow="1" w:lastRow="0" w:firstColumn="1" w:lastColumn="0" w:noHBand="1" w:noVBand="1"/>
      </w:tblPr>
      <w:tblGrid>
        <w:gridCol w:w="4860"/>
        <w:gridCol w:w="5175"/>
      </w:tblGrid>
      <w:tr w:rsidR="55B2D1B6" w:rsidTr="55B2D1B6" w14:paraId="7EE3611D">
        <w:trPr>
          <w:trHeight w:val="300"/>
        </w:trPr>
        <w:tc>
          <w:tcPr>
            <w:tcW w:w="4860" w:type="dxa"/>
            <w:tcMar/>
          </w:tcPr>
          <w:p w:rsidR="55B2D1B6" w:rsidP="55B2D1B6" w:rsidRDefault="55B2D1B6" w14:paraId="18862214" w14:textId="6112266A">
            <w:pPr>
              <w:bidi w:val="0"/>
              <w:spacing w:before="0" w:beforeAutospacing="off" w:after="0" w:afterAutospacing="off"/>
              <w:jc w:val="center"/>
              <w:rPr>
                <w:rFonts w:ascii="Arial" w:hAnsi="Arial" w:eastAsia="Arial" w:cs="Arial"/>
                <w:b w:val="1"/>
                <w:bCs w:val="1"/>
                <w:sz w:val="22"/>
                <w:szCs w:val="22"/>
              </w:rPr>
            </w:pPr>
            <w:r w:rsidRPr="55B2D1B6" w:rsidR="55B2D1B6">
              <w:rPr>
                <w:rFonts w:ascii="Arial" w:hAnsi="Arial" w:eastAsia="Arial" w:cs="Arial"/>
                <w:b w:val="1"/>
                <w:bCs w:val="1"/>
                <w:sz w:val="22"/>
                <w:szCs w:val="22"/>
              </w:rPr>
              <w:t>Opportunities</w:t>
            </w:r>
          </w:p>
        </w:tc>
        <w:tc>
          <w:tcPr>
            <w:tcW w:w="5175" w:type="dxa"/>
            <w:tcMar/>
          </w:tcPr>
          <w:p w:rsidR="55B2D1B6" w:rsidP="55B2D1B6" w:rsidRDefault="55B2D1B6" w14:paraId="28946152" w14:textId="11DA8CF0">
            <w:pPr>
              <w:bidi w:val="0"/>
              <w:spacing w:before="0" w:beforeAutospacing="off" w:after="0" w:afterAutospacing="off"/>
              <w:jc w:val="center"/>
              <w:rPr>
                <w:rFonts w:ascii="Arial" w:hAnsi="Arial" w:eastAsia="Arial" w:cs="Arial"/>
                <w:b w:val="1"/>
                <w:bCs w:val="1"/>
                <w:sz w:val="22"/>
                <w:szCs w:val="22"/>
              </w:rPr>
            </w:pPr>
            <w:r w:rsidRPr="55B2D1B6" w:rsidR="55B2D1B6">
              <w:rPr>
                <w:rFonts w:ascii="Arial" w:hAnsi="Arial" w:eastAsia="Arial" w:cs="Arial"/>
                <w:b w:val="1"/>
                <w:bCs w:val="1"/>
                <w:sz w:val="22"/>
                <w:szCs w:val="22"/>
              </w:rPr>
              <w:t>Threats</w:t>
            </w:r>
          </w:p>
        </w:tc>
      </w:tr>
      <w:tr w:rsidR="55B2D1B6" w:rsidTr="55B2D1B6" w14:paraId="43C63BD5">
        <w:trPr>
          <w:trHeight w:val="300"/>
        </w:trPr>
        <w:tc>
          <w:tcPr>
            <w:tcW w:w="4860" w:type="dxa"/>
            <w:tcMar/>
          </w:tcPr>
          <w:p w:rsidR="55B2D1B6" w:rsidP="55B2D1B6" w:rsidRDefault="55B2D1B6" w14:paraId="1EDFC484" w14:textId="4D94CA8A">
            <w:pPr>
              <w:bidi w:val="0"/>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Expansion of AI and automation</w:t>
            </w:r>
          </w:p>
        </w:tc>
        <w:tc>
          <w:tcPr>
            <w:tcW w:w="5175" w:type="dxa"/>
            <w:tcMar/>
          </w:tcPr>
          <w:p w:rsidR="55B2D1B6" w:rsidP="55B2D1B6" w:rsidRDefault="55B2D1B6" w14:paraId="17D5BA2C" w14:textId="358E2309">
            <w:pPr>
              <w:bidi w:val="0"/>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Intense competition from Aldi, Lidl, and online retailers</w:t>
            </w:r>
          </w:p>
        </w:tc>
      </w:tr>
      <w:tr w:rsidR="55B2D1B6" w:rsidTr="55B2D1B6" w14:paraId="0F0C874C">
        <w:trPr>
          <w:trHeight w:val="300"/>
        </w:trPr>
        <w:tc>
          <w:tcPr>
            <w:tcW w:w="4860" w:type="dxa"/>
            <w:tcMar/>
          </w:tcPr>
          <w:p w:rsidR="55B2D1B6" w:rsidP="55B2D1B6" w:rsidRDefault="55B2D1B6" w14:paraId="0F56A496" w14:textId="2FC0AC9F">
            <w:pPr>
              <w:bidi w:val="0"/>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Growth in online shopping and click-and-collect</w:t>
            </w:r>
          </w:p>
        </w:tc>
        <w:tc>
          <w:tcPr>
            <w:tcW w:w="5175" w:type="dxa"/>
            <w:tcMar/>
          </w:tcPr>
          <w:p w:rsidR="55B2D1B6" w:rsidP="55B2D1B6" w:rsidRDefault="55B2D1B6" w14:paraId="74562A7E" w14:textId="6293129A">
            <w:pPr>
              <w:bidi w:val="0"/>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Inflation and rising operating costs</w:t>
            </w:r>
          </w:p>
        </w:tc>
      </w:tr>
      <w:tr w:rsidR="55B2D1B6" w:rsidTr="55B2D1B6" w14:paraId="700FA13A">
        <w:trPr>
          <w:trHeight w:val="300"/>
        </w:trPr>
        <w:tc>
          <w:tcPr>
            <w:tcW w:w="4860" w:type="dxa"/>
            <w:tcMar/>
          </w:tcPr>
          <w:p w:rsidR="55B2D1B6" w:rsidP="55B2D1B6" w:rsidRDefault="55B2D1B6" w14:paraId="60A3D9CB" w14:textId="19F8F827">
            <w:pPr>
              <w:bidi w:val="0"/>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Improved personalisation through data analytics</w:t>
            </w:r>
          </w:p>
        </w:tc>
        <w:tc>
          <w:tcPr>
            <w:tcW w:w="5175" w:type="dxa"/>
            <w:tcMar/>
          </w:tcPr>
          <w:p w:rsidR="55B2D1B6" w:rsidP="55B2D1B6" w:rsidRDefault="55B2D1B6" w14:paraId="28A1F38C" w14:textId="5767BE7A">
            <w:pPr>
              <w:bidi w:val="0"/>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Cybersecurity and data protection risks</w:t>
            </w:r>
          </w:p>
        </w:tc>
      </w:tr>
      <w:tr w:rsidR="55B2D1B6" w:rsidTr="55B2D1B6" w14:paraId="7A52F0CD">
        <w:trPr>
          <w:trHeight w:val="300"/>
        </w:trPr>
        <w:tc>
          <w:tcPr>
            <w:tcW w:w="4860" w:type="dxa"/>
            <w:tcMar/>
          </w:tcPr>
          <w:p w:rsidR="55B2D1B6" w:rsidP="55B2D1B6" w:rsidRDefault="55B2D1B6" w14:paraId="04A9F250" w14:textId="0CBE124B">
            <w:pPr>
              <w:bidi w:val="0"/>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Sustainability leadership and green retail initiatives</w:t>
            </w:r>
          </w:p>
        </w:tc>
        <w:tc>
          <w:tcPr>
            <w:tcW w:w="5175" w:type="dxa"/>
            <w:tcMar/>
          </w:tcPr>
          <w:p w:rsidR="55B2D1B6" w:rsidP="55B2D1B6" w:rsidRDefault="55B2D1B6" w14:paraId="37DB317B" w14:textId="2BD7D6EC">
            <w:pPr>
              <w:bidi w:val="0"/>
              <w:spacing w:before="0" w:beforeAutospacing="off" w:after="0" w:afterAutospacing="off"/>
              <w:rPr>
                <w:rFonts w:ascii="Arial" w:hAnsi="Arial" w:eastAsia="Arial" w:cs="Arial"/>
                <w:sz w:val="22"/>
                <w:szCs w:val="22"/>
              </w:rPr>
            </w:pPr>
            <w:r w:rsidRPr="55B2D1B6" w:rsidR="55B2D1B6">
              <w:rPr>
                <w:rFonts w:ascii="Arial" w:hAnsi="Arial" w:eastAsia="Arial" w:cs="Arial"/>
                <w:sz w:val="22"/>
                <w:szCs w:val="22"/>
              </w:rPr>
              <w:t>Changing consumer loyalty and reputational risk</w:t>
            </w:r>
          </w:p>
        </w:tc>
      </w:tr>
    </w:tbl>
    <w:p w:rsidR="55B2D1B6" w:rsidP="55B2D1B6" w:rsidRDefault="55B2D1B6" w14:paraId="0C9EB5F9" w14:textId="336A468E">
      <w:pPr>
        <w:spacing w:before="240" w:beforeAutospacing="off" w:after="240" w:afterAutospacing="off"/>
        <w:rPr>
          <w:rFonts w:ascii="Arial" w:hAnsi="Arial" w:eastAsia="Arial" w:cs="Arial"/>
          <w:noProof w:val="0"/>
          <w:sz w:val="22"/>
          <w:szCs w:val="22"/>
          <w:lang w:val="en-GB"/>
        </w:rPr>
      </w:pPr>
    </w:p>
    <w:p xmlns:wp14="http://schemas.microsoft.com/office/word/2010/wordml" w:rsidP="4FFD3E6A" wp14:paraId="5BAE101F" wp14:textId="0A9F47AF">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noProof w:val="0"/>
          <w:sz w:val="22"/>
          <w:szCs w:val="22"/>
          <w:lang w:val="en-GB"/>
        </w:rPr>
        <w:t xml:space="preserve">Tesco’s </w:t>
      </w:r>
      <w:r w:rsidRPr="4FFD3E6A" w:rsidR="6BDCCF79">
        <w:rPr>
          <w:rFonts w:ascii="Arial" w:hAnsi="Arial" w:eastAsia="Arial" w:cs="Arial"/>
          <w:b w:val="0"/>
          <w:bCs w:val="0"/>
          <w:noProof w:val="0"/>
          <w:sz w:val="22"/>
          <w:szCs w:val="22"/>
          <w:lang w:val="en-GB"/>
        </w:rPr>
        <w:t>strengths</w:t>
      </w:r>
      <w:r w:rsidRPr="4FFD3E6A" w:rsidR="6BDCCF79">
        <w:rPr>
          <w:rFonts w:ascii="Arial" w:hAnsi="Arial" w:eastAsia="Arial" w:cs="Arial"/>
          <w:noProof w:val="0"/>
          <w:sz w:val="22"/>
          <w:szCs w:val="22"/>
          <w:lang w:val="en-GB"/>
        </w:rPr>
        <w:t xml:space="preserve"> include strong brand recognition, extensive physical and digital infrastructure, economies of scale, and advanced data analytics capabilities through</w:t>
      </w:r>
      <w:r w:rsidRPr="4FFD3E6A" w:rsidR="6BDCCF79">
        <w:rPr>
          <w:rFonts w:ascii="Aptos" w:hAnsi="Aptos" w:eastAsia="Aptos" w:cs="Aptos"/>
          <w:noProof w:val="0"/>
          <w:sz w:val="22"/>
          <w:szCs w:val="22"/>
          <w:lang w:val="en-GB"/>
        </w:rPr>
        <w:t xml:space="preserve"> i</w:t>
      </w:r>
      <w:r w:rsidRPr="4FFD3E6A" w:rsidR="6BDCCF79">
        <w:rPr>
          <w:rFonts w:ascii="Arial" w:hAnsi="Arial" w:eastAsia="Arial" w:cs="Arial"/>
          <w:noProof w:val="0"/>
          <w:sz w:val="22"/>
          <w:szCs w:val="22"/>
          <w:lang w:val="en-GB"/>
        </w:rPr>
        <w:t xml:space="preserve">ts loyalty programme. These resources support strategic initiatives in personalisation and operational efficiency. However, Tesco’s </w:t>
      </w:r>
      <w:r w:rsidRPr="4FFD3E6A" w:rsidR="6BDCCF79">
        <w:rPr>
          <w:rFonts w:ascii="Arial" w:hAnsi="Arial" w:eastAsia="Arial" w:cs="Arial"/>
          <w:b w:val="0"/>
          <w:bCs w:val="0"/>
          <w:noProof w:val="0"/>
          <w:sz w:val="22"/>
          <w:szCs w:val="22"/>
          <w:lang w:val="en-GB"/>
        </w:rPr>
        <w:t>weaknesses</w:t>
      </w:r>
      <w:r w:rsidRPr="4FFD3E6A" w:rsidR="6BDCCF79">
        <w:rPr>
          <w:rFonts w:ascii="Arial" w:hAnsi="Arial" w:eastAsia="Arial" w:cs="Arial"/>
          <w:noProof w:val="0"/>
          <w:sz w:val="22"/>
          <w:szCs w:val="22"/>
          <w:lang w:val="en-GB"/>
        </w:rPr>
        <w:t xml:space="preserve"> include low operating margins, customer dissatisfaction with self-service technologies during peak periods, and challenges associated with workforce adaptation to digital change.</w:t>
      </w:r>
    </w:p>
    <w:p xmlns:wp14="http://schemas.microsoft.com/office/word/2010/wordml" w:rsidP="4FFD3E6A" wp14:paraId="20C32323" wp14:textId="6B5A842F">
      <w:pPr>
        <w:spacing w:before="240" w:beforeAutospacing="off" w:after="240" w:afterAutospacing="off"/>
        <w:rPr>
          <w:rFonts w:ascii="Arial" w:hAnsi="Arial" w:eastAsia="Arial" w:cs="Arial"/>
          <w:noProof w:val="0"/>
          <w:sz w:val="22"/>
          <w:szCs w:val="22"/>
          <w:lang w:val="en-GB"/>
        </w:rPr>
      </w:pPr>
      <w:r w:rsidRPr="55B2D1B6" w:rsidR="6A147695">
        <w:rPr>
          <w:rFonts w:ascii="Arial" w:hAnsi="Arial" w:eastAsia="Arial" w:cs="Arial"/>
          <w:noProof w:val="0"/>
          <w:sz w:val="22"/>
          <w:szCs w:val="22"/>
          <w:lang w:val="en-GB"/>
        </w:rPr>
        <w:t>Significant</w:t>
      </w:r>
      <w:r w:rsidRPr="55B2D1B6" w:rsidR="6A147695">
        <w:rPr>
          <w:rFonts w:ascii="Arial" w:hAnsi="Arial" w:eastAsia="Arial" w:cs="Arial"/>
          <w:b w:val="0"/>
          <w:bCs w:val="0"/>
          <w:noProof w:val="0"/>
          <w:sz w:val="22"/>
          <w:szCs w:val="22"/>
          <w:lang w:val="en-GB"/>
        </w:rPr>
        <w:t xml:space="preserve"> </w:t>
      </w:r>
      <w:r w:rsidRPr="55B2D1B6" w:rsidR="6A147695">
        <w:rPr>
          <w:rFonts w:ascii="Arial" w:hAnsi="Arial" w:eastAsia="Arial" w:cs="Arial"/>
          <w:b w:val="0"/>
          <w:bCs w:val="0"/>
          <w:noProof w:val="0"/>
          <w:sz w:val="22"/>
          <w:szCs w:val="22"/>
          <w:lang w:val="en-GB"/>
        </w:rPr>
        <w:t>opportunities</w:t>
      </w:r>
      <w:r w:rsidRPr="55B2D1B6" w:rsidR="6A147695">
        <w:rPr>
          <w:rFonts w:ascii="Arial" w:hAnsi="Arial" w:eastAsia="Arial" w:cs="Arial"/>
          <w:noProof w:val="0"/>
          <w:sz w:val="22"/>
          <w:szCs w:val="22"/>
          <w:lang w:val="en-GB"/>
        </w:rPr>
        <w:t xml:space="preserve"> exist in the expansion of AI-driven customer personalisation, automation in supply chains, and sustainability leadership. Conversely,</w:t>
      </w:r>
      <w:r w:rsidRPr="55B2D1B6" w:rsidR="6A147695">
        <w:rPr>
          <w:rFonts w:ascii="Arial" w:hAnsi="Arial" w:eastAsia="Arial" w:cs="Arial"/>
          <w:b w:val="0"/>
          <w:bCs w:val="0"/>
          <w:noProof w:val="0"/>
          <w:sz w:val="22"/>
          <w:szCs w:val="22"/>
          <w:lang w:val="en-GB"/>
        </w:rPr>
        <w:t xml:space="preserve"> </w:t>
      </w:r>
      <w:r w:rsidRPr="55B2D1B6" w:rsidR="6A147695">
        <w:rPr>
          <w:rFonts w:ascii="Arial" w:hAnsi="Arial" w:eastAsia="Arial" w:cs="Arial"/>
          <w:b w:val="0"/>
          <w:bCs w:val="0"/>
          <w:noProof w:val="0"/>
          <w:sz w:val="22"/>
          <w:szCs w:val="22"/>
          <w:lang w:val="en-GB"/>
        </w:rPr>
        <w:t>threats</w:t>
      </w:r>
      <w:r w:rsidRPr="55B2D1B6" w:rsidR="6A147695">
        <w:rPr>
          <w:rFonts w:ascii="Arial" w:hAnsi="Arial" w:eastAsia="Arial" w:cs="Arial"/>
          <w:noProof w:val="0"/>
          <w:sz w:val="22"/>
          <w:szCs w:val="22"/>
          <w:lang w:val="en-GB"/>
        </w:rPr>
        <w:t xml:space="preserve"> include intense competition from discount retailers such as Aldi and Lidl, online-only grocery platforms, rising costs, and reputational risks related to employee relations and data usage.</w:t>
      </w:r>
    </w:p>
    <w:p xmlns:wp14="http://schemas.microsoft.com/office/word/2010/wordml" w:rsidP="4FFD3E6A" wp14:paraId="455A4247" wp14:textId="2E495AE5">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747674100" w:id="1803055516"/>
      <w:r w:rsidRPr="55B2D1B6" w:rsidR="1052FF85">
        <w:rPr>
          <w:rFonts w:ascii="Arial" w:hAnsi="Arial" w:eastAsia="Arial" w:cs="Arial"/>
          <w:b w:val="1"/>
          <w:bCs w:val="1"/>
          <w:noProof w:val="0"/>
          <w:color w:val="auto"/>
          <w:sz w:val="28"/>
          <w:szCs w:val="28"/>
          <w:lang w:val="en-GB"/>
        </w:rPr>
        <w:t>Triggers for Change</w:t>
      </w:r>
      <w:bookmarkEnd w:id="1803055516"/>
    </w:p>
    <w:p xmlns:wp14="http://schemas.microsoft.com/office/word/2010/wordml" w:rsidP="4FFD3E6A" wp14:paraId="6647807D" wp14:textId="26904E60">
      <w:pPr>
        <w:spacing w:before="240" w:beforeAutospacing="off" w:after="240" w:afterAutospacing="off"/>
        <w:rPr>
          <w:rFonts w:ascii="Arial" w:hAnsi="Arial" w:eastAsia="Arial" w:cs="Arial"/>
          <w:noProof w:val="0"/>
          <w:sz w:val="22"/>
          <w:szCs w:val="22"/>
          <w:lang w:val="en-GB"/>
        </w:rPr>
      </w:pPr>
      <w:r w:rsidRPr="4FFD3E6A" w:rsidR="6BDCCF79">
        <w:rPr>
          <w:rFonts w:ascii="Arial" w:hAnsi="Arial" w:eastAsia="Arial" w:cs="Arial"/>
          <w:noProof w:val="0"/>
          <w:sz w:val="22"/>
          <w:szCs w:val="22"/>
          <w:lang w:val="en-GB"/>
        </w:rPr>
        <w:t xml:space="preserve">The analysis </w:t>
      </w:r>
      <w:r w:rsidRPr="4FFD3E6A" w:rsidR="6BDCCF79">
        <w:rPr>
          <w:rFonts w:ascii="Arial" w:hAnsi="Arial" w:eastAsia="Arial" w:cs="Arial"/>
          <w:noProof w:val="0"/>
          <w:sz w:val="22"/>
          <w:szCs w:val="22"/>
          <w:lang w:val="en-GB"/>
        </w:rPr>
        <w:t>identifies</w:t>
      </w:r>
      <w:r w:rsidRPr="4FFD3E6A" w:rsidR="6BDCCF79">
        <w:rPr>
          <w:rFonts w:ascii="Arial" w:hAnsi="Arial" w:eastAsia="Arial" w:cs="Arial"/>
          <w:noProof w:val="0"/>
          <w:sz w:val="22"/>
          <w:szCs w:val="22"/>
          <w:lang w:val="en-GB"/>
        </w:rPr>
        <w:t xml:space="preserve"> several key </w:t>
      </w:r>
      <w:r w:rsidRPr="4FFD3E6A" w:rsidR="6BDCCF79">
        <w:rPr>
          <w:rFonts w:ascii="Arial" w:hAnsi="Arial" w:eastAsia="Arial" w:cs="Arial"/>
          <w:b w:val="0"/>
          <w:bCs w:val="0"/>
          <w:noProof w:val="0"/>
          <w:sz w:val="22"/>
          <w:szCs w:val="22"/>
          <w:lang w:val="en-GB"/>
        </w:rPr>
        <w:t>triggers for strategic change</w:t>
      </w:r>
      <w:r w:rsidRPr="4FFD3E6A" w:rsidR="6BDCCF79">
        <w:rPr>
          <w:rFonts w:ascii="Arial" w:hAnsi="Arial" w:eastAsia="Arial" w:cs="Arial"/>
          <w:b w:val="0"/>
          <w:bCs w:val="0"/>
          <w:noProof w:val="0"/>
          <w:sz w:val="22"/>
          <w:szCs w:val="22"/>
          <w:lang w:val="en-GB"/>
        </w:rPr>
        <w:t xml:space="preserve"> </w:t>
      </w:r>
      <w:r w:rsidRPr="4FFD3E6A" w:rsidR="6BDCCF79">
        <w:rPr>
          <w:rFonts w:ascii="Arial" w:hAnsi="Arial" w:eastAsia="Arial" w:cs="Arial"/>
          <w:noProof w:val="0"/>
          <w:sz w:val="22"/>
          <w:szCs w:val="22"/>
          <w:lang w:val="en-GB"/>
        </w:rPr>
        <w:t xml:space="preserve">at Tesco. Digital disruption and the rapid adoption of AI have altered customer expectations and competitive dynamics. The growth of online shopping has reduced reliance on traditional in-store models, requiring Tesco to integrate physical and digital channels effectively. Additionally, economic pressures and margin erosion </w:t>
      </w:r>
      <w:r w:rsidRPr="4FFD3E6A" w:rsidR="6BDCCF79">
        <w:rPr>
          <w:rFonts w:ascii="Arial" w:hAnsi="Arial" w:eastAsia="Arial" w:cs="Arial"/>
          <w:noProof w:val="0"/>
          <w:sz w:val="22"/>
          <w:szCs w:val="22"/>
          <w:lang w:val="en-GB"/>
        </w:rPr>
        <w:t>necessitate</w:t>
      </w:r>
      <w:r w:rsidRPr="4FFD3E6A" w:rsidR="6BDCCF79">
        <w:rPr>
          <w:rFonts w:ascii="Arial" w:hAnsi="Arial" w:eastAsia="Arial" w:cs="Arial"/>
          <w:noProof w:val="0"/>
          <w:sz w:val="22"/>
          <w:szCs w:val="22"/>
          <w:lang w:val="en-GB"/>
        </w:rPr>
        <w:t xml:space="preserve"> greater operational efficiency, while workforce skill gaps highlight the need for reskilling and engagement strategies.</w:t>
      </w:r>
    </w:p>
    <w:p xmlns:wp14="http://schemas.microsoft.com/office/word/2010/wordml" w:rsidP="0124D3B5" wp14:paraId="662A376A" wp14:textId="35544C92">
      <w:pPr>
        <w:spacing w:before="240" w:beforeAutospacing="off" w:after="240" w:afterAutospacing="off"/>
        <w:rPr>
          <w:rFonts w:ascii="Arial" w:hAnsi="Arial" w:eastAsia="Arial" w:cs="Arial"/>
          <w:b w:val="1"/>
          <w:bCs w:val="1"/>
          <w:noProof w:val="0"/>
          <w:color w:val="auto"/>
          <w:sz w:val="36"/>
          <w:szCs w:val="36"/>
          <w:lang w:val="en-GB"/>
        </w:rPr>
      </w:pPr>
      <w:r w:rsidRPr="0124D3B5" w:rsidR="557F56CC">
        <w:rPr>
          <w:rFonts w:ascii="Arial" w:hAnsi="Arial" w:eastAsia="Arial" w:cs="Arial"/>
          <w:noProof w:val="0"/>
          <w:sz w:val="22"/>
          <w:szCs w:val="22"/>
          <w:lang w:val="en-GB"/>
        </w:rPr>
        <w:t xml:space="preserve">These triggers </w:t>
      </w:r>
      <w:r w:rsidRPr="0124D3B5" w:rsidR="557F56CC">
        <w:rPr>
          <w:rFonts w:ascii="Arial" w:hAnsi="Arial" w:eastAsia="Arial" w:cs="Arial"/>
          <w:noProof w:val="0"/>
          <w:sz w:val="22"/>
          <w:szCs w:val="22"/>
          <w:lang w:val="en-GB"/>
        </w:rPr>
        <w:t>demonstrate</w:t>
      </w:r>
      <w:r w:rsidRPr="0124D3B5" w:rsidR="557F56CC">
        <w:rPr>
          <w:rFonts w:ascii="Arial" w:hAnsi="Arial" w:eastAsia="Arial" w:cs="Arial"/>
          <w:noProof w:val="0"/>
          <w:sz w:val="22"/>
          <w:szCs w:val="22"/>
          <w:lang w:val="en-GB"/>
        </w:rPr>
        <w:t xml:space="preserve"> that Tesco’s challenges are not isolated but interconnected. Incremental change is therefore insufficient. Instead, a coordinated strategic change programme is </w:t>
      </w:r>
      <w:r w:rsidRPr="0124D3B5" w:rsidR="557F56CC">
        <w:rPr>
          <w:rFonts w:ascii="Arial" w:hAnsi="Arial" w:eastAsia="Arial" w:cs="Arial"/>
          <w:noProof w:val="0"/>
          <w:sz w:val="22"/>
          <w:szCs w:val="22"/>
          <w:lang w:val="en-GB"/>
        </w:rPr>
        <w:t>required</w:t>
      </w:r>
      <w:r w:rsidRPr="0124D3B5" w:rsidR="557F56CC">
        <w:rPr>
          <w:rFonts w:ascii="Arial" w:hAnsi="Arial" w:eastAsia="Arial" w:cs="Arial"/>
          <w:noProof w:val="0"/>
          <w:sz w:val="22"/>
          <w:szCs w:val="22"/>
          <w:lang w:val="en-GB"/>
        </w:rPr>
        <w:t xml:space="preserve"> to ensure alignment between technology, people, and organisational </w:t>
      </w:r>
      <w:r w:rsidRPr="0124D3B5" w:rsidR="557F56CC">
        <w:rPr>
          <w:rFonts w:ascii="Arial" w:hAnsi="Arial" w:eastAsia="Arial" w:cs="Arial"/>
          <w:noProof w:val="0"/>
          <w:sz w:val="22"/>
          <w:szCs w:val="22"/>
          <w:lang w:val="en-GB"/>
        </w:rPr>
        <w:t>objectives</w:t>
      </w:r>
      <w:r w:rsidRPr="0124D3B5" w:rsidR="557F56CC">
        <w:rPr>
          <w:rFonts w:ascii="Arial" w:hAnsi="Arial" w:eastAsia="Arial" w:cs="Arial"/>
          <w:noProof w:val="0"/>
          <w:sz w:val="22"/>
          <w:szCs w:val="22"/>
          <w:lang w:val="en-GB"/>
        </w:rPr>
        <w:t>. Failure to respond effectively risks erosion of competitive advantage and long-term sustainability.</w:t>
      </w:r>
    </w:p>
    <w:p xmlns:wp14="http://schemas.microsoft.com/office/word/2010/wordml" w:rsidP="55B2D1B6" wp14:paraId="5CA50993" wp14:textId="7BA5DBE8">
      <w:pPr>
        <w:spacing w:before="240" w:beforeAutospacing="off" w:after="240" w:afterAutospacing="off"/>
        <w:rPr>
          <w:rFonts w:ascii="Arial" w:hAnsi="Arial" w:eastAsia="Arial" w:cs="Arial"/>
          <w:b w:val="0"/>
          <w:bCs w:val="0"/>
          <w:noProof w:val="0"/>
          <w:color w:val="auto"/>
          <w:sz w:val="22"/>
          <w:szCs w:val="22"/>
          <w:lang w:val="en-GB"/>
        </w:rPr>
      </w:pPr>
      <w:r w:rsidR="4E5ADE74">
        <w:drawing>
          <wp:inline xmlns:wp14="http://schemas.microsoft.com/office/word/2010/wordprocessingDrawing" wp14:editId="07DB1D0D" wp14:anchorId="08D28947">
            <wp:extent cx="4357284" cy="1877921"/>
            <wp:effectExtent l="19050" t="0" r="234315" b="408305"/>
            <wp:docPr id="1328516087" name="drawing" descr="E-banking Card Images | Free Photos, PNG Stickers, Wallpaper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8516087" name="Picture 1328516087"/>
                    <pic:cNvPicPr/>
                  </pic:nvPicPr>
                  <pic:blipFill>
                    <a:blip xmlns:r="http://schemas.openxmlformats.org/officeDocument/2006/relationships" r:embed="rId548152482">
                      <a:extLst>
                        <a:ext uri="{28A0092B-C50C-407E-A947-70E740481C1C}">
                          <a14:useLocalDpi xmlns:a14="http://schemas.microsoft.com/office/drawing/2010/main"/>
                        </a:ext>
                      </a:extLst>
                    </a:blip>
                    <a:srcRect/>
                    <a:stretch>
                      <a:fillRect/>
                    </a:stretch>
                  </pic:blipFill>
                  <pic:spPr>
                    <a:xfrm>
                      <a:off x="0" y="0"/>
                      <a:ext cx="4357284" cy="1877921"/>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r w:rsidRPr="55B2D1B6" w:rsidR="3B7335A1">
        <w:rPr>
          <w:rFonts w:ascii="Arial" w:hAnsi="Arial" w:eastAsia="Arial" w:cs="Arial"/>
          <w:b w:val="0"/>
          <w:bCs w:val="0"/>
          <w:noProof w:val="0"/>
          <w:color w:val="auto"/>
          <w:sz w:val="22"/>
          <w:szCs w:val="22"/>
          <w:lang w:val="en-GB"/>
        </w:rPr>
        <w:t>Source</w:t>
      </w:r>
      <w:r w:rsidRPr="55B2D1B6" w:rsidR="533DC4DF">
        <w:rPr>
          <w:rFonts w:ascii="Arial" w:hAnsi="Arial" w:eastAsia="Arial" w:cs="Arial"/>
          <w:b w:val="0"/>
          <w:bCs w:val="0"/>
          <w:noProof w:val="0"/>
          <w:color w:val="auto"/>
          <w:sz w:val="22"/>
          <w:szCs w:val="22"/>
          <w:lang w:val="en-GB"/>
        </w:rPr>
        <w:t xml:space="preserve"> from</w:t>
      </w:r>
      <w:r w:rsidRPr="55B2D1B6" w:rsidR="3B7335A1">
        <w:rPr>
          <w:rFonts w:ascii="Arial" w:hAnsi="Arial" w:eastAsia="Arial" w:cs="Arial"/>
          <w:b w:val="0"/>
          <w:bCs w:val="0"/>
          <w:noProof w:val="0"/>
          <w:color w:val="auto"/>
          <w:sz w:val="22"/>
          <w:szCs w:val="22"/>
          <w:lang w:val="en-GB"/>
        </w:rPr>
        <w:t xml:space="preserve"> Tesco plc</w:t>
      </w:r>
    </w:p>
    <w:p xmlns:wp14="http://schemas.microsoft.com/office/word/2010/wordml" w:rsidP="0124D3B5" wp14:paraId="02308664" wp14:textId="57467AEF">
      <w:pPr>
        <w:spacing w:before="240" w:beforeAutospacing="off" w:after="240" w:afterAutospacing="off"/>
        <w:rPr>
          <w:rFonts w:ascii="Arial" w:hAnsi="Arial" w:eastAsia="Arial" w:cs="Arial"/>
          <w:b w:val="1"/>
          <w:bCs w:val="1"/>
          <w:noProof w:val="0"/>
          <w:color w:val="auto"/>
          <w:sz w:val="36"/>
          <w:szCs w:val="36"/>
          <w:lang w:val="en-GB"/>
        </w:rPr>
      </w:pPr>
      <w:r w:rsidRPr="55B2D1B6" w:rsidR="445F9F10">
        <w:rPr>
          <w:rFonts w:ascii="Arial" w:hAnsi="Arial" w:eastAsia="Arial" w:cs="Arial"/>
          <w:b w:val="1"/>
          <w:bCs w:val="1"/>
          <w:noProof w:val="0"/>
          <w:color w:val="auto"/>
          <w:sz w:val="36"/>
          <w:szCs w:val="36"/>
          <w:lang w:val="en-GB"/>
        </w:rPr>
        <w:t>Review and Evaluation of Change Management Models</w:t>
      </w:r>
    </w:p>
    <w:p xmlns:wp14="http://schemas.microsoft.com/office/word/2010/wordml" w:rsidP="55B2D1B6" wp14:paraId="2A164C7B" wp14:textId="0C52C8BF">
      <w:pPr>
        <w:spacing w:before="240" w:beforeAutospacing="off" w:after="240" w:afterAutospacing="off"/>
        <w:rPr>
          <w:rFonts w:ascii="Arial" w:hAnsi="Arial" w:eastAsia="Arial" w:cs="Arial"/>
          <w:noProof w:val="0"/>
          <w:sz w:val="22"/>
          <w:szCs w:val="22"/>
          <w:lang w:val="en-GB"/>
        </w:rPr>
      </w:pPr>
      <w:r w:rsidRPr="55B2D1B6" w:rsidR="155644D4">
        <w:rPr>
          <w:rFonts w:ascii="Arial" w:hAnsi="Arial" w:eastAsia="Arial" w:cs="Arial"/>
          <w:noProof w:val="0"/>
          <w:sz w:val="22"/>
          <w:szCs w:val="22"/>
          <w:lang w:val="en-GB"/>
        </w:rPr>
        <w:t>This section critically evaluates key change management models, namely Lewin’s Three</w:t>
      </w:r>
      <w:r w:rsidRPr="55B2D1B6" w:rsidR="3F3CDFB4">
        <w:rPr>
          <w:rFonts w:ascii="Arial" w:hAnsi="Arial" w:eastAsia="Arial" w:cs="Arial"/>
          <w:noProof w:val="0"/>
          <w:sz w:val="22"/>
          <w:szCs w:val="22"/>
          <w:lang w:val="en-GB"/>
        </w:rPr>
        <w:t xml:space="preserve"> </w:t>
      </w:r>
      <w:r w:rsidRPr="55B2D1B6" w:rsidR="155644D4">
        <w:rPr>
          <w:rFonts w:ascii="Arial" w:hAnsi="Arial" w:eastAsia="Arial" w:cs="Arial"/>
          <w:noProof w:val="0"/>
          <w:sz w:val="22"/>
          <w:szCs w:val="22"/>
          <w:lang w:val="en-GB"/>
        </w:rPr>
        <w:t>Step Model, Kotter’s Eight-Step Model, the ADKAR model, and the McKinsey 7S Framework. The strengths and limitations of each model are assessed in relation to Tesco’s organisational context, leading to the justification of a suitable hybrid approach.</w:t>
      </w:r>
    </w:p>
    <w:p xmlns:wp14="http://schemas.microsoft.com/office/word/2010/wordml" w:rsidP="55B2D1B6" wp14:paraId="38636F36" wp14:textId="52B93550">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680652493" w:id="177875357"/>
      <w:r w:rsidRPr="55B2D1B6" w:rsidR="445F9F10">
        <w:rPr>
          <w:rFonts w:ascii="Arial" w:hAnsi="Arial" w:eastAsia="Arial" w:cs="Arial"/>
          <w:b w:val="1"/>
          <w:bCs w:val="1"/>
          <w:noProof w:val="0"/>
          <w:color w:val="auto"/>
          <w:sz w:val="28"/>
          <w:szCs w:val="28"/>
          <w:lang w:val="en-GB"/>
        </w:rPr>
        <w:t>Lewin’s Three-Step Model</w:t>
      </w:r>
      <w:bookmarkEnd w:id="177875357"/>
    </w:p>
    <w:p xmlns:wp14="http://schemas.microsoft.com/office/word/2010/wordml" w:rsidP="4FFD3E6A" wp14:paraId="3CAFA517" wp14:textId="3AB9DBD2">
      <w:pPr>
        <w:spacing w:before="240" w:beforeAutospacing="off" w:after="240" w:afterAutospacing="off"/>
      </w:pPr>
      <w:r w:rsidRPr="4FFD3E6A" w:rsidR="08468418">
        <w:rPr>
          <w:rFonts w:ascii="Arial" w:hAnsi="Arial" w:eastAsia="Arial" w:cs="Arial"/>
          <w:noProof w:val="0"/>
          <w:sz w:val="22"/>
          <w:szCs w:val="22"/>
          <w:lang w:val="en-GB"/>
        </w:rPr>
        <w:t xml:space="preserve">Lewin’s (1951) Three-Step Model conceptualises change as a linear process involving </w:t>
      </w:r>
      <w:r w:rsidRPr="4FFD3E6A" w:rsidR="08468418">
        <w:rPr>
          <w:rFonts w:ascii="Arial" w:hAnsi="Arial" w:eastAsia="Arial" w:cs="Arial"/>
          <w:i w:val="0"/>
          <w:iCs w:val="0"/>
          <w:noProof w:val="0"/>
          <w:sz w:val="22"/>
          <w:szCs w:val="22"/>
          <w:lang w:val="en-GB"/>
        </w:rPr>
        <w:t>unfreezing</w:t>
      </w:r>
      <w:r w:rsidRPr="4FFD3E6A" w:rsidR="08468418">
        <w:rPr>
          <w:rFonts w:ascii="Arial" w:hAnsi="Arial" w:eastAsia="Arial" w:cs="Arial"/>
          <w:i w:val="0"/>
          <w:iCs w:val="0"/>
          <w:noProof w:val="0"/>
          <w:sz w:val="22"/>
          <w:szCs w:val="22"/>
          <w:lang w:val="en-GB"/>
        </w:rPr>
        <w:t xml:space="preserve">, </w:t>
      </w:r>
      <w:r w:rsidRPr="4FFD3E6A" w:rsidR="08468418">
        <w:rPr>
          <w:rFonts w:ascii="Arial" w:hAnsi="Arial" w:eastAsia="Arial" w:cs="Arial"/>
          <w:i w:val="0"/>
          <w:iCs w:val="0"/>
          <w:noProof w:val="0"/>
          <w:sz w:val="22"/>
          <w:szCs w:val="22"/>
          <w:lang w:val="en-GB"/>
        </w:rPr>
        <w:t>changing</w:t>
      </w:r>
      <w:r w:rsidRPr="4FFD3E6A" w:rsidR="08468418">
        <w:rPr>
          <w:rFonts w:ascii="Arial" w:hAnsi="Arial" w:eastAsia="Arial" w:cs="Arial"/>
          <w:i w:val="0"/>
          <w:iCs w:val="0"/>
          <w:noProof w:val="0"/>
          <w:sz w:val="22"/>
          <w:szCs w:val="22"/>
          <w:lang w:val="en-GB"/>
        </w:rPr>
        <w:t xml:space="preserve">, and </w:t>
      </w:r>
      <w:r w:rsidRPr="4FFD3E6A" w:rsidR="08468418">
        <w:rPr>
          <w:rFonts w:ascii="Arial" w:hAnsi="Arial" w:eastAsia="Arial" w:cs="Arial"/>
          <w:i w:val="0"/>
          <w:iCs w:val="0"/>
          <w:noProof w:val="0"/>
          <w:sz w:val="22"/>
          <w:szCs w:val="22"/>
          <w:lang w:val="en-GB"/>
        </w:rPr>
        <w:t>refreezing</w:t>
      </w:r>
      <w:r w:rsidRPr="4FFD3E6A" w:rsidR="08468418">
        <w:rPr>
          <w:rFonts w:ascii="Arial" w:hAnsi="Arial" w:eastAsia="Arial" w:cs="Arial"/>
          <w:i w:val="0"/>
          <w:iCs w:val="0"/>
          <w:noProof w:val="0"/>
          <w:sz w:val="22"/>
          <w:szCs w:val="22"/>
          <w:lang w:val="en-GB"/>
        </w:rPr>
        <w:t>. The model emphasises the importance of preparing an organisation for change, implementing the change, and then stabilising new behaviours. I</w:t>
      </w:r>
      <w:r w:rsidRPr="4FFD3E6A" w:rsidR="08468418">
        <w:rPr>
          <w:rFonts w:ascii="Arial" w:hAnsi="Arial" w:eastAsia="Arial" w:cs="Arial"/>
          <w:noProof w:val="0"/>
          <w:sz w:val="22"/>
          <w:szCs w:val="22"/>
          <w:lang w:val="en-GB"/>
        </w:rPr>
        <w:t>ts simplicity and clarity make it useful for understanding the fundamental stages of change, particularly in relatively stable environments.</w:t>
      </w:r>
    </w:p>
    <w:p xmlns:wp14="http://schemas.microsoft.com/office/word/2010/wordml" w:rsidP="4FFD3E6A" wp14:paraId="414BF960" wp14:textId="60938F93">
      <w:pPr>
        <w:spacing w:before="240" w:beforeAutospacing="off" w:after="240" w:afterAutospacing="off"/>
      </w:pPr>
      <w:r w:rsidRPr="4FFD3E6A" w:rsidR="08468418">
        <w:rPr>
          <w:rFonts w:ascii="Arial" w:hAnsi="Arial" w:eastAsia="Arial" w:cs="Arial"/>
          <w:noProof w:val="0"/>
          <w:sz w:val="22"/>
          <w:szCs w:val="22"/>
          <w:lang w:val="en-GB"/>
        </w:rPr>
        <w:t>However, the model has been widely criticised for its oversimplification and assumption that organisational environments are static (Burnes, 2017). In the context of Tesco, which operates in a continuously evolving retail environment characterised by digital disruption, economic volatility, and changing consumer expectations, the notion of “refreezing” is problematic. Tesco must remain adaptable rather than stabilising around a single change initiative. Consequently, while Lewin’s model provides a useful conceptual foundation, it lacks the flexibility required for managing continuous and overlapping change within a large-scale organisation.</w:t>
      </w:r>
    </w:p>
    <w:p xmlns:wp14="http://schemas.microsoft.com/office/word/2010/wordml" w:rsidP="55B2D1B6" wp14:paraId="3128CE05" wp14:textId="29D5C8F4">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861109149" w:id="23848367"/>
      <w:r w:rsidRPr="55B2D1B6" w:rsidR="445F9F10">
        <w:rPr>
          <w:rFonts w:ascii="Arial" w:hAnsi="Arial" w:eastAsia="Arial" w:cs="Arial"/>
          <w:b w:val="1"/>
          <w:bCs w:val="1"/>
          <w:noProof w:val="0"/>
          <w:color w:val="auto"/>
          <w:sz w:val="28"/>
          <w:szCs w:val="28"/>
          <w:lang w:val="en-GB"/>
        </w:rPr>
        <w:t>Kotter’s Eight-Step Model</w:t>
      </w:r>
      <w:bookmarkEnd w:id="23848367"/>
    </w:p>
    <w:p xmlns:wp14="http://schemas.microsoft.com/office/word/2010/wordml" w:rsidP="4FFD3E6A" wp14:paraId="5AD9F524" wp14:textId="2FCB2E2C">
      <w:pPr>
        <w:spacing w:before="240" w:beforeAutospacing="off" w:after="240" w:afterAutospacing="off"/>
      </w:pPr>
      <w:r w:rsidRPr="4FFD3E6A" w:rsidR="08468418">
        <w:rPr>
          <w:rFonts w:ascii="Arial" w:hAnsi="Arial" w:eastAsia="Arial" w:cs="Arial"/>
          <w:noProof w:val="0"/>
          <w:sz w:val="22"/>
          <w:szCs w:val="22"/>
          <w:lang w:val="en-GB"/>
        </w:rPr>
        <w:t>Kotter’s (1996) Eight-Step Model offers a more detailed and leadership-driven approach to change management. The model emphasises creating a sense of urgency, building a guiding coalition, developing and communicating a clear vision, empowering employees, and embedding change within organisational culture. This structured approach is particularly relevant to large organisations where coordination, communication, and leadership alignment are critical.</w:t>
      </w:r>
    </w:p>
    <w:p xmlns:wp14="http://schemas.microsoft.com/office/word/2010/wordml" w:rsidP="4FFD3E6A" wp14:paraId="6269BEB0" wp14:textId="172F93EE">
      <w:pPr>
        <w:spacing w:before="240" w:beforeAutospacing="off" w:after="240" w:afterAutospacing="off"/>
      </w:pPr>
      <w:r w:rsidRPr="4FFD3E6A" w:rsidR="08468418">
        <w:rPr>
          <w:rFonts w:ascii="Arial" w:hAnsi="Arial" w:eastAsia="Arial" w:cs="Arial"/>
          <w:noProof w:val="0"/>
          <w:sz w:val="22"/>
          <w:szCs w:val="22"/>
          <w:lang w:val="en-GB"/>
        </w:rPr>
        <w:t>Kotter’s model is well suited to Tesco’s strategic challenges, as it highlights the importance of leadership commitment and employee engagement during major transformation initiatives. The model’s focus on communication and short-term wins is especially valuable in addressing employee resistance and maintaining momentum across geographically dispersed store networks. However, critics argue that Kotter’s model assumes a top-down approach to change, which may limit employee involvement and adaptability (Appelbaum et al., 2012). In Tesco’s case, where frontline employees play a critical role in service delivery, excessive reliance on hierarchical change processes could reduce ownership and engagement at store level.</w:t>
      </w:r>
    </w:p>
    <w:p xmlns:wp14="http://schemas.microsoft.com/office/word/2010/wordml" w:rsidP="55B2D1B6" wp14:paraId="5E062B61" wp14:textId="274EC3D0">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1019156515" w:id="1461125817"/>
      <w:r w:rsidRPr="55B2D1B6" w:rsidR="445F9F10">
        <w:rPr>
          <w:rFonts w:ascii="Arial" w:hAnsi="Arial" w:eastAsia="Arial" w:cs="Arial"/>
          <w:b w:val="1"/>
          <w:bCs w:val="1"/>
          <w:noProof w:val="0"/>
          <w:color w:val="auto"/>
          <w:sz w:val="28"/>
          <w:szCs w:val="28"/>
          <w:lang w:val="en-GB"/>
        </w:rPr>
        <w:t>ADKAR Model</w:t>
      </w:r>
      <w:bookmarkEnd w:id="1461125817"/>
    </w:p>
    <w:p xmlns:wp14="http://schemas.microsoft.com/office/word/2010/wordml" w:rsidP="4FFD3E6A" wp14:paraId="13B5EDCA" wp14:textId="0AD040B9">
      <w:pPr>
        <w:spacing w:before="240" w:beforeAutospacing="off" w:after="240" w:afterAutospacing="off"/>
      </w:pPr>
      <w:r w:rsidRPr="4FFD3E6A" w:rsidR="08468418">
        <w:rPr>
          <w:rFonts w:ascii="Arial" w:hAnsi="Arial" w:eastAsia="Arial" w:cs="Arial"/>
          <w:noProof w:val="0"/>
          <w:sz w:val="22"/>
          <w:szCs w:val="22"/>
          <w:lang w:val="en-GB"/>
        </w:rPr>
        <w:t xml:space="preserve">The ADKAR model, developed by Hiatt (2006), focuses on managing change at the individual level through five stages: </w:t>
      </w:r>
      <w:r w:rsidRPr="4FFD3E6A" w:rsidR="08468418">
        <w:rPr>
          <w:rFonts w:ascii="Arial" w:hAnsi="Arial" w:eastAsia="Arial" w:cs="Arial"/>
          <w:i w:val="0"/>
          <w:iCs w:val="0"/>
          <w:noProof w:val="0"/>
          <w:sz w:val="22"/>
          <w:szCs w:val="22"/>
          <w:lang w:val="en-GB"/>
        </w:rPr>
        <w:t>Awareness</w:t>
      </w:r>
      <w:r w:rsidRPr="4FFD3E6A" w:rsidR="08468418">
        <w:rPr>
          <w:rFonts w:ascii="Arial" w:hAnsi="Arial" w:eastAsia="Arial" w:cs="Arial"/>
          <w:i w:val="0"/>
          <w:iCs w:val="0"/>
          <w:noProof w:val="0"/>
          <w:sz w:val="22"/>
          <w:szCs w:val="22"/>
          <w:lang w:val="en-GB"/>
        </w:rPr>
        <w:t xml:space="preserve">, </w:t>
      </w:r>
      <w:r w:rsidRPr="4FFD3E6A" w:rsidR="08468418">
        <w:rPr>
          <w:rFonts w:ascii="Arial" w:hAnsi="Arial" w:eastAsia="Arial" w:cs="Arial"/>
          <w:i w:val="0"/>
          <w:iCs w:val="0"/>
          <w:noProof w:val="0"/>
          <w:sz w:val="22"/>
          <w:szCs w:val="22"/>
          <w:lang w:val="en-GB"/>
        </w:rPr>
        <w:t>Desire</w:t>
      </w:r>
      <w:r w:rsidRPr="4FFD3E6A" w:rsidR="08468418">
        <w:rPr>
          <w:rFonts w:ascii="Arial" w:hAnsi="Arial" w:eastAsia="Arial" w:cs="Arial"/>
          <w:i w:val="0"/>
          <w:iCs w:val="0"/>
          <w:noProof w:val="0"/>
          <w:sz w:val="22"/>
          <w:szCs w:val="22"/>
          <w:lang w:val="en-GB"/>
        </w:rPr>
        <w:t xml:space="preserve">, </w:t>
      </w:r>
      <w:r w:rsidRPr="4FFD3E6A" w:rsidR="08468418">
        <w:rPr>
          <w:rFonts w:ascii="Arial" w:hAnsi="Arial" w:eastAsia="Arial" w:cs="Arial"/>
          <w:i w:val="0"/>
          <w:iCs w:val="0"/>
          <w:noProof w:val="0"/>
          <w:sz w:val="22"/>
          <w:szCs w:val="22"/>
          <w:lang w:val="en-GB"/>
        </w:rPr>
        <w:t>Knowledge</w:t>
      </w:r>
      <w:r w:rsidRPr="4FFD3E6A" w:rsidR="08468418">
        <w:rPr>
          <w:rFonts w:ascii="Arial" w:hAnsi="Arial" w:eastAsia="Arial" w:cs="Arial"/>
          <w:i w:val="0"/>
          <w:iCs w:val="0"/>
          <w:noProof w:val="0"/>
          <w:sz w:val="22"/>
          <w:szCs w:val="22"/>
          <w:lang w:val="en-GB"/>
        </w:rPr>
        <w:t xml:space="preserve">, </w:t>
      </w:r>
      <w:r w:rsidRPr="4FFD3E6A" w:rsidR="08468418">
        <w:rPr>
          <w:rFonts w:ascii="Arial" w:hAnsi="Arial" w:eastAsia="Arial" w:cs="Arial"/>
          <w:i w:val="0"/>
          <w:iCs w:val="0"/>
          <w:noProof w:val="0"/>
          <w:sz w:val="22"/>
          <w:szCs w:val="22"/>
          <w:lang w:val="en-GB"/>
        </w:rPr>
        <w:t>Ability</w:t>
      </w:r>
      <w:r w:rsidRPr="4FFD3E6A" w:rsidR="08468418">
        <w:rPr>
          <w:rFonts w:ascii="Arial" w:hAnsi="Arial" w:eastAsia="Arial" w:cs="Arial"/>
          <w:i w:val="0"/>
          <w:iCs w:val="0"/>
          <w:noProof w:val="0"/>
          <w:sz w:val="22"/>
          <w:szCs w:val="22"/>
          <w:lang w:val="en-GB"/>
        </w:rPr>
        <w:t xml:space="preserve">, and </w:t>
      </w:r>
      <w:r w:rsidRPr="4FFD3E6A" w:rsidR="08468418">
        <w:rPr>
          <w:rFonts w:ascii="Arial" w:hAnsi="Arial" w:eastAsia="Arial" w:cs="Arial"/>
          <w:i w:val="0"/>
          <w:iCs w:val="0"/>
          <w:noProof w:val="0"/>
          <w:sz w:val="22"/>
          <w:szCs w:val="22"/>
          <w:lang w:val="en-GB"/>
        </w:rPr>
        <w:t>Reinforcement</w:t>
      </w:r>
      <w:r w:rsidRPr="4FFD3E6A" w:rsidR="08468418">
        <w:rPr>
          <w:rFonts w:ascii="Arial" w:hAnsi="Arial" w:eastAsia="Arial" w:cs="Arial"/>
          <w:i w:val="0"/>
          <w:iCs w:val="0"/>
          <w:noProof w:val="0"/>
          <w:sz w:val="22"/>
          <w:szCs w:val="22"/>
          <w:lang w:val="en-GB"/>
        </w:rPr>
        <w:t>. Unlike Lewin and Kotter, ADKAR explicitly recognise</w:t>
      </w:r>
      <w:r w:rsidRPr="4FFD3E6A" w:rsidR="08468418">
        <w:rPr>
          <w:rFonts w:ascii="Arial" w:hAnsi="Arial" w:eastAsia="Arial" w:cs="Arial"/>
          <w:noProof w:val="0"/>
          <w:sz w:val="22"/>
          <w:szCs w:val="22"/>
          <w:lang w:val="en-GB"/>
        </w:rPr>
        <w:t>s that organisational change is only successful when individuals change their behaviours and attitudes.</w:t>
      </w:r>
    </w:p>
    <w:p xmlns:wp14="http://schemas.microsoft.com/office/word/2010/wordml" w:rsidP="4FFD3E6A" wp14:paraId="46790916" wp14:textId="3171590C">
      <w:pPr>
        <w:spacing w:before="240" w:beforeAutospacing="off" w:after="240" w:afterAutospacing="off"/>
      </w:pPr>
      <w:r w:rsidRPr="4FFD3E6A" w:rsidR="08468418">
        <w:rPr>
          <w:rFonts w:ascii="Arial" w:hAnsi="Arial" w:eastAsia="Arial" w:cs="Arial"/>
          <w:noProof w:val="0"/>
          <w:sz w:val="22"/>
          <w:szCs w:val="22"/>
          <w:lang w:val="en-GB"/>
        </w:rPr>
        <w:t>This model is particularly relevant to Tesco’s workforce challenges, including the adoption of digital technologies, self-service systems, and AI-driven processes. ADKAR provides a practical framework for addressing employee resistance, skill gaps, and engagement issues through targeted communication, training, and support. However, ADKAR has been criticised for its limited strategic focus, as it does not provide detailed guidance on aligning change initiatives with organisational strategy or external environmental pressures (Hornstein, 2015). As such, while ADKAR is highly effective for managing the human aspects of change, it is insufficient as a standalone model for large-scale strategic transformation.</w:t>
      </w:r>
    </w:p>
    <w:p xmlns:wp14="http://schemas.microsoft.com/office/word/2010/wordml" w:rsidP="4FFD3E6A" wp14:paraId="354D9EBF" wp14:textId="72E7C241">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847261483" w:id="1217739284"/>
      <w:r w:rsidRPr="55B2D1B6" w:rsidR="445F9F10">
        <w:rPr>
          <w:rFonts w:ascii="Arial" w:hAnsi="Arial" w:eastAsia="Arial" w:cs="Arial"/>
          <w:b w:val="1"/>
          <w:bCs w:val="1"/>
          <w:noProof w:val="0"/>
          <w:color w:val="auto"/>
          <w:sz w:val="28"/>
          <w:szCs w:val="28"/>
          <w:lang w:val="en-GB"/>
        </w:rPr>
        <w:t>McKinsey 7S Framework</w:t>
      </w:r>
      <w:bookmarkEnd w:id="1217739284"/>
    </w:p>
    <w:p xmlns:wp14="http://schemas.microsoft.com/office/word/2010/wordml" w:rsidP="4FFD3E6A" wp14:paraId="2358F1D8" wp14:textId="0DE5F29B">
      <w:pPr>
        <w:spacing w:before="240" w:beforeAutospacing="off" w:after="240" w:afterAutospacing="off"/>
      </w:pPr>
      <w:r w:rsidRPr="4FFD3E6A" w:rsidR="08468418">
        <w:rPr>
          <w:rFonts w:ascii="Arial" w:hAnsi="Arial" w:eastAsia="Arial" w:cs="Arial"/>
          <w:noProof w:val="0"/>
          <w:sz w:val="22"/>
          <w:szCs w:val="22"/>
          <w:lang w:val="en-GB"/>
        </w:rPr>
        <w:t xml:space="preserve">The McKinsey 7S Framework offers a holistic perspective by examining seven interdependent elements: </w:t>
      </w:r>
      <w:r w:rsidRPr="4FFD3E6A" w:rsidR="08468418">
        <w:rPr>
          <w:rFonts w:ascii="Arial" w:hAnsi="Arial" w:eastAsia="Arial" w:cs="Arial"/>
          <w:i w:val="0"/>
          <w:iCs w:val="0"/>
          <w:noProof w:val="0"/>
          <w:sz w:val="22"/>
          <w:szCs w:val="22"/>
          <w:lang w:val="en-GB"/>
        </w:rPr>
        <w:t>strategy, structure, systems, shared values, style, staff, and skills</w:t>
      </w:r>
      <w:r w:rsidRPr="4FFD3E6A" w:rsidR="08468418">
        <w:rPr>
          <w:rFonts w:ascii="Arial" w:hAnsi="Arial" w:eastAsia="Arial" w:cs="Arial"/>
          <w:noProof w:val="0"/>
          <w:sz w:val="22"/>
          <w:szCs w:val="22"/>
          <w:lang w:val="en-GB"/>
        </w:rPr>
        <w:t xml:space="preserve"> (Waterman et al., 1980). The framework is particularly useful for diagnosing organisational alignment and </w:t>
      </w:r>
      <w:r w:rsidRPr="4FFD3E6A" w:rsidR="08468418">
        <w:rPr>
          <w:rFonts w:ascii="Arial" w:hAnsi="Arial" w:eastAsia="Arial" w:cs="Arial"/>
          <w:noProof w:val="0"/>
          <w:sz w:val="22"/>
          <w:szCs w:val="22"/>
          <w:lang w:val="en-GB"/>
        </w:rPr>
        <w:t>identifying</w:t>
      </w:r>
      <w:r w:rsidRPr="4FFD3E6A" w:rsidR="08468418">
        <w:rPr>
          <w:rFonts w:ascii="Arial" w:hAnsi="Arial" w:eastAsia="Arial" w:cs="Arial"/>
          <w:noProof w:val="0"/>
          <w:sz w:val="22"/>
          <w:szCs w:val="22"/>
          <w:lang w:val="en-GB"/>
        </w:rPr>
        <w:t xml:space="preserve"> internal barriers to change.</w:t>
      </w:r>
    </w:p>
    <w:p xmlns:wp14="http://schemas.microsoft.com/office/word/2010/wordml" w:rsidP="4FFD3E6A" wp14:paraId="1FD0505B" wp14:textId="34967D15">
      <w:pPr>
        <w:spacing w:before="240" w:beforeAutospacing="off" w:after="240" w:afterAutospacing="off"/>
      </w:pPr>
      <w:r w:rsidRPr="4FFD3E6A" w:rsidR="08468418">
        <w:rPr>
          <w:rFonts w:ascii="Arial" w:hAnsi="Arial" w:eastAsia="Arial" w:cs="Arial"/>
          <w:noProof w:val="0"/>
          <w:sz w:val="22"/>
          <w:szCs w:val="22"/>
          <w:lang w:val="en-GB"/>
        </w:rPr>
        <w:t>In Tesco’s context, the 7S framework highlights misalignments between technological systems and workforce skills, as well as between strategic objectives and shared values at store level. The model encourages a systems-thinking approach, recognising that change in one area inevitably affects others. However, the framework is diagnostic rather than prescriptive and does not provide a clear implementation roadmap. As a result, while it is valuable for understanding organisational readiness for change, it must be complemented by more action-oriented models.</w:t>
      </w:r>
    </w:p>
    <w:p xmlns:wp14="http://schemas.microsoft.com/office/word/2010/wordml" w:rsidP="4FFD3E6A" wp14:paraId="53F9720E" wp14:textId="14F8B8FE">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340628477" w:id="40852882"/>
      <w:r w:rsidRPr="55B2D1B6" w:rsidR="445F9F10">
        <w:rPr>
          <w:rFonts w:ascii="Arial" w:hAnsi="Arial" w:eastAsia="Arial" w:cs="Arial"/>
          <w:b w:val="1"/>
          <w:bCs w:val="1"/>
          <w:noProof w:val="0"/>
          <w:color w:val="auto"/>
          <w:sz w:val="28"/>
          <w:szCs w:val="28"/>
          <w:lang w:val="en-GB"/>
        </w:rPr>
        <w:t>Justification of a Hybrid Change Management Approach</w:t>
      </w:r>
      <w:bookmarkEnd w:id="40852882"/>
    </w:p>
    <w:p xmlns:wp14="http://schemas.microsoft.com/office/word/2010/wordml" w:rsidP="4FFD3E6A" wp14:paraId="0C5A2FE1" wp14:textId="636A947D">
      <w:pPr>
        <w:spacing w:before="240" w:beforeAutospacing="off" w:after="240" w:afterAutospacing="off"/>
      </w:pPr>
      <w:r w:rsidRPr="4FFD3E6A" w:rsidR="08468418">
        <w:rPr>
          <w:rFonts w:ascii="Arial" w:hAnsi="Arial" w:eastAsia="Arial" w:cs="Arial"/>
          <w:noProof w:val="0"/>
          <w:sz w:val="22"/>
          <w:szCs w:val="22"/>
          <w:lang w:val="en-GB"/>
        </w:rPr>
        <w:t xml:space="preserve">Given the complexity of Tesco’s operating environment and the multifaceted nature of its strategic challenges, no single change management model is sufficient in isolation. This report therefore proposes a </w:t>
      </w:r>
      <w:r w:rsidRPr="4FFD3E6A" w:rsidR="08468418">
        <w:rPr>
          <w:rFonts w:ascii="Arial" w:hAnsi="Arial" w:eastAsia="Arial" w:cs="Arial"/>
          <w:b w:val="0"/>
          <w:bCs w:val="0"/>
          <w:noProof w:val="0"/>
          <w:sz w:val="22"/>
          <w:szCs w:val="22"/>
          <w:lang w:val="en-GB"/>
        </w:rPr>
        <w:t>hybrid change management approach</w:t>
      </w:r>
      <w:r w:rsidRPr="4FFD3E6A" w:rsidR="08468418">
        <w:rPr>
          <w:rFonts w:ascii="Arial" w:hAnsi="Arial" w:eastAsia="Arial" w:cs="Arial"/>
          <w:noProof w:val="0"/>
          <w:sz w:val="22"/>
          <w:szCs w:val="22"/>
          <w:lang w:val="en-GB"/>
        </w:rPr>
        <w:t>, combining elements of Kotter’s Eight-Step Model, the ADKAR model, and the McKinsey 7S Framework.</w:t>
      </w:r>
    </w:p>
    <w:p xmlns:wp14="http://schemas.microsoft.com/office/word/2010/wordml" w:rsidP="4FFD3E6A" wp14:paraId="362B22AD" wp14:textId="7503B380">
      <w:pPr>
        <w:spacing w:before="240" w:beforeAutospacing="off" w:after="240" w:afterAutospacing="off"/>
      </w:pPr>
      <w:r w:rsidRPr="4FFD3E6A" w:rsidR="08468418">
        <w:rPr>
          <w:rFonts w:ascii="Arial" w:hAnsi="Arial" w:eastAsia="Arial" w:cs="Arial"/>
          <w:noProof w:val="0"/>
          <w:sz w:val="22"/>
          <w:szCs w:val="22"/>
          <w:lang w:val="en-GB"/>
        </w:rPr>
        <w:t>Kotter’s model provides a robust strategic structure for initiating and sustaining large-scale change, particularly through leadership alignment, vision communication, and cultural embedding. ADKAR complements this by addressing individual-level change, ensuring that employees possess the awareness, motivation, and capability required to implement new systems and processes. The McKinsey 7S Framework supports this approach by ensuring alignment across organisational elements, reducing the risk of fragmented or inconsistent change initiatives.</w:t>
      </w:r>
    </w:p>
    <w:p xmlns:wp14="http://schemas.microsoft.com/office/word/2010/wordml" w:rsidP="4FFD3E6A" wp14:paraId="69330818" wp14:textId="49A4C150">
      <w:pPr>
        <w:spacing w:before="240" w:beforeAutospacing="off" w:after="240" w:afterAutospacing="off"/>
      </w:pPr>
      <w:r w:rsidRPr="0124D3B5" w:rsidR="054D7E05">
        <w:rPr>
          <w:rFonts w:ascii="Arial" w:hAnsi="Arial" w:eastAsia="Arial" w:cs="Arial"/>
          <w:noProof w:val="0"/>
          <w:sz w:val="22"/>
          <w:szCs w:val="22"/>
          <w:lang w:val="en-GB"/>
        </w:rPr>
        <w:t>This integrated approach is particularly suited to Tesco, as it balances strategic direction with employee engagement and organisational alignment. It enables the organisation to respond proactively to digital disruption, competitive pressures, and internal capability gaps while minimising resistance and enhancing long-term sustainability.</w:t>
      </w:r>
    </w:p>
    <w:p xmlns:wp14="http://schemas.microsoft.com/office/word/2010/wordml" w:rsidP="4FFD3E6A" wp14:paraId="07C3542D" wp14:textId="24220501">
      <w:pPr>
        <w:pStyle w:val="Heading2"/>
        <w:spacing w:before="299" w:beforeAutospacing="off" w:after="299" w:afterAutospacing="off"/>
        <w:rPr>
          <w:rFonts w:ascii="Arial" w:hAnsi="Arial" w:eastAsia="Arial" w:cs="Arial"/>
          <w:b w:val="1"/>
          <w:bCs w:val="1"/>
          <w:noProof w:val="0"/>
          <w:color w:val="auto"/>
          <w:sz w:val="36"/>
          <w:szCs w:val="36"/>
          <w:lang w:val="en-GB"/>
        </w:rPr>
      </w:pPr>
      <w:bookmarkStart w:name="_Toc2146578403" w:id="1329761627"/>
      <w:r w:rsidRPr="55B2D1B6" w:rsidR="2104544E">
        <w:rPr>
          <w:rFonts w:ascii="Arial" w:hAnsi="Arial" w:eastAsia="Arial" w:cs="Arial"/>
          <w:b w:val="1"/>
          <w:bCs w:val="1"/>
          <w:noProof w:val="0"/>
          <w:color w:val="auto"/>
          <w:sz w:val="36"/>
          <w:szCs w:val="36"/>
          <w:lang w:val="en-GB"/>
        </w:rPr>
        <w:t>Leadership and Organisational Culture in Change</w:t>
      </w:r>
      <w:r w:rsidRPr="55B2D1B6" w:rsidR="21188C49">
        <w:rPr>
          <w:rFonts w:ascii="Arial" w:hAnsi="Arial" w:eastAsia="Arial" w:cs="Arial"/>
          <w:b w:val="1"/>
          <w:bCs w:val="1"/>
          <w:noProof w:val="0"/>
          <w:color w:val="auto"/>
          <w:sz w:val="36"/>
          <w:szCs w:val="36"/>
          <w:lang w:val="en-GB"/>
        </w:rPr>
        <w:t xml:space="preserve"> Management</w:t>
      </w:r>
      <w:bookmarkEnd w:id="1329761627"/>
    </w:p>
    <w:p xmlns:wp14="http://schemas.microsoft.com/office/word/2010/wordml" w:rsidP="4FFD3E6A" wp14:paraId="00ADF1A5" wp14:textId="55FBEA92">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 xml:space="preserve">Leadership and organisational culture play a decisive role in </w:t>
      </w:r>
      <w:r w:rsidRPr="4FFD3E6A" w:rsidR="4D78586E">
        <w:rPr>
          <w:rFonts w:ascii="Arial" w:hAnsi="Arial" w:eastAsia="Arial" w:cs="Arial"/>
          <w:noProof w:val="0"/>
          <w:sz w:val="22"/>
          <w:szCs w:val="22"/>
          <w:lang w:val="en-GB"/>
        </w:rPr>
        <w:t>determining</w:t>
      </w:r>
      <w:r w:rsidRPr="4FFD3E6A" w:rsidR="4D78586E">
        <w:rPr>
          <w:rFonts w:ascii="Arial" w:hAnsi="Arial" w:eastAsia="Arial" w:cs="Arial"/>
          <w:noProof w:val="0"/>
          <w:sz w:val="22"/>
          <w:szCs w:val="22"/>
          <w:lang w:val="en-GB"/>
        </w:rPr>
        <w:t xml:space="preserve"> the success of change management initiatives. In large, complex organisations such as Tesco, strategic change cannot be achieved through structural or technological adjustments alone. Instead, effective leadership </w:t>
      </w:r>
      <w:r w:rsidRPr="4FFD3E6A" w:rsidR="4D78586E">
        <w:rPr>
          <w:rFonts w:ascii="Arial" w:hAnsi="Arial" w:eastAsia="Arial" w:cs="Arial"/>
          <w:noProof w:val="0"/>
          <w:sz w:val="22"/>
          <w:szCs w:val="22"/>
          <w:lang w:val="en-GB"/>
        </w:rPr>
        <w:t>is required to</w:t>
      </w:r>
      <w:r w:rsidRPr="4FFD3E6A" w:rsidR="4D78586E">
        <w:rPr>
          <w:rFonts w:ascii="Arial" w:hAnsi="Arial" w:eastAsia="Arial" w:cs="Arial"/>
          <w:noProof w:val="0"/>
          <w:sz w:val="22"/>
          <w:szCs w:val="22"/>
          <w:lang w:val="en-GB"/>
        </w:rPr>
        <w:t xml:space="preserve"> guide employees through uncertainty, while organisational culture can either enable or constrain the adoption of new behaviours. This section critically analyses the role of leadership styles and organisational culture in Tesco’s change management efforts, drawing on </w:t>
      </w:r>
      <w:r w:rsidRPr="4FFD3E6A" w:rsidR="4D78586E">
        <w:rPr>
          <w:rFonts w:ascii="Arial" w:hAnsi="Arial" w:eastAsia="Arial" w:cs="Arial"/>
          <w:noProof w:val="0"/>
          <w:sz w:val="22"/>
          <w:szCs w:val="22"/>
          <w:lang w:val="en-GB"/>
        </w:rPr>
        <w:t>established</w:t>
      </w:r>
      <w:r w:rsidRPr="4FFD3E6A" w:rsidR="4D78586E">
        <w:rPr>
          <w:rFonts w:ascii="Arial" w:hAnsi="Arial" w:eastAsia="Arial" w:cs="Arial"/>
          <w:noProof w:val="0"/>
          <w:sz w:val="22"/>
          <w:szCs w:val="22"/>
          <w:lang w:val="en-GB"/>
        </w:rPr>
        <w:t xml:space="preserve"> theoretical frameworks.</w:t>
      </w:r>
    </w:p>
    <w:p xmlns:wp14="http://schemas.microsoft.com/office/word/2010/wordml" w:rsidP="4FFD3E6A" wp14:paraId="6FC78DC4" wp14:textId="6D7EAEA3">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1230550796" w:id="1102802575"/>
      <w:r w:rsidRPr="55B2D1B6" w:rsidR="2104544E">
        <w:rPr>
          <w:rFonts w:ascii="Arial" w:hAnsi="Arial" w:eastAsia="Arial" w:cs="Arial"/>
          <w:b w:val="1"/>
          <w:bCs w:val="1"/>
          <w:noProof w:val="0"/>
          <w:color w:val="auto"/>
          <w:sz w:val="28"/>
          <w:szCs w:val="28"/>
          <w:lang w:val="en-GB"/>
        </w:rPr>
        <w:t>Leadership and Change Management</w:t>
      </w:r>
      <w:bookmarkEnd w:id="1102802575"/>
    </w:p>
    <w:p xmlns:wp14="http://schemas.microsoft.com/office/word/2010/wordml" w:rsidP="4FFD3E6A" wp14:paraId="3F8F3D60" wp14:textId="5DB4DD86">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Leadership is widely recognised as a central driver of successful organisational change. Transformational leadership</w:t>
      </w:r>
      <w:r w:rsidRPr="4FFD3E6A" w:rsidR="4C856332">
        <w:rPr>
          <w:rFonts w:ascii="Arial" w:hAnsi="Arial" w:eastAsia="Arial" w:cs="Arial"/>
          <w:noProof w:val="0"/>
          <w:sz w:val="22"/>
          <w:szCs w:val="22"/>
          <w:lang w:val="en-GB"/>
        </w:rPr>
        <w:t xml:space="preserve"> is</w:t>
      </w:r>
      <w:r w:rsidRPr="4FFD3E6A" w:rsidR="4D78586E">
        <w:rPr>
          <w:rFonts w:ascii="Arial" w:hAnsi="Arial" w:eastAsia="Arial" w:cs="Arial"/>
          <w:noProof w:val="0"/>
          <w:sz w:val="22"/>
          <w:szCs w:val="22"/>
          <w:lang w:val="en-GB"/>
        </w:rPr>
        <w:t xml:space="preserve"> regarded as highly effective in periods of strategic change, as it emphasises vision, inspiration, and employee empowerment (Bass and Riggio, 2006). Transformational leaders motivate employees to embrace change by aligning individual goals with organisational </w:t>
      </w:r>
      <w:r w:rsidRPr="4FFD3E6A" w:rsidR="4D78586E">
        <w:rPr>
          <w:rFonts w:ascii="Arial" w:hAnsi="Arial" w:eastAsia="Arial" w:cs="Arial"/>
          <w:noProof w:val="0"/>
          <w:sz w:val="22"/>
          <w:szCs w:val="22"/>
          <w:lang w:val="en-GB"/>
        </w:rPr>
        <w:t>objectives</w:t>
      </w:r>
      <w:r w:rsidRPr="4FFD3E6A" w:rsidR="4D78586E">
        <w:rPr>
          <w:rFonts w:ascii="Arial" w:hAnsi="Arial" w:eastAsia="Arial" w:cs="Arial"/>
          <w:noProof w:val="0"/>
          <w:sz w:val="22"/>
          <w:szCs w:val="22"/>
          <w:lang w:val="en-GB"/>
        </w:rPr>
        <w:t xml:space="preserve"> and fostering commitment rather than compliance.</w:t>
      </w:r>
    </w:p>
    <w:p xmlns:wp14="http://schemas.microsoft.com/office/word/2010/wordml" w:rsidP="4FFD3E6A" wp14:paraId="0DF8530C" wp14:textId="441F8574">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 xml:space="preserve">In the context of Tesco, transformational leadership is especially relevant due to the scale of its workforce and the complexity of its operations. Strategic initiatives such as digital transformation, AI adoption, and new operating models require employees at all levels to adapt their skills and behaviours. Leaders who articulate </w:t>
      </w:r>
      <w:r w:rsidRPr="4FFD3E6A" w:rsidR="4D78586E">
        <w:rPr>
          <w:rFonts w:ascii="Arial" w:hAnsi="Arial" w:eastAsia="Arial" w:cs="Arial"/>
          <w:noProof w:val="0"/>
          <w:sz w:val="22"/>
          <w:szCs w:val="22"/>
          <w:lang w:val="en-GB"/>
        </w:rPr>
        <w:t>a clear vision</w:t>
      </w:r>
      <w:r w:rsidRPr="4FFD3E6A" w:rsidR="4D78586E">
        <w:rPr>
          <w:rFonts w:ascii="Arial" w:hAnsi="Arial" w:eastAsia="Arial" w:cs="Arial"/>
          <w:noProof w:val="0"/>
          <w:sz w:val="22"/>
          <w:szCs w:val="22"/>
          <w:lang w:val="en-GB"/>
        </w:rPr>
        <w:t xml:space="preserve"> for change and </w:t>
      </w:r>
      <w:r w:rsidRPr="4FFD3E6A" w:rsidR="4D78586E">
        <w:rPr>
          <w:rFonts w:ascii="Arial" w:hAnsi="Arial" w:eastAsia="Arial" w:cs="Arial"/>
          <w:noProof w:val="0"/>
          <w:sz w:val="22"/>
          <w:szCs w:val="22"/>
          <w:lang w:val="en-GB"/>
        </w:rPr>
        <w:t>demonstrate</w:t>
      </w:r>
      <w:r w:rsidRPr="4FFD3E6A" w:rsidR="4D78586E">
        <w:rPr>
          <w:rFonts w:ascii="Arial" w:hAnsi="Arial" w:eastAsia="Arial" w:cs="Arial"/>
          <w:noProof w:val="0"/>
          <w:sz w:val="22"/>
          <w:szCs w:val="22"/>
          <w:lang w:val="en-GB"/>
        </w:rPr>
        <w:t xml:space="preserve"> commitment through consistent actions are more likely to build trust and reduce resistance. Evidence from organisational change literature suggests that employees are more receptive to change when leaders communicate transparently and model the desired behaviours (Kotter, 1996).</w:t>
      </w:r>
    </w:p>
    <w:p xmlns:wp14="http://schemas.microsoft.com/office/word/2010/wordml" w:rsidP="4FFD3E6A" wp14:paraId="1C140C2C" wp14:textId="5D5C9E65">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 xml:space="preserve">However, transformational leadership alone may be insufficient in a highly operational environment such as grocery retail. Tesco also </w:t>
      </w:r>
      <w:r w:rsidRPr="4FFD3E6A" w:rsidR="4D78586E">
        <w:rPr>
          <w:rFonts w:ascii="Arial" w:hAnsi="Arial" w:eastAsia="Arial" w:cs="Arial"/>
          <w:noProof w:val="0"/>
          <w:sz w:val="22"/>
          <w:szCs w:val="22"/>
          <w:lang w:val="en-GB"/>
        </w:rPr>
        <w:t>requires</w:t>
      </w:r>
      <w:r w:rsidRPr="4FFD3E6A" w:rsidR="4D78586E">
        <w:rPr>
          <w:rFonts w:ascii="Arial" w:hAnsi="Arial" w:eastAsia="Arial" w:cs="Arial"/>
          <w:noProof w:val="0"/>
          <w:sz w:val="22"/>
          <w:szCs w:val="22"/>
          <w:lang w:val="en-GB"/>
        </w:rPr>
        <w:t xml:space="preserve"> elements of</w:t>
      </w:r>
      <w:r w:rsidRPr="4FFD3E6A" w:rsidR="4D78586E">
        <w:rPr>
          <w:rFonts w:ascii="Arial" w:hAnsi="Arial" w:eastAsia="Arial" w:cs="Arial"/>
          <w:b w:val="0"/>
          <w:bCs w:val="0"/>
          <w:noProof w:val="0"/>
          <w:sz w:val="22"/>
          <w:szCs w:val="22"/>
          <w:lang w:val="en-GB"/>
        </w:rPr>
        <w:t xml:space="preserve"> </w:t>
      </w:r>
      <w:r w:rsidRPr="4FFD3E6A" w:rsidR="4D78586E">
        <w:rPr>
          <w:rFonts w:ascii="Arial" w:hAnsi="Arial" w:eastAsia="Arial" w:cs="Arial"/>
          <w:b w:val="0"/>
          <w:bCs w:val="0"/>
          <w:noProof w:val="0"/>
          <w:sz w:val="22"/>
          <w:szCs w:val="22"/>
          <w:lang w:val="en-GB"/>
        </w:rPr>
        <w:t>situational</w:t>
      </w:r>
      <w:r w:rsidRPr="4FFD3E6A" w:rsidR="4D78586E">
        <w:rPr>
          <w:rFonts w:ascii="Arial" w:hAnsi="Arial" w:eastAsia="Arial" w:cs="Arial"/>
          <w:b w:val="1"/>
          <w:bCs w:val="1"/>
          <w:noProof w:val="0"/>
          <w:sz w:val="22"/>
          <w:szCs w:val="22"/>
          <w:lang w:val="en-GB"/>
        </w:rPr>
        <w:t xml:space="preserve"> </w:t>
      </w:r>
      <w:r w:rsidRPr="4FFD3E6A" w:rsidR="4D78586E">
        <w:rPr>
          <w:rFonts w:ascii="Arial" w:hAnsi="Arial" w:eastAsia="Arial" w:cs="Arial"/>
          <w:b w:val="0"/>
          <w:bCs w:val="0"/>
          <w:noProof w:val="0"/>
          <w:sz w:val="22"/>
          <w:szCs w:val="22"/>
          <w:lang w:val="en-GB"/>
        </w:rPr>
        <w:t>leadership</w:t>
      </w:r>
      <w:r w:rsidRPr="4FFD3E6A" w:rsidR="4D78586E">
        <w:rPr>
          <w:rFonts w:ascii="Arial" w:hAnsi="Arial" w:eastAsia="Arial" w:cs="Arial"/>
          <w:noProof w:val="0"/>
          <w:sz w:val="22"/>
          <w:szCs w:val="22"/>
          <w:lang w:val="en-GB"/>
        </w:rPr>
        <w:t>, where leadership style is adapted to employee competence and task complexity (Hersey and Blanchard, 1988). For example, frontline employees adopting new self-service or digital systems may initially require directive leadership and training, followed by more supportive leadership as competence increases. This flexibility is critical in managing change across diverse store formats and roles.</w:t>
      </w:r>
    </w:p>
    <w:p xmlns:wp14="http://schemas.microsoft.com/office/word/2010/wordml" w:rsidP="0124D3B5" wp14:paraId="1D1C318F" wp14:textId="6E4A9241">
      <w:pPr>
        <w:spacing w:before="240" w:beforeAutospacing="off" w:after="240" w:afterAutospacing="off"/>
        <w:rPr>
          <w:rFonts w:ascii="Arial" w:hAnsi="Arial" w:eastAsia="Arial" w:cs="Arial"/>
          <w:b w:val="1"/>
          <w:bCs w:val="1"/>
          <w:noProof w:val="0"/>
          <w:color w:val="auto"/>
          <w:sz w:val="28"/>
          <w:szCs w:val="28"/>
          <w:lang w:val="en-GB"/>
        </w:rPr>
      </w:pPr>
      <w:r w:rsidRPr="0124D3B5" w:rsidR="6E571D75">
        <w:rPr>
          <w:rFonts w:ascii="Arial" w:hAnsi="Arial" w:eastAsia="Arial" w:cs="Arial"/>
          <w:noProof w:val="0"/>
          <w:sz w:val="22"/>
          <w:szCs w:val="22"/>
          <w:lang w:val="en-GB"/>
        </w:rPr>
        <w:t>By contrast,</w:t>
      </w:r>
      <w:r w:rsidRPr="0124D3B5" w:rsidR="6E571D75">
        <w:rPr>
          <w:rFonts w:ascii="Arial" w:hAnsi="Arial" w:eastAsia="Arial" w:cs="Arial"/>
          <w:b w:val="0"/>
          <w:bCs w:val="0"/>
          <w:noProof w:val="0"/>
          <w:sz w:val="22"/>
          <w:szCs w:val="22"/>
          <w:lang w:val="en-GB"/>
        </w:rPr>
        <w:t xml:space="preserve"> </w:t>
      </w:r>
      <w:r w:rsidRPr="0124D3B5" w:rsidR="6E571D75">
        <w:rPr>
          <w:rFonts w:ascii="Arial" w:hAnsi="Arial" w:eastAsia="Arial" w:cs="Arial"/>
          <w:b w:val="0"/>
          <w:bCs w:val="0"/>
          <w:noProof w:val="0"/>
          <w:sz w:val="22"/>
          <w:szCs w:val="22"/>
          <w:lang w:val="en-GB"/>
        </w:rPr>
        <w:t>transactional leadership</w:t>
      </w:r>
      <w:r w:rsidRPr="0124D3B5" w:rsidR="6E571D75">
        <w:rPr>
          <w:rFonts w:ascii="Arial" w:hAnsi="Arial" w:eastAsia="Arial" w:cs="Arial"/>
          <w:noProof w:val="0"/>
          <w:sz w:val="22"/>
          <w:szCs w:val="22"/>
          <w:lang w:val="en-GB"/>
        </w:rPr>
        <w:t xml:space="preserve">, which focuses on performance monitoring and rewards, may support short-term efficiency but is less effective in driving long-term </w:t>
      </w:r>
      <w:r w:rsidRPr="0124D3B5" w:rsidR="6E571D75">
        <w:rPr>
          <w:rFonts w:ascii="Arial" w:hAnsi="Arial" w:eastAsia="Arial" w:cs="Arial"/>
          <w:noProof w:val="0"/>
          <w:sz w:val="22"/>
          <w:szCs w:val="22"/>
          <w:lang w:val="en-GB"/>
        </w:rPr>
        <w:t>cultural change. Over-reliance on transactional approaches risks reinforcing compliance</w:t>
      </w:r>
      <w:r w:rsidRPr="0124D3B5" w:rsidR="6E571D75">
        <w:rPr>
          <w:rFonts w:ascii="Arial" w:hAnsi="Arial" w:eastAsia="Arial" w:cs="Arial"/>
          <w:noProof w:val="0"/>
          <w:sz w:val="22"/>
          <w:szCs w:val="22"/>
          <w:lang w:val="en-GB"/>
        </w:rPr>
        <w:t xml:space="preserve"> rather than engagement, potentially increasing resistance during periods of uncertainty. As such, Tesco’s leadership approach to change must prioritise engagement, empowerment, and adaptability rather than control.</w:t>
      </w:r>
    </w:p>
    <w:p xmlns:wp14="http://schemas.microsoft.com/office/word/2010/wordml" w:rsidP="0124D3B5" wp14:paraId="620697FE" wp14:textId="4FB96B1F">
      <w:pPr>
        <w:spacing w:before="240" w:beforeAutospacing="off" w:after="240" w:afterAutospacing="off"/>
        <w:rPr>
          <w:rFonts w:ascii="Arial" w:hAnsi="Arial" w:eastAsia="Arial" w:cs="Arial"/>
          <w:b w:val="1"/>
          <w:bCs w:val="1"/>
          <w:noProof w:val="0"/>
          <w:color w:val="auto"/>
          <w:sz w:val="28"/>
          <w:szCs w:val="28"/>
          <w:lang w:val="en-GB"/>
        </w:rPr>
      </w:pPr>
      <w:r w:rsidRPr="0124D3B5" w:rsidR="6E571D75">
        <w:rPr>
          <w:rFonts w:ascii="Arial" w:hAnsi="Arial" w:eastAsia="Arial" w:cs="Arial"/>
          <w:b w:val="1"/>
          <w:bCs w:val="1"/>
          <w:noProof w:val="0"/>
          <w:color w:val="auto"/>
          <w:sz w:val="28"/>
          <w:szCs w:val="28"/>
          <w:lang w:val="en-GB"/>
        </w:rPr>
        <w:t>The Role of Organisational Culture in Change</w:t>
      </w:r>
    </w:p>
    <w:p xmlns:wp14="http://schemas.microsoft.com/office/word/2010/wordml" w:rsidP="4FFD3E6A" wp14:paraId="23BCCCB5" wp14:textId="1947DF4B">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Organisational culture significantly influences how change initiatives are perceived and enacted by employees. Schein’s (2017) model of organisational culture provides a useful framework for analysing Tesco’s culture through three levels: artefacts, espoused values, and underlying assumptions.</w:t>
      </w:r>
    </w:p>
    <w:p xmlns:wp14="http://schemas.microsoft.com/office/word/2010/wordml" w:rsidP="4FFD3E6A" wp14:paraId="3A5CA0CE" wp14:textId="46B1A9A0">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 xml:space="preserve">At the level of </w:t>
      </w:r>
      <w:r w:rsidRPr="4FFD3E6A" w:rsidR="4D78586E">
        <w:rPr>
          <w:rFonts w:ascii="Arial" w:hAnsi="Arial" w:eastAsia="Arial" w:cs="Arial"/>
          <w:b w:val="0"/>
          <w:bCs w:val="0"/>
          <w:noProof w:val="0"/>
          <w:sz w:val="22"/>
          <w:szCs w:val="22"/>
          <w:lang w:val="en-GB"/>
        </w:rPr>
        <w:t>artefacts</w:t>
      </w:r>
      <w:r w:rsidRPr="4FFD3E6A" w:rsidR="4D78586E">
        <w:rPr>
          <w:rFonts w:ascii="Arial" w:hAnsi="Arial" w:eastAsia="Arial" w:cs="Arial"/>
          <w:noProof w:val="0"/>
          <w:sz w:val="22"/>
          <w:szCs w:val="22"/>
          <w:lang w:val="en-GB"/>
        </w:rPr>
        <w:t xml:space="preserve">, Tesco’s culture is reflected in store layouts, uniforms, customer service practices, and increasing reliance on digital technologies such as self-checkouts and online fulfilment systems. These visible elements signal a strong emphasis on efficiency, standardisation, and customer convenience. Tesco’s </w:t>
      </w:r>
      <w:r w:rsidRPr="4FFD3E6A" w:rsidR="4D78586E">
        <w:rPr>
          <w:rFonts w:ascii="Arial" w:hAnsi="Arial" w:eastAsia="Arial" w:cs="Arial"/>
          <w:b w:val="0"/>
          <w:bCs w:val="0"/>
          <w:noProof w:val="0"/>
          <w:sz w:val="22"/>
          <w:szCs w:val="22"/>
          <w:lang w:val="en-GB"/>
        </w:rPr>
        <w:t>espoused values</w:t>
      </w:r>
      <w:r w:rsidRPr="4FFD3E6A" w:rsidR="4D78586E">
        <w:rPr>
          <w:rFonts w:ascii="Arial" w:hAnsi="Arial" w:eastAsia="Arial" w:cs="Arial"/>
          <w:b w:val="0"/>
          <w:bCs w:val="0"/>
          <w:noProof w:val="0"/>
          <w:sz w:val="22"/>
          <w:szCs w:val="22"/>
          <w:lang w:val="en-GB"/>
        </w:rPr>
        <w:t>,</w:t>
      </w:r>
      <w:r w:rsidRPr="4FFD3E6A" w:rsidR="4D78586E">
        <w:rPr>
          <w:rFonts w:ascii="Arial" w:hAnsi="Arial" w:eastAsia="Arial" w:cs="Arial"/>
          <w:noProof w:val="0"/>
          <w:sz w:val="22"/>
          <w:szCs w:val="22"/>
          <w:lang w:val="en-GB"/>
        </w:rPr>
        <w:t xml:space="preserve"> including serving customers better every day and delivering value, align closely with its strategic </w:t>
      </w:r>
      <w:r w:rsidRPr="4FFD3E6A" w:rsidR="4D78586E">
        <w:rPr>
          <w:rFonts w:ascii="Arial" w:hAnsi="Arial" w:eastAsia="Arial" w:cs="Arial"/>
          <w:noProof w:val="0"/>
          <w:sz w:val="22"/>
          <w:szCs w:val="22"/>
          <w:lang w:val="en-GB"/>
        </w:rPr>
        <w:t>objectives</w:t>
      </w:r>
      <w:r w:rsidRPr="4FFD3E6A" w:rsidR="4D78586E">
        <w:rPr>
          <w:rFonts w:ascii="Arial" w:hAnsi="Arial" w:eastAsia="Arial" w:cs="Arial"/>
          <w:noProof w:val="0"/>
          <w:sz w:val="22"/>
          <w:szCs w:val="22"/>
          <w:lang w:val="en-GB"/>
        </w:rPr>
        <w:t>. However, tensions may arise when cost efficiency and automation are perceived to conflict with employee wellbeing or customer service quality.</w:t>
      </w:r>
    </w:p>
    <w:p xmlns:wp14="http://schemas.microsoft.com/office/word/2010/wordml" w:rsidP="4FFD3E6A" wp14:paraId="34A4F0FC" wp14:textId="1FB3BD7E">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At the level of</w:t>
      </w:r>
      <w:r w:rsidRPr="4FFD3E6A" w:rsidR="4D78586E">
        <w:rPr>
          <w:rFonts w:ascii="Arial" w:hAnsi="Arial" w:eastAsia="Arial" w:cs="Arial"/>
          <w:b w:val="0"/>
          <w:bCs w:val="0"/>
          <w:noProof w:val="0"/>
          <w:sz w:val="22"/>
          <w:szCs w:val="22"/>
          <w:lang w:val="en-GB"/>
        </w:rPr>
        <w:t xml:space="preserve"> </w:t>
      </w:r>
      <w:r w:rsidRPr="4FFD3E6A" w:rsidR="4D78586E">
        <w:rPr>
          <w:rFonts w:ascii="Arial" w:hAnsi="Arial" w:eastAsia="Arial" w:cs="Arial"/>
          <w:b w:val="0"/>
          <w:bCs w:val="0"/>
          <w:noProof w:val="0"/>
          <w:sz w:val="22"/>
          <w:szCs w:val="22"/>
          <w:lang w:val="en-GB"/>
        </w:rPr>
        <w:t>underlying assumptions</w:t>
      </w:r>
      <w:r w:rsidRPr="4FFD3E6A" w:rsidR="4D78586E">
        <w:rPr>
          <w:rFonts w:ascii="Arial" w:hAnsi="Arial" w:eastAsia="Arial" w:cs="Arial"/>
          <w:noProof w:val="0"/>
          <w:sz w:val="22"/>
          <w:szCs w:val="22"/>
          <w:lang w:val="en-GB"/>
        </w:rPr>
        <w:t>, Tesco’s culture has traditionally emphasised scale, consistency, and operational efficiency. While these assumptions have historically supported competitiveness, they may also inhibit innovation and employee empowerment if not challenged. Research suggests that deeply embedded cultural assumptions are often the most difficult barriers to change, as they shape employee behaviour unconsciously (Schein, 2017).</w:t>
      </w:r>
    </w:p>
    <w:p xmlns:wp14="http://schemas.microsoft.com/office/word/2010/wordml" w:rsidP="4FFD3E6A" wp14:paraId="3910CFE7" wp14:textId="32D05538">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 xml:space="preserve">Hofstede’s cultural dimensions further suggest that large UK organisations such as Tesco tend to </w:t>
      </w:r>
      <w:r w:rsidRPr="4FFD3E6A" w:rsidR="4D78586E">
        <w:rPr>
          <w:rFonts w:ascii="Arial" w:hAnsi="Arial" w:eastAsia="Arial" w:cs="Arial"/>
          <w:noProof w:val="0"/>
          <w:sz w:val="22"/>
          <w:szCs w:val="22"/>
          <w:lang w:val="en-GB"/>
        </w:rPr>
        <w:t>exhibit</w:t>
      </w:r>
      <w:r w:rsidRPr="4FFD3E6A" w:rsidR="4D78586E">
        <w:rPr>
          <w:rFonts w:ascii="Arial" w:hAnsi="Arial" w:eastAsia="Arial" w:cs="Arial"/>
          <w:noProof w:val="0"/>
          <w:sz w:val="22"/>
          <w:szCs w:val="22"/>
          <w:lang w:val="en-GB"/>
        </w:rPr>
        <w:t xml:space="preserve"> moderate power distance and uncertainty avoidance. During periods of change, this may lead employees to seek clear guidance and reassurance from leadership. Failure to provide this can increase anxiety and resistance, particularly when change involves job redesign or </w:t>
      </w:r>
      <w:r w:rsidRPr="4FFD3E6A" w:rsidR="4D78586E">
        <w:rPr>
          <w:rFonts w:ascii="Arial" w:hAnsi="Arial" w:eastAsia="Arial" w:cs="Arial"/>
          <w:noProof w:val="0"/>
          <w:sz w:val="22"/>
          <w:szCs w:val="22"/>
          <w:lang w:val="en-GB"/>
        </w:rPr>
        <w:t>new technologies</w:t>
      </w:r>
      <w:r w:rsidRPr="4FFD3E6A" w:rsidR="4D78586E">
        <w:rPr>
          <w:rFonts w:ascii="Arial" w:hAnsi="Arial" w:eastAsia="Arial" w:cs="Arial"/>
          <w:noProof w:val="0"/>
          <w:sz w:val="22"/>
          <w:szCs w:val="22"/>
          <w:lang w:val="en-GB"/>
        </w:rPr>
        <w:t>.</w:t>
      </w:r>
    </w:p>
    <w:p xmlns:wp14="http://schemas.microsoft.com/office/word/2010/wordml" w:rsidP="4FFD3E6A" wp14:paraId="3BBC491A" wp14:textId="1086E067">
      <w:pPr>
        <w:pStyle w:val="Heading3"/>
        <w:spacing w:before="281" w:beforeAutospacing="off" w:after="281" w:afterAutospacing="off"/>
        <w:rPr>
          <w:rFonts w:ascii="Arial" w:hAnsi="Arial" w:eastAsia="Arial" w:cs="Arial"/>
          <w:b w:val="1"/>
          <w:bCs w:val="1"/>
          <w:noProof w:val="0"/>
          <w:sz w:val="28"/>
          <w:szCs w:val="28"/>
          <w:lang w:val="en-GB"/>
        </w:rPr>
      </w:pPr>
      <w:bookmarkStart w:name="_Toc384697282" w:id="377452162"/>
      <w:r w:rsidRPr="55B2D1B6" w:rsidR="2104544E">
        <w:rPr>
          <w:rFonts w:ascii="Arial" w:hAnsi="Arial" w:eastAsia="Arial" w:cs="Arial"/>
          <w:b w:val="1"/>
          <w:bCs w:val="1"/>
          <w:noProof w:val="0"/>
          <w:color w:val="auto"/>
          <w:sz w:val="28"/>
          <w:szCs w:val="28"/>
          <w:lang w:val="en-GB"/>
        </w:rPr>
        <w:t>Culture as an Enabler or Barrier to Change</w:t>
      </w:r>
      <w:bookmarkEnd w:id="377452162"/>
    </w:p>
    <w:p xmlns:wp14="http://schemas.microsoft.com/office/word/2010/wordml" w:rsidP="4FFD3E6A" wp14:paraId="0C51EE0E" wp14:textId="7B7CCF43">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 xml:space="preserve">Organisational culture can act as both an enabler and a barrier to change. A culture that promotes learning, openness, and trust can accelerate change adoption, </w:t>
      </w:r>
      <w:r w:rsidRPr="4FFD3E6A" w:rsidR="4D78586E">
        <w:rPr>
          <w:rFonts w:ascii="Arial" w:hAnsi="Arial" w:eastAsia="Arial" w:cs="Arial"/>
          <w:noProof w:val="0"/>
          <w:sz w:val="22"/>
          <w:szCs w:val="22"/>
          <w:lang w:val="en-GB"/>
        </w:rPr>
        <w:t>whereas</w:t>
      </w:r>
      <w:r w:rsidRPr="4FFD3E6A" w:rsidR="4D78586E">
        <w:rPr>
          <w:rFonts w:ascii="Aptos" w:hAnsi="Aptos" w:eastAsia="Aptos" w:cs="Aptos"/>
          <w:noProof w:val="0"/>
          <w:sz w:val="24"/>
          <w:szCs w:val="24"/>
          <w:lang w:val="en-GB"/>
        </w:rPr>
        <w:t xml:space="preserve"> </w:t>
      </w:r>
      <w:r w:rsidRPr="4FFD3E6A" w:rsidR="4D78586E">
        <w:rPr>
          <w:rFonts w:ascii="Arial" w:hAnsi="Arial" w:eastAsia="Arial" w:cs="Arial"/>
          <w:noProof w:val="0"/>
          <w:sz w:val="22"/>
          <w:szCs w:val="22"/>
          <w:lang w:val="en-GB"/>
        </w:rPr>
        <w:t>a culture characterised by fear, rigidity, or poor communication can undermine even well-designed change initiatives (Burnes, 2017).</w:t>
      </w:r>
    </w:p>
    <w:p xmlns:wp14="http://schemas.microsoft.com/office/word/2010/wordml" w:rsidP="4FFD3E6A" wp14:paraId="49835A7A" wp14:textId="5D6176D1">
      <w:pPr>
        <w:spacing w:before="240" w:beforeAutospacing="off" w:after="240" w:afterAutospacing="off"/>
        <w:rPr>
          <w:rFonts w:ascii="Arial" w:hAnsi="Arial" w:eastAsia="Arial" w:cs="Arial"/>
          <w:noProof w:val="0"/>
          <w:sz w:val="22"/>
          <w:szCs w:val="22"/>
          <w:lang w:val="en-GB"/>
        </w:rPr>
      </w:pPr>
      <w:r w:rsidRPr="4FFD3E6A" w:rsidR="4D78586E">
        <w:rPr>
          <w:rFonts w:ascii="Arial" w:hAnsi="Arial" w:eastAsia="Arial" w:cs="Arial"/>
          <w:noProof w:val="0"/>
          <w:sz w:val="22"/>
          <w:szCs w:val="22"/>
          <w:lang w:val="en-GB"/>
        </w:rPr>
        <w:t>In Tesco’s case, the scale of the organisation presents a cultural challenge, as change initiatives designed at corporate level may be interpreted inconsistently at store level. If frontline employees perceive change as cost-driven rather than value-driven, resistance is likely to increase. This highlights the importance of leadership in shaping cultural narratives around change, ensuring that strategic initiatives are framed as opportunities for improvement rather than threats to job security.</w:t>
      </w:r>
    </w:p>
    <w:p xmlns:wp14="http://schemas.microsoft.com/office/word/2010/wordml" w:rsidP="4FFD3E6A" wp14:paraId="472FF4F4" wp14:textId="3D6CFAC1">
      <w:pPr>
        <w:spacing w:before="240" w:beforeAutospacing="off" w:after="240" w:afterAutospacing="off"/>
        <w:rPr>
          <w:rFonts w:ascii="Arial" w:hAnsi="Arial" w:eastAsia="Arial" w:cs="Arial"/>
          <w:noProof w:val="0"/>
          <w:sz w:val="22"/>
          <w:szCs w:val="22"/>
          <w:lang w:val="en-GB"/>
        </w:rPr>
      </w:pPr>
      <w:r w:rsidRPr="0124D3B5" w:rsidR="6E571D75">
        <w:rPr>
          <w:rFonts w:ascii="Arial" w:hAnsi="Arial" w:eastAsia="Arial" w:cs="Arial"/>
          <w:noProof w:val="0"/>
          <w:sz w:val="22"/>
          <w:szCs w:val="22"/>
          <w:lang w:val="en-GB"/>
        </w:rPr>
        <w:t>Leadership behaviour is therefore instrumental in shaping culture during change. Leaders who actively engage employees, encourage feedback, and acknowledge concerns are more likely to foster psychological safety and commitment. Conversely, failure to address cultural misalignment may result in superficial compliance without genuine behavioural change, limiting the long-term effectiveness of transformation initiatives.</w:t>
      </w:r>
    </w:p>
    <w:p xmlns:wp14="http://schemas.microsoft.com/office/word/2010/wordml" w:rsidP="4FFD3E6A" wp14:paraId="184B076C" wp14:textId="3FC7EF97">
      <w:pPr>
        <w:pStyle w:val="Heading2"/>
        <w:spacing w:before="299" w:beforeAutospacing="off" w:after="299" w:afterAutospacing="off"/>
        <w:rPr>
          <w:rFonts w:ascii="Arial" w:hAnsi="Arial" w:eastAsia="Arial" w:cs="Arial"/>
          <w:b w:val="1"/>
          <w:bCs w:val="1"/>
          <w:noProof w:val="0"/>
          <w:color w:val="auto"/>
          <w:sz w:val="36"/>
          <w:szCs w:val="36"/>
          <w:lang w:val="en-GB"/>
        </w:rPr>
      </w:pPr>
      <w:bookmarkStart w:name="_Toc742805853" w:id="1117721942"/>
      <w:r w:rsidRPr="55B2D1B6" w:rsidR="4A94099F">
        <w:rPr>
          <w:rFonts w:ascii="Arial" w:hAnsi="Arial" w:eastAsia="Arial" w:cs="Arial"/>
          <w:b w:val="1"/>
          <w:bCs w:val="1"/>
          <w:noProof w:val="0"/>
          <w:color w:val="auto"/>
          <w:sz w:val="36"/>
          <w:szCs w:val="36"/>
          <w:lang w:val="en-GB"/>
        </w:rPr>
        <w:t>Proposed Strategic Change Management Plan</w:t>
      </w:r>
      <w:bookmarkEnd w:id="1117721942"/>
    </w:p>
    <w:p xmlns:wp14="http://schemas.microsoft.com/office/word/2010/wordml" w:rsidP="4FFD3E6A" wp14:paraId="26CF1EA8" wp14:textId="799F817D">
      <w:pPr>
        <w:spacing w:before="240" w:beforeAutospacing="off" w:after="240" w:afterAutospacing="off"/>
      </w:pPr>
      <w:r w:rsidRPr="4FFD3E6A" w:rsidR="76F83070">
        <w:rPr>
          <w:rFonts w:ascii="Arial" w:hAnsi="Arial" w:eastAsia="Arial" w:cs="Arial"/>
          <w:noProof w:val="0"/>
          <w:sz w:val="22"/>
          <w:szCs w:val="22"/>
          <w:lang w:val="en-GB"/>
        </w:rPr>
        <w:t xml:space="preserve">This section presents a structured strategic change management plan for </w:t>
      </w:r>
      <w:r w:rsidRPr="4FFD3E6A" w:rsidR="76F83070">
        <w:rPr>
          <w:rFonts w:ascii="Arial" w:hAnsi="Arial" w:eastAsia="Arial" w:cs="Arial"/>
          <w:b w:val="0"/>
          <w:bCs w:val="0"/>
          <w:noProof w:val="0"/>
          <w:sz w:val="22"/>
          <w:szCs w:val="22"/>
          <w:lang w:val="en-GB"/>
        </w:rPr>
        <w:t>Tesco</w:t>
      </w:r>
      <w:r w:rsidRPr="4FFD3E6A" w:rsidR="76F83070">
        <w:rPr>
          <w:rFonts w:ascii="Arial" w:hAnsi="Arial" w:eastAsia="Arial" w:cs="Arial"/>
          <w:b w:val="0"/>
          <w:bCs w:val="0"/>
          <w:noProof w:val="0"/>
          <w:sz w:val="22"/>
          <w:szCs w:val="22"/>
          <w:lang w:val="en-GB"/>
        </w:rPr>
        <w:t>,</w:t>
      </w:r>
      <w:r w:rsidRPr="4FFD3E6A" w:rsidR="76F83070">
        <w:rPr>
          <w:rFonts w:ascii="Arial" w:hAnsi="Arial" w:eastAsia="Arial" w:cs="Arial"/>
          <w:noProof w:val="0"/>
          <w:sz w:val="22"/>
          <w:szCs w:val="22"/>
          <w:lang w:val="en-GB"/>
        </w:rPr>
        <w:t xml:space="preserve"> designed to address the environmental pressures and organisational challenges </w:t>
      </w:r>
      <w:r w:rsidRPr="4FFD3E6A" w:rsidR="76F83070">
        <w:rPr>
          <w:rFonts w:ascii="Arial" w:hAnsi="Arial" w:eastAsia="Arial" w:cs="Arial"/>
          <w:noProof w:val="0"/>
          <w:sz w:val="22"/>
          <w:szCs w:val="22"/>
          <w:lang w:val="en-GB"/>
        </w:rPr>
        <w:t>identified</w:t>
      </w:r>
      <w:r w:rsidRPr="4FFD3E6A" w:rsidR="76F83070">
        <w:rPr>
          <w:rFonts w:ascii="Arial" w:hAnsi="Arial" w:eastAsia="Arial" w:cs="Arial"/>
          <w:noProof w:val="0"/>
          <w:sz w:val="22"/>
          <w:szCs w:val="22"/>
          <w:lang w:val="en-GB"/>
        </w:rPr>
        <w:t xml:space="preserve"> in </w:t>
      </w:r>
      <w:r w:rsidRPr="4FFD3E6A" w:rsidR="76F83070">
        <w:rPr>
          <w:rFonts w:ascii="Arial" w:hAnsi="Arial" w:eastAsia="Arial" w:cs="Arial"/>
          <w:noProof w:val="0"/>
          <w:sz w:val="22"/>
          <w:szCs w:val="22"/>
          <w:lang w:val="en-GB"/>
        </w:rPr>
        <w:t>previous</w:t>
      </w:r>
      <w:r w:rsidRPr="4FFD3E6A" w:rsidR="76F83070">
        <w:rPr>
          <w:rFonts w:ascii="Arial" w:hAnsi="Arial" w:eastAsia="Arial" w:cs="Arial"/>
          <w:noProof w:val="0"/>
          <w:sz w:val="22"/>
          <w:szCs w:val="22"/>
          <w:lang w:val="en-GB"/>
        </w:rPr>
        <w:t xml:space="preserve"> sections. The plan integrates strategic, operational, and people-focused elements to ensure that change is both effective and sustainable.</w:t>
      </w:r>
    </w:p>
    <w:p xmlns:wp14="http://schemas.microsoft.com/office/word/2010/wordml" w:rsidP="4FFD3E6A" wp14:paraId="4E1F6CBF" wp14:textId="7EB3E8DF">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519372306" w:id="783300824"/>
      <w:r w:rsidRPr="55B2D1B6" w:rsidR="4A94099F">
        <w:rPr>
          <w:rFonts w:ascii="Arial" w:hAnsi="Arial" w:eastAsia="Arial" w:cs="Arial"/>
          <w:b w:val="1"/>
          <w:bCs w:val="1"/>
          <w:noProof w:val="0"/>
          <w:color w:val="auto"/>
          <w:sz w:val="28"/>
          <w:szCs w:val="28"/>
          <w:lang w:val="en-GB"/>
        </w:rPr>
        <w:t>Change Vision and Objectives</w:t>
      </w:r>
      <w:bookmarkEnd w:id="783300824"/>
    </w:p>
    <w:p xmlns:wp14="http://schemas.microsoft.com/office/word/2010/wordml" w:rsidP="4FFD3E6A" wp14:paraId="77105F30" wp14:textId="6169D850">
      <w:pPr>
        <w:spacing w:before="240" w:beforeAutospacing="off" w:after="240" w:afterAutospacing="off"/>
        <w:rPr>
          <w:rFonts w:ascii="Arial" w:hAnsi="Arial" w:eastAsia="Arial" w:cs="Arial"/>
          <w:i w:val="0"/>
          <w:iCs w:val="0"/>
          <w:noProof w:val="0"/>
          <w:sz w:val="22"/>
          <w:szCs w:val="22"/>
          <w:lang w:val="en-GB"/>
        </w:rPr>
      </w:pPr>
      <w:r w:rsidRPr="4FFD3E6A" w:rsidR="76F83070">
        <w:rPr>
          <w:rFonts w:ascii="Arial" w:hAnsi="Arial" w:eastAsia="Arial" w:cs="Arial"/>
          <w:i w:val="0"/>
          <w:iCs w:val="0"/>
          <w:noProof w:val="0"/>
          <w:sz w:val="22"/>
          <w:szCs w:val="22"/>
          <w:lang w:val="en-GB"/>
        </w:rPr>
        <w:t xml:space="preserve">The proposed change vision is </w:t>
      </w:r>
      <w:r w:rsidRPr="4FFD3E6A" w:rsidR="76F83070">
        <w:rPr>
          <w:rFonts w:ascii="Arial" w:hAnsi="Arial" w:eastAsia="Arial" w:cs="Arial"/>
          <w:i w:val="0"/>
          <w:iCs w:val="0"/>
          <w:noProof w:val="0"/>
          <w:sz w:val="22"/>
          <w:szCs w:val="22"/>
          <w:lang w:val="en-GB"/>
        </w:rPr>
        <w:t xml:space="preserve">to position Tesco as the UK’s most trusted and digitally enabled value retailer by delivering a seamless omnichannel customer experience, improving peak-time service performance, and developing a future-ready workforce while </w:t>
      </w:r>
      <w:r w:rsidRPr="4FFD3E6A" w:rsidR="76F83070">
        <w:rPr>
          <w:rFonts w:ascii="Arial" w:hAnsi="Arial" w:eastAsia="Arial" w:cs="Arial"/>
          <w:i w:val="0"/>
          <w:iCs w:val="0"/>
          <w:noProof w:val="0"/>
          <w:sz w:val="22"/>
          <w:szCs w:val="22"/>
          <w:lang w:val="en-GB"/>
        </w:rPr>
        <w:t>maintaining</w:t>
      </w:r>
      <w:r w:rsidRPr="4FFD3E6A" w:rsidR="76F83070">
        <w:rPr>
          <w:rFonts w:ascii="Arial" w:hAnsi="Arial" w:eastAsia="Arial" w:cs="Arial"/>
          <w:i w:val="0"/>
          <w:iCs w:val="0"/>
          <w:noProof w:val="0"/>
          <w:sz w:val="22"/>
          <w:szCs w:val="22"/>
          <w:lang w:val="en-GB"/>
        </w:rPr>
        <w:t xml:space="preserve"> sustainable profitability</w:t>
      </w:r>
      <w:r w:rsidRPr="4FFD3E6A" w:rsidR="76F83070">
        <w:rPr>
          <w:rFonts w:ascii="Arial" w:hAnsi="Arial" w:eastAsia="Arial" w:cs="Arial"/>
          <w:i w:val="0"/>
          <w:iCs w:val="0"/>
          <w:noProof w:val="0"/>
          <w:sz w:val="22"/>
          <w:szCs w:val="22"/>
          <w:lang w:val="en-GB"/>
        </w:rPr>
        <w:t>. This vision responds directly to digital disruption, increasing online shopping demand, and rising customer expectations around speed, convenience, and service quality.</w:t>
      </w:r>
    </w:p>
    <w:p xmlns:wp14="http://schemas.microsoft.com/office/word/2010/wordml" w:rsidP="4FFD3E6A" wp14:paraId="3815A0FD" wp14:textId="1CA762D5">
      <w:pPr>
        <w:spacing w:before="240" w:beforeAutospacing="off" w:after="240" w:afterAutospacing="off"/>
      </w:pPr>
      <w:r w:rsidRPr="4FFD3E6A" w:rsidR="76F83070">
        <w:rPr>
          <w:rFonts w:ascii="Arial" w:hAnsi="Arial" w:eastAsia="Arial" w:cs="Arial"/>
          <w:noProof w:val="0"/>
          <w:sz w:val="22"/>
          <w:szCs w:val="22"/>
          <w:lang w:val="en-GB"/>
        </w:rPr>
        <w:t>To support this vision, the following strategic objectives are proposed. First, Tesco aims to improve customer experience during peak trading periods by reducing queue times and friction at checkout and collection points. Second, the organisation seeks to strengthen integration between physical stores and digital platforms, ensuring consistent service quality across channels. Third, the change programme aims to improve operational efficiency through targeted automation and AI-enabled forecasting, while avoiding negative impacts on service quality. Fourth, Tesco intends to enhance workforce capability and engagement by investing in training, leadership communication, and digital confidence. Finally, the plan incorporates a sustainability and ethics objective to ensure responsible data use, fair employment practices, and alignment with environmental commitments.</w:t>
      </w:r>
    </w:p>
    <w:p xmlns:wp14="http://schemas.microsoft.com/office/word/2010/wordml" w:rsidP="4FFD3E6A" wp14:paraId="3AD8921C" wp14:textId="731AD048">
      <w:pPr>
        <w:spacing w:before="240" w:beforeAutospacing="off" w:after="240" w:afterAutospacing="off"/>
      </w:pPr>
      <w:r w:rsidRPr="4FFD3E6A" w:rsidR="76F83070">
        <w:rPr>
          <w:rFonts w:ascii="Arial" w:hAnsi="Arial" w:eastAsia="Arial" w:cs="Arial"/>
          <w:noProof w:val="0"/>
          <w:sz w:val="22"/>
          <w:szCs w:val="22"/>
          <w:lang w:val="en-GB"/>
        </w:rPr>
        <w:t>These objectives are deliberately measurable and time-bound, providing a clear foundation for implementation and evaluation.</w:t>
      </w:r>
    </w:p>
    <w:p xmlns:wp14="http://schemas.microsoft.com/office/word/2010/wordml" w:rsidP="4FFD3E6A" wp14:paraId="4A7E6F4A" wp14:textId="426E0400">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1788324806" w:id="397934744"/>
      <w:r w:rsidRPr="55B2D1B6" w:rsidR="4A94099F">
        <w:rPr>
          <w:rFonts w:ascii="Arial" w:hAnsi="Arial" w:eastAsia="Arial" w:cs="Arial"/>
          <w:b w:val="1"/>
          <w:bCs w:val="1"/>
          <w:noProof w:val="0"/>
          <w:color w:val="auto"/>
          <w:sz w:val="28"/>
          <w:szCs w:val="28"/>
          <w:lang w:val="en-GB"/>
        </w:rPr>
        <w:t>Stakeholder Analysis</w:t>
      </w:r>
      <w:bookmarkEnd w:id="397934744"/>
    </w:p>
    <w:p xmlns:wp14="http://schemas.microsoft.com/office/word/2010/wordml" w:rsidP="4FFD3E6A" wp14:paraId="56488844" wp14:textId="0168464E">
      <w:pPr>
        <w:spacing w:before="240" w:beforeAutospacing="off" w:after="240" w:afterAutospacing="off"/>
      </w:pPr>
      <w:r w:rsidRPr="4FFD3E6A" w:rsidR="76F83070">
        <w:rPr>
          <w:rFonts w:ascii="Arial" w:hAnsi="Arial" w:eastAsia="Arial" w:cs="Arial"/>
          <w:noProof w:val="0"/>
          <w:sz w:val="22"/>
          <w:szCs w:val="22"/>
          <w:lang w:val="en-GB"/>
        </w:rPr>
        <w:t>Effective change management requires careful consideration of stakeholders who may influence or be affected by the change. Tesco’s key stakeholders include customers, store employees, line managers, senior leadership, suppliers, shareholders, and regulators.</w:t>
      </w:r>
    </w:p>
    <w:p xmlns:wp14="http://schemas.microsoft.com/office/word/2010/wordml" w:rsidP="4FFD3E6A" wp14:paraId="4772F40A" wp14:textId="181633A4">
      <w:pPr>
        <w:spacing w:before="240" w:beforeAutospacing="off" w:after="240" w:afterAutospacing="off"/>
      </w:pPr>
      <w:r w:rsidRPr="4FFD3E6A" w:rsidR="76F83070">
        <w:rPr>
          <w:rFonts w:ascii="Arial" w:hAnsi="Arial" w:eastAsia="Arial" w:cs="Arial"/>
          <w:noProof w:val="0"/>
          <w:sz w:val="22"/>
          <w:szCs w:val="22"/>
          <w:lang w:val="en-GB"/>
        </w:rPr>
        <w:t>Customers represent a high-power, high-interest stakeholder group, as satisfaction and loyalty directly influence revenue. Employees and line managers are also critical stakeholders, as they are responsible for implementing new systems and processes at store level. Resistance from this group poses a significant risk if change is perceived as cost-driven or threatening to job security. Senior leadership and the board hold high power but may have varying levels of operational involvement, making consistent alignment and visible sponsorship essential.</w:t>
      </w:r>
    </w:p>
    <w:p xmlns:wp14="http://schemas.microsoft.com/office/word/2010/wordml" w:rsidP="4FFD3E6A" wp14:paraId="6FCE0763" wp14:textId="4ED91555">
      <w:pPr>
        <w:spacing w:before="240" w:beforeAutospacing="off" w:after="240" w:afterAutospacing="off"/>
      </w:pPr>
      <w:r w:rsidRPr="4FFD3E6A" w:rsidR="76F83070">
        <w:rPr>
          <w:rFonts w:ascii="Arial" w:hAnsi="Arial" w:eastAsia="Arial" w:cs="Arial"/>
          <w:noProof w:val="0"/>
          <w:sz w:val="22"/>
          <w:szCs w:val="22"/>
          <w:lang w:val="en-GB"/>
        </w:rPr>
        <w:t>Suppliers and logistics partners are moderately affected, particularly where changes impact ordering systems or delivery schedules. Regulators and data protection authorities exert high power but lower day-to-day involvement, requiring compliance-focused engagement rather than continuous communication.</w:t>
      </w:r>
    </w:p>
    <w:p xmlns:wp14="http://schemas.microsoft.com/office/word/2010/wordml" w:rsidP="4FFD3E6A" wp14:paraId="7B9ABD61" wp14:textId="170E942C">
      <w:pPr>
        <w:spacing w:before="240" w:beforeAutospacing="off" w:after="240" w:afterAutospacing="off"/>
      </w:pPr>
      <w:r w:rsidRPr="4FFD3E6A" w:rsidR="76F83070">
        <w:rPr>
          <w:rFonts w:ascii="Arial" w:hAnsi="Arial" w:eastAsia="Arial" w:cs="Arial"/>
          <w:noProof w:val="0"/>
          <w:sz w:val="22"/>
          <w:szCs w:val="22"/>
          <w:lang w:val="en-GB"/>
        </w:rPr>
        <w:t xml:space="preserve">A tailored engagement strategy is therefore </w:t>
      </w:r>
      <w:r w:rsidRPr="4FFD3E6A" w:rsidR="76F83070">
        <w:rPr>
          <w:rFonts w:ascii="Arial" w:hAnsi="Arial" w:eastAsia="Arial" w:cs="Arial"/>
          <w:noProof w:val="0"/>
          <w:sz w:val="22"/>
          <w:szCs w:val="22"/>
          <w:lang w:val="en-GB"/>
        </w:rPr>
        <w:t>required</w:t>
      </w:r>
      <w:r w:rsidRPr="4FFD3E6A" w:rsidR="76F83070">
        <w:rPr>
          <w:rFonts w:ascii="Arial" w:hAnsi="Arial" w:eastAsia="Arial" w:cs="Arial"/>
          <w:noProof w:val="0"/>
          <w:sz w:val="22"/>
          <w:szCs w:val="22"/>
          <w:lang w:val="en-GB"/>
        </w:rPr>
        <w:t>. Employees should be engaged through consultation, training, and feedback mechanisms, while customers should be informed through transparent messaging about service improvements. Senior leaders must act as visible champions, reinforcing the strategic importance of the change.</w:t>
      </w:r>
    </w:p>
    <w:p xmlns:wp14="http://schemas.microsoft.com/office/word/2010/wordml" w:rsidP="4FFD3E6A" wp14:paraId="18F6EDB5" wp14:textId="02F86FC8">
      <w:pPr>
        <w:pStyle w:val="Heading2"/>
        <w:spacing w:before="299" w:beforeAutospacing="off" w:after="299" w:afterAutospacing="off"/>
        <w:rPr>
          <w:rFonts w:ascii="Arial" w:hAnsi="Arial" w:eastAsia="Arial" w:cs="Arial"/>
          <w:b w:val="1"/>
          <w:bCs w:val="1"/>
          <w:noProof w:val="0"/>
          <w:color w:val="auto"/>
          <w:sz w:val="36"/>
          <w:szCs w:val="36"/>
          <w:lang w:val="en-GB"/>
        </w:rPr>
      </w:pPr>
      <w:bookmarkStart w:name="_Toc1505424357" w:id="1101243904"/>
      <w:r w:rsidRPr="55B2D1B6" w:rsidR="4C01F2EF">
        <w:rPr>
          <w:rFonts w:ascii="Arial" w:hAnsi="Arial" w:eastAsia="Arial" w:cs="Arial"/>
          <w:b w:val="1"/>
          <w:bCs w:val="1"/>
          <w:noProof w:val="0"/>
          <w:color w:val="auto"/>
          <w:sz w:val="36"/>
          <w:szCs w:val="36"/>
          <w:lang w:val="en-GB"/>
        </w:rPr>
        <w:t>Table: Mendelow Stakeholder Matrix – Tesco Strategic Change</w:t>
      </w:r>
      <w:bookmarkEnd w:id="1101243904"/>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140"/>
        <w:gridCol w:w="2945"/>
        <w:gridCol w:w="4930"/>
      </w:tblGrid>
      <w:tr w:rsidR="4FFD3E6A" w:rsidTr="4FFD3E6A" w14:paraId="48C07483">
        <w:trPr>
          <w:trHeight w:val="300"/>
        </w:trPr>
        <w:tc>
          <w:tcPr>
            <w:tcW w:w="1140" w:type="dxa"/>
            <w:tcMar/>
            <w:vAlign w:val="center"/>
          </w:tcPr>
          <w:p w:rsidR="4FFD3E6A" w:rsidP="4FFD3E6A" w:rsidRDefault="4FFD3E6A" w14:paraId="547D5AD5" w14:textId="26C8971F">
            <w:pPr>
              <w:spacing w:before="0" w:beforeAutospacing="off" w:after="0" w:afterAutospacing="off"/>
              <w:jc w:val="center"/>
              <w:rPr>
                <w:rFonts w:ascii="Arial" w:hAnsi="Arial" w:eastAsia="Arial" w:cs="Arial"/>
                <w:b w:val="1"/>
                <w:bCs w:val="1"/>
                <w:sz w:val="22"/>
                <w:szCs w:val="22"/>
              </w:rPr>
            </w:pPr>
            <w:r w:rsidRPr="4FFD3E6A" w:rsidR="4FFD3E6A">
              <w:rPr>
                <w:rFonts w:ascii="Arial" w:hAnsi="Arial" w:eastAsia="Arial" w:cs="Arial"/>
                <w:b w:val="1"/>
                <w:bCs w:val="1"/>
                <w:sz w:val="22"/>
                <w:szCs w:val="22"/>
              </w:rPr>
              <w:t>Power / Interest</w:t>
            </w:r>
          </w:p>
        </w:tc>
        <w:tc>
          <w:tcPr>
            <w:tcW w:w="2945" w:type="dxa"/>
            <w:tcMar/>
            <w:vAlign w:val="center"/>
          </w:tcPr>
          <w:p w:rsidR="4FFD3E6A" w:rsidP="4FFD3E6A" w:rsidRDefault="4FFD3E6A" w14:paraId="75D952CC" w14:textId="29E03A9C">
            <w:pPr>
              <w:spacing w:before="0" w:beforeAutospacing="off" w:after="0" w:afterAutospacing="off"/>
              <w:jc w:val="center"/>
              <w:rPr>
                <w:rFonts w:ascii="Arial" w:hAnsi="Arial" w:eastAsia="Arial" w:cs="Arial"/>
                <w:b w:val="1"/>
                <w:bCs w:val="1"/>
                <w:sz w:val="22"/>
                <w:szCs w:val="22"/>
              </w:rPr>
            </w:pPr>
            <w:r w:rsidRPr="4FFD3E6A" w:rsidR="4FFD3E6A">
              <w:rPr>
                <w:rFonts w:ascii="Arial" w:hAnsi="Arial" w:eastAsia="Arial" w:cs="Arial"/>
                <w:b w:val="1"/>
                <w:bCs w:val="1"/>
                <w:sz w:val="22"/>
                <w:szCs w:val="22"/>
              </w:rPr>
              <w:t>Low Interest</w:t>
            </w:r>
          </w:p>
        </w:tc>
        <w:tc>
          <w:tcPr>
            <w:tcW w:w="4930" w:type="dxa"/>
            <w:tcMar/>
            <w:vAlign w:val="center"/>
          </w:tcPr>
          <w:p w:rsidR="4FFD3E6A" w:rsidP="4FFD3E6A" w:rsidRDefault="4FFD3E6A" w14:paraId="02A72488" w14:textId="4BAB6D8F">
            <w:pPr>
              <w:spacing w:before="0" w:beforeAutospacing="off" w:after="0" w:afterAutospacing="off"/>
              <w:jc w:val="center"/>
              <w:rPr>
                <w:rFonts w:ascii="Arial" w:hAnsi="Arial" w:eastAsia="Arial" w:cs="Arial"/>
                <w:b w:val="1"/>
                <w:bCs w:val="1"/>
                <w:sz w:val="22"/>
                <w:szCs w:val="22"/>
              </w:rPr>
            </w:pPr>
            <w:r w:rsidRPr="4FFD3E6A" w:rsidR="4FFD3E6A">
              <w:rPr>
                <w:rFonts w:ascii="Arial" w:hAnsi="Arial" w:eastAsia="Arial" w:cs="Arial"/>
                <w:b w:val="1"/>
                <w:bCs w:val="1"/>
                <w:sz w:val="22"/>
                <w:szCs w:val="22"/>
              </w:rPr>
              <w:t>High Interest</w:t>
            </w:r>
          </w:p>
        </w:tc>
      </w:tr>
      <w:tr w:rsidR="4FFD3E6A" w:rsidTr="4FFD3E6A" w14:paraId="48336A3B">
        <w:trPr>
          <w:trHeight w:val="300"/>
        </w:trPr>
        <w:tc>
          <w:tcPr>
            <w:tcW w:w="1140" w:type="dxa"/>
            <w:tcMar/>
            <w:vAlign w:val="center"/>
          </w:tcPr>
          <w:p w:rsidR="4FFD3E6A" w:rsidP="4FFD3E6A" w:rsidRDefault="4FFD3E6A" w14:paraId="7E3D6D53" w14:textId="2BA8237C">
            <w:pPr>
              <w:spacing w:before="0" w:beforeAutospacing="off" w:after="0" w:afterAutospacing="off"/>
              <w:rPr>
                <w:rFonts w:ascii="Arial" w:hAnsi="Arial" w:eastAsia="Arial" w:cs="Arial"/>
                <w:b w:val="1"/>
                <w:bCs w:val="1"/>
                <w:sz w:val="22"/>
                <w:szCs w:val="22"/>
              </w:rPr>
            </w:pPr>
            <w:r w:rsidRPr="4FFD3E6A" w:rsidR="4FFD3E6A">
              <w:rPr>
                <w:rFonts w:ascii="Arial" w:hAnsi="Arial" w:eastAsia="Arial" w:cs="Arial"/>
                <w:b w:val="1"/>
                <w:bCs w:val="1"/>
                <w:sz w:val="22"/>
                <w:szCs w:val="22"/>
              </w:rPr>
              <w:t>High Power</w:t>
            </w:r>
          </w:p>
        </w:tc>
        <w:tc>
          <w:tcPr>
            <w:tcW w:w="2945" w:type="dxa"/>
            <w:tcMar/>
            <w:vAlign w:val="center"/>
          </w:tcPr>
          <w:p w:rsidR="4FFD3E6A" w:rsidP="4FFD3E6A" w:rsidRDefault="4FFD3E6A" w14:paraId="270EDB1A" w14:textId="2E610BE7">
            <w:pPr>
              <w:spacing w:before="0" w:beforeAutospacing="off" w:after="0" w:afterAutospacing="off"/>
              <w:rPr>
                <w:rFonts w:ascii="Arial" w:hAnsi="Arial" w:eastAsia="Arial" w:cs="Arial"/>
                <w:sz w:val="22"/>
                <w:szCs w:val="22"/>
              </w:rPr>
            </w:pPr>
            <w:r w:rsidRPr="4FFD3E6A" w:rsidR="4FFD3E6A">
              <w:rPr>
                <w:rFonts w:ascii="Arial" w:hAnsi="Arial" w:eastAsia="Arial" w:cs="Arial"/>
                <w:b w:val="1"/>
                <w:bCs w:val="1"/>
                <w:sz w:val="22"/>
                <w:szCs w:val="22"/>
              </w:rPr>
              <w:t>Keep Satisfied</w:t>
            </w:r>
            <w:r>
              <w:br/>
            </w:r>
            <w:r>
              <w:br/>
            </w:r>
            <w:r w:rsidRPr="4FFD3E6A" w:rsidR="4FFD3E6A">
              <w:rPr>
                <w:rFonts w:ascii="Arial" w:hAnsi="Arial" w:eastAsia="Arial" w:cs="Arial"/>
                <w:sz w:val="22"/>
                <w:szCs w:val="22"/>
              </w:rPr>
              <w:t>• HSBC and Barclays (lending banks)</w:t>
            </w:r>
            <w:r>
              <w:br/>
            </w:r>
            <w:r w:rsidRPr="4FFD3E6A" w:rsidR="4FFD3E6A">
              <w:rPr>
                <w:rFonts w:ascii="Arial" w:hAnsi="Arial" w:eastAsia="Arial" w:cs="Arial"/>
                <w:sz w:val="22"/>
                <w:szCs w:val="22"/>
              </w:rPr>
              <w:t>• Local Authorities (e.g. Birmingham City Council, county councils)</w:t>
            </w:r>
            <w:r>
              <w:br/>
            </w:r>
            <w:r w:rsidRPr="4FFD3E6A" w:rsidR="4FFD3E6A">
              <w:rPr>
                <w:rFonts w:ascii="Arial" w:hAnsi="Arial" w:eastAsia="Arial" w:cs="Arial"/>
                <w:sz w:val="22"/>
                <w:szCs w:val="22"/>
              </w:rPr>
              <w:t>• British Retail Consortium (BRC)</w:t>
            </w:r>
            <w:r>
              <w:br/>
            </w:r>
            <w:r w:rsidRPr="4FFD3E6A" w:rsidR="4FFD3E6A">
              <w:rPr>
                <w:rFonts w:ascii="Arial" w:hAnsi="Arial" w:eastAsia="Arial" w:cs="Arial"/>
                <w:sz w:val="22"/>
                <w:szCs w:val="22"/>
              </w:rPr>
              <w:t>• UK Government Departments (Department for Business and Trade, DEFRA)</w:t>
            </w:r>
          </w:p>
        </w:tc>
        <w:tc>
          <w:tcPr>
            <w:tcW w:w="4930" w:type="dxa"/>
            <w:tcMar/>
            <w:vAlign w:val="center"/>
          </w:tcPr>
          <w:p w:rsidR="4FFD3E6A" w:rsidP="4FFD3E6A" w:rsidRDefault="4FFD3E6A" w14:paraId="3F1FCE53" w14:textId="459F0AF0">
            <w:pPr>
              <w:spacing w:before="0" w:beforeAutospacing="off" w:after="0" w:afterAutospacing="off"/>
              <w:rPr>
                <w:rFonts w:ascii="Arial" w:hAnsi="Arial" w:eastAsia="Arial" w:cs="Arial"/>
                <w:sz w:val="22"/>
                <w:szCs w:val="22"/>
              </w:rPr>
            </w:pPr>
            <w:r w:rsidRPr="4FFD3E6A" w:rsidR="4FFD3E6A">
              <w:rPr>
                <w:rFonts w:ascii="Arial" w:hAnsi="Arial" w:eastAsia="Arial" w:cs="Arial"/>
                <w:b w:val="1"/>
                <w:bCs w:val="1"/>
                <w:sz w:val="22"/>
                <w:szCs w:val="22"/>
              </w:rPr>
              <w:t>Manage Closely</w:t>
            </w:r>
            <w:r>
              <w:br/>
            </w:r>
            <w:r>
              <w:br/>
            </w:r>
            <w:r w:rsidRPr="4FFD3E6A" w:rsidR="4FFD3E6A">
              <w:rPr>
                <w:rFonts w:ascii="Arial" w:hAnsi="Arial" w:eastAsia="Arial" w:cs="Arial"/>
                <w:sz w:val="22"/>
                <w:szCs w:val="22"/>
              </w:rPr>
              <w:t>• Ken Murphy (Chief Executive Officer)</w:t>
            </w:r>
            <w:r>
              <w:br/>
            </w:r>
            <w:r w:rsidRPr="4FFD3E6A" w:rsidR="4FFD3E6A">
              <w:rPr>
                <w:rFonts w:ascii="Arial" w:hAnsi="Arial" w:eastAsia="Arial" w:cs="Arial"/>
                <w:sz w:val="22"/>
                <w:szCs w:val="22"/>
              </w:rPr>
              <w:t>• Tesco PLC Board of Directors</w:t>
            </w:r>
            <w:r>
              <w:br/>
            </w:r>
            <w:r w:rsidRPr="4FFD3E6A" w:rsidR="4FFD3E6A">
              <w:rPr>
                <w:rFonts w:ascii="Arial" w:hAnsi="Arial" w:eastAsia="Arial" w:cs="Arial"/>
                <w:sz w:val="22"/>
                <w:szCs w:val="22"/>
              </w:rPr>
              <w:t>• Executive Committee (CFO, COO, CTO, Chief People Officer)</w:t>
            </w:r>
            <w:r>
              <w:br/>
            </w:r>
            <w:r w:rsidRPr="4FFD3E6A" w:rsidR="4FFD3E6A">
              <w:rPr>
                <w:rFonts w:ascii="Arial" w:hAnsi="Arial" w:eastAsia="Arial" w:cs="Arial"/>
                <w:sz w:val="22"/>
                <w:szCs w:val="22"/>
              </w:rPr>
              <w:t>• Institutional investors (BlackRock, Vanguard, Legal &amp; General)</w:t>
            </w:r>
            <w:r>
              <w:br/>
            </w:r>
            <w:r w:rsidRPr="4FFD3E6A" w:rsidR="4FFD3E6A">
              <w:rPr>
                <w:rFonts w:ascii="Arial" w:hAnsi="Arial" w:eastAsia="Arial" w:cs="Arial"/>
                <w:sz w:val="22"/>
                <w:szCs w:val="22"/>
              </w:rPr>
              <w:t>• Regulators (Information Commissioner’s Office, Competition and Markets Authority, Health and Safety Executive)</w:t>
            </w:r>
            <w:r>
              <w:br/>
            </w:r>
            <w:r w:rsidRPr="4FFD3E6A" w:rsidR="4FFD3E6A">
              <w:rPr>
                <w:rFonts w:ascii="Arial" w:hAnsi="Arial" w:eastAsia="Arial" w:cs="Arial"/>
                <w:sz w:val="22"/>
                <w:szCs w:val="22"/>
              </w:rPr>
              <w:t>• Key suppliers (Unilever, Nestlé, Coca-Cola, major logistics partners)</w:t>
            </w:r>
          </w:p>
        </w:tc>
      </w:tr>
      <w:tr w:rsidR="4FFD3E6A" w:rsidTr="4FFD3E6A" w14:paraId="25ECC2D1">
        <w:trPr>
          <w:trHeight w:val="300"/>
        </w:trPr>
        <w:tc>
          <w:tcPr>
            <w:tcW w:w="1140" w:type="dxa"/>
            <w:tcMar/>
            <w:vAlign w:val="center"/>
          </w:tcPr>
          <w:p w:rsidR="4FFD3E6A" w:rsidP="4FFD3E6A" w:rsidRDefault="4FFD3E6A" w14:paraId="4A460C50" w14:textId="00775877">
            <w:pPr>
              <w:spacing w:before="0" w:beforeAutospacing="off" w:after="0" w:afterAutospacing="off"/>
              <w:rPr>
                <w:rFonts w:ascii="Arial" w:hAnsi="Arial" w:eastAsia="Arial" w:cs="Arial"/>
                <w:b w:val="1"/>
                <w:bCs w:val="1"/>
                <w:sz w:val="22"/>
                <w:szCs w:val="22"/>
              </w:rPr>
            </w:pPr>
            <w:r w:rsidRPr="4FFD3E6A" w:rsidR="4FFD3E6A">
              <w:rPr>
                <w:rFonts w:ascii="Arial" w:hAnsi="Arial" w:eastAsia="Arial" w:cs="Arial"/>
                <w:b w:val="1"/>
                <w:bCs w:val="1"/>
                <w:sz w:val="22"/>
                <w:szCs w:val="22"/>
              </w:rPr>
              <w:t>Low Power</w:t>
            </w:r>
          </w:p>
        </w:tc>
        <w:tc>
          <w:tcPr>
            <w:tcW w:w="2945" w:type="dxa"/>
            <w:tcMar/>
            <w:vAlign w:val="center"/>
          </w:tcPr>
          <w:p w:rsidR="4FFD3E6A" w:rsidP="4FFD3E6A" w:rsidRDefault="4FFD3E6A" w14:paraId="47036829" w14:textId="4946138B">
            <w:pPr>
              <w:spacing w:before="0" w:beforeAutospacing="off" w:after="0" w:afterAutospacing="off"/>
              <w:rPr>
                <w:rFonts w:ascii="Arial" w:hAnsi="Arial" w:eastAsia="Arial" w:cs="Arial"/>
                <w:sz w:val="22"/>
                <w:szCs w:val="22"/>
              </w:rPr>
            </w:pPr>
            <w:r w:rsidRPr="4FFD3E6A" w:rsidR="4FFD3E6A">
              <w:rPr>
                <w:rFonts w:ascii="Arial" w:hAnsi="Arial" w:eastAsia="Arial" w:cs="Arial"/>
                <w:b w:val="1"/>
                <w:bCs w:val="1"/>
                <w:sz w:val="22"/>
                <w:szCs w:val="22"/>
              </w:rPr>
              <w:t>Monitor</w:t>
            </w:r>
            <w:r>
              <w:br/>
            </w:r>
            <w:r>
              <w:br/>
            </w:r>
            <w:r w:rsidRPr="4FFD3E6A" w:rsidR="4FFD3E6A">
              <w:rPr>
                <w:rFonts w:ascii="Arial" w:hAnsi="Arial" w:eastAsia="Arial" w:cs="Arial"/>
                <w:sz w:val="22"/>
                <w:szCs w:val="22"/>
              </w:rPr>
              <w:t>• General UK public (non-regular customers)</w:t>
            </w:r>
            <w:r>
              <w:br/>
            </w:r>
            <w:r w:rsidRPr="4FFD3E6A" w:rsidR="4FFD3E6A">
              <w:rPr>
                <w:rFonts w:ascii="Arial" w:hAnsi="Arial" w:eastAsia="Arial" w:cs="Arial"/>
                <w:sz w:val="22"/>
                <w:szCs w:val="22"/>
              </w:rPr>
              <w:t>• Small local suppliers and contractors</w:t>
            </w:r>
            <w:r>
              <w:br/>
            </w:r>
            <w:r w:rsidRPr="4FFD3E6A" w:rsidR="4FFD3E6A">
              <w:rPr>
                <w:rFonts w:ascii="Arial" w:hAnsi="Arial" w:eastAsia="Arial" w:cs="Arial"/>
                <w:sz w:val="22"/>
                <w:szCs w:val="22"/>
              </w:rPr>
              <w:t>• Media outlets with limited Tesco coverage</w:t>
            </w:r>
          </w:p>
        </w:tc>
        <w:tc>
          <w:tcPr>
            <w:tcW w:w="4930" w:type="dxa"/>
            <w:tcMar/>
            <w:vAlign w:val="center"/>
          </w:tcPr>
          <w:p w:rsidR="4FFD3E6A" w:rsidP="4FFD3E6A" w:rsidRDefault="4FFD3E6A" w14:paraId="14777F3C" w14:textId="6A56CD27">
            <w:pPr>
              <w:spacing w:before="0" w:beforeAutospacing="off" w:after="0" w:afterAutospacing="off"/>
              <w:rPr>
                <w:rFonts w:ascii="Arial" w:hAnsi="Arial" w:eastAsia="Arial" w:cs="Arial"/>
                <w:sz w:val="22"/>
                <w:szCs w:val="22"/>
              </w:rPr>
            </w:pPr>
            <w:r w:rsidRPr="4FFD3E6A" w:rsidR="4FFD3E6A">
              <w:rPr>
                <w:rFonts w:ascii="Arial" w:hAnsi="Arial" w:eastAsia="Arial" w:cs="Arial"/>
                <w:b w:val="1"/>
                <w:bCs w:val="1"/>
                <w:sz w:val="22"/>
                <w:szCs w:val="22"/>
              </w:rPr>
              <w:t>Keep Informed</w:t>
            </w:r>
            <w:r>
              <w:br/>
            </w:r>
            <w:r>
              <w:br/>
            </w:r>
            <w:r w:rsidRPr="4FFD3E6A" w:rsidR="4FFD3E6A">
              <w:rPr>
                <w:rFonts w:ascii="Arial" w:hAnsi="Arial" w:eastAsia="Arial" w:cs="Arial"/>
                <w:sz w:val="22"/>
                <w:szCs w:val="22"/>
              </w:rPr>
              <w:t>• Store colleagues (frontline staff)</w:t>
            </w:r>
            <w:r>
              <w:br/>
            </w:r>
            <w:r w:rsidRPr="4FFD3E6A" w:rsidR="4FFD3E6A">
              <w:rPr>
                <w:rFonts w:ascii="Arial" w:hAnsi="Arial" w:eastAsia="Arial" w:cs="Arial"/>
                <w:sz w:val="22"/>
                <w:szCs w:val="22"/>
              </w:rPr>
              <w:t>• Store managers and shift leaders</w:t>
            </w:r>
            <w:r>
              <w:br/>
            </w:r>
            <w:r w:rsidRPr="4FFD3E6A" w:rsidR="4FFD3E6A">
              <w:rPr>
                <w:rFonts w:ascii="Arial" w:hAnsi="Arial" w:eastAsia="Arial" w:cs="Arial"/>
                <w:sz w:val="22"/>
                <w:szCs w:val="22"/>
              </w:rPr>
              <w:t>• Online fulfilment and Click &amp; Collect teams</w:t>
            </w:r>
            <w:r>
              <w:br/>
            </w:r>
            <w:r w:rsidRPr="4FFD3E6A" w:rsidR="4FFD3E6A">
              <w:rPr>
                <w:rFonts w:ascii="Arial" w:hAnsi="Arial" w:eastAsia="Arial" w:cs="Arial"/>
                <w:sz w:val="22"/>
                <w:szCs w:val="22"/>
              </w:rPr>
              <w:t>• Customers (Clubcard members, in-store shoppers, online customers)</w:t>
            </w:r>
            <w:r>
              <w:br/>
            </w:r>
            <w:r w:rsidRPr="4FFD3E6A" w:rsidR="4FFD3E6A">
              <w:rPr>
                <w:rFonts w:ascii="Arial" w:hAnsi="Arial" w:eastAsia="Arial" w:cs="Arial"/>
                <w:sz w:val="22"/>
                <w:szCs w:val="22"/>
              </w:rPr>
              <w:t>• USDAW trade union</w:t>
            </w:r>
            <w:r>
              <w:br/>
            </w:r>
            <w:r w:rsidRPr="4FFD3E6A" w:rsidR="4FFD3E6A">
              <w:rPr>
                <w:rFonts w:ascii="Arial" w:hAnsi="Arial" w:eastAsia="Arial" w:cs="Arial"/>
                <w:sz w:val="22"/>
                <w:szCs w:val="22"/>
              </w:rPr>
              <w:t>• Local communities around stores and distribution centres</w:t>
            </w:r>
          </w:p>
        </w:tc>
      </w:tr>
    </w:tbl>
    <w:p xmlns:wp14="http://schemas.microsoft.com/office/word/2010/wordml" w:rsidP="4FFD3E6A" wp14:paraId="68FF625C" wp14:textId="74315EE4">
      <w:pPr>
        <w:spacing w:before="240" w:beforeAutospacing="off" w:after="240" w:afterAutospacing="off"/>
        <w:rPr>
          <w:rFonts w:ascii="Arial" w:hAnsi="Arial" w:eastAsia="Arial" w:cs="Arial"/>
          <w:noProof w:val="0"/>
          <w:sz w:val="22"/>
          <w:szCs w:val="22"/>
          <w:lang w:val="en-GB"/>
        </w:rPr>
      </w:pPr>
      <w:r w:rsidRPr="4FFD3E6A" w:rsidR="4BAD55FE">
        <w:rPr>
          <w:rFonts w:ascii="Arial" w:hAnsi="Arial" w:eastAsia="Arial" w:cs="Arial"/>
          <w:noProof w:val="0"/>
          <w:sz w:val="22"/>
          <w:szCs w:val="22"/>
          <w:lang w:val="en-GB"/>
        </w:rPr>
        <w:t xml:space="preserve">                                </w:t>
      </w:r>
    </w:p>
    <w:p xmlns:wp14="http://schemas.microsoft.com/office/word/2010/wordml" w:rsidP="4FFD3E6A" wp14:paraId="6494A1BE" wp14:textId="170ECC7C">
      <w:pPr>
        <w:pStyle w:val="Normal"/>
        <w:spacing w:before="240" w:beforeAutospacing="off" w:after="240" w:afterAutospacing="off"/>
        <w:rPr>
          <w:rFonts w:ascii="Arial" w:hAnsi="Arial" w:eastAsia="Arial" w:cs="Arial"/>
          <w:b w:val="1"/>
          <w:bCs w:val="1"/>
          <w:noProof w:val="0"/>
          <w:color w:val="auto"/>
          <w:sz w:val="28"/>
          <w:szCs w:val="28"/>
          <w:lang w:val="en-GB"/>
        </w:rPr>
      </w:pPr>
      <w:r w:rsidRPr="0124D3B5" w:rsidR="4CB3251B">
        <w:rPr>
          <w:rFonts w:ascii="Arial" w:hAnsi="Arial" w:eastAsia="Arial" w:cs="Arial"/>
          <w:noProof w:val="0"/>
          <w:sz w:val="22"/>
          <w:szCs w:val="22"/>
          <w:lang w:val="en-GB"/>
        </w:rPr>
        <w:t xml:space="preserve">  </w:t>
      </w:r>
      <w:r w:rsidRPr="0124D3B5" w:rsidR="04174C62">
        <w:rPr>
          <w:rFonts w:ascii="Arial" w:hAnsi="Arial" w:eastAsia="Arial" w:cs="Arial"/>
          <w:b w:val="1"/>
          <w:bCs w:val="1"/>
          <w:noProof w:val="0"/>
          <w:color w:val="auto"/>
          <w:sz w:val="28"/>
          <w:szCs w:val="28"/>
          <w:lang w:val="en-GB"/>
        </w:rPr>
        <w:t>Implementation Framework</w:t>
      </w:r>
    </w:p>
    <w:p xmlns:wp14="http://schemas.microsoft.com/office/word/2010/wordml" w:rsidP="4FFD3E6A" wp14:paraId="373EC061" wp14:textId="36D91399">
      <w:pPr>
        <w:spacing w:before="240" w:beforeAutospacing="off" w:after="240" w:afterAutospacing="off"/>
      </w:pPr>
      <w:r w:rsidRPr="4FFD3E6A" w:rsidR="76F83070">
        <w:rPr>
          <w:rFonts w:ascii="Arial" w:hAnsi="Arial" w:eastAsia="Arial" w:cs="Arial"/>
          <w:noProof w:val="0"/>
          <w:sz w:val="22"/>
          <w:szCs w:val="22"/>
          <w:lang w:val="en-GB"/>
        </w:rPr>
        <w:t xml:space="preserve">The implementation framework adopts a </w:t>
      </w:r>
      <w:r w:rsidRPr="4FFD3E6A" w:rsidR="76F83070">
        <w:rPr>
          <w:rFonts w:ascii="Arial" w:hAnsi="Arial" w:eastAsia="Arial" w:cs="Arial"/>
          <w:b w:val="0"/>
          <w:bCs w:val="0"/>
          <w:noProof w:val="0"/>
          <w:sz w:val="22"/>
          <w:szCs w:val="22"/>
          <w:lang w:val="en-GB"/>
        </w:rPr>
        <w:t>hybrid change mod</w:t>
      </w:r>
      <w:r w:rsidRPr="4FFD3E6A" w:rsidR="76F83070">
        <w:rPr>
          <w:rFonts w:ascii="Arial" w:hAnsi="Arial" w:eastAsia="Arial" w:cs="Arial"/>
          <w:b w:val="0"/>
          <w:bCs w:val="0"/>
          <w:noProof w:val="0"/>
          <w:sz w:val="22"/>
          <w:szCs w:val="22"/>
          <w:lang w:val="en-GB"/>
        </w:rPr>
        <w:t>e</w:t>
      </w:r>
      <w:r w:rsidRPr="4FFD3E6A" w:rsidR="76F83070">
        <w:rPr>
          <w:rFonts w:ascii="Arial" w:hAnsi="Arial" w:eastAsia="Arial" w:cs="Arial"/>
          <w:b w:val="0"/>
          <w:bCs w:val="0"/>
          <w:noProof w:val="0"/>
          <w:sz w:val="22"/>
          <w:szCs w:val="22"/>
          <w:lang w:val="en-GB"/>
        </w:rPr>
        <w:t>l</w:t>
      </w:r>
      <w:r w:rsidRPr="4FFD3E6A" w:rsidR="76F83070">
        <w:rPr>
          <w:rFonts w:ascii="Arial" w:hAnsi="Arial" w:eastAsia="Arial" w:cs="Arial"/>
          <w:b w:val="0"/>
          <w:bCs w:val="0"/>
          <w:noProof w:val="0"/>
          <w:sz w:val="22"/>
          <w:szCs w:val="22"/>
          <w:lang w:val="en-GB"/>
        </w:rPr>
        <w:t>,</w:t>
      </w:r>
      <w:r w:rsidRPr="4FFD3E6A" w:rsidR="76F83070">
        <w:rPr>
          <w:rFonts w:ascii="Arial" w:hAnsi="Arial" w:eastAsia="Arial" w:cs="Arial"/>
          <w:noProof w:val="0"/>
          <w:sz w:val="22"/>
          <w:szCs w:val="22"/>
          <w:lang w:val="en-GB"/>
        </w:rPr>
        <w:t xml:space="preserve"> combining Kotter’s Eight-Step Model with the ADKAR framework and supported by the McKinsey 7S alignment perspective. This approach enables Tesco to manage strategic direction, individual behaviour change, and organisational alignment simultaneously.</w:t>
      </w:r>
    </w:p>
    <w:p xmlns:wp14="http://schemas.microsoft.com/office/word/2010/wordml" w:rsidP="4FFD3E6A" wp14:paraId="44A1646B" wp14:textId="6846CB26">
      <w:pPr>
        <w:spacing w:before="240" w:beforeAutospacing="off" w:after="240" w:afterAutospacing="off"/>
      </w:pPr>
      <w:r w:rsidRPr="4FFD3E6A" w:rsidR="76F83070">
        <w:rPr>
          <w:rFonts w:ascii="Arial" w:hAnsi="Arial" w:eastAsia="Arial" w:cs="Arial"/>
          <w:noProof w:val="0"/>
          <w:sz w:val="22"/>
          <w:szCs w:val="22"/>
          <w:lang w:val="en-GB"/>
        </w:rPr>
        <w:t>Implementation should begin with establishing urgency by communicating the competitive and service risks of inaction. A guiding coalition comprising senior leaders, store managers, and digital specialists should then be formed to ensure cross-functional ownership. Pilot programmes should be introduced in selected stores to test AI-enhanced queue management, improved self-checkout systems, and revised staffing models.</w:t>
      </w:r>
    </w:p>
    <w:p xmlns:wp14="http://schemas.microsoft.com/office/word/2010/wordml" w:rsidP="4FFD3E6A" wp14:paraId="70831E14" wp14:textId="43C7ECC7">
      <w:pPr>
        <w:spacing w:before="240" w:beforeAutospacing="off" w:after="240" w:afterAutospacing="off"/>
      </w:pPr>
      <w:r w:rsidRPr="4FFD3E6A" w:rsidR="76F83070">
        <w:rPr>
          <w:rFonts w:ascii="Arial" w:hAnsi="Arial" w:eastAsia="Arial" w:cs="Arial"/>
          <w:noProof w:val="0"/>
          <w:sz w:val="22"/>
          <w:szCs w:val="22"/>
          <w:lang w:val="en-GB"/>
        </w:rPr>
        <w:t>At the individual level, ADKAR principles should guide training and support. Employees must understand why change is occurring, feel motivated to participate, acquire the necessary skills, and receive reinforcement through performance feedback and recognition. Successful pilots should be scaled gradually to minimise disruption and allow learning to be embedded before full rollout.</w:t>
      </w:r>
    </w:p>
    <w:p xmlns:wp14="http://schemas.microsoft.com/office/word/2010/wordml" w:rsidP="55B2D1B6" wp14:paraId="6E7C5876" wp14:textId="417F434C">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1096363861" w:id="263632096"/>
      <w:r w:rsidRPr="55B2D1B6" w:rsidR="4A94099F">
        <w:rPr>
          <w:rFonts w:ascii="Arial" w:hAnsi="Arial" w:eastAsia="Arial" w:cs="Arial"/>
          <w:b w:val="1"/>
          <w:bCs w:val="1"/>
          <w:noProof w:val="0"/>
          <w:color w:val="auto"/>
          <w:sz w:val="28"/>
          <w:szCs w:val="28"/>
          <w:lang w:val="en-GB"/>
        </w:rPr>
        <w:t>Communication Plan</w:t>
      </w:r>
      <w:bookmarkEnd w:id="263632096"/>
    </w:p>
    <w:p xmlns:wp14="http://schemas.microsoft.com/office/word/2010/wordml" w:rsidP="4FFD3E6A" wp14:paraId="2080BF62" wp14:textId="6DF64FDC">
      <w:pPr>
        <w:spacing w:before="240" w:beforeAutospacing="off" w:after="240" w:afterAutospacing="off"/>
      </w:pPr>
      <w:r w:rsidRPr="4FFD3E6A" w:rsidR="76F83070">
        <w:rPr>
          <w:rFonts w:ascii="Arial" w:hAnsi="Arial" w:eastAsia="Arial" w:cs="Arial"/>
          <w:noProof w:val="0"/>
          <w:sz w:val="22"/>
          <w:szCs w:val="22"/>
          <w:lang w:val="en-GB"/>
        </w:rPr>
        <w:t>Communication is central to reducing resistance and building commitment. Tesco’s communication plan should be continuous, transparent, and two-way. Senior leadership should communicate the strategic rationale for change through clear and consistent messaging, emphasising benefits for customers, employees, and the organisation.</w:t>
      </w:r>
    </w:p>
    <w:p xmlns:wp14="http://schemas.microsoft.com/office/word/2010/wordml" w:rsidP="4FFD3E6A" wp14:paraId="41FE5AED" wp14:textId="24874558">
      <w:pPr>
        <w:spacing w:before="240" w:beforeAutospacing="off" w:after="240" w:afterAutospacing="off"/>
      </w:pPr>
      <w:r w:rsidRPr="4FFD3E6A" w:rsidR="76F83070">
        <w:rPr>
          <w:rFonts w:ascii="Arial" w:hAnsi="Arial" w:eastAsia="Arial" w:cs="Arial"/>
          <w:noProof w:val="0"/>
          <w:sz w:val="22"/>
          <w:szCs w:val="22"/>
          <w:lang w:val="en-GB"/>
        </w:rPr>
        <w:t>Store managers play a critical role as local change agents and should be equipped with toolkits, briefing materials, and opportunities to address employee concerns. Regular updates via internal platforms, team meetings, and feedback surveys should be used to monitor sentiment and address emerging issues. Externally, customers should be informed about service improvements and changes to digital systems using in-store signage and digital channels, reinforcing trust and transparency.</w:t>
      </w:r>
    </w:p>
    <w:p xmlns:wp14="http://schemas.microsoft.com/office/word/2010/wordml" wp14:paraId="0E37A44D" wp14:textId="104A3576"/>
    <w:p xmlns:wp14="http://schemas.microsoft.com/office/word/2010/wordml" w:rsidP="55B2D1B6" wp14:paraId="409B091A" wp14:textId="495A5504">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249362301" w:id="138387187"/>
      <w:r w:rsidRPr="55B2D1B6" w:rsidR="4A94099F">
        <w:rPr>
          <w:rFonts w:ascii="Arial" w:hAnsi="Arial" w:eastAsia="Arial" w:cs="Arial"/>
          <w:b w:val="1"/>
          <w:bCs w:val="1"/>
          <w:noProof w:val="0"/>
          <w:color w:val="auto"/>
          <w:sz w:val="28"/>
          <w:szCs w:val="28"/>
          <w:lang w:val="en-GB"/>
        </w:rPr>
        <w:t>Financial and Resource Plan</w:t>
      </w:r>
      <w:bookmarkEnd w:id="138387187"/>
    </w:p>
    <w:p xmlns:wp14="http://schemas.microsoft.com/office/word/2010/wordml" w:rsidP="55B2D1B6" wp14:paraId="22317BC1" wp14:textId="76AF60D4">
      <w:pPr>
        <w:pStyle w:val="Heading3"/>
        <w:spacing w:before="281" w:beforeAutospacing="off" w:after="281" w:afterAutospacing="off"/>
        <w:rPr>
          <w:rFonts w:ascii="Arial" w:hAnsi="Arial" w:eastAsia="Arial" w:cs="Arial"/>
          <w:noProof w:val="0"/>
          <w:color w:val="auto"/>
          <w:sz w:val="22"/>
          <w:szCs w:val="22"/>
          <w:lang w:val="en-GB"/>
        </w:rPr>
      </w:pPr>
      <w:bookmarkStart w:name="_Toc899529065" w:id="1168983313"/>
      <w:r w:rsidRPr="55B2D1B6" w:rsidR="01C8EC85">
        <w:rPr>
          <w:rFonts w:ascii="Arial" w:hAnsi="Arial" w:eastAsia="Arial" w:cs="Arial"/>
          <w:noProof w:val="0"/>
          <w:color w:val="auto"/>
          <w:sz w:val="22"/>
          <w:szCs w:val="22"/>
          <w:lang w:val="en-GB"/>
        </w:rPr>
        <w:t>The proposed change programme requires investment in technology upgrades, workforce training, and change management resources. Key cost areas include AI and self-checkout enhancements, system integration, training programmes, and temporary staffing support during transition periods.</w:t>
      </w:r>
      <w:bookmarkEnd w:id="1168983313"/>
    </w:p>
    <w:p xmlns:wp14="http://schemas.microsoft.com/office/word/2010/wordml" w:rsidP="4FFD3E6A" wp14:paraId="71DA86E3" wp14:textId="0C829A0E">
      <w:pPr>
        <w:spacing w:before="240" w:beforeAutospacing="off" w:after="240" w:afterAutospacing="off"/>
      </w:pPr>
      <w:r w:rsidRPr="4FFD3E6A" w:rsidR="76F83070">
        <w:rPr>
          <w:rFonts w:ascii="Arial" w:hAnsi="Arial" w:eastAsia="Arial" w:cs="Arial"/>
          <w:noProof w:val="0"/>
          <w:sz w:val="22"/>
          <w:szCs w:val="22"/>
          <w:lang w:val="en-GB"/>
        </w:rPr>
        <w:t>However, these costs should be evaluated against long-term financial benefits, including reduced transaction times, lower error rates, improved labour productivity, and increased customer retention. Efficiency gains achieved through automation and improved forecasting can offset initial investment over time. The financial plan should therefore adopt a medium-term horizon, balancing short-term expenditure with long-term value creation.</w:t>
      </w:r>
    </w:p>
    <w:p xmlns:wp14="http://schemas.microsoft.com/office/word/2010/wordml" w:rsidP="4FFD3E6A" wp14:paraId="2B8E1FA9" wp14:textId="72A28D9C">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422447603" w:id="1491988729"/>
      <w:r w:rsidRPr="55B2D1B6" w:rsidR="4A94099F">
        <w:rPr>
          <w:rFonts w:ascii="Arial" w:hAnsi="Arial" w:eastAsia="Arial" w:cs="Arial"/>
          <w:b w:val="1"/>
          <w:bCs w:val="1"/>
          <w:noProof w:val="0"/>
          <w:color w:val="auto"/>
          <w:sz w:val="28"/>
          <w:szCs w:val="28"/>
          <w:lang w:val="en-GB"/>
        </w:rPr>
        <w:t>Risk Assessment and Mitigation</w:t>
      </w:r>
      <w:bookmarkEnd w:id="1491988729"/>
    </w:p>
    <w:p xmlns:wp14="http://schemas.microsoft.com/office/word/2010/wordml" w:rsidP="4FFD3E6A" wp14:paraId="5E8B83AC" wp14:textId="734090DE">
      <w:pPr>
        <w:spacing w:before="240" w:beforeAutospacing="off" w:after="240" w:afterAutospacing="off"/>
      </w:pPr>
      <w:r w:rsidRPr="4FFD3E6A" w:rsidR="76F83070">
        <w:rPr>
          <w:rFonts w:ascii="Arial" w:hAnsi="Arial" w:eastAsia="Arial" w:cs="Arial"/>
          <w:noProof w:val="0"/>
          <w:sz w:val="22"/>
          <w:szCs w:val="22"/>
          <w:lang w:val="en-GB"/>
        </w:rPr>
        <w:t>Several risks may affect the success of the change programme. Employee resistance represents a significant risk, particularly if change is perceived as threatening job security. This risk can be mitigated through early engagement, clear communication, and visible investment in training and development. Technology failure or system instability is another risk, which should be managed through phased implementation, pilot testing, and contingency planning.</w:t>
      </w:r>
    </w:p>
    <w:p xmlns:wp14="http://schemas.microsoft.com/office/word/2010/wordml" w:rsidP="4FFD3E6A" wp14:paraId="1B086318" wp14:textId="4E9B955D">
      <w:pPr>
        <w:spacing w:before="240" w:beforeAutospacing="off" w:after="240" w:afterAutospacing="off"/>
      </w:pPr>
      <w:r w:rsidRPr="4FFD3E6A" w:rsidR="76F83070">
        <w:rPr>
          <w:rFonts w:ascii="Arial" w:hAnsi="Arial" w:eastAsia="Arial" w:cs="Arial"/>
          <w:noProof w:val="0"/>
          <w:sz w:val="22"/>
          <w:szCs w:val="22"/>
          <w:lang w:val="en-GB"/>
        </w:rPr>
        <w:t>Customer dissatisfaction during transition periods poses reputational risk. This can be mitigated by piloting changes, maintaining alternative service options, and responding quickly to feedback. Finally, ethical risks related to data use and workforce impact must be managed through compliance with data protection legislation and adherence to fair employment practices.</w:t>
      </w:r>
    </w:p>
    <w:p xmlns:wp14="http://schemas.microsoft.com/office/word/2010/wordml" w:rsidP="4FFD3E6A" wp14:paraId="0166A4E9" wp14:textId="7F9C8668">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500955308" w:id="937771626"/>
      <w:r w:rsidRPr="55B2D1B6" w:rsidR="4A94099F">
        <w:rPr>
          <w:rFonts w:ascii="Arial" w:hAnsi="Arial" w:eastAsia="Arial" w:cs="Arial"/>
          <w:b w:val="1"/>
          <w:bCs w:val="1"/>
          <w:noProof w:val="0"/>
          <w:color w:val="auto"/>
          <w:sz w:val="28"/>
          <w:szCs w:val="28"/>
          <w:lang w:val="en-GB"/>
        </w:rPr>
        <w:t>Evaluation and KPIs</w:t>
      </w:r>
      <w:bookmarkEnd w:id="937771626"/>
    </w:p>
    <w:p xmlns:wp14="http://schemas.microsoft.com/office/word/2010/wordml" w:rsidP="4FFD3E6A" wp14:paraId="41057CD4" wp14:textId="1F9CFAD5">
      <w:pPr>
        <w:spacing w:before="240" w:beforeAutospacing="off" w:after="240" w:afterAutospacing="off"/>
      </w:pPr>
      <w:r w:rsidRPr="4FFD3E6A" w:rsidR="76F83070">
        <w:rPr>
          <w:rFonts w:ascii="Arial" w:hAnsi="Arial" w:eastAsia="Arial" w:cs="Arial"/>
          <w:noProof w:val="0"/>
          <w:sz w:val="22"/>
          <w:szCs w:val="22"/>
          <w:lang w:val="en-GB"/>
        </w:rPr>
        <w:t>Evaluation is essential to ensure that the change programme delivers its intended outcomes. Key performance indicators should include customer satisfaction scores related to checkout and service speed, average transaction and queue times, frequency of self-checkout interventions, employee engagement and training completion rates, and operational cost-to-serve metrics.</w:t>
      </w:r>
    </w:p>
    <w:p xmlns:wp14="http://schemas.microsoft.com/office/word/2010/wordml" w:rsidP="4FFD3E6A" wp14:paraId="3E75F03B" wp14:textId="5AD14254">
      <w:pPr>
        <w:spacing w:before="240" w:beforeAutospacing="off" w:after="240" w:afterAutospacing="off"/>
      </w:pPr>
      <w:r w:rsidRPr="4FFD3E6A" w:rsidR="76F83070">
        <w:rPr>
          <w:rFonts w:ascii="Arial" w:hAnsi="Arial" w:eastAsia="Arial" w:cs="Arial"/>
          <w:noProof w:val="0"/>
          <w:sz w:val="22"/>
          <w:szCs w:val="22"/>
          <w:lang w:val="en-GB"/>
        </w:rPr>
        <w:t>Regular review cycles should be established to assess progress against objectives and enable corrective action where required. Importantly, evaluation should focus not only on financial performance but also on behavioural adoption and cultural alignment, ensuring that change is embedded rather than superficial.</w:t>
      </w:r>
    </w:p>
    <w:p xmlns:wp14="http://schemas.microsoft.com/office/word/2010/wordml" w:rsidP="4FFD3E6A" wp14:paraId="6A6AF2BF" wp14:textId="6EBA356E">
      <w:pPr>
        <w:pStyle w:val="Normal"/>
        <w:spacing w:before="240" w:beforeAutospacing="off" w:after="240" w:afterAutospacing="off"/>
        <w:rPr>
          <w:rFonts w:ascii="Arial" w:hAnsi="Arial" w:eastAsia="Arial" w:cs="Arial"/>
          <w:b w:val="1"/>
          <w:bCs w:val="1"/>
          <w:noProof w:val="0"/>
          <w:sz w:val="36"/>
          <w:szCs w:val="36"/>
          <w:lang w:val="en-GB"/>
        </w:rPr>
      </w:pPr>
      <w:r w:rsidRPr="0124D3B5" w:rsidR="5BEF0710">
        <w:rPr>
          <w:rFonts w:ascii="Arial" w:hAnsi="Arial" w:eastAsia="Arial" w:cs="Arial"/>
          <w:b w:val="1"/>
          <w:bCs w:val="1"/>
          <w:noProof w:val="0"/>
          <w:sz w:val="36"/>
          <w:szCs w:val="36"/>
          <w:lang w:val="en-GB"/>
        </w:rPr>
        <w:t>Discussion and Critical Reflection</w:t>
      </w:r>
    </w:p>
    <w:p xmlns:wp14="http://schemas.microsoft.com/office/word/2010/wordml" w:rsidP="4FFD3E6A" wp14:paraId="76EF8715" wp14:textId="3429E8B7">
      <w:pPr>
        <w:spacing w:before="240" w:beforeAutospacing="off" w:after="240" w:afterAutospacing="off"/>
      </w:pPr>
      <w:r w:rsidRPr="4FFD3E6A" w:rsidR="347E1520">
        <w:rPr>
          <w:rFonts w:ascii="Arial" w:hAnsi="Arial" w:eastAsia="Arial" w:cs="Arial"/>
          <w:noProof w:val="0"/>
          <w:sz w:val="22"/>
          <w:szCs w:val="22"/>
          <w:lang w:val="en-GB"/>
        </w:rPr>
        <w:t xml:space="preserve">One of the primary strengths of the proposed change plan lies in its </w:t>
      </w:r>
      <w:r w:rsidRPr="4FFD3E6A" w:rsidR="347E1520">
        <w:rPr>
          <w:rFonts w:ascii="Arial" w:hAnsi="Arial" w:eastAsia="Arial" w:cs="Arial"/>
          <w:b w:val="0"/>
          <w:bCs w:val="0"/>
          <w:noProof w:val="0"/>
          <w:sz w:val="22"/>
          <w:szCs w:val="22"/>
          <w:lang w:val="en-GB"/>
        </w:rPr>
        <w:t>integrated approach</w:t>
      </w:r>
      <w:r w:rsidRPr="4FFD3E6A" w:rsidR="347E1520">
        <w:rPr>
          <w:rFonts w:ascii="Arial" w:hAnsi="Arial" w:eastAsia="Arial" w:cs="Arial"/>
          <w:b w:val="0"/>
          <w:bCs w:val="0"/>
          <w:noProof w:val="0"/>
          <w:sz w:val="22"/>
          <w:szCs w:val="22"/>
          <w:lang w:val="en-GB"/>
        </w:rPr>
        <w:t>,</w:t>
      </w:r>
      <w:r w:rsidRPr="4FFD3E6A" w:rsidR="347E1520">
        <w:rPr>
          <w:rFonts w:ascii="Arial" w:hAnsi="Arial" w:eastAsia="Arial" w:cs="Arial"/>
          <w:noProof w:val="0"/>
          <w:sz w:val="22"/>
          <w:szCs w:val="22"/>
          <w:lang w:val="en-GB"/>
        </w:rPr>
        <w:t xml:space="preserve"> combining strategic direction, people-centred change, and organisational alignment. By adopting a hybrid change management framework that draws on Kotter’s, ADKAR, and McKinsey 7S models, the plan addresses a common weakness of change initiatives: the tendency to focus either on strategy or on people, but not both. This integration increases the likelihood of sustained behavioural change rather than superficial compliance. In particular, the emphasis on employee engagement, reskilling, and leadership communication reflects evidence that change programmes are more successful when employees understand and feel supported throughout the process.</w:t>
      </w:r>
    </w:p>
    <w:p xmlns:wp14="http://schemas.microsoft.com/office/word/2010/wordml" w:rsidP="4FFD3E6A" wp14:paraId="6B234D18" wp14:textId="5DA97685">
      <w:pPr>
        <w:spacing w:before="240" w:beforeAutospacing="off" w:after="240" w:afterAutospacing="off"/>
      </w:pPr>
      <w:r w:rsidRPr="4FFD3E6A" w:rsidR="347E1520">
        <w:rPr>
          <w:rFonts w:ascii="Arial" w:hAnsi="Arial" w:eastAsia="Arial" w:cs="Arial"/>
          <w:noProof w:val="0"/>
          <w:sz w:val="22"/>
          <w:szCs w:val="22"/>
          <w:lang w:val="en-GB"/>
        </w:rPr>
        <w:t xml:space="preserve">Another key strength is the plan’s </w:t>
      </w:r>
      <w:r w:rsidRPr="4FFD3E6A" w:rsidR="347E1520">
        <w:rPr>
          <w:rFonts w:ascii="Arial" w:hAnsi="Arial" w:eastAsia="Arial" w:cs="Arial"/>
          <w:b w:val="0"/>
          <w:bCs w:val="0"/>
          <w:noProof w:val="0"/>
          <w:sz w:val="22"/>
          <w:szCs w:val="22"/>
          <w:lang w:val="en-GB"/>
        </w:rPr>
        <w:t>customer-centric focus</w:t>
      </w:r>
      <w:r w:rsidRPr="4FFD3E6A" w:rsidR="347E1520">
        <w:rPr>
          <w:rFonts w:ascii="Arial" w:hAnsi="Arial" w:eastAsia="Arial" w:cs="Arial"/>
          <w:noProof w:val="0"/>
          <w:sz w:val="22"/>
          <w:szCs w:val="22"/>
          <w:lang w:val="en-GB"/>
        </w:rPr>
        <w:t xml:space="preserve">, especially its emphasis on improving peak-time service performance and omnichannel integration. Given Tesco’s competitive environment and thin operating margins, enhancing customer experience </w:t>
      </w:r>
      <w:r w:rsidRPr="4FFD3E6A" w:rsidR="347E1520">
        <w:rPr>
          <w:rFonts w:ascii="Arial" w:hAnsi="Arial" w:eastAsia="Arial" w:cs="Arial"/>
          <w:noProof w:val="0"/>
          <w:sz w:val="22"/>
          <w:szCs w:val="22"/>
          <w:lang w:val="en-GB"/>
        </w:rPr>
        <w:t>represents</w:t>
      </w:r>
      <w:r w:rsidRPr="4FFD3E6A" w:rsidR="347E1520">
        <w:rPr>
          <w:rFonts w:ascii="Arial" w:hAnsi="Arial" w:eastAsia="Arial" w:cs="Arial"/>
          <w:noProof w:val="0"/>
          <w:sz w:val="22"/>
          <w:szCs w:val="22"/>
          <w:lang w:val="en-GB"/>
        </w:rPr>
        <w:t xml:space="preserve"> a strategically sound route to differentiation and long-term loyalty. The use of pilot programmes and phased implementation further strengthens the plan by reducing operational risk and enabling learning before large-scale rollout.</w:t>
      </w:r>
    </w:p>
    <w:p xmlns:wp14="http://schemas.microsoft.com/office/word/2010/wordml" w:rsidP="4FFD3E6A" wp14:paraId="34488AE2" wp14:textId="4145ACC1">
      <w:pPr>
        <w:spacing w:before="240" w:beforeAutospacing="off" w:after="240" w:afterAutospacing="off"/>
      </w:pPr>
      <w:r w:rsidRPr="4FFD3E6A" w:rsidR="347E1520">
        <w:rPr>
          <w:rFonts w:ascii="Arial" w:hAnsi="Arial" w:eastAsia="Arial" w:cs="Arial"/>
          <w:noProof w:val="0"/>
          <w:sz w:val="22"/>
          <w:szCs w:val="22"/>
          <w:lang w:val="en-GB"/>
        </w:rPr>
        <w:t>However, several</w:t>
      </w:r>
      <w:r w:rsidRPr="4FFD3E6A" w:rsidR="347E1520">
        <w:rPr>
          <w:rFonts w:ascii="Arial" w:hAnsi="Arial" w:eastAsia="Arial" w:cs="Arial"/>
          <w:b w:val="0"/>
          <w:bCs w:val="0"/>
          <w:noProof w:val="0"/>
          <w:sz w:val="22"/>
          <w:szCs w:val="22"/>
          <w:lang w:val="en-GB"/>
        </w:rPr>
        <w:t xml:space="preserve"> </w:t>
      </w:r>
      <w:r w:rsidRPr="4FFD3E6A" w:rsidR="347E1520">
        <w:rPr>
          <w:rFonts w:ascii="Arial" w:hAnsi="Arial" w:eastAsia="Arial" w:cs="Arial"/>
          <w:b w:val="0"/>
          <w:bCs w:val="0"/>
          <w:noProof w:val="0"/>
          <w:sz w:val="22"/>
          <w:szCs w:val="22"/>
          <w:lang w:val="en-GB"/>
        </w:rPr>
        <w:t>limitations</w:t>
      </w:r>
      <w:r w:rsidRPr="4FFD3E6A" w:rsidR="347E1520">
        <w:rPr>
          <w:rFonts w:ascii="Arial" w:hAnsi="Arial" w:eastAsia="Arial" w:cs="Arial"/>
          <w:noProof w:val="0"/>
          <w:sz w:val="22"/>
          <w:szCs w:val="22"/>
          <w:lang w:val="en-GB"/>
        </w:rPr>
        <w:t xml:space="preserve"> must be acknowledged. First, the plan </w:t>
      </w:r>
      <w:r w:rsidRPr="4FFD3E6A" w:rsidR="347E1520">
        <w:rPr>
          <w:rFonts w:ascii="Arial" w:hAnsi="Arial" w:eastAsia="Arial" w:cs="Arial"/>
          <w:noProof w:val="0"/>
          <w:sz w:val="22"/>
          <w:szCs w:val="22"/>
          <w:lang w:val="en-GB"/>
        </w:rPr>
        <w:t>requires</w:t>
      </w:r>
      <w:r w:rsidRPr="4FFD3E6A" w:rsidR="347E1520">
        <w:rPr>
          <w:rFonts w:ascii="Arial" w:hAnsi="Arial" w:eastAsia="Arial" w:cs="Arial"/>
          <w:noProof w:val="0"/>
          <w:sz w:val="22"/>
          <w:szCs w:val="22"/>
          <w:lang w:val="en-GB"/>
        </w:rPr>
        <w:t xml:space="preserve"> significant financial and managerial resources at a time when the retail sector is under cost pressure. Although long-term efficiency gains are </w:t>
      </w:r>
      <w:r w:rsidRPr="4FFD3E6A" w:rsidR="347E1520">
        <w:rPr>
          <w:rFonts w:ascii="Arial" w:hAnsi="Arial" w:eastAsia="Arial" w:cs="Arial"/>
          <w:noProof w:val="0"/>
          <w:sz w:val="22"/>
          <w:szCs w:val="22"/>
          <w:lang w:val="en-GB"/>
        </w:rPr>
        <w:t>anticipated</w:t>
      </w:r>
      <w:r w:rsidRPr="4FFD3E6A" w:rsidR="347E1520">
        <w:rPr>
          <w:rFonts w:ascii="Arial" w:hAnsi="Arial" w:eastAsia="Arial" w:cs="Arial"/>
          <w:noProof w:val="0"/>
          <w:sz w:val="22"/>
          <w:szCs w:val="22"/>
          <w:lang w:val="en-GB"/>
        </w:rPr>
        <w:t>, short-term investment may strain budgets and management capacity. Second, the success of the plan is heavily dependent on leadership capability at store level. Inconsistencies in managerial competence, communication quality, or change commitment could result in uneven implementation and employee disengagement. This highlights the risk that centrally designed change initiatives may be interpreted differently across diverse operational contexts.</w:t>
      </w:r>
    </w:p>
    <w:p xmlns:wp14="http://schemas.microsoft.com/office/word/2010/wordml" w:rsidP="4FFD3E6A" wp14:paraId="48CABFA2" wp14:textId="6A017934">
      <w:pPr>
        <w:spacing w:before="240" w:beforeAutospacing="off" w:after="240" w:afterAutospacing="off"/>
      </w:pPr>
      <w:r w:rsidRPr="4FFD3E6A" w:rsidR="347E1520">
        <w:rPr>
          <w:rFonts w:ascii="Arial" w:hAnsi="Arial" w:eastAsia="Arial" w:cs="Arial"/>
          <w:noProof w:val="0"/>
          <w:sz w:val="22"/>
          <w:szCs w:val="22"/>
          <w:lang w:val="en-GB"/>
        </w:rPr>
        <w:t xml:space="preserve">From an </w:t>
      </w:r>
      <w:r w:rsidRPr="4FFD3E6A" w:rsidR="347E1520">
        <w:rPr>
          <w:rFonts w:ascii="Arial" w:hAnsi="Arial" w:eastAsia="Arial" w:cs="Arial"/>
          <w:b w:val="0"/>
          <w:bCs w:val="0"/>
          <w:noProof w:val="0"/>
          <w:sz w:val="22"/>
          <w:szCs w:val="22"/>
          <w:lang w:val="en-GB"/>
        </w:rPr>
        <w:t>ethical perspective</w:t>
      </w:r>
      <w:r w:rsidRPr="4FFD3E6A" w:rsidR="347E1520">
        <w:rPr>
          <w:rFonts w:ascii="Arial" w:hAnsi="Arial" w:eastAsia="Arial" w:cs="Arial"/>
          <w:noProof w:val="0"/>
          <w:sz w:val="22"/>
          <w:szCs w:val="22"/>
          <w:lang w:val="en-GB"/>
        </w:rPr>
        <w:t xml:space="preserve">, the proposed change plan raises important considerations related to data usage, workforce impact, and fairness. Increased reliance on AI and customer data analytics </w:t>
      </w:r>
      <w:r w:rsidRPr="4FFD3E6A" w:rsidR="347E1520">
        <w:rPr>
          <w:rFonts w:ascii="Arial" w:hAnsi="Arial" w:eastAsia="Arial" w:cs="Arial"/>
          <w:noProof w:val="0"/>
          <w:sz w:val="22"/>
          <w:szCs w:val="22"/>
          <w:lang w:val="en-GB"/>
        </w:rPr>
        <w:t>necessitates</w:t>
      </w:r>
      <w:r w:rsidRPr="4FFD3E6A" w:rsidR="347E1520">
        <w:rPr>
          <w:rFonts w:ascii="Arial" w:hAnsi="Arial" w:eastAsia="Arial" w:cs="Arial"/>
          <w:noProof w:val="0"/>
          <w:sz w:val="22"/>
          <w:szCs w:val="22"/>
          <w:lang w:val="en-GB"/>
        </w:rPr>
        <w:t xml:space="preserve"> robust data governance to ensure compliance with data protection legislation and </w:t>
      </w:r>
      <w:r w:rsidRPr="4FFD3E6A" w:rsidR="347E1520">
        <w:rPr>
          <w:rFonts w:ascii="Arial" w:hAnsi="Arial" w:eastAsia="Arial" w:cs="Arial"/>
          <w:noProof w:val="0"/>
          <w:sz w:val="22"/>
          <w:szCs w:val="22"/>
          <w:lang w:val="en-GB"/>
        </w:rPr>
        <w:t>maintain</w:t>
      </w:r>
      <w:r w:rsidRPr="4FFD3E6A" w:rsidR="347E1520">
        <w:rPr>
          <w:rFonts w:ascii="Arial" w:hAnsi="Arial" w:eastAsia="Arial" w:cs="Arial"/>
          <w:noProof w:val="0"/>
          <w:sz w:val="22"/>
          <w:szCs w:val="22"/>
          <w:lang w:val="en-GB"/>
        </w:rPr>
        <w:t xml:space="preserve"> customer trust. Additionally, while automation and efficiency improvements can enhance performance, they may also increase employee anxiety </w:t>
      </w:r>
      <w:r w:rsidRPr="4FFD3E6A" w:rsidR="347E1520">
        <w:rPr>
          <w:rFonts w:ascii="Arial" w:hAnsi="Arial" w:eastAsia="Arial" w:cs="Arial"/>
          <w:noProof w:val="0"/>
          <w:sz w:val="22"/>
          <w:szCs w:val="22"/>
          <w:lang w:val="en-GB"/>
        </w:rPr>
        <w:t>regarding</w:t>
      </w:r>
      <w:r w:rsidRPr="4FFD3E6A" w:rsidR="347E1520">
        <w:rPr>
          <w:rFonts w:ascii="Arial" w:hAnsi="Arial" w:eastAsia="Arial" w:cs="Arial"/>
          <w:noProof w:val="0"/>
          <w:sz w:val="22"/>
          <w:szCs w:val="22"/>
          <w:lang w:val="en-GB"/>
        </w:rPr>
        <w:t xml:space="preserve"> job security. The plan </w:t>
      </w:r>
      <w:r w:rsidRPr="4FFD3E6A" w:rsidR="347E1520">
        <w:rPr>
          <w:rFonts w:ascii="Arial" w:hAnsi="Arial" w:eastAsia="Arial" w:cs="Arial"/>
          <w:noProof w:val="0"/>
          <w:sz w:val="22"/>
          <w:szCs w:val="22"/>
          <w:lang w:val="en-GB"/>
        </w:rPr>
        <w:t>attempts</w:t>
      </w:r>
      <w:r w:rsidRPr="4FFD3E6A" w:rsidR="347E1520">
        <w:rPr>
          <w:rFonts w:ascii="Arial" w:hAnsi="Arial" w:eastAsia="Arial" w:cs="Arial"/>
          <w:noProof w:val="0"/>
          <w:sz w:val="22"/>
          <w:szCs w:val="22"/>
          <w:lang w:val="en-GB"/>
        </w:rPr>
        <w:t xml:space="preserve"> to mitigate this risk through reskilling and engagement initiatives; however, ethical leadership and transparent communication remain essential to ensure that technological change is perceived as enabling rather than exploitative.</w:t>
      </w:r>
    </w:p>
    <w:p xmlns:wp14="http://schemas.microsoft.com/office/word/2010/wordml" w:rsidP="4FFD3E6A" wp14:paraId="07303587" wp14:textId="521FE136">
      <w:pPr>
        <w:spacing w:before="240" w:beforeAutospacing="off" w:after="240" w:afterAutospacing="off"/>
      </w:pPr>
      <w:r w:rsidRPr="4FFD3E6A" w:rsidR="347E1520">
        <w:rPr>
          <w:rFonts w:ascii="Arial" w:hAnsi="Arial" w:eastAsia="Arial" w:cs="Arial"/>
          <w:noProof w:val="0"/>
          <w:sz w:val="22"/>
          <w:szCs w:val="22"/>
          <w:lang w:val="en-GB"/>
        </w:rPr>
        <w:t xml:space="preserve">In terms of </w:t>
      </w:r>
      <w:r w:rsidRPr="4FFD3E6A" w:rsidR="347E1520">
        <w:rPr>
          <w:rFonts w:ascii="Arial" w:hAnsi="Arial" w:eastAsia="Arial" w:cs="Arial"/>
          <w:b w:val="0"/>
          <w:bCs w:val="0"/>
          <w:noProof w:val="0"/>
          <w:sz w:val="22"/>
          <w:szCs w:val="22"/>
          <w:lang w:val="en-GB"/>
        </w:rPr>
        <w:t>sustainability</w:t>
      </w:r>
      <w:r w:rsidRPr="4FFD3E6A" w:rsidR="347E1520">
        <w:rPr>
          <w:rFonts w:ascii="Arial" w:hAnsi="Arial" w:eastAsia="Arial" w:cs="Arial"/>
          <w:noProof w:val="0"/>
          <w:sz w:val="22"/>
          <w:szCs w:val="22"/>
          <w:lang w:val="en-GB"/>
        </w:rPr>
        <w:t xml:space="preserve">, the plan </w:t>
      </w:r>
      <w:r w:rsidRPr="4FFD3E6A" w:rsidR="347E1520">
        <w:rPr>
          <w:rFonts w:ascii="Arial" w:hAnsi="Arial" w:eastAsia="Arial" w:cs="Arial"/>
          <w:noProof w:val="0"/>
          <w:sz w:val="22"/>
          <w:szCs w:val="22"/>
          <w:lang w:val="en-GB"/>
        </w:rPr>
        <w:t>demonstrates</w:t>
      </w:r>
      <w:r w:rsidRPr="4FFD3E6A" w:rsidR="347E1520">
        <w:rPr>
          <w:rFonts w:ascii="Arial" w:hAnsi="Arial" w:eastAsia="Arial" w:cs="Arial"/>
          <w:noProof w:val="0"/>
          <w:sz w:val="22"/>
          <w:szCs w:val="22"/>
          <w:lang w:val="en-GB"/>
        </w:rPr>
        <w:t xml:space="preserve"> alignment with Tesco’s long-term strategic </w:t>
      </w:r>
      <w:r w:rsidRPr="4FFD3E6A" w:rsidR="347E1520">
        <w:rPr>
          <w:rFonts w:ascii="Arial" w:hAnsi="Arial" w:eastAsia="Arial" w:cs="Arial"/>
          <w:noProof w:val="0"/>
          <w:sz w:val="22"/>
          <w:szCs w:val="22"/>
          <w:lang w:val="en-GB"/>
        </w:rPr>
        <w:t>objectives</w:t>
      </w:r>
      <w:r w:rsidRPr="4FFD3E6A" w:rsidR="347E1520">
        <w:rPr>
          <w:rFonts w:ascii="Arial" w:hAnsi="Arial" w:eastAsia="Arial" w:cs="Arial"/>
          <w:noProof w:val="0"/>
          <w:sz w:val="22"/>
          <w:szCs w:val="22"/>
          <w:lang w:val="en-GB"/>
        </w:rPr>
        <w:t xml:space="preserve"> by embedding environmental responsibility, workforce development, and continuous evaluation. By focusing on cultural alignment and capability building, the plan moves beyond short-term performance metrics and supports organisational resilience. Nevertheless, sustaining momentum beyond the </w:t>
      </w:r>
      <w:r w:rsidRPr="4FFD3E6A" w:rsidR="347E1520">
        <w:rPr>
          <w:rFonts w:ascii="Arial" w:hAnsi="Arial" w:eastAsia="Arial" w:cs="Arial"/>
          <w:noProof w:val="0"/>
          <w:sz w:val="22"/>
          <w:szCs w:val="22"/>
          <w:lang w:val="en-GB"/>
        </w:rPr>
        <w:t>initial</w:t>
      </w:r>
      <w:r w:rsidRPr="4FFD3E6A" w:rsidR="347E1520">
        <w:rPr>
          <w:rFonts w:ascii="Arial" w:hAnsi="Arial" w:eastAsia="Arial" w:cs="Arial"/>
          <w:noProof w:val="0"/>
          <w:sz w:val="22"/>
          <w:szCs w:val="22"/>
          <w:lang w:val="en-GB"/>
        </w:rPr>
        <w:t xml:space="preserve"> implementation phase will require ongoing leadership commitment and adaptability as external conditions continue to evolve.</w:t>
      </w:r>
    </w:p>
    <w:p xmlns:wp14="http://schemas.microsoft.com/office/word/2010/wordml" w:rsidP="0124D3B5" wp14:paraId="2ABFF5FB" wp14:textId="1BBBFB20">
      <w:pPr>
        <w:pStyle w:val="Heading2"/>
        <w:spacing w:before="240" w:beforeAutospacing="off" w:after="240" w:afterAutospacing="off"/>
        <w:rPr>
          <w:rFonts w:ascii="Arial" w:hAnsi="Arial" w:eastAsia="Arial" w:cs="Arial"/>
          <w:b w:val="1"/>
          <w:bCs w:val="1"/>
          <w:noProof w:val="0"/>
          <w:color w:val="auto"/>
          <w:sz w:val="36"/>
          <w:szCs w:val="36"/>
          <w:lang w:val="en-GB"/>
        </w:rPr>
      </w:pPr>
      <w:bookmarkStart w:name="_Toc706533409" w:id="338161477"/>
      <w:r w:rsidRPr="55B2D1B6" w:rsidR="400E7B46">
        <w:rPr>
          <w:rFonts w:ascii="Arial" w:hAnsi="Arial" w:eastAsia="Arial" w:cs="Arial"/>
          <w:b w:val="1"/>
          <w:bCs w:val="1"/>
          <w:noProof w:val="0"/>
          <w:color w:val="auto"/>
          <w:sz w:val="36"/>
          <w:szCs w:val="36"/>
          <w:lang w:val="en-GB"/>
        </w:rPr>
        <w:t>Conclusion</w:t>
      </w:r>
      <w:bookmarkEnd w:id="338161477"/>
    </w:p>
    <w:p xmlns:wp14="http://schemas.microsoft.com/office/word/2010/wordml" w:rsidP="4FFD3E6A" wp14:paraId="4B8A8FFF" wp14:textId="55857E03">
      <w:pPr>
        <w:spacing w:before="240" w:beforeAutospacing="off" w:after="240" w:afterAutospacing="off"/>
      </w:pPr>
      <w:r w:rsidRPr="4FFD3E6A" w:rsidR="28457450">
        <w:rPr>
          <w:rFonts w:ascii="Arial" w:hAnsi="Arial" w:eastAsia="Arial" w:cs="Arial"/>
          <w:noProof w:val="0"/>
          <w:sz w:val="22"/>
          <w:szCs w:val="22"/>
          <w:lang w:val="en-GB"/>
        </w:rPr>
        <w:t>This report has examined the strategic challenges facing Tesco within an increasingly complex and dynamic business environment and has proposed a comprehensive change management plan to address these challenges. The analysis demonstrated that Tesco operates under sustained pressure from digital disruption, intensifying competition, economic uncertainty, and evolving consumer expectations. These external forces, combined with internal challenges related to operational efficiency, workforce capability, and cultural alignment, create a compelling case for structured and strategic organisational change.</w:t>
      </w:r>
    </w:p>
    <w:p xmlns:wp14="http://schemas.microsoft.com/office/word/2010/wordml" w:rsidP="4FFD3E6A" wp14:paraId="7269F0E8" wp14:textId="141742E8">
      <w:pPr>
        <w:spacing w:before="240" w:beforeAutospacing="off" w:after="240" w:afterAutospacing="off"/>
      </w:pPr>
      <w:r w:rsidRPr="4FFD3E6A" w:rsidR="28457450">
        <w:rPr>
          <w:rFonts w:ascii="Arial" w:hAnsi="Arial" w:eastAsia="Arial" w:cs="Arial"/>
          <w:noProof w:val="0"/>
          <w:sz w:val="22"/>
          <w:szCs w:val="22"/>
          <w:lang w:val="en-GB"/>
        </w:rPr>
        <w:t>The environmental and organisational analysis highlighted that while Tesco possesses significant strengths, including brand recognition, scale, and advanced data capabilities, misalignment between strategy, systems, and people risks undermining long-term performance. The review of change management models showed that no single framework is sufficient to manage the scale and complexity of Tesco’s transformation. Instead, a hybrid approach integrating Kotter’s strategic leadership focus, ADKAR’s emphasis on individual behaviour change, and the McKinsey 7S framework’s alignment perspective was identified as the most appropriate solution.</w:t>
      </w:r>
    </w:p>
    <w:p xmlns:wp14="http://schemas.microsoft.com/office/word/2010/wordml" w:rsidP="4FFD3E6A" wp14:paraId="5CE6A167" wp14:textId="0F9E7ABC">
      <w:pPr>
        <w:spacing w:before="240" w:beforeAutospacing="off" w:after="240" w:afterAutospacing="off"/>
      </w:pPr>
      <w:r w:rsidRPr="55B2D1B6" w:rsidR="3A4DD78C">
        <w:rPr>
          <w:rFonts w:ascii="Arial" w:hAnsi="Arial" w:eastAsia="Arial" w:cs="Arial"/>
          <w:noProof w:val="0"/>
          <w:sz w:val="22"/>
          <w:szCs w:val="22"/>
          <w:lang w:val="en-GB"/>
        </w:rPr>
        <w:t>Leadership and organisational culture were shown to be critical enablers of successful change. Transformational and situational leadership styles were identified as particularly relevant in guiding employees through technological and operational change, while Tesco’s culture was found to contain both enabling and constraining elements. The report emphasised that leadership behaviour and communication are central to aligning organisational values with strategic objectives and embedding sustainable change.</w:t>
      </w:r>
    </w:p>
    <w:p xmlns:wp14="http://schemas.microsoft.com/office/word/2010/wordml" w:rsidP="4FFD3E6A" wp14:paraId="68B3DB45" wp14:textId="053F4ECE">
      <w:pPr>
        <w:spacing w:before="240" w:beforeAutospacing="off" w:after="240" w:afterAutospacing="off"/>
      </w:pPr>
      <w:r w:rsidRPr="4FFD3E6A" w:rsidR="28457450">
        <w:rPr>
          <w:rFonts w:ascii="Arial" w:hAnsi="Arial" w:eastAsia="Arial" w:cs="Arial"/>
          <w:noProof w:val="0"/>
          <w:sz w:val="22"/>
          <w:szCs w:val="22"/>
          <w:lang w:val="en-GB"/>
        </w:rPr>
        <w:t>In conclusion, the report recommends that the board of directors endorse a phased and integrated change programme that places equal emphasis on strategic direction, people engagement, and cultural alignment. By adopting this approach, Tesco can not only mitigate current risks but also strengthen its long-term resilience, competitiveness, and reputation within the UK grocery sector. Proactive, well-led change will be essential if Tesco is to continue delivering value to customers, employees, and shareholders in an environment of ongoing uncertainty and transformation.</w:t>
      </w:r>
    </w:p>
    <w:p xmlns:wp14="http://schemas.microsoft.com/office/word/2010/wordml" w:rsidP="4FFD3E6A" wp14:paraId="4E703262" wp14:textId="0EAE9871">
      <w:pPr>
        <w:spacing w:before="240" w:beforeAutospacing="off" w:after="240" w:afterAutospacing="off"/>
        <w:rPr>
          <w:rFonts w:ascii="Arial" w:hAnsi="Arial" w:eastAsia="Arial" w:cs="Arial"/>
          <w:noProof w:val="0"/>
          <w:sz w:val="22"/>
          <w:szCs w:val="22"/>
          <w:lang w:val="en-GB"/>
        </w:rPr>
      </w:pPr>
    </w:p>
    <w:p xmlns:wp14="http://schemas.microsoft.com/office/word/2010/wordml" w:rsidP="0124D3B5" wp14:paraId="5F123B66" wp14:textId="03F6897B">
      <w:pPr>
        <w:pStyle w:val="Heading2"/>
        <w:spacing w:before="240" w:beforeAutospacing="off" w:after="240" w:afterAutospacing="off"/>
        <w:rPr>
          <w:rFonts w:ascii="Arial" w:hAnsi="Arial" w:eastAsia="Arial" w:cs="Arial"/>
          <w:noProof w:val="0"/>
          <w:sz w:val="22"/>
          <w:szCs w:val="22"/>
          <w:lang w:val="en-GB"/>
        </w:rPr>
      </w:pPr>
      <w:bookmarkStart w:name="_Toc1549371564" w:id="479393481"/>
      <w:r w:rsidRPr="55B2D1B6" w:rsidR="042EF698">
        <w:rPr>
          <w:rFonts w:ascii="Arial" w:hAnsi="Arial" w:eastAsia="Arial" w:cs="Arial"/>
          <w:b w:val="1"/>
          <w:bCs w:val="1"/>
          <w:noProof w:val="0"/>
          <w:color w:val="auto"/>
          <w:sz w:val="36"/>
          <w:szCs w:val="36"/>
          <w:lang w:val="en-GB"/>
        </w:rPr>
        <w:t>References</w:t>
      </w:r>
      <w:bookmarkEnd w:id="479393481"/>
    </w:p>
    <w:p xmlns:wp14="http://schemas.microsoft.com/office/word/2010/wordml" w:rsidP="4FFD3E6A" wp14:paraId="78BF8C33" wp14:textId="562FA092">
      <w:pPr>
        <w:spacing w:before="240" w:beforeAutospacing="off" w:after="240" w:afterAutospacing="off"/>
        <w:rPr>
          <w:color w:val="auto"/>
        </w:rPr>
      </w:pPr>
      <w:r w:rsidRPr="4FFD3E6A" w:rsidR="79DA6534">
        <w:rPr>
          <w:rFonts w:ascii="Arial" w:hAnsi="Arial" w:eastAsia="Arial" w:cs="Arial"/>
          <w:noProof w:val="0"/>
          <w:sz w:val="22"/>
          <w:szCs w:val="22"/>
          <w:lang w:val="en-GB"/>
        </w:rPr>
        <w:t xml:space="preserve">Appelbaum, S.H., Habashy, S., Malo, J.-L. and Shafiq, H. (2012) ‘Back to the future: Revisiting Kotter’s 1996 change model’, </w:t>
      </w:r>
      <w:r w:rsidRPr="4FFD3E6A" w:rsidR="79DA6534">
        <w:rPr>
          <w:rFonts w:ascii="Arial" w:hAnsi="Arial" w:eastAsia="Arial" w:cs="Arial"/>
          <w:i w:val="1"/>
          <w:iCs w:val="1"/>
          <w:noProof w:val="0"/>
          <w:sz w:val="22"/>
          <w:szCs w:val="22"/>
          <w:lang w:val="en-GB"/>
        </w:rPr>
        <w:t>Journal of Management Development</w:t>
      </w:r>
      <w:r w:rsidRPr="4FFD3E6A" w:rsidR="79DA6534">
        <w:rPr>
          <w:rFonts w:ascii="Arial" w:hAnsi="Arial" w:eastAsia="Arial" w:cs="Arial"/>
          <w:noProof w:val="0"/>
          <w:sz w:val="22"/>
          <w:szCs w:val="22"/>
          <w:lang w:val="en-GB"/>
        </w:rPr>
        <w:t xml:space="preserve">, 31(8), pp. 764–782. </w:t>
      </w:r>
      <w:hyperlink r:id="R4a0220a0c20d422f">
        <w:r w:rsidRPr="4FFD3E6A" w:rsidR="79DA6534">
          <w:rPr>
            <w:rStyle w:val="Hyperlink"/>
            <w:rFonts w:ascii="Arial" w:hAnsi="Arial" w:eastAsia="Arial" w:cs="Arial"/>
            <w:noProof w:val="0"/>
            <w:color w:val="auto"/>
            <w:sz w:val="22"/>
            <w:szCs w:val="22"/>
            <w:lang w:val="en-GB"/>
          </w:rPr>
          <w:t>https://doi.org/10.1108/02621711211253231</w:t>
        </w:r>
      </w:hyperlink>
    </w:p>
    <w:p xmlns:wp14="http://schemas.microsoft.com/office/word/2010/wordml" w:rsidP="4FFD3E6A" wp14:paraId="373E82BD" wp14:textId="748A66C6">
      <w:pPr>
        <w:spacing w:before="240" w:beforeAutospacing="off" w:after="240" w:afterAutospacing="off"/>
      </w:pPr>
      <w:r w:rsidRPr="4FFD3E6A" w:rsidR="79DA6534">
        <w:rPr>
          <w:rFonts w:ascii="Arial" w:hAnsi="Arial" w:eastAsia="Arial" w:cs="Arial"/>
          <w:noProof w:val="0"/>
          <w:sz w:val="22"/>
          <w:szCs w:val="22"/>
          <w:lang w:val="en-GB"/>
        </w:rPr>
        <w:t xml:space="preserve">Baines, P., Fill, C. and Rosengren, S. (2022) </w:t>
      </w:r>
      <w:r w:rsidRPr="4FFD3E6A" w:rsidR="79DA6534">
        <w:rPr>
          <w:rFonts w:ascii="Arial" w:hAnsi="Arial" w:eastAsia="Arial" w:cs="Arial"/>
          <w:i w:val="1"/>
          <w:iCs w:val="1"/>
          <w:noProof w:val="0"/>
          <w:sz w:val="22"/>
          <w:szCs w:val="22"/>
          <w:lang w:val="en-GB"/>
        </w:rPr>
        <w:t>Marketing</w:t>
      </w:r>
      <w:r w:rsidRPr="4FFD3E6A" w:rsidR="79DA6534">
        <w:rPr>
          <w:rFonts w:ascii="Arial" w:hAnsi="Arial" w:eastAsia="Arial" w:cs="Arial"/>
          <w:noProof w:val="0"/>
          <w:sz w:val="22"/>
          <w:szCs w:val="22"/>
          <w:lang w:val="en-GB"/>
        </w:rPr>
        <w:t>. Oxford: Oxford University Press.</w:t>
      </w:r>
    </w:p>
    <w:p xmlns:wp14="http://schemas.microsoft.com/office/word/2010/wordml" w:rsidP="4FFD3E6A" wp14:paraId="3AEC6EA4" wp14:textId="32364803">
      <w:pPr>
        <w:spacing w:before="240" w:beforeAutospacing="off" w:after="240" w:afterAutospacing="off"/>
      </w:pPr>
      <w:r w:rsidRPr="4FFD3E6A" w:rsidR="79DA6534">
        <w:rPr>
          <w:rFonts w:ascii="Arial" w:hAnsi="Arial" w:eastAsia="Arial" w:cs="Arial"/>
          <w:noProof w:val="0"/>
          <w:sz w:val="22"/>
          <w:szCs w:val="22"/>
          <w:lang w:val="en-GB"/>
        </w:rPr>
        <w:t xml:space="preserve">Bass, B.M. and Riggio, R.E. (2006) </w:t>
      </w:r>
      <w:r w:rsidRPr="4FFD3E6A" w:rsidR="79DA6534">
        <w:rPr>
          <w:rFonts w:ascii="Arial" w:hAnsi="Arial" w:eastAsia="Arial" w:cs="Arial"/>
          <w:i w:val="1"/>
          <w:iCs w:val="1"/>
          <w:noProof w:val="0"/>
          <w:sz w:val="22"/>
          <w:szCs w:val="22"/>
          <w:lang w:val="en-GB"/>
        </w:rPr>
        <w:t>Transformational Leadership</w:t>
      </w:r>
      <w:r w:rsidRPr="4FFD3E6A" w:rsidR="79DA6534">
        <w:rPr>
          <w:rFonts w:ascii="Arial" w:hAnsi="Arial" w:eastAsia="Arial" w:cs="Arial"/>
          <w:noProof w:val="0"/>
          <w:sz w:val="22"/>
          <w:szCs w:val="22"/>
          <w:lang w:val="en-GB"/>
        </w:rPr>
        <w:t>. 2nd edn. Mahwah, NJ: Lawrence Erlbaum Associates.</w:t>
      </w:r>
    </w:p>
    <w:p xmlns:wp14="http://schemas.microsoft.com/office/word/2010/wordml" w:rsidP="4FFD3E6A" wp14:paraId="0B0E5295" wp14:textId="48DC590F">
      <w:pPr>
        <w:spacing w:before="240" w:beforeAutospacing="off" w:after="240" w:afterAutospacing="off"/>
      </w:pPr>
      <w:r w:rsidRPr="4FFD3E6A" w:rsidR="79DA6534">
        <w:rPr>
          <w:rFonts w:ascii="Arial" w:hAnsi="Arial" w:eastAsia="Arial" w:cs="Arial"/>
          <w:noProof w:val="0"/>
          <w:sz w:val="22"/>
          <w:szCs w:val="22"/>
          <w:lang w:val="en-GB"/>
        </w:rPr>
        <w:t xml:space="preserve">Burnes, B. (2017) </w:t>
      </w:r>
      <w:r w:rsidRPr="4FFD3E6A" w:rsidR="79DA6534">
        <w:rPr>
          <w:rFonts w:ascii="Arial" w:hAnsi="Arial" w:eastAsia="Arial" w:cs="Arial"/>
          <w:i w:val="1"/>
          <w:iCs w:val="1"/>
          <w:noProof w:val="0"/>
          <w:sz w:val="22"/>
          <w:szCs w:val="22"/>
          <w:lang w:val="en-GB"/>
        </w:rPr>
        <w:t>Managing Change</w:t>
      </w:r>
      <w:r w:rsidRPr="4FFD3E6A" w:rsidR="79DA6534">
        <w:rPr>
          <w:rFonts w:ascii="Arial" w:hAnsi="Arial" w:eastAsia="Arial" w:cs="Arial"/>
          <w:noProof w:val="0"/>
          <w:sz w:val="22"/>
          <w:szCs w:val="22"/>
          <w:lang w:val="en-GB"/>
        </w:rPr>
        <w:t>. 7th edn. Harlow: Pearson Education.</w:t>
      </w:r>
    </w:p>
    <w:p xmlns:wp14="http://schemas.microsoft.com/office/word/2010/wordml" w:rsidP="4FFD3E6A" wp14:paraId="3CA07E5E" wp14:textId="3533CB56">
      <w:pPr>
        <w:spacing w:before="240" w:beforeAutospacing="off" w:after="240" w:afterAutospacing="off"/>
      </w:pPr>
      <w:r w:rsidRPr="4FFD3E6A" w:rsidR="79DA6534">
        <w:rPr>
          <w:rFonts w:ascii="Arial" w:hAnsi="Arial" w:eastAsia="Arial" w:cs="Arial"/>
          <w:noProof w:val="0"/>
          <w:sz w:val="22"/>
          <w:szCs w:val="22"/>
          <w:lang w:val="en-GB"/>
        </w:rPr>
        <w:t xml:space="preserve">Hersey, P. and Blanchard, K.H. (1988) </w:t>
      </w:r>
      <w:r w:rsidRPr="4FFD3E6A" w:rsidR="79DA6534">
        <w:rPr>
          <w:rFonts w:ascii="Arial" w:hAnsi="Arial" w:eastAsia="Arial" w:cs="Arial"/>
          <w:i w:val="1"/>
          <w:iCs w:val="1"/>
          <w:noProof w:val="0"/>
          <w:sz w:val="22"/>
          <w:szCs w:val="22"/>
          <w:lang w:val="en-GB"/>
        </w:rPr>
        <w:t>Management of Organisational Behaviour</w:t>
      </w:r>
      <w:r w:rsidRPr="4FFD3E6A" w:rsidR="79DA6534">
        <w:rPr>
          <w:rFonts w:ascii="Arial" w:hAnsi="Arial" w:eastAsia="Arial" w:cs="Arial"/>
          <w:noProof w:val="0"/>
          <w:sz w:val="22"/>
          <w:szCs w:val="22"/>
          <w:lang w:val="en-GB"/>
        </w:rPr>
        <w:t>. 5th edn. Englewood Cliffs, NJ: Prentice Hall.</w:t>
      </w:r>
    </w:p>
    <w:p xmlns:wp14="http://schemas.microsoft.com/office/word/2010/wordml" w:rsidP="4FFD3E6A" wp14:paraId="6AF21C03" wp14:textId="181BFF1D">
      <w:pPr>
        <w:spacing w:before="240" w:beforeAutospacing="off" w:after="240" w:afterAutospacing="off"/>
      </w:pPr>
      <w:r w:rsidRPr="4FFD3E6A" w:rsidR="79DA6534">
        <w:rPr>
          <w:rFonts w:ascii="Arial" w:hAnsi="Arial" w:eastAsia="Arial" w:cs="Arial"/>
          <w:noProof w:val="0"/>
          <w:sz w:val="22"/>
          <w:szCs w:val="22"/>
          <w:lang w:val="en-GB"/>
        </w:rPr>
        <w:t xml:space="preserve">Hiatt, J. (2006) </w:t>
      </w:r>
      <w:r w:rsidRPr="4FFD3E6A" w:rsidR="79DA6534">
        <w:rPr>
          <w:rFonts w:ascii="Arial" w:hAnsi="Arial" w:eastAsia="Arial" w:cs="Arial"/>
          <w:i w:val="1"/>
          <w:iCs w:val="1"/>
          <w:noProof w:val="0"/>
          <w:sz w:val="22"/>
          <w:szCs w:val="22"/>
          <w:lang w:val="en-GB"/>
        </w:rPr>
        <w:t>ADKAR: A Model for Change in Business, Government and Our Community</w:t>
      </w:r>
      <w:r w:rsidRPr="4FFD3E6A" w:rsidR="79DA6534">
        <w:rPr>
          <w:rFonts w:ascii="Arial" w:hAnsi="Arial" w:eastAsia="Arial" w:cs="Arial"/>
          <w:noProof w:val="0"/>
          <w:sz w:val="22"/>
          <w:szCs w:val="22"/>
          <w:lang w:val="en-GB"/>
        </w:rPr>
        <w:t>. Loveland, CO: Prosci.</w:t>
      </w:r>
    </w:p>
    <w:p xmlns:wp14="http://schemas.microsoft.com/office/word/2010/wordml" w:rsidP="4FFD3E6A" wp14:paraId="2981F0A2" wp14:textId="40F51B79">
      <w:pPr>
        <w:spacing w:before="240" w:beforeAutospacing="off" w:after="240" w:afterAutospacing="off"/>
      </w:pPr>
      <w:r w:rsidRPr="4FFD3E6A" w:rsidR="79DA6534">
        <w:rPr>
          <w:rFonts w:ascii="Arial" w:hAnsi="Arial" w:eastAsia="Arial" w:cs="Arial"/>
          <w:noProof w:val="0"/>
          <w:sz w:val="22"/>
          <w:szCs w:val="22"/>
          <w:lang w:val="en-GB"/>
        </w:rPr>
        <w:t xml:space="preserve">Johnson, G., Scholes, K. and Whittington, R. (2020) </w:t>
      </w:r>
      <w:r w:rsidRPr="4FFD3E6A" w:rsidR="79DA6534">
        <w:rPr>
          <w:rFonts w:ascii="Arial" w:hAnsi="Arial" w:eastAsia="Arial" w:cs="Arial"/>
          <w:i w:val="1"/>
          <w:iCs w:val="1"/>
          <w:noProof w:val="0"/>
          <w:sz w:val="22"/>
          <w:szCs w:val="22"/>
          <w:lang w:val="en-GB"/>
        </w:rPr>
        <w:t>Exploring Strategy</w:t>
      </w:r>
      <w:r w:rsidRPr="4FFD3E6A" w:rsidR="79DA6534">
        <w:rPr>
          <w:rFonts w:ascii="Arial" w:hAnsi="Arial" w:eastAsia="Arial" w:cs="Arial"/>
          <w:noProof w:val="0"/>
          <w:sz w:val="22"/>
          <w:szCs w:val="22"/>
          <w:lang w:val="en-GB"/>
        </w:rPr>
        <w:t>. 12th edn. Harlow: Pearson Education.</w:t>
      </w:r>
    </w:p>
    <w:p xmlns:wp14="http://schemas.microsoft.com/office/word/2010/wordml" w:rsidP="4FFD3E6A" wp14:paraId="56E034C6" wp14:textId="6ABAA468">
      <w:pPr>
        <w:spacing w:before="240" w:beforeAutospacing="off" w:after="240" w:afterAutospacing="off"/>
      </w:pPr>
      <w:r w:rsidRPr="4FFD3E6A" w:rsidR="79DA6534">
        <w:rPr>
          <w:rFonts w:ascii="Arial" w:hAnsi="Arial" w:eastAsia="Arial" w:cs="Arial"/>
          <w:noProof w:val="0"/>
          <w:sz w:val="22"/>
          <w:szCs w:val="22"/>
          <w:lang w:val="en-GB"/>
        </w:rPr>
        <w:t xml:space="preserve">Kotter, J.P. (1996) </w:t>
      </w:r>
      <w:r w:rsidRPr="4FFD3E6A" w:rsidR="79DA6534">
        <w:rPr>
          <w:rFonts w:ascii="Arial" w:hAnsi="Arial" w:eastAsia="Arial" w:cs="Arial"/>
          <w:i w:val="1"/>
          <w:iCs w:val="1"/>
          <w:noProof w:val="0"/>
          <w:sz w:val="22"/>
          <w:szCs w:val="22"/>
          <w:lang w:val="en-GB"/>
        </w:rPr>
        <w:t>Leading Change</w:t>
      </w:r>
      <w:r w:rsidRPr="4FFD3E6A" w:rsidR="79DA6534">
        <w:rPr>
          <w:rFonts w:ascii="Arial" w:hAnsi="Arial" w:eastAsia="Arial" w:cs="Arial"/>
          <w:noProof w:val="0"/>
          <w:sz w:val="22"/>
          <w:szCs w:val="22"/>
          <w:lang w:val="en-GB"/>
        </w:rPr>
        <w:t>. Boston: Harvard Business School Press.</w:t>
      </w:r>
    </w:p>
    <w:p xmlns:wp14="http://schemas.microsoft.com/office/word/2010/wordml" w:rsidP="4FFD3E6A" wp14:paraId="7BBD9437" wp14:textId="04761B04">
      <w:pPr>
        <w:spacing w:before="240" w:beforeAutospacing="off" w:after="240" w:afterAutospacing="off"/>
      </w:pPr>
      <w:r w:rsidRPr="4FFD3E6A" w:rsidR="79DA6534">
        <w:rPr>
          <w:rFonts w:ascii="Arial" w:hAnsi="Arial" w:eastAsia="Arial" w:cs="Arial"/>
          <w:noProof w:val="0"/>
          <w:sz w:val="22"/>
          <w:szCs w:val="22"/>
          <w:lang w:val="en-GB"/>
        </w:rPr>
        <w:t xml:space="preserve">Lewin, K. (1951) </w:t>
      </w:r>
      <w:r w:rsidRPr="4FFD3E6A" w:rsidR="79DA6534">
        <w:rPr>
          <w:rFonts w:ascii="Arial" w:hAnsi="Arial" w:eastAsia="Arial" w:cs="Arial"/>
          <w:i w:val="1"/>
          <w:iCs w:val="1"/>
          <w:noProof w:val="0"/>
          <w:sz w:val="22"/>
          <w:szCs w:val="22"/>
          <w:lang w:val="en-GB"/>
        </w:rPr>
        <w:t>Field Theory in Social Science</w:t>
      </w:r>
      <w:r w:rsidRPr="4FFD3E6A" w:rsidR="79DA6534">
        <w:rPr>
          <w:rFonts w:ascii="Arial" w:hAnsi="Arial" w:eastAsia="Arial" w:cs="Arial"/>
          <w:noProof w:val="0"/>
          <w:sz w:val="22"/>
          <w:szCs w:val="22"/>
          <w:lang w:val="en-GB"/>
        </w:rPr>
        <w:t>. New York: Harper &amp; Row.</w:t>
      </w:r>
    </w:p>
    <w:p xmlns:wp14="http://schemas.microsoft.com/office/word/2010/wordml" w:rsidP="4FFD3E6A" wp14:paraId="0C809F2B" wp14:textId="53B1D9E0">
      <w:pPr>
        <w:spacing w:before="240" w:beforeAutospacing="off" w:after="240" w:afterAutospacing="off"/>
      </w:pPr>
      <w:r w:rsidRPr="4FFD3E6A" w:rsidR="79DA6534">
        <w:rPr>
          <w:rFonts w:ascii="Arial" w:hAnsi="Arial" w:eastAsia="Arial" w:cs="Arial"/>
          <w:noProof w:val="0"/>
          <w:sz w:val="22"/>
          <w:szCs w:val="22"/>
          <w:lang w:val="en-GB"/>
        </w:rPr>
        <w:t xml:space="preserve">Mintel (2023) </w:t>
      </w:r>
      <w:r w:rsidRPr="4FFD3E6A" w:rsidR="79DA6534">
        <w:rPr>
          <w:rFonts w:ascii="Arial" w:hAnsi="Arial" w:eastAsia="Arial" w:cs="Arial"/>
          <w:i w:val="1"/>
          <w:iCs w:val="1"/>
          <w:noProof w:val="0"/>
          <w:sz w:val="22"/>
          <w:szCs w:val="22"/>
          <w:lang w:val="en-GB"/>
        </w:rPr>
        <w:t>UK Grocery Retailing Report</w:t>
      </w:r>
      <w:r w:rsidRPr="4FFD3E6A" w:rsidR="79DA6534">
        <w:rPr>
          <w:rFonts w:ascii="Arial" w:hAnsi="Arial" w:eastAsia="Arial" w:cs="Arial"/>
          <w:noProof w:val="0"/>
          <w:sz w:val="22"/>
          <w:szCs w:val="22"/>
          <w:lang w:val="en-GB"/>
        </w:rPr>
        <w:t>. London: Mintel Group.</w:t>
      </w:r>
    </w:p>
    <w:p xmlns:wp14="http://schemas.microsoft.com/office/word/2010/wordml" w:rsidP="4FFD3E6A" wp14:paraId="0A62461D" wp14:textId="3BBDD738">
      <w:pPr>
        <w:spacing w:before="240" w:beforeAutospacing="off" w:after="240" w:afterAutospacing="off"/>
      </w:pPr>
      <w:r w:rsidRPr="4FFD3E6A" w:rsidR="79DA6534">
        <w:rPr>
          <w:rFonts w:ascii="Arial" w:hAnsi="Arial" w:eastAsia="Arial" w:cs="Arial"/>
          <w:noProof w:val="0"/>
          <w:sz w:val="22"/>
          <w:szCs w:val="22"/>
          <w:lang w:val="en-GB"/>
        </w:rPr>
        <w:t xml:space="preserve">Schein, E.H. (2017) </w:t>
      </w:r>
      <w:r w:rsidRPr="4FFD3E6A" w:rsidR="79DA6534">
        <w:rPr>
          <w:rFonts w:ascii="Arial" w:hAnsi="Arial" w:eastAsia="Arial" w:cs="Arial"/>
          <w:i w:val="1"/>
          <w:iCs w:val="1"/>
          <w:noProof w:val="0"/>
          <w:sz w:val="22"/>
          <w:szCs w:val="22"/>
          <w:lang w:val="en-GB"/>
        </w:rPr>
        <w:t>Organisational Culture and Leadership</w:t>
      </w:r>
      <w:r w:rsidRPr="4FFD3E6A" w:rsidR="79DA6534">
        <w:rPr>
          <w:rFonts w:ascii="Arial" w:hAnsi="Arial" w:eastAsia="Arial" w:cs="Arial"/>
          <w:noProof w:val="0"/>
          <w:sz w:val="22"/>
          <w:szCs w:val="22"/>
          <w:lang w:val="en-GB"/>
        </w:rPr>
        <w:t>. 5th edn. Hoboken, NJ: Wiley.</w:t>
      </w:r>
    </w:p>
    <w:p xmlns:wp14="http://schemas.microsoft.com/office/word/2010/wordml" w:rsidP="4FFD3E6A" wp14:paraId="0BB846AD" wp14:textId="174BA315">
      <w:pPr>
        <w:spacing w:before="240" w:beforeAutospacing="off" w:after="240" w:afterAutospacing="off"/>
      </w:pPr>
      <w:r w:rsidRPr="4FFD3E6A" w:rsidR="79DA6534">
        <w:rPr>
          <w:rFonts w:ascii="Arial" w:hAnsi="Arial" w:eastAsia="Arial" w:cs="Arial"/>
          <w:noProof w:val="0"/>
          <w:sz w:val="22"/>
          <w:szCs w:val="22"/>
          <w:lang w:val="en-GB"/>
        </w:rPr>
        <w:t xml:space="preserve">Waterman, R.H., Peters, </w:t>
      </w:r>
      <w:r w:rsidRPr="4FFD3E6A" w:rsidR="79DA6534">
        <w:rPr>
          <w:rFonts w:ascii="Arial" w:hAnsi="Arial" w:eastAsia="Arial" w:cs="Arial"/>
          <w:noProof w:val="0"/>
          <w:sz w:val="22"/>
          <w:szCs w:val="22"/>
          <w:lang w:val="en-GB"/>
        </w:rPr>
        <w:t>T.J.</w:t>
      </w:r>
      <w:r w:rsidRPr="4FFD3E6A" w:rsidR="79DA6534">
        <w:rPr>
          <w:rFonts w:ascii="Arial" w:hAnsi="Arial" w:eastAsia="Arial" w:cs="Arial"/>
          <w:noProof w:val="0"/>
          <w:sz w:val="22"/>
          <w:szCs w:val="22"/>
          <w:lang w:val="en-GB"/>
        </w:rPr>
        <w:t xml:space="preserve"> and Phillips, J.R. (1980) ‘Structure is not organisation’, </w:t>
      </w:r>
      <w:r w:rsidRPr="4FFD3E6A" w:rsidR="79DA6534">
        <w:rPr>
          <w:rFonts w:ascii="Arial" w:hAnsi="Arial" w:eastAsia="Arial" w:cs="Arial"/>
          <w:i w:val="1"/>
          <w:iCs w:val="1"/>
          <w:noProof w:val="0"/>
          <w:sz w:val="22"/>
          <w:szCs w:val="22"/>
          <w:lang w:val="en-GB"/>
        </w:rPr>
        <w:t>Business Horizons</w:t>
      </w:r>
      <w:r w:rsidRPr="4FFD3E6A" w:rsidR="79DA6534">
        <w:rPr>
          <w:rFonts w:ascii="Arial" w:hAnsi="Arial" w:eastAsia="Arial" w:cs="Arial"/>
          <w:noProof w:val="0"/>
          <w:sz w:val="22"/>
          <w:szCs w:val="22"/>
          <w:lang w:val="en-GB"/>
        </w:rPr>
        <w:t>, 23(3), pp. 14–26.</w:t>
      </w:r>
      <w:r w:rsidRPr="4FFD3E6A" w:rsidR="79DA6534">
        <w:rPr>
          <w:rFonts w:ascii="Arial" w:hAnsi="Arial" w:eastAsia="Arial" w:cs="Arial"/>
          <w:noProof w:val="0"/>
          <w:color w:val="auto"/>
          <w:sz w:val="22"/>
          <w:szCs w:val="22"/>
          <w:lang w:val="en-GB"/>
        </w:rPr>
        <w:t xml:space="preserve"> </w:t>
      </w:r>
      <w:hyperlink r:id="Re5a2d7344dbf4fda">
        <w:r w:rsidRPr="4FFD3E6A" w:rsidR="79DA6534">
          <w:rPr>
            <w:rStyle w:val="Hyperlink"/>
            <w:rFonts w:ascii="Arial" w:hAnsi="Arial" w:eastAsia="Arial" w:cs="Arial"/>
            <w:noProof w:val="0"/>
            <w:color w:val="auto"/>
            <w:sz w:val="22"/>
            <w:szCs w:val="22"/>
            <w:lang w:val="en-GB"/>
          </w:rPr>
          <w:t>https://doi.org/10.1016/0007-6813(80)90027-0</w:t>
        </w:r>
      </w:hyperlink>
    </w:p>
    <w:p xmlns:wp14="http://schemas.microsoft.com/office/word/2010/wordml" w:rsidP="4FFD3E6A" wp14:paraId="4917D661" wp14:textId="7591CF9D">
      <w:pPr>
        <w:spacing w:before="240" w:beforeAutospacing="off" w:after="240" w:afterAutospacing="off"/>
        <w:rPr>
          <w:rFonts w:ascii="Arial" w:hAnsi="Arial" w:eastAsia="Arial" w:cs="Arial"/>
          <w:noProof w:val="0"/>
          <w:sz w:val="22"/>
          <w:szCs w:val="22"/>
          <w:lang w:val="en-GB"/>
        </w:rPr>
      </w:pPr>
    </w:p>
    <w:p xmlns:wp14="http://schemas.microsoft.com/office/word/2010/wordml" wp14:paraId="5E5787A5" wp14:textId="6137F3D2"/>
    <w:sectPr>
      <w:pgSz w:w="11906" w:h="16838" w:orient="portrait"/>
      <w:pgMar w:top="1440" w:right="1440" w:bottom="1440" w:left="1440" w:header="720" w:footer="720" w:gutter="0"/>
      <w:cols w:space="720"/>
      <w:docGrid w:linePitch="360"/>
      <w:headerReference w:type="default" r:id="R18731d36861544c0"/>
      <w:footerReference w:type="default" r:id="Rc732ab1e072349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24D3B5" w:rsidTr="55B2D1B6" w14:paraId="19C7824C">
      <w:trPr>
        <w:trHeight w:val="300"/>
      </w:trPr>
      <w:tc>
        <w:tcPr>
          <w:tcW w:w="3005" w:type="dxa"/>
          <w:tcMar/>
        </w:tcPr>
        <w:p w:rsidR="0124D3B5" w:rsidP="0124D3B5" w:rsidRDefault="0124D3B5" w14:paraId="327B21C5" w14:textId="43956C56">
          <w:pPr>
            <w:pStyle w:val="Header"/>
            <w:bidi w:val="0"/>
            <w:ind w:left="-115"/>
            <w:jc w:val="left"/>
          </w:pPr>
        </w:p>
      </w:tc>
      <w:tc>
        <w:tcPr>
          <w:tcW w:w="3005" w:type="dxa"/>
          <w:tcMar/>
        </w:tcPr>
        <w:p w:rsidR="0124D3B5" w:rsidP="0124D3B5" w:rsidRDefault="0124D3B5" w14:paraId="17A3D6C8" w14:textId="7C2BBF6A">
          <w:pPr>
            <w:pStyle w:val="Header"/>
            <w:bidi w:val="0"/>
            <w:jc w:val="center"/>
          </w:pPr>
          <w:r>
            <w:fldChar w:fldCharType="begin"/>
          </w:r>
          <w:r>
            <w:instrText xml:space="preserve">PAGE</w:instrText>
          </w:r>
          <w:r>
            <w:fldChar w:fldCharType="separate"/>
          </w:r>
          <w:r>
            <w:fldChar w:fldCharType="end"/>
          </w:r>
        </w:p>
      </w:tc>
      <w:tc>
        <w:tcPr>
          <w:tcW w:w="3005" w:type="dxa"/>
          <w:tcMar/>
        </w:tcPr>
        <w:p w:rsidR="0124D3B5" w:rsidP="0124D3B5" w:rsidRDefault="0124D3B5" w14:paraId="43E895D1" w14:textId="540622EF">
          <w:pPr>
            <w:pStyle w:val="Header"/>
            <w:bidi w:val="0"/>
            <w:ind w:right="-115"/>
            <w:jc w:val="right"/>
          </w:pPr>
        </w:p>
      </w:tc>
    </w:tr>
  </w:tbl>
  <w:p w:rsidR="0124D3B5" w:rsidP="0124D3B5" w:rsidRDefault="0124D3B5" w14:paraId="16DB1062" w14:textId="2E914A9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24D3B5" w:rsidTr="0124D3B5" w14:paraId="5EF114BC">
      <w:trPr>
        <w:trHeight w:val="300"/>
      </w:trPr>
      <w:tc>
        <w:tcPr>
          <w:tcW w:w="3005" w:type="dxa"/>
          <w:tcMar/>
        </w:tcPr>
        <w:p w:rsidR="0124D3B5" w:rsidP="0124D3B5" w:rsidRDefault="0124D3B5" w14:paraId="6BE31327" w14:textId="2CA8EBDE">
          <w:pPr>
            <w:pStyle w:val="Header"/>
            <w:bidi w:val="0"/>
            <w:ind w:left="-115"/>
            <w:jc w:val="left"/>
          </w:pPr>
        </w:p>
      </w:tc>
      <w:tc>
        <w:tcPr>
          <w:tcW w:w="3005" w:type="dxa"/>
          <w:tcMar/>
        </w:tcPr>
        <w:p w:rsidR="0124D3B5" w:rsidP="0124D3B5" w:rsidRDefault="0124D3B5" w14:paraId="456BE256" w14:textId="044AC545">
          <w:pPr>
            <w:pStyle w:val="Header"/>
            <w:bidi w:val="0"/>
            <w:jc w:val="center"/>
          </w:pPr>
        </w:p>
      </w:tc>
      <w:tc>
        <w:tcPr>
          <w:tcW w:w="3005" w:type="dxa"/>
          <w:tcMar/>
        </w:tcPr>
        <w:p w:rsidR="0124D3B5" w:rsidP="0124D3B5" w:rsidRDefault="0124D3B5" w14:paraId="6C2001EC" w14:textId="54E1C40A">
          <w:pPr>
            <w:pStyle w:val="Header"/>
            <w:bidi w:val="0"/>
            <w:ind w:right="-115"/>
            <w:jc w:val="right"/>
          </w:pPr>
        </w:p>
      </w:tc>
    </w:tr>
  </w:tbl>
  <w:p w:rsidR="0124D3B5" w:rsidP="0124D3B5" w:rsidRDefault="0124D3B5" w14:paraId="373FB6DB" w14:textId="33B4A15A">
    <w:pPr>
      <w:pStyle w:val="Header"/>
      <w:bidi w:val="0"/>
    </w:pPr>
  </w:p>
</w:hdr>
</file>

<file path=word/intelligence2.xml><?xml version="1.0" encoding="utf-8"?>
<int2:intelligence xmlns:int2="http://schemas.microsoft.com/office/intelligence/2020/intelligence">
  <int2:observations>
    <int2:textHash int2:hashCode="L4hNUzwF3QPkBL" int2:id="57Tt3hy7">
      <int2:state int2:type="spell" int2:value="Rejected"/>
    </int2:textHash>
    <int2:textHash int2:hashCode="Y7rxyEYEGk+h8X" int2:id="c1WrZ8km">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D878F7"/>
    <w:rsid w:val="004838B3"/>
    <w:rsid w:val="00DF9CA0"/>
    <w:rsid w:val="0124D3B5"/>
    <w:rsid w:val="01C8EC85"/>
    <w:rsid w:val="01E3EB29"/>
    <w:rsid w:val="025BB125"/>
    <w:rsid w:val="034A645D"/>
    <w:rsid w:val="03B4D137"/>
    <w:rsid w:val="03BDF1BF"/>
    <w:rsid w:val="03E70040"/>
    <w:rsid w:val="04174C62"/>
    <w:rsid w:val="042CAC2A"/>
    <w:rsid w:val="042EF698"/>
    <w:rsid w:val="044A4D42"/>
    <w:rsid w:val="0467B430"/>
    <w:rsid w:val="054D7E05"/>
    <w:rsid w:val="05E28B30"/>
    <w:rsid w:val="0686208E"/>
    <w:rsid w:val="0751D00F"/>
    <w:rsid w:val="07C0F7EA"/>
    <w:rsid w:val="07D6E6EC"/>
    <w:rsid w:val="07E633F5"/>
    <w:rsid w:val="0810124B"/>
    <w:rsid w:val="08181902"/>
    <w:rsid w:val="08468418"/>
    <w:rsid w:val="0850FD67"/>
    <w:rsid w:val="085793FD"/>
    <w:rsid w:val="085AB2C2"/>
    <w:rsid w:val="086D4948"/>
    <w:rsid w:val="08839F18"/>
    <w:rsid w:val="0890EF11"/>
    <w:rsid w:val="096EE392"/>
    <w:rsid w:val="0982317A"/>
    <w:rsid w:val="09D222D3"/>
    <w:rsid w:val="0A3B2D1C"/>
    <w:rsid w:val="0A5D28F4"/>
    <w:rsid w:val="0BC245E1"/>
    <w:rsid w:val="0BCCB5E5"/>
    <w:rsid w:val="0C6385A5"/>
    <w:rsid w:val="0C738232"/>
    <w:rsid w:val="0CAC7305"/>
    <w:rsid w:val="0CFB9FFE"/>
    <w:rsid w:val="0CFC34CA"/>
    <w:rsid w:val="0DB932E4"/>
    <w:rsid w:val="0F02DB4C"/>
    <w:rsid w:val="0F285829"/>
    <w:rsid w:val="0FB39E3F"/>
    <w:rsid w:val="100EDC23"/>
    <w:rsid w:val="103563AB"/>
    <w:rsid w:val="10429C46"/>
    <w:rsid w:val="1052FF85"/>
    <w:rsid w:val="114B0403"/>
    <w:rsid w:val="1329D6C6"/>
    <w:rsid w:val="1345C054"/>
    <w:rsid w:val="14B04424"/>
    <w:rsid w:val="155644D4"/>
    <w:rsid w:val="17805FB8"/>
    <w:rsid w:val="17BFE66F"/>
    <w:rsid w:val="18C4BEB1"/>
    <w:rsid w:val="190D8B94"/>
    <w:rsid w:val="19587CFD"/>
    <w:rsid w:val="19595652"/>
    <w:rsid w:val="19FF4348"/>
    <w:rsid w:val="1A828967"/>
    <w:rsid w:val="1AA068B6"/>
    <w:rsid w:val="1AFF4CBE"/>
    <w:rsid w:val="1D6C1FC8"/>
    <w:rsid w:val="1E5EAC30"/>
    <w:rsid w:val="1E7CB79B"/>
    <w:rsid w:val="1F899C9F"/>
    <w:rsid w:val="1FBE73F9"/>
    <w:rsid w:val="20A8E76A"/>
    <w:rsid w:val="2104544E"/>
    <w:rsid w:val="21188C49"/>
    <w:rsid w:val="21DE5D0B"/>
    <w:rsid w:val="224D540F"/>
    <w:rsid w:val="241E3B61"/>
    <w:rsid w:val="26488ACB"/>
    <w:rsid w:val="26824374"/>
    <w:rsid w:val="26A92AB6"/>
    <w:rsid w:val="275FDD67"/>
    <w:rsid w:val="27A15D69"/>
    <w:rsid w:val="28316986"/>
    <w:rsid w:val="28457450"/>
    <w:rsid w:val="2883B58A"/>
    <w:rsid w:val="28AAF82D"/>
    <w:rsid w:val="28E58805"/>
    <w:rsid w:val="291DF40E"/>
    <w:rsid w:val="2AB9C03E"/>
    <w:rsid w:val="2B895DFE"/>
    <w:rsid w:val="2BA921DF"/>
    <w:rsid w:val="2C5D5D00"/>
    <w:rsid w:val="2CDEC4FE"/>
    <w:rsid w:val="2D888312"/>
    <w:rsid w:val="2D8E62A5"/>
    <w:rsid w:val="2E38E9D5"/>
    <w:rsid w:val="2E85CCC3"/>
    <w:rsid w:val="3173208A"/>
    <w:rsid w:val="324C6C0A"/>
    <w:rsid w:val="335C022F"/>
    <w:rsid w:val="33915273"/>
    <w:rsid w:val="347E1520"/>
    <w:rsid w:val="3483163E"/>
    <w:rsid w:val="35135F2B"/>
    <w:rsid w:val="359184DF"/>
    <w:rsid w:val="35B60A35"/>
    <w:rsid w:val="36292C3F"/>
    <w:rsid w:val="36292C3F"/>
    <w:rsid w:val="36597A84"/>
    <w:rsid w:val="3796ED38"/>
    <w:rsid w:val="388A4121"/>
    <w:rsid w:val="388C30CE"/>
    <w:rsid w:val="38E43243"/>
    <w:rsid w:val="39E4B345"/>
    <w:rsid w:val="3A4DD78C"/>
    <w:rsid w:val="3A63BFD3"/>
    <w:rsid w:val="3A9C2052"/>
    <w:rsid w:val="3AB262B5"/>
    <w:rsid w:val="3B7335A1"/>
    <w:rsid w:val="3B87B7A3"/>
    <w:rsid w:val="3C2F77CA"/>
    <w:rsid w:val="3C642C61"/>
    <w:rsid w:val="3D239543"/>
    <w:rsid w:val="3D711311"/>
    <w:rsid w:val="3EA796FD"/>
    <w:rsid w:val="3EC82A2C"/>
    <w:rsid w:val="3F3CDFB4"/>
    <w:rsid w:val="400E7B46"/>
    <w:rsid w:val="4342720E"/>
    <w:rsid w:val="4362BDB1"/>
    <w:rsid w:val="43FA12A2"/>
    <w:rsid w:val="445F9F10"/>
    <w:rsid w:val="45D66A06"/>
    <w:rsid w:val="46F6B781"/>
    <w:rsid w:val="470AE9F4"/>
    <w:rsid w:val="47795A83"/>
    <w:rsid w:val="47EFA4A3"/>
    <w:rsid w:val="487CCFB5"/>
    <w:rsid w:val="4A94099F"/>
    <w:rsid w:val="4B5BD611"/>
    <w:rsid w:val="4BAD55FE"/>
    <w:rsid w:val="4C01F2EF"/>
    <w:rsid w:val="4C856332"/>
    <w:rsid w:val="4CB3251B"/>
    <w:rsid w:val="4D78586E"/>
    <w:rsid w:val="4E57CD4F"/>
    <w:rsid w:val="4E5ADE74"/>
    <w:rsid w:val="4EADFA8B"/>
    <w:rsid w:val="4F12108D"/>
    <w:rsid w:val="4F5E3944"/>
    <w:rsid w:val="4FDDC0F5"/>
    <w:rsid w:val="4FE41DB4"/>
    <w:rsid w:val="4FFA49D3"/>
    <w:rsid w:val="4FFD3E6A"/>
    <w:rsid w:val="5208CE9C"/>
    <w:rsid w:val="523CE5A0"/>
    <w:rsid w:val="52759360"/>
    <w:rsid w:val="52D2A29F"/>
    <w:rsid w:val="533DC4DF"/>
    <w:rsid w:val="5381467B"/>
    <w:rsid w:val="5423D1DE"/>
    <w:rsid w:val="547992F6"/>
    <w:rsid w:val="54825FE0"/>
    <w:rsid w:val="557F56CC"/>
    <w:rsid w:val="55B2D1B6"/>
    <w:rsid w:val="560B9CF0"/>
    <w:rsid w:val="568213CF"/>
    <w:rsid w:val="57BFC121"/>
    <w:rsid w:val="59271142"/>
    <w:rsid w:val="59B875B9"/>
    <w:rsid w:val="59D7148B"/>
    <w:rsid w:val="5B7178F7"/>
    <w:rsid w:val="5BEF0710"/>
    <w:rsid w:val="5C119A5F"/>
    <w:rsid w:val="5CE99CC1"/>
    <w:rsid w:val="5E19A468"/>
    <w:rsid w:val="5ED65D0E"/>
    <w:rsid w:val="5F27C291"/>
    <w:rsid w:val="5F82FA15"/>
    <w:rsid w:val="606D21F0"/>
    <w:rsid w:val="6077C01B"/>
    <w:rsid w:val="60A5CBFC"/>
    <w:rsid w:val="60A5CBFC"/>
    <w:rsid w:val="60DB6852"/>
    <w:rsid w:val="61C0EBA8"/>
    <w:rsid w:val="62842CC0"/>
    <w:rsid w:val="630CF41B"/>
    <w:rsid w:val="63F778BB"/>
    <w:rsid w:val="66BCCD68"/>
    <w:rsid w:val="66D878F7"/>
    <w:rsid w:val="67B87A06"/>
    <w:rsid w:val="6848F6AB"/>
    <w:rsid w:val="687936A1"/>
    <w:rsid w:val="69778B67"/>
    <w:rsid w:val="6A147695"/>
    <w:rsid w:val="6AE19FC6"/>
    <w:rsid w:val="6AE88AEF"/>
    <w:rsid w:val="6BDCCF79"/>
    <w:rsid w:val="6C156B98"/>
    <w:rsid w:val="6E4A96F8"/>
    <w:rsid w:val="6E571D75"/>
    <w:rsid w:val="6EF4A988"/>
    <w:rsid w:val="6F65D29E"/>
    <w:rsid w:val="6FDD7734"/>
    <w:rsid w:val="6FE0DC25"/>
    <w:rsid w:val="70B80B64"/>
    <w:rsid w:val="70BD55D8"/>
    <w:rsid w:val="7160EAA3"/>
    <w:rsid w:val="71858577"/>
    <w:rsid w:val="719E8DCA"/>
    <w:rsid w:val="71C06A18"/>
    <w:rsid w:val="71F5136B"/>
    <w:rsid w:val="71F5BBBD"/>
    <w:rsid w:val="72AC6F60"/>
    <w:rsid w:val="72B18424"/>
    <w:rsid w:val="72B552C0"/>
    <w:rsid w:val="73D45A8F"/>
    <w:rsid w:val="743868D6"/>
    <w:rsid w:val="74D9EA06"/>
    <w:rsid w:val="74DBE7A2"/>
    <w:rsid w:val="75372B8F"/>
    <w:rsid w:val="757778F5"/>
    <w:rsid w:val="76F83070"/>
    <w:rsid w:val="7813D4EA"/>
    <w:rsid w:val="790A8369"/>
    <w:rsid w:val="79111BDB"/>
    <w:rsid w:val="7930F366"/>
    <w:rsid w:val="79DA6534"/>
    <w:rsid w:val="7A0B0FA8"/>
    <w:rsid w:val="7AE5ED9C"/>
    <w:rsid w:val="7C145EF2"/>
    <w:rsid w:val="7CCE4682"/>
    <w:rsid w:val="7D1528A9"/>
    <w:rsid w:val="7FD34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6F684"/>
  <w15:chartTrackingRefBased/>
  <w15:docId w15:val="{2C8266B9-B0A8-4189-903F-D89AB3DA64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FFD3E6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FFD3E6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FFD3E6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124D3B5"/>
    <w:pPr>
      <w:tabs>
        <w:tab w:val="center" w:leader="none" w:pos="4680"/>
        <w:tab w:val="right" w:leader="none" w:pos="9360"/>
      </w:tabs>
      <w:spacing w:after="0" w:line="240" w:lineRule="auto"/>
    </w:pPr>
  </w:style>
  <w:style w:type="paragraph" w:styleId="Footer">
    <w:uiPriority w:val="99"/>
    <w:name w:val="footer"/>
    <w:basedOn w:val="Normal"/>
    <w:unhideWhenUsed/>
    <w:rsid w:val="0124D3B5"/>
    <w:pPr>
      <w:tabs>
        <w:tab w:val="center" w:leader="none" w:pos="4680"/>
        <w:tab w:val="right" w:leader="none" w:pos="9360"/>
      </w:tabs>
      <w:spacing w:after="0" w:line="240" w:lineRule="auto"/>
    </w:pPr>
  </w:style>
  <w:style w:type="paragraph" w:styleId="TOC2">
    <w:uiPriority w:val="39"/>
    <w:name w:val="toc 2"/>
    <w:basedOn w:val="Normal"/>
    <w:next w:val="Normal"/>
    <w:unhideWhenUsed/>
    <w:rsid w:val="55B2D1B6"/>
    <w:pPr>
      <w:spacing w:after="100"/>
      <w:ind w:left="220"/>
    </w:pPr>
  </w:style>
  <w:style w:type="paragraph" w:styleId="TOC3">
    <w:uiPriority w:val="39"/>
    <w:name w:val="toc 3"/>
    <w:basedOn w:val="Normal"/>
    <w:next w:val="Normal"/>
    <w:unhideWhenUsed/>
    <w:rsid w:val="55B2D1B6"/>
    <w:pPr>
      <w:spacing w:after="100"/>
      <w:ind w:left="440"/>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08/02621711211253231" TargetMode="External" Id="R4a0220a0c20d422f" /><Relationship Type="http://schemas.openxmlformats.org/officeDocument/2006/relationships/hyperlink" Target="https://doi.org/10.1016/0007-6813(80)90027-0" TargetMode="External" Id="Re5a2d7344dbf4fda" /><Relationship Type="http://schemas.microsoft.com/office/2020/10/relationships/intelligence" Target="/word/intelligence2.xml" Id="R4dd235da8e6c4e2a" /><Relationship Type="http://schemas.openxmlformats.org/officeDocument/2006/relationships/image" Target="/media/image.jpg" Id="rId912477528" /><Relationship Type="http://schemas.openxmlformats.org/officeDocument/2006/relationships/image" Target="/media/image2.jpg" Id="rId548152482" /><Relationship Type="http://schemas.openxmlformats.org/officeDocument/2006/relationships/header" Target="/word/header.xml" Id="R18731d36861544c0" /><Relationship Type="http://schemas.openxmlformats.org/officeDocument/2006/relationships/footer" Target="/word/footer.xml" Id="Rc732ab1e07234993" /><Relationship Type="http://schemas.openxmlformats.org/officeDocument/2006/relationships/image" Target="/media/image3.jpg" Id="rId18575387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Abena Amankwaa Frempong (2237667)</dc:creator>
  <keywords/>
  <dc:description/>
  <lastModifiedBy>Abena Amankwaa Frempong (2237667)</lastModifiedBy>
  <revision>5</revision>
  <dcterms:created xsi:type="dcterms:W3CDTF">2026-02-06T14:48:39.3362208Z</dcterms:created>
  <dcterms:modified xsi:type="dcterms:W3CDTF">2026-03-22T15:14:27.5059538Z</dcterms:modified>
</coreProperties>
</file>