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101A6" w14:textId="77777777" w:rsidR="006D6E37" w:rsidRPr="006D6E37" w:rsidRDefault="006D6E37" w:rsidP="006D6E37">
      <w:pPr>
        <w:spacing w:after="160" w:line="259" w:lineRule="auto"/>
        <w:jc w:val="center"/>
        <w:rPr>
          <w:rFonts w:ascii="Arial" w:hAnsi="Arial" w:cs="Arial"/>
          <w:b/>
          <w:bCs/>
        </w:rPr>
      </w:pPr>
      <w:r w:rsidRPr="006D6E37">
        <w:rPr>
          <w:rFonts w:ascii="Arial" w:hAnsi="Arial" w:cs="Arial"/>
          <w:noProof/>
        </w:rPr>
        <w:drawing>
          <wp:inline distT="0" distB="0" distL="0" distR="0" wp14:anchorId="0E67E24A" wp14:editId="4260E0FD">
            <wp:extent cx="3496733" cy="1230207"/>
            <wp:effectExtent l="0" t="0" r="8890" b="8255"/>
            <wp:docPr id="1037800206"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6754" cy="1233733"/>
                    </a:xfrm>
                    <a:prstGeom prst="rect">
                      <a:avLst/>
                    </a:prstGeom>
                    <a:noFill/>
                    <a:ln>
                      <a:noFill/>
                    </a:ln>
                  </pic:spPr>
                </pic:pic>
              </a:graphicData>
            </a:graphic>
          </wp:inline>
        </w:drawing>
      </w:r>
    </w:p>
    <w:p w14:paraId="1979053D" w14:textId="77777777" w:rsidR="006D6E37" w:rsidRPr="006D6E37" w:rsidRDefault="006D6E37" w:rsidP="006D6E37">
      <w:pPr>
        <w:spacing w:after="160" w:line="259" w:lineRule="auto"/>
        <w:jc w:val="center"/>
        <w:rPr>
          <w:rFonts w:ascii="Arial" w:hAnsi="Arial" w:cs="Arial"/>
          <w:b/>
          <w:bCs/>
        </w:rPr>
      </w:pPr>
    </w:p>
    <w:p w14:paraId="52CAB705" w14:textId="77777777" w:rsidR="006D6E37" w:rsidRPr="006D6E37" w:rsidRDefault="006D6E37" w:rsidP="006D6E37">
      <w:pPr>
        <w:spacing w:after="160" w:line="259" w:lineRule="auto"/>
        <w:jc w:val="center"/>
        <w:rPr>
          <w:rFonts w:ascii="Arial" w:hAnsi="Arial" w:cs="Arial"/>
          <w:b/>
          <w:bCs/>
        </w:rPr>
      </w:pPr>
    </w:p>
    <w:p w14:paraId="45DC2E0E" w14:textId="77777777" w:rsidR="006D6E37" w:rsidRPr="006D6E37" w:rsidRDefault="006D6E37" w:rsidP="006D6E37">
      <w:pPr>
        <w:spacing w:after="160" w:line="259" w:lineRule="auto"/>
        <w:jc w:val="center"/>
        <w:rPr>
          <w:rFonts w:ascii="Arial" w:hAnsi="Arial" w:cs="Arial"/>
          <w:b/>
          <w:bCs/>
        </w:rPr>
      </w:pPr>
    </w:p>
    <w:p w14:paraId="74997221" w14:textId="1D401D2F" w:rsidR="009A2FF8" w:rsidRPr="009A2FF8" w:rsidRDefault="006D6E37" w:rsidP="00706F05">
      <w:pPr>
        <w:jc w:val="center"/>
        <w:rPr>
          <w:rFonts w:ascii="Arial" w:hAnsi="Arial" w:cs="Arial"/>
          <w:b/>
          <w:bCs/>
        </w:rPr>
      </w:pPr>
      <w:r w:rsidRPr="006D6E37">
        <w:rPr>
          <w:rFonts w:ascii="Arial" w:hAnsi="Arial" w:cs="Arial"/>
          <w:b/>
          <w:bCs/>
        </w:rPr>
        <w:t>Module Title: Marketing Management</w:t>
      </w:r>
    </w:p>
    <w:p w14:paraId="6823179E" w14:textId="714C3FBE" w:rsidR="006D6E37" w:rsidRDefault="006D6E37" w:rsidP="009A2FF8">
      <w:pPr>
        <w:jc w:val="center"/>
        <w:rPr>
          <w:rFonts w:ascii="Arial" w:hAnsi="Arial" w:cs="Arial"/>
          <w:b/>
          <w:bCs/>
        </w:rPr>
      </w:pPr>
      <w:r w:rsidRPr="006D6E37">
        <w:rPr>
          <w:rFonts w:ascii="Arial" w:hAnsi="Arial" w:cs="Arial"/>
          <w:b/>
          <w:bCs/>
        </w:rPr>
        <w:t>Module Code: LCMB7024</w:t>
      </w:r>
    </w:p>
    <w:p w14:paraId="5CE82395" w14:textId="77777777" w:rsidR="009A2FF8" w:rsidRPr="006D6E37" w:rsidRDefault="009A2FF8" w:rsidP="009A2FF8">
      <w:pPr>
        <w:jc w:val="center"/>
        <w:rPr>
          <w:rFonts w:ascii="Arial" w:hAnsi="Arial" w:cs="Arial"/>
          <w:b/>
          <w:bCs/>
        </w:rPr>
      </w:pPr>
    </w:p>
    <w:p w14:paraId="20BEEFE6" w14:textId="60C4AF48" w:rsidR="009A2FF8" w:rsidRPr="006D6E37" w:rsidRDefault="006D6E37" w:rsidP="00C8383F">
      <w:pPr>
        <w:jc w:val="center"/>
        <w:rPr>
          <w:rFonts w:ascii="Arial" w:hAnsi="Arial" w:cs="Arial"/>
          <w:b/>
          <w:bCs/>
          <w:i/>
          <w:iCs/>
        </w:rPr>
      </w:pPr>
      <w:r w:rsidRPr="006D6E37">
        <w:rPr>
          <w:rFonts w:ascii="Arial" w:hAnsi="Arial" w:cs="Arial"/>
          <w:b/>
          <w:bCs/>
          <w:i/>
          <w:iCs/>
        </w:rPr>
        <w:t>Assignment Title: Marketing Environment Analysis of BHP</w:t>
      </w:r>
    </w:p>
    <w:p w14:paraId="66DC0103" w14:textId="639C6F36" w:rsidR="006D6E37" w:rsidRDefault="006D6E37" w:rsidP="009A2FF8">
      <w:pPr>
        <w:spacing w:line="240" w:lineRule="auto"/>
        <w:jc w:val="center"/>
        <w:rPr>
          <w:rFonts w:ascii="Arial" w:hAnsi="Arial" w:cs="Arial"/>
          <w:b/>
          <w:bCs/>
        </w:rPr>
      </w:pPr>
      <w:r w:rsidRPr="006D6E37">
        <w:rPr>
          <w:rFonts w:ascii="Arial" w:hAnsi="Arial" w:cs="Arial"/>
          <w:b/>
          <w:bCs/>
        </w:rPr>
        <w:t xml:space="preserve">Student Name: </w:t>
      </w:r>
      <w:r w:rsidR="00BF2524">
        <w:rPr>
          <w:rFonts w:ascii="Arial" w:hAnsi="Arial" w:cs="Arial"/>
          <w:b/>
          <w:bCs/>
        </w:rPr>
        <w:t>Yovan Bhaveshbhai Jetani</w:t>
      </w:r>
    </w:p>
    <w:p w14:paraId="797C243D" w14:textId="77777777" w:rsidR="009A2FF8" w:rsidRDefault="009A2FF8" w:rsidP="009A2FF8">
      <w:pPr>
        <w:spacing w:line="240" w:lineRule="auto"/>
        <w:jc w:val="center"/>
        <w:rPr>
          <w:rFonts w:ascii="Arial" w:hAnsi="Arial" w:cs="Arial"/>
          <w:b/>
          <w:bCs/>
        </w:rPr>
      </w:pPr>
    </w:p>
    <w:p w14:paraId="211FB41F" w14:textId="07444ECF" w:rsidR="006D6E37" w:rsidRDefault="006D6E37" w:rsidP="00C8383F">
      <w:pPr>
        <w:spacing w:line="240" w:lineRule="auto"/>
        <w:ind w:left="2880"/>
        <w:rPr>
          <w:rFonts w:ascii="Arial" w:hAnsi="Arial" w:cs="Arial"/>
          <w:b/>
          <w:bCs/>
        </w:rPr>
      </w:pPr>
      <w:r w:rsidRPr="006D6E37">
        <w:rPr>
          <w:rFonts w:ascii="Arial" w:hAnsi="Arial" w:cs="Arial"/>
          <w:b/>
          <w:bCs/>
        </w:rPr>
        <w:t>Student</w:t>
      </w:r>
      <w:r w:rsidR="009A2FF8">
        <w:rPr>
          <w:rFonts w:ascii="Arial" w:hAnsi="Arial" w:cs="Arial"/>
          <w:b/>
          <w:bCs/>
        </w:rPr>
        <w:t xml:space="preserve"> ID</w:t>
      </w:r>
      <w:r w:rsidRPr="006D6E37">
        <w:rPr>
          <w:rFonts w:ascii="Arial" w:hAnsi="Arial" w:cs="Arial"/>
          <w:b/>
          <w:bCs/>
        </w:rPr>
        <w:t xml:space="preserve"> Number: </w:t>
      </w:r>
      <w:r w:rsidR="00BF2524">
        <w:rPr>
          <w:rFonts w:ascii="Arial" w:hAnsi="Arial" w:cs="Arial"/>
          <w:b/>
          <w:bCs/>
        </w:rPr>
        <w:t xml:space="preserve"> 2532585</w:t>
      </w:r>
    </w:p>
    <w:p w14:paraId="1EF4CBD8" w14:textId="77777777" w:rsidR="009A2FF8" w:rsidRPr="006D6E37" w:rsidRDefault="009A2FF8" w:rsidP="009A2FF8">
      <w:pPr>
        <w:spacing w:line="240" w:lineRule="auto"/>
        <w:ind w:left="2880"/>
        <w:jc w:val="center"/>
        <w:rPr>
          <w:rFonts w:ascii="Arial" w:hAnsi="Arial" w:cs="Arial"/>
          <w:b/>
          <w:bCs/>
        </w:rPr>
      </w:pPr>
    </w:p>
    <w:p w14:paraId="3C1FEFDF" w14:textId="5FBC0811" w:rsidR="006D6E37" w:rsidRDefault="00C8383F" w:rsidP="00C8383F">
      <w:pPr>
        <w:spacing w:line="240" w:lineRule="auto"/>
        <w:ind w:left="2880"/>
        <w:rPr>
          <w:rFonts w:ascii="Arial" w:hAnsi="Arial" w:cs="Arial"/>
          <w:b/>
          <w:bCs/>
        </w:rPr>
      </w:pPr>
      <w:r>
        <w:rPr>
          <w:rFonts w:ascii="Arial" w:hAnsi="Arial" w:cs="Arial"/>
          <w:b/>
          <w:bCs/>
        </w:rPr>
        <w:t xml:space="preserve">  </w:t>
      </w:r>
      <w:r w:rsidR="006D6E37" w:rsidRPr="006D6E37">
        <w:rPr>
          <w:rFonts w:ascii="Arial" w:hAnsi="Arial" w:cs="Arial"/>
          <w:b/>
          <w:bCs/>
        </w:rPr>
        <w:t>Submission date:</w:t>
      </w:r>
      <w:r w:rsidR="00460107">
        <w:rPr>
          <w:rFonts w:ascii="Arial" w:hAnsi="Arial" w:cs="Arial"/>
          <w:b/>
          <w:bCs/>
        </w:rPr>
        <w:t xml:space="preserve"> 24/07/2025</w:t>
      </w:r>
    </w:p>
    <w:p w14:paraId="2B05A49C" w14:textId="77777777" w:rsidR="009A2FF8" w:rsidRDefault="009A2FF8" w:rsidP="009A2FF8">
      <w:pPr>
        <w:spacing w:line="240" w:lineRule="auto"/>
        <w:ind w:left="2880"/>
        <w:jc w:val="center"/>
        <w:rPr>
          <w:rFonts w:ascii="Arial" w:hAnsi="Arial" w:cs="Arial"/>
          <w:b/>
          <w:bCs/>
        </w:rPr>
      </w:pPr>
    </w:p>
    <w:p w14:paraId="304218D3" w14:textId="77777777" w:rsidR="006D6E37" w:rsidRPr="006D6E37" w:rsidRDefault="006D6E37" w:rsidP="00C8383F">
      <w:pPr>
        <w:spacing w:line="240" w:lineRule="auto"/>
        <w:ind w:left="2880" w:firstLine="720"/>
        <w:rPr>
          <w:rFonts w:ascii="Arial" w:hAnsi="Arial" w:cs="Arial"/>
          <w:b/>
          <w:bCs/>
        </w:rPr>
      </w:pPr>
      <w:r w:rsidRPr="006D6E37">
        <w:rPr>
          <w:rFonts w:ascii="Arial" w:hAnsi="Arial" w:cs="Arial"/>
          <w:b/>
          <w:bCs/>
        </w:rPr>
        <w:t>Word Count: 2674</w:t>
      </w:r>
    </w:p>
    <w:p w14:paraId="72BF362F" w14:textId="77777777" w:rsidR="006D6E37" w:rsidRPr="006D6E37" w:rsidRDefault="006D6E37" w:rsidP="006D6E37">
      <w:pPr>
        <w:jc w:val="center"/>
        <w:rPr>
          <w:rFonts w:ascii="Arial" w:hAnsi="Arial" w:cs="Arial"/>
          <w:b/>
          <w:bCs/>
          <w:i/>
          <w:iCs/>
        </w:rPr>
      </w:pPr>
    </w:p>
    <w:p w14:paraId="2C8E999E" w14:textId="77777777" w:rsidR="006D6E37" w:rsidRPr="006D6E37" w:rsidRDefault="006D6E37" w:rsidP="006D6E37">
      <w:pPr>
        <w:spacing w:after="160" w:line="259" w:lineRule="auto"/>
        <w:rPr>
          <w:rFonts w:ascii="Arial" w:eastAsiaTheme="majorEastAsia" w:hAnsi="Arial" w:cs="Arial"/>
          <w:i/>
          <w:iCs/>
        </w:rPr>
      </w:pPr>
      <w:r w:rsidRPr="006D6E37">
        <w:rPr>
          <w:rFonts w:ascii="Arial" w:hAnsi="Arial" w:cs="Arial"/>
          <w:i/>
          <w:iCs/>
        </w:rPr>
        <w:br w:type="page"/>
      </w:r>
    </w:p>
    <w:sdt>
      <w:sdtPr>
        <w:rPr>
          <w:rFonts w:ascii="Arial" w:eastAsia="Times New Roman" w:hAnsi="Arial" w:cs="Arial"/>
          <w:color w:val="auto"/>
          <w:sz w:val="24"/>
          <w:szCs w:val="24"/>
          <w:lang w:val="en-GB"/>
        </w:rPr>
        <w:id w:val="1945968205"/>
        <w:docPartObj>
          <w:docPartGallery w:val="Table of Contents"/>
          <w:docPartUnique/>
        </w:docPartObj>
      </w:sdtPr>
      <w:sdtEndPr>
        <w:rPr>
          <w:rFonts w:eastAsiaTheme="minorHAnsi"/>
          <w:b/>
          <w:bCs/>
          <w:noProof/>
          <w:lang w:val="en-US" w:bidi="gu-IN"/>
        </w:rPr>
      </w:sdtEndPr>
      <w:sdtContent>
        <w:p w14:paraId="75A815A4" w14:textId="77777777" w:rsidR="006D6E37" w:rsidRPr="006D6E37" w:rsidRDefault="006D6E37" w:rsidP="006D6E37">
          <w:pPr>
            <w:pStyle w:val="TOCHeading"/>
            <w:jc w:val="center"/>
            <w:rPr>
              <w:rFonts w:ascii="Arial" w:hAnsi="Arial" w:cs="Arial"/>
              <w:b/>
              <w:bCs/>
              <w:color w:val="auto"/>
              <w:sz w:val="24"/>
              <w:szCs w:val="24"/>
              <w:lang w:val="en-GB"/>
            </w:rPr>
          </w:pPr>
          <w:r w:rsidRPr="006D6E37">
            <w:rPr>
              <w:rFonts w:ascii="Arial" w:hAnsi="Arial" w:cs="Arial"/>
              <w:b/>
              <w:bCs/>
              <w:color w:val="auto"/>
              <w:sz w:val="24"/>
              <w:szCs w:val="24"/>
              <w:lang w:val="en-GB"/>
            </w:rPr>
            <w:t>Table of Contents</w:t>
          </w:r>
        </w:p>
        <w:p w14:paraId="4C532D36"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r w:rsidRPr="006D6E37">
            <w:rPr>
              <w:rFonts w:cs="Arial"/>
              <w:szCs w:val="24"/>
            </w:rPr>
            <w:fldChar w:fldCharType="begin"/>
          </w:r>
          <w:r w:rsidRPr="006D6E37">
            <w:rPr>
              <w:rFonts w:cs="Arial"/>
              <w:szCs w:val="24"/>
            </w:rPr>
            <w:instrText xml:space="preserve"> TOC \o "1-3" \h \z \u </w:instrText>
          </w:r>
          <w:r w:rsidRPr="006D6E37">
            <w:rPr>
              <w:rFonts w:cs="Arial"/>
              <w:szCs w:val="24"/>
            </w:rPr>
            <w:fldChar w:fldCharType="separate"/>
          </w:r>
          <w:hyperlink w:anchor="_Toc235699512" w:history="1">
            <w:r w:rsidRPr="006D6E37">
              <w:rPr>
                <w:rStyle w:val="Hyperlink"/>
                <w:rFonts w:cs="Arial"/>
                <w:noProof/>
                <w:szCs w:val="24"/>
              </w:rPr>
              <w:t>Introduction</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_Toc235699512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5</w:t>
            </w:r>
            <w:r w:rsidRPr="006D6E37">
              <w:rPr>
                <w:rFonts w:cs="Arial"/>
                <w:noProof/>
                <w:webHidden/>
                <w:szCs w:val="24"/>
              </w:rPr>
              <w:fldChar w:fldCharType="end"/>
            </w:r>
          </w:hyperlink>
        </w:p>
        <w:p w14:paraId="2DFA5B8B"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hyperlink w:anchor="_Toc235699513" w:history="1">
            <w:r w:rsidRPr="006D6E37">
              <w:rPr>
                <w:rStyle w:val="Hyperlink"/>
                <w:rFonts w:cs="Arial"/>
                <w:noProof/>
                <w:szCs w:val="24"/>
              </w:rPr>
              <w:t>Task 1: Marketing Environment Analysis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_Toc235699513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5</w:t>
            </w:r>
            <w:r w:rsidRPr="006D6E37">
              <w:rPr>
                <w:rFonts w:cs="Arial"/>
                <w:noProof/>
                <w:webHidden/>
                <w:szCs w:val="24"/>
              </w:rPr>
              <w:fldChar w:fldCharType="end"/>
            </w:r>
          </w:hyperlink>
        </w:p>
        <w:p w14:paraId="78969EB0"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14" w:history="1">
            <w:r w:rsidRPr="006D6E37">
              <w:rPr>
                <w:rStyle w:val="Hyperlink"/>
                <w:rFonts w:cs="Arial"/>
                <w:noProof/>
                <w:szCs w:val="24"/>
              </w:rPr>
              <w:t>1.1 Selection of a major mining corporation</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_Toc235699514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5</w:t>
            </w:r>
            <w:r w:rsidRPr="006D6E37">
              <w:rPr>
                <w:rFonts w:cs="Arial"/>
                <w:noProof/>
                <w:webHidden/>
                <w:szCs w:val="24"/>
              </w:rPr>
              <w:fldChar w:fldCharType="end"/>
            </w:r>
          </w:hyperlink>
        </w:p>
        <w:p w14:paraId="4552B2CF"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15" w:history="1">
            <w:r w:rsidRPr="006D6E37">
              <w:rPr>
                <w:rStyle w:val="Hyperlink"/>
                <w:rFonts w:cs="Arial"/>
                <w:noProof/>
                <w:szCs w:val="24"/>
              </w:rPr>
              <w:t>1.2 Critical Evaluation of two external marketing environment factors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_Toc235699515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6</w:t>
            </w:r>
            <w:r w:rsidRPr="006D6E37">
              <w:rPr>
                <w:rFonts w:cs="Arial"/>
                <w:noProof/>
                <w:webHidden/>
                <w:szCs w:val="24"/>
              </w:rPr>
              <w:fldChar w:fldCharType="end"/>
            </w:r>
          </w:hyperlink>
        </w:p>
        <w:p w14:paraId="10A28632"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hyperlink w:anchor="_Toc235699516" w:history="1">
            <w:r w:rsidRPr="006D6E37">
              <w:rPr>
                <w:rStyle w:val="Hyperlink"/>
                <w:rFonts w:cs="Arial"/>
                <w:noProof/>
                <w:szCs w:val="24"/>
              </w:rPr>
              <w:t>Task 2: Strategic Growth and Competitive Positioning</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_Toc235699516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10</w:t>
            </w:r>
            <w:r w:rsidRPr="006D6E37">
              <w:rPr>
                <w:rFonts w:cs="Arial"/>
                <w:noProof/>
                <w:webHidden/>
                <w:szCs w:val="24"/>
              </w:rPr>
              <w:fldChar w:fldCharType="end"/>
            </w:r>
          </w:hyperlink>
        </w:p>
        <w:p w14:paraId="4602DB38"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17" w:history="1">
            <w:r w:rsidRPr="006D6E37">
              <w:rPr>
                <w:rStyle w:val="Hyperlink"/>
                <w:rFonts w:cs="Arial"/>
                <w:noProof/>
                <w:szCs w:val="24"/>
              </w:rPr>
              <w:t>2.1 Strategic Growth Approach Using the Ansoff Matrix</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_Toc235699517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10</w:t>
            </w:r>
            <w:r w:rsidRPr="006D6E37">
              <w:rPr>
                <w:rFonts w:cs="Arial"/>
                <w:noProof/>
                <w:webHidden/>
                <w:szCs w:val="24"/>
              </w:rPr>
              <w:fldChar w:fldCharType="end"/>
            </w:r>
          </w:hyperlink>
        </w:p>
        <w:p w14:paraId="76A0CFE1"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18" w:history="1">
            <w:r w:rsidRPr="006D6E37">
              <w:rPr>
                <w:rStyle w:val="Hyperlink"/>
                <w:rFonts w:cs="Arial"/>
                <w:noProof/>
                <w:szCs w:val="24"/>
              </w:rPr>
              <w:t>2.2 Competitive Advantage by using 4ps of Marketing Mix</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_Toc235699518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13</w:t>
            </w:r>
            <w:r w:rsidRPr="006D6E37">
              <w:rPr>
                <w:rFonts w:cs="Arial"/>
                <w:noProof/>
                <w:webHidden/>
                <w:szCs w:val="24"/>
              </w:rPr>
              <w:fldChar w:fldCharType="end"/>
            </w:r>
          </w:hyperlink>
        </w:p>
        <w:p w14:paraId="1253D118"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hyperlink w:anchor="_Toc235699519" w:history="1">
            <w:r w:rsidRPr="006D6E37">
              <w:rPr>
                <w:rStyle w:val="Hyperlink"/>
                <w:rFonts w:cs="Arial"/>
                <w:noProof/>
                <w:szCs w:val="24"/>
              </w:rPr>
              <w:t>Task 3: Critical Reflection on AI Usage</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_Toc235699519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16</w:t>
            </w:r>
            <w:r w:rsidRPr="006D6E37">
              <w:rPr>
                <w:rFonts w:cs="Arial"/>
                <w:noProof/>
                <w:webHidden/>
                <w:szCs w:val="24"/>
              </w:rPr>
              <w:fldChar w:fldCharType="end"/>
            </w:r>
          </w:hyperlink>
        </w:p>
        <w:p w14:paraId="34893DFE"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20" w:history="1">
            <w:r w:rsidRPr="006D6E37">
              <w:rPr>
                <w:rStyle w:val="Hyperlink"/>
                <w:rFonts w:cs="Arial"/>
                <w:noProof/>
                <w:szCs w:val="24"/>
              </w:rPr>
              <w:t>3.1 Tool Disclosure</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_Toc235699520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16</w:t>
            </w:r>
            <w:r w:rsidRPr="006D6E37">
              <w:rPr>
                <w:rFonts w:cs="Arial"/>
                <w:noProof/>
                <w:webHidden/>
                <w:szCs w:val="24"/>
              </w:rPr>
              <w:fldChar w:fldCharType="end"/>
            </w:r>
          </w:hyperlink>
        </w:p>
        <w:p w14:paraId="101BFC90"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21" w:history="1">
            <w:r w:rsidRPr="006D6E37">
              <w:rPr>
                <w:rStyle w:val="Hyperlink"/>
                <w:rFonts w:cs="Arial"/>
                <w:noProof/>
                <w:szCs w:val="24"/>
              </w:rPr>
              <w:t>3.2 Critical Analysis of AI Output</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_Toc235699521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16</w:t>
            </w:r>
            <w:r w:rsidRPr="006D6E37">
              <w:rPr>
                <w:rFonts w:cs="Arial"/>
                <w:noProof/>
                <w:webHidden/>
                <w:szCs w:val="24"/>
              </w:rPr>
              <w:fldChar w:fldCharType="end"/>
            </w:r>
          </w:hyperlink>
        </w:p>
        <w:p w14:paraId="1CB4D823"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22" w:history="1">
            <w:r w:rsidRPr="006D6E37">
              <w:rPr>
                <w:rStyle w:val="Hyperlink"/>
                <w:rFonts w:cs="Arial"/>
                <w:noProof/>
                <w:szCs w:val="24"/>
              </w:rPr>
              <w:t>3.3 Contribution Analysis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_Toc235699522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17</w:t>
            </w:r>
            <w:r w:rsidRPr="006D6E37">
              <w:rPr>
                <w:rFonts w:cs="Arial"/>
                <w:noProof/>
                <w:webHidden/>
                <w:szCs w:val="24"/>
              </w:rPr>
              <w:fldChar w:fldCharType="end"/>
            </w:r>
          </w:hyperlink>
        </w:p>
        <w:p w14:paraId="60D4768D" w14:textId="77777777" w:rsidR="006D6E37" w:rsidRPr="006D6E37" w:rsidRDefault="006D6E37" w:rsidP="006D6E37">
          <w:pPr>
            <w:pStyle w:val="TOC2"/>
            <w:tabs>
              <w:tab w:val="right" w:leader="dot" w:pos="9350"/>
            </w:tabs>
            <w:rPr>
              <w:rFonts w:eastAsiaTheme="minorEastAsia" w:cs="Arial"/>
              <w:noProof/>
              <w:kern w:val="2"/>
              <w:szCs w:val="24"/>
              <w:lang w:val="en-IN" w:eastAsia="en-IN"/>
            </w:rPr>
          </w:pPr>
          <w:hyperlink w:anchor="_Toc235699523" w:history="1">
            <w:r w:rsidRPr="006D6E37">
              <w:rPr>
                <w:rStyle w:val="Hyperlink"/>
                <w:rFonts w:cs="Arial"/>
                <w:noProof/>
                <w:szCs w:val="24"/>
              </w:rPr>
              <w:t>3.4 Ethical and Professional Reflection</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_Toc235699523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17</w:t>
            </w:r>
            <w:r w:rsidRPr="006D6E37">
              <w:rPr>
                <w:rFonts w:cs="Arial"/>
                <w:noProof/>
                <w:webHidden/>
                <w:szCs w:val="24"/>
              </w:rPr>
              <w:fldChar w:fldCharType="end"/>
            </w:r>
          </w:hyperlink>
        </w:p>
        <w:p w14:paraId="51D4F622"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hyperlink w:anchor="_Toc235699524" w:history="1">
            <w:r w:rsidRPr="006D6E37">
              <w:rPr>
                <w:rStyle w:val="Hyperlink"/>
                <w:rFonts w:cs="Arial"/>
                <w:noProof/>
                <w:szCs w:val="24"/>
              </w:rPr>
              <w:t>Conclusion</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_Toc235699524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18</w:t>
            </w:r>
            <w:r w:rsidRPr="006D6E37">
              <w:rPr>
                <w:rFonts w:cs="Arial"/>
                <w:noProof/>
                <w:webHidden/>
                <w:szCs w:val="24"/>
              </w:rPr>
              <w:fldChar w:fldCharType="end"/>
            </w:r>
          </w:hyperlink>
        </w:p>
        <w:p w14:paraId="71F35A4E" w14:textId="77777777" w:rsidR="006D6E37" w:rsidRPr="006D6E37" w:rsidRDefault="006D6E37" w:rsidP="006D6E37">
          <w:pPr>
            <w:pStyle w:val="TOC1"/>
            <w:tabs>
              <w:tab w:val="right" w:leader="dot" w:pos="9350"/>
            </w:tabs>
            <w:rPr>
              <w:rFonts w:eastAsiaTheme="minorEastAsia" w:cs="Arial"/>
              <w:b w:val="0"/>
              <w:noProof/>
              <w:kern w:val="2"/>
              <w:szCs w:val="24"/>
              <w:lang w:val="en-IN" w:eastAsia="en-IN"/>
            </w:rPr>
          </w:pPr>
          <w:hyperlink w:anchor="_Toc235699525" w:history="1">
            <w:r w:rsidRPr="006D6E37">
              <w:rPr>
                <w:rStyle w:val="Hyperlink"/>
                <w:rFonts w:cs="Arial"/>
                <w:noProof/>
                <w:szCs w:val="24"/>
              </w:rPr>
              <w:t>Reference List</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_Toc235699525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19</w:t>
            </w:r>
            <w:r w:rsidRPr="006D6E37">
              <w:rPr>
                <w:rFonts w:cs="Arial"/>
                <w:noProof/>
                <w:webHidden/>
                <w:szCs w:val="24"/>
              </w:rPr>
              <w:fldChar w:fldCharType="end"/>
            </w:r>
          </w:hyperlink>
        </w:p>
        <w:p w14:paraId="1FDC4804" w14:textId="77777777" w:rsidR="006D6E37" w:rsidRPr="006D6E37" w:rsidRDefault="006D6E37" w:rsidP="006D6E37">
          <w:pPr>
            <w:rPr>
              <w:rFonts w:ascii="Arial" w:hAnsi="Arial" w:cs="Arial"/>
            </w:rPr>
          </w:pPr>
          <w:r w:rsidRPr="006D6E37">
            <w:rPr>
              <w:rFonts w:ascii="Arial" w:hAnsi="Arial" w:cs="Arial"/>
            </w:rPr>
            <w:fldChar w:fldCharType="end"/>
          </w:r>
        </w:p>
      </w:sdtContent>
    </w:sdt>
    <w:p w14:paraId="60C387A9" w14:textId="77777777" w:rsidR="006D6E37" w:rsidRPr="006D6E37" w:rsidRDefault="006D6E37" w:rsidP="006D6E37">
      <w:pPr>
        <w:spacing w:after="160" w:line="259" w:lineRule="auto"/>
        <w:rPr>
          <w:rFonts w:ascii="Arial" w:eastAsiaTheme="majorEastAsia" w:hAnsi="Arial" w:cs="Arial"/>
          <w:b/>
        </w:rPr>
      </w:pPr>
      <w:r w:rsidRPr="006D6E37">
        <w:rPr>
          <w:rFonts w:ascii="Arial" w:hAnsi="Arial" w:cs="Arial"/>
        </w:rPr>
        <w:br w:type="page"/>
      </w:r>
    </w:p>
    <w:p w14:paraId="48383FCD" w14:textId="77777777" w:rsidR="006D6E37" w:rsidRPr="006D6E37" w:rsidRDefault="006D6E37" w:rsidP="006D6E37">
      <w:pPr>
        <w:spacing w:after="160" w:line="259" w:lineRule="auto"/>
        <w:jc w:val="center"/>
        <w:rPr>
          <w:rFonts w:ascii="Arial" w:hAnsi="Arial" w:cs="Arial"/>
          <w:b/>
          <w:bCs/>
        </w:rPr>
      </w:pPr>
      <w:r w:rsidRPr="006D6E37">
        <w:rPr>
          <w:rFonts w:ascii="Arial" w:hAnsi="Arial" w:cs="Arial"/>
          <w:b/>
          <w:bCs/>
        </w:rPr>
        <w:lastRenderedPageBreak/>
        <w:t>List of Figures</w:t>
      </w:r>
    </w:p>
    <w:p w14:paraId="30F47A68"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r w:rsidRPr="006D6E37">
        <w:rPr>
          <w:rFonts w:cs="Arial"/>
          <w:b/>
          <w:bCs/>
          <w:szCs w:val="24"/>
        </w:rPr>
        <w:fldChar w:fldCharType="begin"/>
      </w:r>
      <w:r w:rsidRPr="006D6E37">
        <w:rPr>
          <w:rFonts w:cs="Arial"/>
          <w:b/>
          <w:bCs/>
          <w:szCs w:val="24"/>
        </w:rPr>
        <w:instrText xml:space="preserve"> TOC \h \z \t "Heading 4" \c </w:instrText>
      </w:r>
      <w:r w:rsidRPr="006D6E37">
        <w:rPr>
          <w:rFonts w:cs="Arial"/>
          <w:b/>
          <w:bCs/>
          <w:szCs w:val="24"/>
        </w:rPr>
        <w:fldChar w:fldCharType="separate"/>
      </w:r>
      <w:hyperlink w:anchor="_Toc235707043" w:history="1">
        <w:r w:rsidRPr="006D6E37">
          <w:rPr>
            <w:rStyle w:val="Hyperlink"/>
            <w:rFonts w:cs="Arial"/>
            <w:noProof/>
            <w:szCs w:val="24"/>
          </w:rPr>
          <w:t>Figure 1: Overview of BHP and its mining operations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_Toc235707043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6</w:t>
        </w:r>
        <w:r w:rsidRPr="006D6E37">
          <w:rPr>
            <w:rFonts w:cs="Arial"/>
            <w:noProof/>
            <w:webHidden/>
            <w:szCs w:val="24"/>
          </w:rPr>
          <w:fldChar w:fldCharType="end"/>
        </w:r>
      </w:hyperlink>
    </w:p>
    <w:p w14:paraId="2E08C6F1"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4" w:history="1">
        <w:r w:rsidRPr="006D6E37">
          <w:rPr>
            <w:rStyle w:val="Hyperlink"/>
            <w:rFonts w:cs="Arial"/>
            <w:noProof/>
            <w:szCs w:val="24"/>
          </w:rPr>
          <w:t>Figure 2: PESTLE Table</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_Toc235707044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7</w:t>
        </w:r>
        <w:r w:rsidRPr="006D6E37">
          <w:rPr>
            <w:rFonts w:cs="Arial"/>
            <w:noProof/>
            <w:webHidden/>
            <w:szCs w:val="24"/>
          </w:rPr>
          <w:fldChar w:fldCharType="end"/>
        </w:r>
      </w:hyperlink>
    </w:p>
    <w:p w14:paraId="21C4D941"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5" w:history="1">
        <w:r w:rsidRPr="006D6E37">
          <w:rPr>
            <w:rStyle w:val="Hyperlink"/>
            <w:rFonts w:cs="Arial"/>
            <w:noProof/>
            <w:szCs w:val="24"/>
          </w:rPr>
          <w:t>Figure 3: Extreme weather patterns experienced in Australia</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_Toc235707045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8</w:t>
        </w:r>
        <w:r w:rsidRPr="006D6E37">
          <w:rPr>
            <w:rFonts w:cs="Arial"/>
            <w:noProof/>
            <w:webHidden/>
            <w:szCs w:val="24"/>
          </w:rPr>
          <w:fldChar w:fldCharType="end"/>
        </w:r>
      </w:hyperlink>
    </w:p>
    <w:p w14:paraId="17CF53F4"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6" w:history="1">
        <w:r w:rsidRPr="006D6E37">
          <w:rPr>
            <w:rStyle w:val="Hyperlink"/>
            <w:rFonts w:cs="Arial"/>
            <w:noProof/>
            <w:szCs w:val="24"/>
          </w:rPr>
          <w:t>Figure 4: Carbon emission level of Australia for the last 2 decades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_Toc235707046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9</w:t>
        </w:r>
        <w:r w:rsidRPr="006D6E37">
          <w:rPr>
            <w:rFonts w:cs="Arial"/>
            <w:noProof/>
            <w:webHidden/>
            <w:szCs w:val="24"/>
          </w:rPr>
          <w:fldChar w:fldCharType="end"/>
        </w:r>
      </w:hyperlink>
    </w:p>
    <w:p w14:paraId="07D47A1B"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7" w:history="1">
        <w:r w:rsidRPr="006D6E37">
          <w:rPr>
            <w:rStyle w:val="Hyperlink"/>
            <w:rFonts w:cs="Arial"/>
            <w:noProof/>
            <w:szCs w:val="24"/>
          </w:rPr>
          <w:t>Figure 5: Financial Figure of BHP in 2025</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_Toc235707047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12</w:t>
        </w:r>
        <w:r w:rsidRPr="006D6E37">
          <w:rPr>
            <w:rFonts w:cs="Arial"/>
            <w:noProof/>
            <w:webHidden/>
            <w:szCs w:val="24"/>
          </w:rPr>
          <w:fldChar w:fldCharType="end"/>
        </w:r>
      </w:hyperlink>
    </w:p>
    <w:p w14:paraId="7D5D15B4"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8" w:history="1">
        <w:r w:rsidRPr="006D6E37">
          <w:rPr>
            <w:rStyle w:val="Hyperlink"/>
            <w:rFonts w:cs="Arial"/>
            <w:noProof/>
            <w:szCs w:val="24"/>
          </w:rPr>
          <w:t>Figure 6: FY2025 of BHP</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_Toc235707048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13</w:t>
        </w:r>
        <w:r w:rsidRPr="006D6E37">
          <w:rPr>
            <w:rFonts w:cs="Arial"/>
            <w:noProof/>
            <w:webHidden/>
            <w:szCs w:val="24"/>
          </w:rPr>
          <w:fldChar w:fldCharType="end"/>
        </w:r>
      </w:hyperlink>
    </w:p>
    <w:p w14:paraId="7716878F"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49" w:history="1">
        <w:r w:rsidRPr="006D6E37">
          <w:rPr>
            <w:rStyle w:val="Hyperlink"/>
            <w:rFonts w:cs="Arial"/>
            <w:noProof/>
            <w:szCs w:val="24"/>
          </w:rPr>
          <w:t>Figure 7: Results of BHP approach to reduce Carbon Emission</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_Toc235707049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15</w:t>
        </w:r>
        <w:r w:rsidRPr="006D6E37">
          <w:rPr>
            <w:rFonts w:cs="Arial"/>
            <w:noProof/>
            <w:webHidden/>
            <w:szCs w:val="24"/>
          </w:rPr>
          <w:fldChar w:fldCharType="end"/>
        </w:r>
      </w:hyperlink>
    </w:p>
    <w:p w14:paraId="365B6BD1"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50" w:history="1">
        <w:r w:rsidRPr="006D6E37">
          <w:rPr>
            <w:rStyle w:val="Hyperlink"/>
            <w:rFonts w:cs="Arial"/>
            <w:noProof/>
            <w:szCs w:val="24"/>
          </w:rPr>
          <w:t>Figure 8: BHP’s emission results till 2023</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_Toc235707050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16</w:t>
        </w:r>
        <w:r w:rsidRPr="006D6E37">
          <w:rPr>
            <w:rFonts w:cs="Arial"/>
            <w:noProof/>
            <w:webHidden/>
            <w:szCs w:val="24"/>
          </w:rPr>
          <w:fldChar w:fldCharType="end"/>
        </w:r>
      </w:hyperlink>
    </w:p>
    <w:p w14:paraId="6C43F5EF"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707051" w:history="1">
        <w:r w:rsidRPr="006D6E37">
          <w:rPr>
            <w:rStyle w:val="Hyperlink"/>
            <w:rFonts w:cs="Arial"/>
            <w:noProof/>
            <w:szCs w:val="24"/>
          </w:rPr>
          <w:t>Figure 9: Marketing Mix Table of BHP</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_Toc235707051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17</w:t>
        </w:r>
        <w:r w:rsidRPr="006D6E37">
          <w:rPr>
            <w:rFonts w:cs="Arial"/>
            <w:noProof/>
            <w:webHidden/>
            <w:szCs w:val="24"/>
          </w:rPr>
          <w:fldChar w:fldCharType="end"/>
        </w:r>
      </w:hyperlink>
    </w:p>
    <w:p w14:paraId="063EB6D5" w14:textId="77777777" w:rsidR="006D6E37" w:rsidRPr="006D6E37" w:rsidRDefault="006D6E37" w:rsidP="006D6E37">
      <w:pPr>
        <w:spacing w:after="160" w:line="259" w:lineRule="auto"/>
        <w:jc w:val="center"/>
        <w:rPr>
          <w:rFonts w:ascii="Arial" w:hAnsi="Arial" w:cs="Arial"/>
          <w:b/>
          <w:bCs/>
        </w:rPr>
      </w:pPr>
      <w:r w:rsidRPr="006D6E37">
        <w:rPr>
          <w:rFonts w:ascii="Arial" w:hAnsi="Arial" w:cs="Arial"/>
          <w:b/>
          <w:bCs/>
        </w:rPr>
        <w:fldChar w:fldCharType="end"/>
      </w:r>
    </w:p>
    <w:p w14:paraId="2EF8B729" w14:textId="77777777" w:rsidR="006D6E37" w:rsidRPr="006D6E37" w:rsidRDefault="006D6E37" w:rsidP="006D6E37">
      <w:pPr>
        <w:spacing w:after="160" w:line="259" w:lineRule="auto"/>
        <w:rPr>
          <w:rFonts w:ascii="Arial" w:hAnsi="Arial" w:cs="Arial"/>
          <w:b/>
          <w:bCs/>
        </w:rPr>
      </w:pPr>
      <w:r w:rsidRPr="006D6E37">
        <w:rPr>
          <w:rFonts w:ascii="Arial" w:hAnsi="Arial" w:cs="Arial"/>
          <w:b/>
          <w:bCs/>
        </w:rPr>
        <w:br w:type="page"/>
      </w:r>
    </w:p>
    <w:p w14:paraId="16977910" w14:textId="77777777" w:rsidR="006D6E37" w:rsidRPr="006D6E37" w:rsidRDefault="006D6E37" w:rsidP="006D6E37">
      <w:pPr>
        <w:spacing w:after="160" w:line="259" w:lineRule="auto"/>
        <w:jc w:val="center"/>
        <w:rPr>
          <w:rFonts w:ascii="Arial" w:hAnsi="Arial" w:cs="Arial"/>
          <w:b/>
          <w:bCs/>
        </w:rPr>
      </w:pPr>
      <w:r w:rsidRPr="006D6E37">
        <w:rPr>
          <w:rFonts w:ascii="Arial" w:hAnsi="Arial" w:cs="Arial"/>
          <w:b/>
          <w:bCs/>
        </w:rPr>
        <w:lastRenderedPageBreak/>
        <w:t>List of Tables</w:t>
      </w:r>
    </w:p>
    <w:p w14:paraId="4C0C1422"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r w:rsidRPr="006D6E37">
        <w:rPr>
          <w:rFonts w:cs="Arial"/>
          <w:b/>
          <w:bCs/>
          <w:szCs w:val="24"/>
        </w:rPr>
        <w:fldChar w:fldCharType="begin"/>
      </w:r>
      <w:r w:rsidRPr="006D6E37">
        <w:rPr>
          <w:rFonts w:cs="Arial"/>
          <w:b/>
          <w:bCs/>
          <w:szCs w:val="24"/>
        </w:rPr>
        <w:instrText xml:space="preserve"> TOC \h \z \t "Heading 5" \c </w:instrText>
      </w:r>
      <w:r w:rsidRPr="006D6E37">
        <w:rPr>
          <w:rFonts w:cs="Arial"/>
          <w:b/>
          <w:bCs/>
          <w:szCs w:val="24"/>
        </w:rPr>
        <w:fldChar w:fldCharType="separate"/>
      </w:r>
      <w:hyperlink w:anchor="_Toc235546870" w:history="1">
        <w:r w:rsidRPr="006D6E37">
          <w:rPr>
            <w:rStyle w:val="Hyperlink"/>
            <w:rFonts w:cs="Arial"/>
            <w:noProof/>
            <w:szCs w:val="24"/>
          </w:rPr>
          <w:t>Table 1: Key Highlights of Natural Environment</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_Toc235546870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9</w:t>
        </w:r>
        <w:r w:rsidRPr="006D6E37">
          <w:rPr>
            <w:rFonts w:cs="Arial"/>
            <w:noProof/>
            <w:webHidden/>
            <w:szCs w:val="24"/>
          </w:rPr>
          <w:fldChar w:fldCharType="end"/>
        </w:r>
      </w:hyperlink>
    </w:p>
    <w:p w14:paraId="066D3479"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546871" w:history="1">
        <w:r w:rsidRPr="006D6E37">
          <w:rPr>
            <w:rStyle w:val="Hyperlink"/>
            <w:rFonts w:cs="Arial"/>
            <w:noProof/>
            <w:szCs w:val="24"/>
          </w:rPr>
          <w:t>Table 2: Key Highlights of Legal Factors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_Toc235546871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9</w:t>
        </w:r>
        <w:r w:rsidRPr="006D6E37">
          <w:rPr>
            <w:rFonts w:cs="Arial"/>
            <w:noProof/>
            <w:webHidden/>
            <w:szCs w:val="24"/>
          </w:rPr>
          <w:fldChar w:fldCharType="end"/>
        </w:r>
      </w:hyperlink>
    </w:p>
    <w:p w14:paraId="2682AA73"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546872" w:history="1">
        <w:r w:rsidRPr="006D6E37">
          <w:rPr>
            <w:rStyle w:val="Hyperlink"/>
            <w:rFonts w:cs="Arial"/>
            <w:noProof/>
            <w:szCs w:val="24"/>
          </w:rPr>
          <w:t>Table 3: Ansoff Matrix Key Highlights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_Toc235546872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11</w:t>
        </w:r>
        <w:r w:rsidRPr="006D6E37">
          <w:rPr>
            <w:rFonts w:cs="Arial"/>
            <w:noProof/>
            <w:webHidden/>
            <w:szCs w:val="24"/>
          </w:rPr>
          <w:fldChar w:fldCharType="end"/>
        </w:r>
      </w:hyperlink>
    </w:p>
    <w:p w14:paraId="7DD1C2DC" w14:textId="77777777" w:rsidR="006D6E37" w:rsidRPr="006D6E37" w:rsidRDefault="006D6E37" w:rsidP="006D6E37">
      <w:pPr>
        <w:pStyle w:val="TableofFigures"/>
        <w:tabs>
          <w:tab w:val="right" w:leader="dot" w:pos="9350"/>
        </w:tabs>
        <w:rPr>
          <w:rFonts w:eastAsiaTheme="minorEastAsia" w:cs="Arial"/>
          <w:noProof/>
          <w:kern w:val="2"/>
          <w:szCs w:val="24"/>
          <w:lang w:val="en-IN" w:eastAsia="en-IN"/>
        </w:rPr>
      </w:pPr>
      <w:hyperlink w:anchor="_Toc235546873" w:history="1">
        <w:r w:rsidRPr="006D6E37">
          <w:rPr>
            <w:rStyle w:val="Hyperlink"/>
            <w:rFonts w:cs="Arial"/>
            <w:noProof/>
            <w:szCs w:val="24"/>
          </w:rPr>
          <w:t>Table 4: 4PS Highlights</w:t>
        </w:r>
        <w:r w:rsidRPr="006D6E37">
          <w:rPr>
            <w:rFonts w:cs="Arial"/>
            <w:noProof/>
            <w:webHidden/>
            <w:szCs w:val="24"/>
          </w:rPr>
          <w:tab/>
        </w:r>
        <w:r w:rsidRPr="006D6E37">
          <w:rPr>
            <w:rFonts w:cs="Arial"/>
            <w:noProof/>
            <w:webHidden/>
            <w:szCs w:val="24"/>
          </w:rPr>
          <w:fldChar w:fldCharType="begin"/>
        </w:r>
        <w:r w:rsidRPr="006D6E37">
          <w:rPr>
            <w:rFonts w:cs="Arial"/>
            <w:noProof/>
            <w:webHidden/>
            <w:szCs w:val="24"/>
          </w:rPr>
          <w:instrText xml:space="preserve"> PAGEREF _Toc235546873 \h </w:instrText>
        </w:r>
        <w:r w:rsidRPr="006D6E37">
          <w:rPr>
            <w:rFonts w:cs="Arial"/>
            <w:noProof/>
            <w:webHidden/>
            <w:szCs w:val="24"/>
          </w:rPr>
        </w:r>
        <w:r w:rsidRPr="006D6E37">
          <w:rPr>
            <w:rFonts w:cs="Arial"/>
            <w:noProof/>
            <w:webHidden/>
            <w:szCs w:val="24"/>
          </w:rPr>
          <w:fldChar w:fldCharType="separate"/>
        </w:r>
        <w:r w:rsidRPr="006D6E37">
          <w:rPr>
            <w:rFonts w:cs="Arial"/>
            <w:noProof/>
            <w:webHidden/>
            <w:szCs w:val="24"/>
          </w:rPr>
          <w:t>13</w:t>
        </w:r>
        <w:r w:rsidRPr="006D6E37">
          <w:rPr>
            <w:rFonts w:cs="Arial"/>
            <w:noProof/>
            <w:webHidden/>
            <w:szCs w:val="24"/>
          </w:rPr>
          <w:fldChar w:fldCharType="end"/>
        </w:r>
      </w:hyperlink>
    </w:p>
    <w:p w14:paraId="732D5DE4" w14:textId="77777777" w:rsidR="006D6E37" w:rsidRPr="006D6E37" w:rsidRDefault="006D6E37" w:rsidP="006D6E37">
      <w:pPr>
        <w:spacing w:after="160" w:line="259" w:lineRule="auto"/>
        <w:jc w:val="center"/>
        <w:rPr>
          <w:rFonts w:ascii="Arial" w:hAnsi="Arial" w:cs="Arial"/>
          <w:b/>
          <w:bCs/>
        </w:rPr>
      </w:pPr>
      <w:r w:rsidRPr="006D6E37">
        <w:rPr>
          <w:rFonts w:ascii="Arial" w:hAnsi="Arial" w:cs="Arial"/>
          <w:b/>
          <w:bCs/>
        </w:rPr>
        <w:fldChar w:fldCharType="end"/>
      </w:r>
    </w:p>
    <w:p w14:paraId="2E77EA4B" w14:textId="77777777" w:rsidR="006D6E37" w:rsidRPr="006D6E37" w:rsidRDefault="006D6E37" w:rsidP="006D6E37">
      <w:pPr>
        <w:spacing w:after="160" w:line="259" w:lineRule="auto"/>
        <w:rPr>
          <w:rFonts w:ascii="Arial" w:hAnsi="Arial" w:cs="Arial"/>
        </w:rPr>
      </w:pPr>
      <w:r w:rsidRPr="006D6E37">
        <w:rPr>
          <w:rFonts w:ascii="Arial" w:hAnsi="Arial" w:cs="Arial"/>
        </w:rPr>
        <w:br w:type="page"/>
      </w:r>
    </w:p>
    <w:p w14:paraId="4963F977" w14:textId="77777777" w:rsidR="006D6E37" w:rsidRPr="006D6E37" w:rsidRDefault="006D6E37" w:rsidP="006D6E37">
      <w:pPr>
        <w:pStyle w:val="Heading1"/>
        <w:rPr>
          <w:rFonts w:ascii="Arial" w:eastAsia="Times New Roman" w:hAnsi="Arial" w:cs="Arial"/>
          <w:sz w:val="24"/>
          <w:szCs w:val="24"/>
        </w:rPr>
      </w:pPr>
      <w:bookmarkStart w:id="0" w:name="_Toc235699512"/>
      <w:r w:rsidRPr="006D6E37">
        <w:rPr>
          <w:rFonts w:ascii="Arial" w:eastAsia="Times New Roman" w:hAnsi="Arial" w:cs="Arial"/>
          <w:sz w:val="24"/>
          <w:szCs w:val="24"/>
        </w:rPr>
        <w:lastRenderedPageBreak/>
        <w:t>Introduction</w:t>
      </w:r>
      <w:bookmarkEnd w:id="0"/>
    </w:p>
    <w:p w14:paraId="1B66293E" w14:textId="77777777" w:rsidR="006D6E37" w:rsidRPr="006D6E37" w:rsidRDefault="006D6E37" w:rsidP="006D6E37">
      <w:pPr>
        <w:rPr>
          <w:rFonts w:ascii="Arial" w:hAnsi="Arial" w:cs="Arial"/>
        </w:rPr>
      </w:pPr>
      <w:r w:rsidRPr="006D6E37">
        <w:rPr>
          <w:rFonts w:ascii="Arial" w:hAnsi="Arial" w:cs="Arial"/>
        </w:rPr>
        <w:t xml:space="preserve">The corporate initiatives undertaken by multinational enterprises for developing and executive product and service endorsement plans can be referred to as marketing management for achieving future </w:t>
      </w:r>
      <w:proofErr w:type="spellStart"/>
      <w:r w:rsidRPr="006D6E37">
        <w:rPr>
          <w:rFonts w:ascii="Arial" w:hAnsi="Arial" w:cs="Arial"/>
        </w:rPr>
        <w:t>organisational</w:t>
      </w:r>
      <w:proofErr w:type="spellEnd"/>
      <w:r w:rsidRPr="006D6E37">
        <w:rPr>
          <w:rFonts w:ascii="Arial" w:hAnsi="Arial" w:cs="Arial"/>
        </w:rPr>
        <w:t xml:space="preserve"> targets (Kotler </w:t>
      </w:r>
      <w:r w:rsidRPr="006D6E37">
        <w:rPr>
          <w:rFonts w:ascii="Arial" w:hAnsi="Arial" w:cs="Arial"/>
          <w:i/>
          <w:iCs/>
        </w:rPr>
        <w:t xml:space="preserve">et al. </w:t>
      </w:r>
      <w:r w:rsidRPr="006D6E37">
        <w:rPr>
          <w:rFonts w:ascii="Arial" w:hAnsi="Arial" w:cs="Arial"/>
        </w:rPr>
        <w:t xml:space="preserve">2024; Kotler </w:t>
      </w:r>
      <w:r w:rsidRPr="006D6E37">
        <w:rPr>
          <w:rFonts w:ascii="Arial" w:hAnsi="Arial" w:cs="Arial"/>
          <w:i/>
          <w:iCs/>
        </w:rPr>
        <w:t xml:space="preserve">et al. </w:t>
      </w:r>
      <w:r w:rsidRPr="006D6E37">
        <w:rPr>
          <w:rFonts w:ascii="Arial" w:hAnsi="Arial" w:cs="Arial"/>
        </w:rPr>
        <w:t xml:space="preserve">2023). The report is about the Australia-based mining corporation known as BHP (Broken Hill Proprietary) for examining the current external environment for locating viable market challenges in the form of high carbon emissions. </w:t>
      </w:r>
    </w:p>
    <w:p w14:paraId="3948EF4A" w14:textId="77777777" w:rsidR="006D6E37" w:rsidRPr="006D6E37" w:rsidRDefault="006D6E37" w:rsidP="006D6E37">
      <w:pPr>
        <w:pStyle w:val="Heading1"/>
        <w:rPr>
          <w:rFonts w:ascii="Arial" w:eastAsia="Times New Roman" w:hAnsi="Arial" w:cs="Arial"/>
          <w:sz w:val="24"/>
          <w:szCs w:val="24"/>
        </w:rPr>
      </w:pPr>
      <w:bookmarkStart w:id="1" w:name="_Toc235699513"/>
      <w:r w:rsidRPr="006D6E37">
        <w:rPr>
          <w:rFonts w:ascii="Arial" w:eastAsia="Times New Roman" w:hAnsi="Arial" w:cs="Arial"/>
          <w:sz w:val="24"/>
          <w:szCs w:val="24"/>
        </w:rPr>
        <w:t>Task 1: Marketing Environment Analysis</w:t>
      </w:r>
      <w:bookmarkEnd w:id="1"/>
    </w:p>
    <w:p w14:paraId="3E10B376" w14:textId="77777777" w:rsidR="006D6E37" w:rsidRPr="006D6E37" w:rsidRDefault="006D6E37" w:rsidP="006D6E37">
      <w:pPr>
        <w:pStyle w:val="Heading2"/>
        <w:rPr>
          <w:rFonts w:ascii="Arial" w:eastAsia="Times New Roman" w:hAnsi="Arial" w:cs="Arial"/>
          <w:sz w:val="24"/>
          <w:szCs w:val="24"/>
        </w:rPr>
      </w:pPr>
      <w:bookmarkStart w:id="2" w:name="_Toc235699514"/>
      <w:r w:rsidRPr="006D6E37">
        <w:rPr>
          <w:rFonts w:ascii="Arial" w:eastAsia="Times New Roman" w:hAnsi="Arial" w:cs="Arial"/>
          <w:sz w:val="24"/>
          <w:szCs w:val="24"/>
        </w:rPr>
        <w:t>1.1 Selection of a major mining corporation</w:t>
      </w:r>
      <w:bookmarkEnd w:id="2"/>
    </w:p>
    <w:p w14:paraId="21C19DF2" w14:textId="77777777" w:rsidR="006D6E37" w:rsidRPr="006D6E37" w:rsidRDefault="006D6E37" w:rsidP="006D6E37">
      <w:pPr>
        <w:rPr>
          <w:rFonts w:ascii="Arial" w:hAnsi="Arial" w:cs="Arial"/>
        </w:rPr>
      </w:pPr>
      <w:r w:rsidRPr="006D6E37">
        <w:rPr>
          <w:rFonts w:ascii="Arial" w:hAnsi="Arial" w:cs="Arial"/>
          <w:b/>
          <w:bCs/>
        </w:rPr>
        <w:t>Broken Hill Proprietary (BHP)</w:t>
      </w:r>
      <w:r w:rsidRPr="006D6E37">
        <w:rPr>
          <w:rFonts w:ascii="Arial" w:hAnsi="Arial" w:cs="Arial"/>
        </w:rPr>
        <w:t xml:space="preserve"> can be considered an Australia-based multinational mining enterprise established in 1851 for generating quality raw materials for global industries. Presently. BHP has almost 90,000 employees operating in diverse locations around the globe for extracting quality natural minerals without compromising the surrounding environmental elements (BHP, 2026). In the financial year of 2024, BHP also generated almost 49.2 billion US dollars of economic contributions through mining operations across Australia and other continents (BHP, 2026). On the other hand, the corporate leadership of BHP have also implemented adequate net-zero operations since 2020, allowing the mining firm to lower GHG production by almost 32% in daily operations (BHP, 2026). Therefore, the selection of BHP has been a viable option here for signifying the current mining ecosystem of Australia being affected by both environmental and legal pressures for lowering </w:t>
      </w:r>
      <w:proofErr w:type="spellStart"/>
      <w:r w:rsidRPr="006D6E37">
        <w:rPr>
          <w:rFonts w:ascii="Arial" w:hAnsi="Arial" w:cs="Arial"/>
        </w:rPr>
        <w:t>organisational</w:t>
      </w:r>
      <w:proofErr w:type="spellEnd"/>
      <w:r w:rsidRPr="006D6E37">
        <w:rPr>
          <w:rFonts w:ascii="Arial" w:hAnsi="Arial" w:cs="Arial"/>
        </w:rPr>
        <w:t xml:space="preserve"> carbon footprint. </w:t>
      </w:r>
    </w:p>
    <w:p w14:paraId="1BD50BDB"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114300" distB="114300" distL="114300" distR="114300" wp14:anchorId="19A414EB" wp14:editId="46C32807">
            <wp:extent cx="5469467" cy="248073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79811" cy="2485425"/>
                    </a:xfrm>
                    <a:prstGeom prst="rect">
                      <a:avLst/>
                    </a:prstGeom>
                    <a:ln/>
                  </pic:spPr>
                </pic:pic>
              </a:graphicData>
            </a:graphic>
          </wp:inline>
        </w:drawing>
      </w:r>
    </w:p>
    <w:p w14:paraId="57349A36" w14:textId="77777777" w:rsidR="006D6E37" w:rsidRPr="006D6E37" w:rsidRDefault="006D6E37" w:rsidP="006D6E37">
      <w:pPr>
        <w:pStyle w:val="Heading4"/>
        <w:rPr>
          <w:rFonts w:ascii="Arial" w:hAnsi="Arial" w:cs="Arial"/>
        </w:rPr>
      </w:pPr>
      <w:bookmarkStart w:id="3" w:name="_Toc235707043"/>
      <w:r w:rsidRPr="006D6E37">
        <w:rPr>
          <w:rFonts w:ascii="Arial" w:hAnsi="Arial" w:cs="Arial"/>
        </w:rPr>
        <w:t>Figure 1: Overview of BHP and its mining operations</w:t>
      </w:r>
      <w:bookmarkEnd w:id="3"/>
    </w:p>
    <w:p w14:paraId="180CF8AA" w14:textId="77777777" w:rsidR="006D6E37" w:rsidRPr="006D6E37" w:rsidRDefault="006D6E37" w:rsidP="006D6E37">
      <w:pPr>
        <w:jc w:val="center"/>
        <w:rPr>
          <w:rFonts w:ascii="Arial" w:hAnsi="Arial" w:cs="Arial"/>
        </w:rPr>
      </w:pPr>
      <w:r w:rsidRPr="006D6E37">
        <w:rPr>
          <w:rFonts w:ascii="Arial" w:hAnsi="Arial" w:cs="Arial"/>
        </w:rPr>
        <w:t>(Source: BHP, 2026)</w:t>
      </w:r>
    </w:p>
    <w:p w14:paraId="44AC4C94" w14:textId="77777777" w:rsidR="006D6E37" w:rsidRPr="006D6E37" w:rsidRDefault="006D6E37" w:rsidP="006D6E37">
      <w:pPr>
        <w:pStyle w:val="Heading2"/>
        <w:rPr>
          <w:rFonts w:ascii="Arial" w:eastAsia="Times New Roman" w:hAnsi="Arial" w:cs="Arial"/>
          <w:sz w:val="24"/>
          <w:szCs w:val="24"/>
        </w:rPr>
      </w:pPr>
      <w:bookmarkStart w:id="4" w:name="_Toc235699515"/>
      <w:r w:rsidRPr="006D6E37">
        <w:rPr>
          <w:rFonts w:ascii="Arial" w:eastAsia="Times New Roman" w:hAnsi="Arial" w:cs="Arial"/>
          <w:sz w:val="24"/>
          <w:szCs w:val="24"/>
        </w:rPr>
        <w:t>1.2 Critical Evaluation of two external marketing environment factors</w:t>
      </w:r>
      <w:bookmarkEnd w:id="4"/>
    </w:p>
    <w:p w14:paraId="210293CC" w14:textId="77777777" w:rsidR="006D6E37" w:rsidRPr="006D6E37" w:rsidRDefault="006D6E37" w:rsidP="006D6E37">
      <w:pPr>
        <w:rPr>
          <w:rFonts w:ascii="Arial" w:hAnsi="Arial" w:cs="Arial"/>
        </w:rPr>
      </w:pPr>
      <w:r w:rsidRPr="006D6E37">
        <w:rPr>
          <w:rFonts w:ascii="Arial" w:hAnsi="Arial" w:cs="Arial"/>
        </w:rPr>
        <w:t>Both natural environmental and legal elements currently present in the Australian marketplace have a direct influence towards the future mining operations of BHP in attracting new clients.</w:t>
      </w:r>
    </w:p>
    <w:p w14:paraId="7AECBE44" w14:textId="77777777" w:rsidR="006D6E37" w:rsidRPr="006D6E37" w:rsidRDefault="006D6E37" w:rsidP="006D6E37">
      <w:pPr>
        <w:jc w:val="center"/>
        <w:rPr>
          <w:rFonts w:ascii="Arial" w:hAnsi="Arial" w:cs="Arial"/>
          <w:b/>
          <w:bCs/>
        </w:rPr>
      </w:pPr>
      <w:r w:rsidRPr="006D6E37">
        <w:rPr>
          <w:rFonts w:ascii="Arial" w:hAnsi="Arial" w:cs="Arial"/>
          <w:b/>
          <w:bCs/>
          <w:noProof/>
        </w:rPr>
        <w:lastRenderedPageBreak/>
        <w:drawing>
          <wp:inline distT="0" distB="0" distL="0" distR="0" wp14:anchorId="47E37846" wp14:editId="7C89E633">
            <wp:extent cx="4937760" cy="3992880"/>
            <wp:effectExtent l="0" t="0" r="0" b="7620"/>
            <wp:docPr id="123466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63959" name=""/>
                    <pic:cNvPicPr/>
                  </pic:nvPicPr>
                  <pic:blipFill>
                    <a:blip r:embed="rId10"/>
                    <a:stretch>
                      <a:fillRect/>
                    </a:stretch>
                  </pic:blipFill>
                  <pic:spPr>
                    <a:xfrm>
                      <a:off x="0" y="0"/>
                      <a:ext cx="4938197" cy="3993233"/>
                    </a:xfrm>
                    <a:prstGeom prst="rect">
                      <a:avLst/>
                    </a:prstGeom>
                  </pic:spPr>
                </pic:pic>
              </a:graphicData>
            </a:graphic>
          </wp:inline>
        </w:drawing>
      </w:r>
    </w:p>
    <w:p w14:paraId="674C29A4" w14:textId="77777777" w:rsidR="006D6E37" w:rsidRPr="006D6E37" w:rsidRDefault="006D6E37" w:rsidP="006D6E37">
      <w:pPr>
        <w:pStyle w:val="Heading4"/>
        <w:rPr>
          <w:rFonts w:ascii="Arial" w:hAnsi="Arial" w:cs="Arial"/>
        </w:rPr>
      </w:pPr>
      <w:bookmarkStart w:id="5" w:name="_Toc235707044"/>
      <w:r w:rsidRPr="006D6E37">
        <w:rPr>
          <w:rFonts w:ascii="Arial" w:hAnsi="Arial" w:cs="Arial"/>
        </w:rPr>
        <w:t>Figure 2: PESTLE Table</w:t>
      </w:r>
      <w:bookmarkEnd w:id="5"/>
    </w:p>
    <w:p w14:paraId="6FE66AFE" w14:textId="77777777" w:rsidR="006D6E37" w:rsidRPr="006D6E37" w:rsidRDefault="006D6E37" w:rsidP="006D6E37">
      <w:pPr>
        <w:jc w:val="center"/>
        <w:rPr>
          <w:rFonts w:ascii="Arial" w:hAnsi="Arial" w:cs="Arial"/>
        </w:rPr>
      </w:pPr>
      <w:r w:rsidRPr="006D6E37">
        <w:rPr>
          <w:rFonts w:ascii="Arial" w:hAnsi="Arial" w:cs="Arial"/>
        </w:rPr>
        <w:t>(Source: Self-Created)</w:t>
      </w:r>
    </w:p>
    <w:p w14:paraId="75A37A1F" w14:textId="77777777" w:rsidR="006D6E37" w:rsidRPr="006D6E37" w:rsidRDefault="006D6E37" w:rsidP="006D6E37">
      <w:pPr>
        <w:rPr>
          <w:rFonts w:ascii="Arial" w:hAnsi="Arial" w:cs="Arial"/>
          <w:b/>
          <w:bCs/>
          <w:i/>
          <w:iCs/>
        </w:rPr>
      </w:pPr>
      <w:r w:rsidRPr="006D6E37">
        <w:rPr>
          <w:rFonts w:ascii="Arial" w:hAnsi="Arial" w:cs="Arial"/>
          <w:b/>
          <w:bCs/>
          <w:i/>
          <w:iCs/>
        </w:rPr>
        <w:t>Natural Environment Actor</w:t>
      </w:r>
    </w:p>
    <w:p w14:paraId="1B90EE2D" w14:textId="77777777" w:rsidR="006D6E37" w:rsidRPr="006D6E37" w:rsidRDefault="006D6E37" w:rsidP="006D6E37">
      <w:pPr>
        <w:rPr>
          <w:rFonts w:ascii="Arial" w:hAnsi="Arial" w:cs="Arial"/>
        </w:rPr>
      </w:pPr>
      <w:r w:rsidRPr="006D6E37">
        <w:rPr>
          <w:rFonts w:ascii="Arial" w:hAnsi="Arial" w:cs="Arial"/>
        </w:rPr>
        <w:t xml:space="preserve">The environmental elements from the PESTLE analysis have been </w:t>
      </w:r>
      <w:proofErr w:type="spellStart"/>
      <w:r w:rsidRPr="006D6E37">
        <w:rPr>
          <w:rFonts w:ascii="Arial" w:hAnsi="Arial" w:cs="Arial"/>
        </w:rPr>
        <w:t>utilised</w:t>
      </w:r>
      <w:proofErr w:type="spellEnd"/>
      <w:r w:rsidRPr="006D6E37">
        <w:rPr>
          <w:rFonts w:ascii="Arial" w:hAnsi="Arial" w:cs="Arial"/>
        </w:rPr>
        <w:t xml:space="preserve"> here that can help demonstrate the current GHG emissions for Australia. In the instance of natural environmental conditions, elements such as climate change, heightened need for sustainable resources and rapid environmental degradation because of pollution have transformed the mining operations. The continuous usage of fossil fuels has exacerbated climate change conditions throughout the Australian continent that can potentially result in 0.4 degrees to 2-degree temperature increase by 2030 (CSIRO, 2026). For example, global warming has also brought about extreme weather patterns in different parts of Australia, with a nearly 25% increase in wind gust strengths that can cause massive disadvantages in mining operations (CSIRO, 2026). The variability in temperature, precipitation and storms has negatively influenced the mining operations for major Australian brands such as BHP in maintaining sustainable profits. It can be </w:t>
      </w:r>
      <w:r w:rsidRPr="006D6E37">
        <w:rPr>
          <w:rFonts w:ascii="Arial" w:hAnsi="Arial" w:cs="Arial"/>
        </w:rPr>
        <w:lastRenderedPageBreak/>
        <w:t xml:space="preserve">mentioned that BHP officials ought to strengthen their sustainable and eco-friendly operations to positively contribute towards climate change concerns and mitigate the possibility of extreme weather. Therefore, global warming issues have a direct influence towards the natural environment of Australia and the rest of the world where BHP operates. </w:t>
      </w:r>
    </w:p>
    <w:p w14:paraId="220DF204" w14:textId="77777777" w:rsidR="006D6E37" w:rsidRPr="006D6E37" w:rsidRDefault="006D6E37" w:rsidP="006D6E37">
      <w:pPr>
        <w:jc w:val="center"/>
        <w:rPr>
          <w:rFonts w:ascii="Arial" w:hAnsi="Arial" w:cs="Arial"/>
        </w:rPr>
      </w:pPr>
      <w:r w:rsidRPr="006D6E37">
        <w:rPr>
          <w:rFonts w:ascii="Arial" w:hAnsi="Arial" w:cs="Arial"/>
          <w:noProof/>
        </w:rPr>
        <w:drawing>
          <wp:inline distT="114300" distB="114300" distL="114300" distR="114300" wp14:anchorId="51512B63" wp14:editId="31FA4E5B">
            <wp:extent cx="4067175" cy="3781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067175" cy="3781425"/>
                    </a:xfrm>
                    <a:prstGeom prst="rect">
                      <a:avLst/>
                    </a:prstGeom>
                    <a:ln/>
                  </pic:spPr>
                </pic:pic>
              </a:graphicData>
            </a:graphic>
          </wp:inline>
        </w:drawing>
      </w:r>
    </w:p>
    <w:p w14:paraId="0C0A49BD" w14:textId="77777777" w:rsidR="006D6E37" w:rsidRPr="006D6E37" w:rsidRDefault="006D6E37" w:rsidP="006D6E37">
      <w:pPr>
        <w:pStyle w:val="Heading4"/>
        <w:rPr>
          <w:rFonts w:ascii="Arial" w:hAnsi="Arial" w:cs="Arial"/>
        </w:rPr>
      </w:pPr>
      <w:bookmarkStart w:id="6" w:name="_Toc235707045"/>
      <w:r w:rsidRPr="006D6E37">
        <w:rPr>
          <w:rFonts w:ascii="Arial" w:hAnsi="Arial" w:cs="Arial"/>
        </w:rPr>
        <w:t>Figure 3: Extreme weather patterns experienced in Australia</w:t>
      </w:r>
      <w:bookmarkEnd w:id="6"/>
    </w:p>
    <w:p w14:paraId="01BB99AD" w14:textId="77777777" w:rsidR="006D6E37" w:rsidRPr="006D6E37" w:rsidRDefault="006D6E37" w:rsidP="006D6E37">
      <w:pPr>
        <w:jc w:val="center"/>
        <w:rPr>
          <w:rFonts w:ascii="Arial" w:hAnsi="Arial" w:cs="Arial"/>
        </w:rPr>
      </w:pPr>
      <w:r w:rsidRPr="006D6E37">
        <w:rPr>
          <w:rFonts w:ascii="Arial" w:hAnsi="Arial" w:cs="Arial"/>
        </w:rPr>
        <w:t>(Source: CSIRO, 2026)</w:t>
      </w:r>
    </w:p>
    <w:p w14:paraId="1503364D" w14:textId="77777777" w:rsidR="006D6E37" w:rsidRPr="006D6E37" w:rsidRDefault="006D6E37" w:rsidP="006D6E37">
      <w:pPr>
        <w:rPr>
          <w:rFonts w:ascii="Arial" w:hAnsi="Arial" w:cs="Arial"/>
        </w:rPr>
      </w:pPr>
      <w:r w:rsidRPr="006D6E37">
        <w:rPr>
          <w:rFonts w:ascii="Arial" w:hAnsi="Arial" w:cs="Arial"/>
        </w:rPr>
        <w:t xml:space="preserve">The heightened GHG emissions have also negatively influenced the natural environment of Australia due to continuous usage of fossil-based energy sources in daily industrial operations. For example, in the fiscal year of 2023, Australia and its subsequent industries have contributed almost 1% to the global carbon emissions rate (IEA, 2026). Between 2000 and 2023, the carbon emission level in the Australian markets has increased by almost 6% every year, which contributes towards heightened reliance on fossil fuel sources (IEA, 2026). Apart from that, nearly 355.415 metric </w:t>
      </w:r>
      <w:proofErr w:type="spellStart"/>
      <w:r w:rsidRPr="006D6E37">
        <w:rPr>
          <w:rFonts w:ascii="Arial" w:hAnsi="Arial" w:cs="Arial"/>
        </w:rPr>
        <w:t>tonnes</w:t>
      </w:r>
      <w:proofErr w:type="spellEnd"/>
      <w:r w:rsidRPr="006D6E37">
        <w:rPr>
          <w:rFonts w:ascii="Arial" w:hAnsi="Arial" w:cs="Arial"/>
        </w:rPr>
        <w:t xml:space="preserve"> of carbon emissions have been generated in Australia, which have adversely affected the local environmental elements and gradually elevated pollution levels (IEA, </w:t>
      </w:r>
      <w:r w:rsidRPr="006D6E37">
        <w:rPr>
          <w:rFonts w:ascii="Arial" w:hAnsi="Arial" w:cs="Arial"/>
        </w:rPr>
        <w:lastRenderedPageBreak/>
        <w:t xml:space="preserve">2026). Therefore, the current administrative body of mining corporations such as BHP needs to increase investment towards sustainable energy sources such as solar and wind power to lower GHG production from the Australian continent. </w:t>
      </w:r>
    </w:p>
    <w:p w14:paraId="3746E125" w14:textId="77777777" w:rsidR="006D6E37" w:rsidRPr="006D6E37" w:rsidRDefault="006D6E37" w:rsidP="006D6E37">
      <w:pPr>
        <w:jc w:val="center"/>
        <w:rPr>
          <w:rFonts w:ascii="Arial" w:hAnsi="Arial" w:cs="Arial"/>
        </w:rPr>
      </w:pPr>
      <w:r w:rsidRPr="006D6E37">
        <w:rPr>
          <w:rFonts w:ascii="Arial" w:hAnsi="Arial" w:cs="Arial"/>
          <w:noProof/>
        </w:rPr>
        <w:drawing>
          <wp:inline distT="114300" distB="114300" distL="114300" distR="114300" wp14:anchorId="6A9CC748" wp14:editId="1B960746">
            <wp:extent cx="5475514" cy="217714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480703" cy="2179206"/>
                    </a:xfrm>
                    <a:prstGeom prst="rect">
                      <a:avLst/>
                    </a:prstGeom>
                    <a:ln/>
                  </pic:spPr>
                </pic:pic>
              </a:graphicData>
            </a:graphic>
          </wp:inline>
        </w:drawing>
      </w:r>
    </w:p>
    <w:p w14:paraId="353829A0" w14:textId="77777777" w:rsidR="006D6E37" w:rsidRPr="006D6E37" w:rsidRDefault="006D6E37" w:rsidP="006D6E37">
      <w:pPr>
        <w:pStyle w:val="Heading4"/>
        <w:rPr>
          <w:rFonts w:ascii="Arial" w:hAnsi="Arial" w:cs="Arial"/>
        </w:rPr>
      </w:pPr>
      <w:bookmarkStart w:id="7" w:name="_Toc235707046"/>
      <w:r w:rsidRPr="006D6E37">
        <w:rPr>
          <w:rFonts w:ascii="Arial" w:hAnsi="Arial" w:cs="Arial"/>
        </w:rPr>
        <w:t>Figure 4: Carbon emission level of Australia for the last 2 decades</w:t>
      </w:r>
      <w:bookmarkEnd w:id="7"/>
    </w:p>
    <w:p w14:paraId="46A1A927" w14:textId="77777777" w:rsidR="006D6E37" w:rsidRPr="006D6E37" w:rsidRDefault="006D6E37" w:rsidP="006D6E37">
      <w:pPr>
        <w:jc w:val="center"/>
        <w:rPr>
          <w:rFonts w:ascii="Arial" w:hAnsi="Arial" w:cs="Arial"/>
        </w:rPr>
      </w:pPr>
      <w:r w:rsidRPr="006D6E37">
        <w:rPr>
          <w:rFonts w:ascii="Arial" w:hAnsi="Arial" w:cs="Arial"/>
        </w:rPr>
        <w:t>(Source: IEA, 2026)</w:t>
      </w:r>
    </w:p>
    <w:p w14:paraId="42E328B1" w14:textId="77777777" w:rsidR="006D6E37" w:rsidRPr="006D6E37" w:rsidRDefault="006D6E37" w:rsidP="006D6E37">
      <w:pPr>
        <w:rPr>
          <w:rFonts w:ascii="Arial" w:hAnsi="Arial" w:cs="Arial"/>
        </w:rPr>
      </w:pPr>
      <w:r w:rsidRPr="006D6E37">
        <w:rPr>
          <w:rFonts w:ascii="Arial" w:hAnsi="Arial" w:cs="Arial"/>
        </w:rPr>
        <w:t xml:space="preserve">The BHP leadership have also undertaken multiple </w:t>
      </w:r>
      <w:proofErr w:type="spellStart"/>
      <w:r w:rsidRPr="006D6E37">
        <w:rPr>
          <w:rFonts w:ascii="Arial" w:hAnsi="Arial" w:cs="Arial"/>
        </w:rPr>
        <w:t>decarbonisation</w:t>
      </w:r>
      <w:proofErr w:type="spellEnd"/>
      <w:r w:rsidRPr="006D6E37">
        <w:rPr>
          <w:rFonts w:ascii="Arial" w:hAnsi="Arial" w:cs="Arial"/>
        </w:rPr>
        <w:t xml:space="preserve"> efforts to address the degrading environmental conditions of Australia to mitigate climate change and GHG emission levels. For instance, the creation of innovative steel production technology has proven to be useful for the BHP administration towards gradually lowering GHG emissions by almost 30% produced during the blast furnace usage (BHP, 2026). The development of BHP's 2030 plan also </w:t>
      </w:r>
      <w:proofErr w:type="spellStart"/>
      <w:r w:rsidRPr="006D6E37">
        <w:rPr>
          <w:rFonts w:ascii="Arial" w:hAnsi="Arial" w:cs="Arial"/>
        </w:rPr>
        <w:t>utilises</w:t>
      </w:r>
      <w:proofErr w:type="spellEnd"/>
      <w:r w:rsidRPr="006D6E37">
        <w:rPr>
          <w:rFonts w:ascii="Arial" w:hAnsi="Arial" w:cs="Arial"/>
        </w:rPr>
        <w:t xml:space="preserve"> the Biological Diversity conventions, UN SDGs and Paris Agreement for adopting an eco-friendly </w:t>
      </w:r>
      <w:proofErr w:type="spellStart"/>
      <w:r w:rsidRPr="006D6E37">
        <w:rPr>
          <w:rFonts w:ascii="Arial" w:hAnsi="Arial" w:cs="Arial"/>
        </w:rPr>
        <w:t>organisational</w:t>
      </w:r>
      <w:proofErr w:type="spellEnd"/>
      <w:r w:rsidRPr="006D6E37">
        <w:rPr>
          <w:rFonts w:ascii="Arial" w:hAnsi="Arial" w:cs="Arial"/>
        </w:rPr>
        <w:t xml:space="preserve"> culture in the near future (BHP, 2026). Hence, the use of innovative steel processing technology and global environmental policies has helped improve the brand value for BHP among Australian clients. </w:t>
      </w:r>
    </w:p>
    <w:tbl>
      <w:tblPr>
        <w:tblStyle w:val="TableGrid"/>
        <w:tblW w:w="0" w:type="auto"/>
        <w:tblLook w:val="04A0" w:firstRow="1" w:lastRow="0" w:firstColumn="1" w:lastColumn="0" w:noHBand="0" w:noVBand="1"/>
      </w:tblPr>
      <w:tblGrid>
        <w:gridCol w:w="2881"/>
        <w:gridCol w:w="6695"/>
      </w:tblGrid>
      <w:tr w:rsidR="006D6E37" w:rsidRPr="006D6E37" w14:paraId="27962E7E" w14:textId="77777777" w:rsidTr="00F60221">
        <w:tc>
          <w:tcPr>
            <w:tcW w:w="0" w:type="auto"/>
            <w:hideMark/>
          </w:tcPr>
          <w:p w14:paraId="1F9CDAE1"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Natural Environment Factor</w:t>
            </w:r>
          </w:p>
        </w:tc>
        <w:tc>
          <w:tcPr>
            <w:tcW w:w="0" w:type="auto"/>
            <w:hideMark/>
          </w:tcPr>
          <w:p w14:paraId="5F85B5A4"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Key Highlights</w:t>
            </w:r>
          </w:p>
        </w:tc>
      </w:tr>
      <w:tr w:rsidR="006D6E37" w:rsidRPr="006D6E37" w14:paraId="701E187F" w14:textId="77777777" w:rsidTr="00F60221">
        <w:tc>
          <w:tcPr>
            <w:tcW w:w="0" w:type="auto"/>
            <w:hideMark/>
          </w:tcPr>
          <w:p w14:paraId="4782706A" w14:textId="77777777" w:rsidR="006D6E37" w:rsidRPr="006D6E37" w:rsidRDefault="006D6E37" w:rsidP="00F60221">
            <w:pPr>
              <w:rPr>
                <w:rFonts w:ascii="Arial" w:hAnsi="Arial" w:cs="Arial"/>
                <w:sz w:val="24"/>
                <w:szCs w:val="24"/>
              </w:rPr>
            </w:pPr>
            <w:r w:rsidRPr="006D6E37">
              <w:rPr>
                <w:rFonts w:ascii="Arial" w:hAnsi="Arial" w:cs="Arial"/>
                <w:b/>
                <w:bCs/>
                <w:sz w:val="24"/>
                <w:szCs w:val="24"/>
              </w:rPr>
              <w:t>Climate Change</w:t>
            </w:r>
          </w:p>
        </w:tc>
        <w:tc>
          <w:tcPr>
            <w:tcW w:w="0" w:type="auto"/>
            <w:hideMark/>
          </w:tcPr>
          <w:p w14:paraId="721F67C6" w14:textId="77777777" w:rsidR="006D6E37" w:rsidRPr="006D6E37" w:rsidRDefault="006D6E37" w:rsidP="006D6E37">
            <w:pPr>
              <w:pStyle w:val="ListParagraph"/>
              <w:numPr>
                <w:ilvl w:val="0"/>
                <w:numId w:val="4"/>
              </w:numPr>
              <w:jc w:val="both"/>
              <w:rPr>
                <w:rFonts w:ascii="Arial" w:hAnsi="Arial" w:cs="Arial"/>
                <w:sz w:val="24"/>
                <w:szCs w:val="24"/>
              </w:rPr>
            </w:pPr>
            <w:r w:rsidRPr="006D6E37">
              <w:rPr>
                <w:rFonts w:ascii="Arial" w:hAnsi="Arial" w:cs="Arial"/>
                <w:sz w:val="24"/>
                <w:szCs w:val="24"/>
              </w:rPr>
              <w:t>Rising temperatures (0.4–2°C by 2030)</w:t>
            </w:r>
          </w:p>
          <w:p w14:paraId="39DD0BE5" w14:textId="77777777" w:rsidR="006D6E37" w:rsidRPr="006D6E37" w:rsidRDefault="006D6E37" w:rsidP="006D6E37">
            <w:pPr>
              <w:pStyle w:val="ListParagraph"/>
              <w:numPr>
                <w:ilvl w:val="0"/>
                <w:numId w:val="4"/>
              </w:numPr>
              <w:jc w:val="both"/>
              <w:rPr>
                <w:rFonts w:ascii="Arial" w:hAnsi="Arial" w:cs="Arial"/>
                <w:sz w:val="24"/>
                <w:szCs w:val="24"/>
              </w:rPr>
            </w:pPr>
            <w:r w:rsidRPr="006D6E37">
              <w:rPr>
                <w:rFonts w:ascii="Arial" w:hAnsi="Arial" w:cs="Arial"/>
                <w:sz w:val="24"/>
                <w:szCs w:val="24"/>
              </w:rPr>
              <w:t>25% stronger wind gusts disrupt mining operations.</w:t>
            </w:r>
          </w:p>
        </w:tc>
      </w:tr>
      <w:tr w:rsidR="006D6E37" w:rsidRPr="006D6E37" w14:paraId="41D8FAE2" w14:textId="77777777" w:rsidTr="00F60221">
        <w:tc>
          <w:tcPr>
            <w:tcW w:w="0" w:type="auto"/>
            <w:hideMark/>
          </w:tcPr>
          <w:p w14:paraId="4D9EA4D7" w14:textId="77777777" w:rsidR="006D6E37" w:rsidRPr="006D6E37" w:rsidRDefault="006D6E37" w:rsidP="00F60221">
            <w:pPr>
              <w:rPr>
                <w:rFonts w:ascii="Arial" w:hAnsi="Arial" w:cs="Arial"/>
                <w:sz w:val="24"/>
                <w:szCs w:val="24"/>
              </w:rPr>
            </w:pPr>
            <w:r w:rsidRPr="006D6E37">
              <w:rPr>
                <w:rFonts w:ascii="Arial" w:hAnsi="Arial" w:cs="Arial"/>
                <w:b/>
                <w:bCs/>
                <w:sz w:val="24"/>
                <w:szCs w:val="24"/>
              </w:rPr>
              <w:t>Carbon Emissions</w:t>
            </w:r>
          </w:p>
        </w:tc>
        <w:tc>
          <w:tcPr>
            <w:tcW w:w="0" w:type="auto"/>
            <w:hideMark/>
          </w:tcPr>
          <w:p w14:paraId="5A26AABD" w14:textId="77777777" w:rsidR="006D6E37" w:rsidRPr="006D6E37" w:rsidRDefault="006D6E37" w:rsidP="006D6E37">
            <w:pPr>
              <w:pStyle w:val="ListParagraph"/>
              <w:numPr>
                <w:ilvl w:val="0"/>
                <w:numId w:val="3"/>
              </w:numPr>
              <w:jc w:val="both"/>
              <w:rPr>
                <w:rFonts w:ascii="Arial" w:hAnsi="Arial" w:cs="Arial"/>
                <w:sz w:val="24"/>
                <w:szCs w:val="24"/>
              </w:rPr>
            </w:pPr>
            <w:r w:rsidRPr="006D6E37">
              <w:rPr>
                <w:rFonts w:ascii="Arial" w:hAnsi="Arial" w:cs="Arial"/>
                <w:sz w:val="24"/>
                <w:szCs w:val="24"/>
              </w:rPr>
              <w:t>Australia emitted 355.4 Mt CO</w:t>
            </w:r>
            <w:r w:rsidRPr="006D6E37">
              <w:rPr>
                <w:rFonts w:ascii="Cambria Math" w:hAnsi="Cambria Math" w:cs="Cambria Math"/>
                <w:sz w:val="24"/>
                <w:szCs w:val="24"/>
              </w:rPr>
              <w:t>₂</w:t>
            </w:r>
            <w:r w:rsidRPr="006D6E37">
              <w:rPr>
                <w:rFonts w:ascii="Arial" w:hAnsi="Arial" w:cs="Arial"/>
                <w:sz w:val="24"/>
                <w:szCs w:val="24"/>
              </w:rPr>
              <w:t xml:space="preserve"> in 2023.</w:t>
            </w:r>
          </w:p>
          <w:p w14:paraId="1870FE50" w14:textId="77777777" w:rsidR="006D6E37" w:rsidRPr="006D6E37" w:rsidRDefault="006D6E37" w:rsidP="006D6E37">
            <w:pPr>
              <w:pStyle w:val="ListParagraph"/>
              <w:numPr>
                <w:ilvl w:val="0"/>
                <w:numId w:val="3"/>
              </w:numPr>
              <w:jc w:val="both"/>
              <w:rPr>
                <w:rFonts w:ascii="Arial" w:hAnsi="Arial" w:cs="Arial"/>
                <w:sz w:val="24"/>
                <w:szCs w:val="24"/>
              </w:rPr>
            </w:pPr>
            <w:r w:rsidRPr="006D6E37">
              <w:rPr>
                <w:rFonts w:ascii="Arial" w:hAnsi="Arial" w:cs="Arial"/>
                <w:sz w:val="24"/>
                <w:szCs w:val="24"/>
              </w:rPr>
              <w:t>Increasing pressure for cleaner energy.</w:t>
            </w:r>
          </w:p>
        </w:tc>
      </w:tr>
      <w:tr w:rsidR="006D6E37" w:rsidRPr="006D6E37" w14:paraId="2B3CB356" w14:textId="77777777" w:rsidTr="00F60221">
        <w:tc>
          <w:tcPr>
            <w:tcW w:w="0" w:type="auto"/>
            <w:hideMark/>
          </w:tcPr>
          <w:p w14:paraId="3C1D964E" w14:textId="77777777" w:rsidR="006D6E37" w:rsidRPr="006D6E37" w:rsidRDefault="006D6E37" w:rsidP="00F60221">
            <w:pPr>
              <w:rPr>
                <w:rFonts w:ascii="Arial" w:hAnsi="Arial" w:cs="Arial"/>
                <w:sz w:val="24"/>
                <w:szCs w:val="24"/>
              </w:rPr>
            </w:pPr>
            <w:r w:rsidRPr="006D6E37">
              <w:rPr>
                <w:rFonts w:ascii="Arial" w:hAnsi="Arial" w:cs="Arial"/>
                <w:b/>
                <w:bCs/>
                <w:sz w:val="24"/>
                <w:szCs w:val="24"/>
              </w:rPr>
              <w:t>BHP Response</w:t>
            </w:r>
          </w:p>
        </w:tc>
        <w:tc>
          <w:tcPr>
            <w:tcW w:w="0" w:type="auto"/>
            <w:hideMark/>
          </w:tcPr>
          <w:p w14:paraId="561BFEE2" w14:textId="77777777" w:rsidR="006D6E37" w:rsidRPr="006D6E37" w:rsidRDefault="006D6E37" w:rsidP="006D6E37">
            <w:pPr>
              <w:pStyle w:val="ListParagraph"/>
              <w:numPr>
                <w:ilvl w:val="0"/>
                <w:numId w:val="2"/>
              </w:numPr>
              <w:jc w:val="both"/>
              <w:rPr>
                <w:rFonts w:ascii="Arial" w:hAnsi="Arial" w:cs="Arial"/>
                <w:sz w:val="24"/>
                <w:szCs w:val="24"/>
              </w:rPr>
            </w:pPr>
            <w:r w:rsidRPr="006D6E37">
              <w:rPr>
                <w:rFonts w:ascii="Arial" w:hAnsi="Arial" w:cs="Arial"/>
                <w:sz w:val="24"/>
                <w:szCs w:val="24"/>
              </w:rPr>
              <w:t>Reduced blast furnace emissions by 30%</w:t>
            </w:r>
          </w:p>
          <w:p w14:paraId="0B0E080F" w14:textId="77777777" w:rsidR="006D6E37" w:rsidRPr="006D6E37" w:rsidRDefault="006D6E37" w:rsidP="006D6E37">
            <w:pPr>
              <w:pStyle w:val="ListParagraph"/>
              <w:numPr>
                <w:ilvl w:val="0"/>
                <w:numId w:val="2"/>
              </w:numPr>
              <w:jc w:val="both"/>
              <w:rPr>
                <w:rFonts w:ascii="Arial" w:hAnsi="Arial" w:cs="Arial"/>
                <w:sz w:val="24"/>
                <w:szCs w:val="24"/>
              </w:rPr>
            </w:pPr>
            <w:r w:rsidRPr="006D6E37">
              <w:rPr>
                <w:rFonts w:ascii="Arial" w:hAnsi="Arial" w:cs="Arial"/>
                <w:sz w:val="24"/>
                <w:szCs w:val="24"/>
              </w:rPr>
              <w:t>Aligned 2030 strategy with UN SDGs</w:t>
            </w:r>
          </w:p>
          <w:p w14:paraId="3457E6C4" w14:textId="77777777" w:rsidR="006D6E37" w:rsidRPr="006D6E37" w:rsidRDefault="006D6E37" w:rsidP="006D6E37">
            <w:pPr>
              <w:pStyle w:val="ListParagraph"/>
              <w:numPr>
                <w:ilvl w:val="0"/>
                <w:numId w:val="2"/>
              </w:numPr>
              <w:jc w:val="both"/>
              <w:rPr>
                <w:rFonts w:ascii="Arial" w:hAnsi="Arial" w:cs="Arial"/>
                <w:sz w:val="24"/>
                <w:szCs w:val="24"/>
              </w:rPr>
            </w:pPr>
            <w:r w:rsidRPr="006D6E37">
              <w:rPr>
                <w:rFonts w:ascii="Arial" w:hAnsi="Arial" w:cs="Arial"/>
                <w:sz w:val="24"/>
                <w:szCs w:val="24"/>
              </w:rPr>
              <w:t>Paris Agreement, and biodiversity goals to strengthen sustainability.</w:t>
            </w:r>
          </w:p>
        </w:tc>
      </w:tr>
    </w:tbl>
    <w:p w14:paraId="52B8C4AE" w14:textId="77777777" w:rsidR="006D6E37" w:rsidRPr="006D6E37" w:rsidRDefault="006D6E37" w:rsidP="006D6E37">
      <w:pPr>
        <w:pStyle w:val="Heading5"/>
        <w:rPr>
          <w:rFonts w:ascii="Arial" w:hAnsi="Arial" w:cs="Arial"/>
        </w:rPr>
      </w:pPr>
      <w:bookmarkStart w:id="8" w:name="_Toc235546870"/>
      <w:r w:rsidRPr="006D6E37">
        <w:rPr>
          <w:rFonts w:ascii="Arial" w:hAnsi="Arial" w:cs="Arial"/>
        </w:rPr>
        <w:lastRenderedPageBreak/>
        <w:t>Table 1: Key Highlights of Natural Environment</w:t>
      </w:r>
      <w:bookmarkEnd w:id="8"/>
    </w:p>
    <w:p w14:paraId="155E2A45" w14:textId="77777777" w:rsidR="006D6E37" w:rsidRPr="006D6E37" w:rsidRDefault="006D6E37" w:rsidP="006D6E37">
      <w:pPr>
        <w:jc w:val="center"/>
        <w:rPr>
          <w:rFonts w:ascii="Arial" w:hAnsi="Arial" w:cs="Arial"/>
        </w:rPr>
      </w:pPr>
      <w:r w:rsidRPr="006D6E37">
        <w:rPr>
          <w:rFonts w:ascii="Arial" w:hAnsi="Arial" w:cs="Arial"/>
        </w:rPr>
        <w:t>(Source: Self-Created)</w:t>
      </w:r>
    </w:p>
    <w:p w14:paraId="5888517C" w14:textId="77777777" w:rsidR="006D6E37" w:rsidRPr="006D6E37" w:rsidRDefault="006D6E37" w:rsidP="006D6E37">
      <w:pPr>
        <w:rPr>
          <w:rFonts w:ascii="Arial" w:hAnsi="Arial" w:cs="Arial"/>
          <w:b/>
          <w:bCs/>
          <w:i/>
          <w:iCs/>
        </w:rPr>
      </w:pPr>
      <w:r w:rsidRPr="006D6E37">
        <w:rPr>
          <w:rFonts w:ascii="Arial" w:hAnsi="Arial" w:cs="Arial"/>
          <w:b/>
          <w:bCs/>
          <w:i/>
          <w:iCs/>
        </w:rPr>
        <w:t>Legal Actors</w:t>
      </w:r>
    </w:p>
    <w:p w14:paraId="00AAF9A3" w14:textId="77777777" w:rsidR="006D6E37" w:rsidRPr="006D6E37" w:rsidRDefault="006D6E37" w:rsidP="006D6E37">
      <w:pPr>
        <w:rPr>
          <w:rFonts w:ascii="Arial" w:hAnsi="Arial" w:cs="Arial"/>
        </w:rPr>
      </w:pPr>
      <w:r w:rsidRPr="006D6E37">
        <w:rPr>
          <w:rFonts w:ascii="Arial" w:hAnsi="Arial" w:cs="Arial"/>
        </w:rPr>
        <w:t xml:space="preserve">The legal elements from the PESTLE analysis have been </w:t>
      </w:r>
      <w:proofErr w:type="spellStart"/>
      <w:r w:rsidRPr="006D6E37">
        <w:rPr>
          <w:rFonts w:ascii="Arial" w:hAnsi="Arial" w:cs="Arial"/>
        </w:rPr>
        <w:t>utilised</w:t>
      </w:r>
      <w:proofErr w:type="spellEnd"/>
      <w:r w:rsidRPr="006D6E37">
        <w:rPr>
          <w:rFonts w:ascii="Arial" w:hAnsi="Arial" w:cs="Arial"/>
        </w:rPr>
        <w:t xml:space="preserve"> here to show the current carbon policies implemented by the Australian government. For Instance, the Climate Change Act is a legislative policy of the Australian government to diminish national carbon emissions levels by 2050, which can prove to be a major advantage towards lowering fossil fuel-based systems. The Australian government has also set an initial plan for achieving a 47% reduction in GHG emissions levels by 2030 to address the environmental degradation caused since 2005 (GOV AU, 2024). On the other hand, in the 2023-24 national budget, the local government has invested almost 4.6 billion dollars of revenue towards addressing climate change-related problems (GOV AU, 2024). Therefore, the delivery of financial capital towards climate action and subsequent legislation created by Australia can provide adequate guidance towards GHP officials towards transforming </w:t>
      </w:r>
      <w:proofErr w:type="spellStart"/>
      <w:r w:rsidRPr="006D6E37">
        <w:rPr>
          <w:rFonts w:ascii="Arial" w:hAnsi="Arial" w:cs="Arial"/>
        </w:rPr>
        <w:t>organisational</w:t>
      </w:r>
      <w:proofErr w:type="spellEnd"/>
      <w:r w:rsidRPr="006D6E37">
        <w:rPr>
          <w:rFonts w:ascii="Arial" w:hAnsi="Arial" w:cs="Arial"/>
        </w:rPr>
        <w:t xml:space="preserve"> mining operations. </w:t>
      </w:r>
    </w:p>
    <w:tbl>
      <w:tblPr>
        <w:tblStyle w:val="TableGrid"/>
        <w:tblW w:w="0" w:type="auto"/>
        <w:tblLook w:val="04A0" w:firstRow="1" w:lastRow="0" w:firstColumn="1" w:lastColumn="0" w:noHBand="0" w:noVBand="1"/>
      </w:tblPr>
      <w:tblGrid>
        <w:gridCol w:w="2385"/>
        <w:gridCol w:w="7191"/>
      </w:tblGrid>
      <w:tr w:rsidR="006D6E37" w:rsidRPr="006D6E37" w14:paraId="52BE4AFF" w14:textId="77777777" w:rsidTr="00F60221">
        <w:tc>
          <w:tcPr>
            <w:tcW w:w="0" w:type="auto"/>
            <w:hideMark/>
          </w:tcPr>
          <w:p w14:paraId="3A3791CC"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Legal Factor</w:t>
            </w:r>
          </w:p>
        </w:tc>
        <w:tc>
          <w:tcPr>
            <w:tcW w:w="0" w:type="auto"/>
            <w:hideMark/>
          </w:tcPr>
          <w:p w14:paraId="00E0FFB4"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Key Highlights</w:t>
            </w:r>
          </w:p>
        </w:tc>
      </w:tr>
      <w:tr w:rsidR="006D6E37" w:rsidRPr="006D6E37" w14:paraId="099BA9F9" w14:textId="77777777" w:rsidTr="00F60221">
        <w:tc>
          <w:tcPr>
            <w:tcW w:w="0" w:type="auto"/>
            <w:hideMark/>
          </w:tcPr>
          <w:p w14:paraId="694FF1BA" w14:textId="77777777" w:rsidR="006D6E37" w:rsidRPr="006D6E37" w:rsidRDefault="006D6E37" w:rsidP="00F60221">
            <w:pPr>
              <w:rPr>
                <w:rFonts w:ascii="Arial" w:hAnsi="Arial" w:cs="Arial"/>
                <w:sz w:val="24"/>
                <w:szCs w:val="24"/>
              </w:rPr>
            </w:pPr>
            <w:r w:rsidRPr="006D6E37">
              <w:rPr>
                <w:rFonts w:ascii="Arial" w:hAnsi="Arial" w:cs="Arial"/>
                <w:b/>
                <w:bCs/>
                <w:sz w:val="24"/>
                <w:szCs w:val="24"/>
              </w:rPr>
              <w:t>Climate Change Act</w:t>
            </w:r>
          </w:p>
        </w:tc>
        <w:tc>
          <w:tcPr>
            <w:tcW w:w="0" w:type="auto"/>
            <w:hideMark/>
          </w:tcPr>
          <w:p w14:paraId="3AF950C0" w14:textId="77777777" w:rsidR="006D6E37" w:rsidRPr="006D6E37" w:rsidRDefault="006D6E37" w:rsidP="00F60221">
            <w:pPr>
              <w:rPr>
                <w:rFonts w:ascii="Arial" w:hAnsi="Arial" w:cs="Arial"/>
                <w:sz w:val="24"/>
                <w:szCs w:val="24"/>
              </w:rPr>
            </w:pPr>
            <w:r w:rsidRPr="006D6E37">
              <w:rPr>
                <w:rFonts w:ascii="Arial" w:hAnsi="Arial" w:cs="Arial"/>
                <w:sz w:val="24"/>
                <w:szCs w:val="24"/>
              </w:rPr>
              <w:t>Targets 47% GHG reduction by 2030 and net-zero emissions by 2050, supported by AU$4.6bn climate investment.</w:t>
            </w:r>
          </w:p>
        </w:tc>
      </w:tr>
      <w:tr w:rsidR="006D6E37" w:rsidRPr="006D6E37" w14:paraId="7D7F2257" w14:textId="77777777" w:rsidTr="00F60221">
        <w:tc>
          <w:tcPr>
            <w:tcW w:w="0" w:type="auto"/>
            <w:hideMark/>
          </w:tcPr>
          <w:p w14:paraId="33D46F3A" w14:textId="77777777" w:rsidR="006D6E37" w:rsidRPr="006D6E37" w:rsidRDefault="006D6E37" w:rsidP="00F60221">
            <w:pPr>
              <w:rPr>
                <w:rFonts w:ascii="Arial" w:hAnsi="Arial" w:cs="Arial"/>
                <w:sz w:val="24"/>
                <w:szCs w:val="24"/>
              </w:rPr>
            </w:pPr>
            <w:r w:rsidRPr="006D6E37">
              <w:rPr>
                <w:rFonts w:ascii="Arial" w:hAnsi="Arial" w:cs="Arial"/>
                <w:b/>
                <w:bCs/>
                <w:sz w:val="24"/>
                <w:szCs w:val="24"/>
              </w:rPr>
              <w:t>Paris Agreement Commitment</w:t>
            </w:r>
          </w:p>
        </w:tc>
        <w:tc>
          <w:tcPr>
            <w:tcW w:w="0" w:type="auto"/>
            <w:hideMark/>
          </w:tcPr>
          <w:p w14:paraId="77BBDFA1" w14:textId="77777777" w:rsidR="006D6E37" w:rsidRPr="006D6E37" w:rsidRDefault="006D6E37" w:rsidP="00F60221">
            <w:pPr>
              <w:rPr>
                <w:rFonts w:ascii="Arial" w:hAnsi="Arial" w:cs="Arial"/>
                <w:sz w:val="24"/>
                <w:szCs w:val="24"/>
              </w:rPr>
            </w:pPr>
            <w:r w:rsidRPr="006D6E37">
              <w:rPr>
                <w:rFonts w:ascii="Arial" w:hAnsi="Arial" w:cs="Arial"/>
                <w:sz w:val="24"/>
                <w:szCs w:val="24"/>
              </w:rPr>
              <w:t>Australia is expanding renewable mineral production with 50 lithium, 17 cobalt, and 60 nickel mines, creating opportunities for BHP’s sustainable mining strategy.</w:t>
            </w:r>
          </w:p>
        </w:tc>
      </w:tr>
    </w:tbl>
    <w:p w14:paraId="11555161" w14:textId="77777777" w:rsidR="006D6E37" w:rsidRPr="006D6E37" w:rsidRDefault="006D6E37" w:rsidP="006D6E37">
      <w:pPr>
        <w:pStyle w:val="Heading5"/>
        <w:rPr>
          <w:rFonts w:ascii="Arial" w:hAnsi="Arial" w:cs="Arial"/>
        </w:rPr>
      </w:pPr>
      <w:bookmarkStart w:id="9" w:name="_Toc235546871"/>
      <w:r w:rsidRPr="006D6E37">
        <w:rPr>
          <w:rFonts w:ascii="Arial" w:hAnsi="Arial" w:cs="Arial"/>
        </w:rPr>
        <w:t>Table 2: Key Highlights of Legal Factors</w:t>
      </w:r>
      <w:bookmarkEnd w:id="9"/>
    </w:p>
    <w:p w14:paraId="111FADC3" w14:textId="77777777" w:rsidR="006D6E37" w:rsidRPr="006D6E37" w:rsidRDefault="006D6E37" w:rsidP="006D6E37">
      <w:pPr>
        <w:jc w:val="center"/>
        <w:rPr>
          <w:rFonts w:ascii="Arial" w:hAnsi="Arial" w:cs="Arial"/>
        </w:rPr>
      </w:pPr>
      <w:r w:rsidRPr="006D6E37">
        <w:rPr>
          <w:rFonts w:ascii="Arial" w:hAnsi="Arial" w:cs="Arial"/>
        </w:rPr>
        <w:t>(Source: Self-Created)</w:t>
      </w:r>
    </w:p>
    <w:p w14:paraId="0759DC2C" w14:textId="77777777" w:rsidR="006D6E37" w:rsidRPr="006D6E37" w:rsidRDefault="006D6E37" w:rsidP="006D6E37">
      <w:pPr>
        <w:rPr>
          <w:rFonts w:ascii="Arial" w:hAnsi="Arial" w:cs="Arial"/>
        </w:rPr>
      </w:pPr>
      <w:r w:rsidRPr="006D6E37">
        <w:rPr>
          <w:rFonts w:ascii="Arial" w:hAnsi="Arial" w:cs="Arial"/>
        </w:rPr>
        <w:t xml:space="preserve">The local governmental bodies in Australia, such as MCA, have also facilitated their commitment towards the Paris Agreement towards developing innovative technologies to take positive climate actions. Around 50 new lithium mines, 17 cobalt mines and 60 new nickel mines have been dedicated in Australia for developing renewable energy infrastructure for storing electricity (Mineral Council of Australia, 2024). Therefore, the current leadership of BHP also needs to focus on maintaining feasible operations for deriving useful minerals such as cobalt and lithium used to develop sustainable energy infrastructure for solar power. </w:t>
      </w:r>
    </w:p>
    <w:p w14:paraId="1D603EA8" w14:textId="77777777" w:rsidR="006D6E37" w:rsidRPr="006D6E37" w:rsidRDefault="006D6E37" w:rsidP="006D6E37">
      <w:pPr>
        <w:pStyle w:val="Heading1"/>
        <w:rPr>
          <w:rFonts w:ascii="Arial" w:hAnsi="Arial" w:cs="Arial"/>
          <w:sz w:val="24"/>
          <w:szCs w:val="24"/>
        </w:rPr>
      </w:pPr>
      <w:bookmarkStart w:id="10" w:name="_Toc235699516"/>
      <w:r w:rsidRPr="006D6E37">
        <w:rPr>
          <w:rFonts w:ascii="Arial" w:hAnsi="Arial" w:cs="Arial"/>
          <w:sz w:val="24"/>
          <w:szCs w:val="24"/>
        </w:rPr>
        <w:lastRenderedPageBreak/>
        <w:t>Task 2: Strategic Growth and Competitive Positioning</w:t>
      </w:r>
      <w:bookmarkEnd w:id="10"/>
    </w:p>
    <w:p w14:paraId="10506F21" w14:textId="77777777" w:rsidR="006D6E37" w:rsidRPr="006D6E37" w:rsidRDefault="006D6E37" w:rsidP="006D6E37">
      <w:pPr>
        <w:pStyle w:val="Heading2"/>
        <w:rPr>
          <w:rFonts w:ascii="Arial" w:hAnsi="Arial" w:cs="Arial"/>
          <w:sz w:val="24"/>
          <w:szCs w:val="24"/>
        </w:rPr>
      </w:pPr>
      <w:bookmarkStart w:id="11" w:name="_Toc235699517"/>
      <w:r w:rsidRPr="006D6E37">
        <w:rPr>
          <w:rFonts w:ascii="Arial" w:hAnsi="Arial" w:cs="Arial"/>
          <w:sz w:val="24"/>
          <w:szCs w:val="24"/>
        </w:rPr>
        <w:t>2.1 Strategic Growth Approach Using the Ansoff Matrix</w:t>
      </w:r>
      <w:bookmarkEnd w:id="11"/>
    </w:p>
    <w:p w14:paraId="78C3EC06" w14:textId="77777777" w:rsidR="006D6E37" w:rsidRPr="006D6E37" w:rsidRDefault="006D6E37" w:rsidP="006D6E37">
      <w:pPr>
        <w:rPr>
          <w:rFonts w:ascii="Arial" w:hAnsi="Arial" w:cs="Arial"/>
        </w:rPr>
      </w:pPr>
      <w:r w:rsidRPr="006D6E37">
        <w:rPr>
          <w:rFonts w:ascii="Arial" w:hAnsi="Arial" w:cs="Arial"/>
        </w:rPr>
        <w:t xml:space="preserve">BHP is best placed to shift to less carbon-intensive materials through a </w:t>
      </w:r>
      <w:r w:rsidRPr="006D6E37">
        <w:rPr>
          <w:rFonts w:ascii="Arial" w:hAnsi="Arial" w:cs="Arial"/>
          <w:b/>
          <w:bCs/>
          <w:i/>
          <w:iCs/>
        </w:rPr>
        <w:t>Sustainable Growth Strategy</w:t>
      </w:r>
      <w:r w:rsidRPr="006D6E37">
        <w:rPr>
          <w:rFonts w:ascii="Arial" w:hAnsi="Arial" w:cs="Arial"/>
        </w:rPr>
        <w:t xml:space="preserve"> that will underpin BHP's long-term growth and sustainability. There are four ways of implementing this strategy, using the tools to be provided by the Ansoff Matrix:</w:t>
      </w:r>
    </w:p>
    <w:tbl>
      <w:tblPr>
        <w:tblStyle w:val="TableGrid"/>
        <w:tblW w:w="0" w:type="auto"/>
        <w:tblLook w:val="04A0" w:firstRow="1" w:lastRow="0" w:firstColumn="1" w:lastColumn="0" w:noHBand="0" w:noVBand="1"/>
      </w:tblPr>
      <w:tblGrid>
        <w:gridCol w:w="2512"/>
        <w:gridCol w:w="7064"/>
      </w:tblGrid>
      <w:tr w:rsidR="006D6E37" w:rsidRPr="006D6E37" w14:paraId="06B70C45" w14:textId="77777777" w:rsidTr="00F60221">
        <w:tc>
          <w:tcPr>
            <w:tcW w:w="0" w:type="auto"/>
            <w:hideMark/>
          </w:tcPr>
          <w:p w14:paraId="0F429460"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Ansoff Strategy</w:t>
            </w:r>
          </w:p>
        </w:tc>
        <w:tc>
          <w:tcPr>
            <w:tcW w:w="0" w:type="auto"/>
            <w:hideMark/>
          </w:tcPr>
          <w:p w14:paraId="0842D376"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Key Highlights</w:t>
            </w:r>
          </w:p>
        </w:tc>
      </w:tr>
      <w:tr w:rsidR="006D6E37" w:rsidRPr="006D6E37" w14:paraId="5A0626EE" w14:textId="77777777" w:rsidTr="00F60221">
        <w:tc>
          <w:tcPr>
            <w:tcW w:w="0" w:type="auto"/>
            <w:hideMark/>
          </w:tcPr>
          <w:p w14:paraId="375E6199" w14:textId="77777777" w:rsidR="006D6E37" w:rsidRPr="006D6E37" w:rsidRDefault="006D6E37" w:rsidP="00F60221">
            <w:pPr>
              <w:rPr>
                <w:rFonts w:ascii="Arial" w:hAnsi="Arial" w:cs="Arial"/>
                <w:sz w:val="24"/>
                <w:szCs w:val="24"/>
              </w:rPr>
            </w:pPr>
            <w:r w:rsidRPr="006D6E37">
              <w:rPr>
                <w:rFonts w:ascii="Arial" w:hAnsi="Arial" w:cs="Arial"/>
                <w:b/>
                <w:bCs/>
                <w:sz w:val="24"/>
                <w:szCs w:val="24"/>
              </w:rPr>
              <w:t>Market Penetration</w:t>
            </w:r>
          </w:p>
        </w:tc>
        <w:tc>
          <w:tcPr>
            <w:tcW w:w="0" w:type="auto"/>
            <w:hideMark/>
          </w:tcPr>
          <w:p w14:paraId="3AD2FCB4" w14:textId="77777777" w:rsidR="006D6E37" w:rsidRPr="006D6E37" w:rsidRDefault="006D6E37" w:rsidP="006D6E37">
            <w:pPr>
              <w:pStyle w:val="ListParagraph"/>
              <w:numPr>
                <w:ilvl w:val="0"/>
                <w:numId w:val="11"/>
              </w:numPr>
              <w:jc w:val="both"/>
              <w:rPr>
                <w:rFonts w:ascii="Arial" w:hAnsi="Arial" w:cs="Arial"/>
                <w:sz w:val="24"/>
                <w:szCs w:val="24"/>
              </w:rPr>
            </w:pPr>
            <w:r w:rsidRPr="006D6E37">
              <w:rPr>
                <w:rFonts w:ascii="Arial" w:hAnsi="Arial" w:cs="Arial"/>
                <w:sz w:val="24"/>
                <w:szCs w:val="24"/>
              </w:rPr>
              <w:t>US$19.5bn operating profit</w:t>
            </w:r>
          </w:p>
          <w:p w14:paraId="4B35623A" w14:textId="77777777" w:rsidR="006D6E37" w:rsidRPr="006D6E37" w:rsidRDefault="006D6E37" w:rsidP="006D6E37">
            <w:pPr>
              <w:pStyle w:val="ListParagraph"/>
              <w:numPr>
                <w:ilvl w:val="0"/>
                <w:numId w:val="11"/>
              </w:numPr>
              <w:jc w:val="both"/>
              <w:rPr>
                <w:rFonts w:ascii="Arial" w:hAnsi="Arial" w:cs="Arial"/>
                <w:sz w:val="24"/>
                <w:szCs w:val="24"/>
              </w:rPr>
            </w:pPr>
            <w:r w:rsidRPr="006D6E37">
              <w:rPr>
                <w:rFonts w:ascii="Arial" w:hAnsi="Arial" w:cs="Arial"/>
                <w:sz w:val="24"/>
                <w:szCs w:val="24"/>
              </w:rPr>
              <w:t>stronger customer trust through emissions reduction.</w:t>
            </w:r>
          </w:p>
        </w:tc>
      </w:tr>
      <w:tr w:rsidR="006D6E37" w:rsidRPr="006D6E37" w14:paraId="1A4E4B30" w14:textId="77777777" w:rsidTr="00F60221">
        <w:tc>
          <w:tcPr>
            <w:tcW w:w="0" w:type="auto"/>
            <w:hideMark/>
          </w:tcPr>
          <w:p w14:paraId="39106CD3" w14:textId="77777777" w:rsidR="006D6E37" w:rsidRPr="006D6E37" w:rsidRDefault="006D6E37" w:rsidP="00F60221">
            <w:pPr>
              <w:rPr>
                <w:rFonts w:ascii="Arial" w:hAnsi="Arial" w:cs="Arial"/>
                <w:sz w:val="24"/>
                <w:szCs w:val="24"/>
              </w:rPr>
            </w:pPr>
            <w:r w:rsidRPr="006D6E37">
              <w:rPr>
                <w:rFonts w:ascii="Arial" w:hAnsi="Arial" w:cs="Arial"/>
                <w:b/>
                <w:bCs/>
                <w:sz w:val="24"/>
                <w:szCs w:val="24"/>
              </w:rPr>
              <w:t>Market Development</w:t>
            </w:r>
          </w:p>
        </w:tc>
        <w:tc>
          <w:tcPr>
            <w:tcW w:w="0" w:type="auto"/>
            <w:hideMark/>
          </w:tcPr>
          <w:p w14:paraId="462BB7DD" w14:textId="77777777" w:rsidR="006D6E37" w:rsidRPr="006D6E37" w:rsidRDefault="006D6E37" w:rsidP="006D6E37">
            <w:pPr>
              <w:pStyle w:val="ListParagraph"/>
              <w:numPr>
                <w:ilvl w:val="0"/>
                <w:numId w:val="10"/>
              </w:numPr>
              <w:jc w:val="both"/>
              <w:rPr>
                <w:rFonts w:ascii="Arial" w:hAnsi="Arial" w:cs="Arial"/>
                <w:sz w:val="24"/>
                <w:szCs w:val="24"/>
              </w:rPr>
            </w:pPr>
            <w:r w:rsidRPr="006D6E37">
              <w:rPr>
                <w:rFonts w:ascii="Arial" w:hAnsi="Arial" w:cs="Arial"/>
                <w:sz w:val="24"/>
                <w:szCs w:val="24"/>
              </w:rPr>
              <w:t>US$46.8bn global economic contribution</w:t>
            </w:r>
          </w:p>
          <w:p w14:paraId="163971A1" w14:textId="77777777" w:rsidR="006D6E37" w:rsidRPr="006D6E37" w:rsidRDefault="006D6E37" w:rsidP="006D6E37">
            <w:pPr>
              <w:pStyle w:val="ListParagraph"/>
              <w:numPr>
                <w:ilvl w:val="0"/>
                <w:numId w:val="10"/>
              </w:numPr>
              <w:jc w:val="both"/>
              <w:rPr>
                <w:rFonts w:ascii="Arial" w:hAnsi="Arial" w:cs="Arial"/>
                <w:sz w:val="24"/>
                <w:szCs w:val="24"/>
              </w:rPr>
            </w:pPr>
            <w:r w:rsidRPr="006D6E37">
              <w:rPr>
                <w:rFonts w:ascii="Arial" w:hAnsi="Arial" w:cs="Arial"/>
                <w:sz w:val="24"/>
                <w:szCs w:val="24"/>
              </w:rPr>
              <w:t>US$10.4bn government payments</w:t>
            </w:r>
          </w:p>
          <w:p w14:paraId="34C8E6E2" w14:textId="77777777" w:rsidR="006D6E37" w:rsidRPr="006D6E37" w:rsidRDefault="006D6E37" w:rsidP="006D6E37">
            <w:pPr>
              <w:pStyle w:val="ListParagraph"/>
              <w:numPr>
                <w:ilvl w:val="0"/>
                <w:numId w:val="10"/>
              </w:numPr>
              <w:jc w:val="both"/>
              <w:rPr>
                <w:rFonts w:ascii="Arial" w:hAnsi="Arial" w:cs="Arial"/>
                <w:sz w:val="24"/>
                <w:szCs w:val="24"/>
              </w:rPr>
            </w:pPr>
            <w:r w:rsidRPr="006D6E37">
              <w:rPr>
                <w:rFonts w:ascii="Arial" w:hAnsi="Arial" w:cs="Arial"/>
                <w:sz w:val="24"/>
                <w:szCs w:val="24"/>
              </w:rPr>
              <w:t>40% Indigenous procurement growth.</w:t>
            </w:r>
          </w:p>
        </w:tc>
      </w:tr>
      <w:tr w:rsidR="006D6E37" w:rsidRPr="006D6E37" w14:paraId="36FA4348" w14:textId="77777777" w:rsidTr="00F60221">
        <w:tc>
          <w:tcPr>
            <w:tcW w:w="0" w:type="auto"/>
            <w:hideMark/>
          </w:tcPr>
          <w:p w14:paraId="48A7372B" w14:textId="77777777" w:rsidR="006D6E37" w:rsidRPr="006D6E37" w:rsidRDefault="006D6E37" w:rsidP="00F60221">
            <w:pPr>
              <w:rPr>
                <w:rFonts w:ascii="Arial" w:hAnsi="Arial" w:cs="Arial"/>
                <w:sz w:val="24"/>
                <w:szCs w:val="24"/>
              </w:rPr>
            </w:pPr>
            <w:r w:rsidRPr="006D6E37">
              <w:rPr>
                <w:rFonts w:ascii="Arial" w:hAnsi="Arial" w:cs="Arial"/>
                <w:b/>
                <w:bCs/>
                <w:sz w:val="24"/>
                <w:szCs w:val="24"/>
              </w:rPr>
              <w:t>Product Development</w:t>
            </w:r>
          </w:p>
        </w:tc>
        <w:tc>
          <w:tcPr>
            <w:tcW w:w="0" w:type="auto"/>
            <w:hideMark/>
          </w:tcPr>
          <w:p w14:paraId="51FC5871" w14:textId="77777777" w:rsidR="006D6E37" w:rsidRPr="006D6E37" w:rsidRDefault="006D6E37" w:rsidP="006D6E37">
            <w:pPr>
              <w:pStyle w:val="ListParagraph"/>
              <w:numPr>
                <w:ilvl w:val="0"/>
                <w:numId w:val="9"/>
              </w:numPr>
              <w:jc w:val="both"/>
              <w:rPr>
                <w:rFonts w:ascii="Arial" w:hAnsi="Arial" w:cs="Arial"/>
                <w:sz w:val="24"/>
                <w:szCs w:val="24"/>
              </w:rPr>
            </w:pPr>
            <w:r w:rsidRPr="006D6E37">
              <w:rPr>
                <w:rFonts w:ascii="Arial" w:hAnsi="Arial" w:cs="Arial"/>
                <w:sz w:val="24"/>
                <w:szCs w:val="24"/>
              </w:rPr>
              <w:t>2Mt copper production</w:t>
            </w:r>
          </w:p>
          <w:p w14:paraId="58D9CF80" w14:textId="77777777" w:rsidR="006D6E37" w:rsidRPr="006D6E37" w:rsidRDefault="006D6E37" w:rsidP="006D6E37">
            <w:pPr>
              <w:pStyle w:val="ListParagraph"/>
              <w:numPr>
                <w:ilvl w:val="0"/>
                <w:numId w:val="9"/>
              </w:numPr>
              <w:jc w:val="both"/>
              <w:rPr>
                <w:rFonts w:ascii="Arial" w:hAnsi="Arial" w:cs="Arial"/>
                <w:sz w:val="24"/>
                <w:szCs w:val="24"/>
              </w:rPr>
            </w:pPr>
            <w:r w:rsidRPr="006D6E37">
              <w:rPr>
                <w:rFonts w:ascii="Arial" w:hAnsi="Arial" w:cs="Arial"/>
                <w:sz w:val="24"/>
                <w:szCs w:val="24"/>
              </w:rPr>
              <w:t>Safer and more diverse workforce supporting low-carbon products.</w:t>
            </w:r>
          </w:p>
        </w:tc>
      </w:tr>
      <w:tr w:rsidR="006D6E37" w:rsidRPr="006D6E37" w14:paraId="2D77EED7" w14:textId="77777777" w:rsidTr="00F60221">
        <w:tc>
          <w:tcPr>
            <w:tcW w:w="0" w:type="auto"/>
            <w:hideMark/>
          </w:tcPr>
          <w:p w14:paraId="39F3FC92" w14:textId="77777777" w:rsidR="006D6E37" w:rsidRPr="006D6E37" w:rsidRDefault="006D6E37" w:rsidP="00F60221">
            <w:pPr>
              <w:rPr>
                <w:rFonts w:ascii="Arial" w:hAnsi="Arial" w:cs="Arial"/>
                <w:sz w:val="24"/>
                <w:szCs w:val="24"/>
              </w:rPr>
            </w:pPr>
            <w:r w:rsidRPr="006D6E37">
              <w:rPr>
                <w:rFonts w:ascii="Arial" w:hAnsi="Arial" w:cs="Arial"/>
                <w:b/>
                <w:bCs/>
                <w:sz w:val="24"/>
                <w:szCs w:val="24"/>
              </w:rPr>
              <w:t>Diversification</w:t>
            </w:r>
          </w:p>
        </w:tc>
        <w:tc>
          <w:tcPr>
            <w:tcW w:w="0" w:type="auto"/>
            <w:hideMark/>
          </w:tcPr>
          <w:p w14:paraId="602D3797" w14:textId="77777777" w:rsidR="006D6E37" w:rsidRPr="006D6E37" w:rsidRDefault="006D6E37" w:rsidP="006D6E37">
            <w:pPr>
              <w:pStyle w:val="ListParagraph"/>
              <w:numPr>
                <w:ilvl w:val="0"/>
                <w:numId w:val="8"/>
              </w:numPr>
              <w:jc w:val="both"/>
              <w:rPr>
                <w:rFonts w:ascii="Arial" w:hAnsi="Arial" w:cs="Arial"/>
                <w:sz w:val="24"/>
                <w:szCs w:val="24"/>
              </w:rPr>
            </w:pPr>
            <w:r w:rsidRPr="006D6E37">
              <w:rPr>
                <w:rFonts w:ascii="Arial" w:hAnsi="Arial" w:cs="Arial"/>
                <w:sz w:val="24"/>
                <w:szCs w:val="24"/>
              </w:rPr>
              <w:t>Investing in renewable technologies</w:t>
            </w:r>
          </w:p>
          <w:p w14:paraId="41BA91CB" w14:textId="77777777" w:rsidR="006D6E37" w:rsidRPr="006D6E37" w:rsidRDefault="006D6E37" w:rsidP="006D6E37">
            <w:pPr>
              <w:pStyle w:val="ListParagraph"/>
              <w:numPr>
                <w:ilvl w:val="0"/>
                <w:numId w:val="8"/>
              </w:numPr>
              <w:jc w:val="both"/>
              <w:rPr>
                <w:rFonts w:ascii="Arial" w:hAnsi="Arial" w:cs="Arial"/>
                <w:sz w:val="24"/>
                <w:szCs w:val="24"/>
              </w:rPr>
            </w:pPr>
            <w:r w:rsidRPr="006D6E37">
              <w:rPr>
                <w:rFonts w:ascii="Arial" w:hAnsi="Arial" w:cs="Arial"/>
                <w:sz w:val="24"/>
                <w:szCs w:val="24"/>
              </w:rPr>
              <w:t>Green industrial applications for long-term sustainable growth.</w:t>
            </w:r>
          </w:p>
        </w:tc>
      </w:tr>
    </w:tbl>
    <w:p w14:paraId="6D127CA1" w14:textId="77777777" w:rsidR="006D6E37" w:rsidRPr="006D6E37" w:rsidRDefault="006D6E37" w:rsidP="006D6E37">
      <w:pPr>
        <w:pStyle w:val="Heading5"/>
        <w:rPr>
          <w:rFonts w:ascii="Arial" w:hAnsi="Arial" w:cs="Arial"/>
        </w:rPr>
      </w:pPr>
      <w:bookmarkStart w:id="12" w:name="_Toc235546872"/>
      <w:r w:rsidRPr="006D6E37">
        <w:rPr>
          <w:rFonts w:ascii="Arial" w:hAnsi="Arial" w:cs="Arial"/>
        </w:rPr>
        <w:t>Table 3: Ansoff Matrix Key Highlights</w:t>
      </w:r>
      <w:bookmarkEnd w:id="12"/>
    </w:p>
    <w:p w14:paraId="7944141C" w14:textId="77777777" w:rsidR="006D6E37" w:rsidRPr="006D6E37" w:rsidRDefault="006D6E37" w:rsidP="006D6E37">
      <w:pPr>
        <w:jc w:val="center"/>
        <w:rPr>
          <w:rFonts w:ascii="Arial" w:hAnsi="Arial" w:cs="Arial"/>
        </w:rPr>
      </w:pPr>
      <w:r w:rsidRPr="006D6E37">
        <w:rPr>
          <w:rFonts w:ascii="Arial" w:hAnsi="Arial" w:cs="Arial"/>
        </w:rPr>
        <w:t>(Source: Self-Created)</w:t>
      </w:r>
    </w:p>
    <w:p w14:paraId="43C47E77" w14:textId="77777777" w:rsidR="006D6E37" w:rsidRPr="006D6E37" w:rsidRDefault="006D6E37" w:rsidP="006D6E37">
      <w:pPr>
        <w:pStyle w:val="ListParagraph"/>
        <w:numPr>
          <w:ilvl w:val="0"/>
          <w:numId w:val="1"/>
        </w:numPr>
        <w:spacing w:before="240" w:after="240"/>
        <w:jc w:val="both"/>
        <w:rPr>
          <w:rFonts w:ascii="Arial" w:hAnsi="Arial" w:cs="Arial"/>
        </w:rPr>
      </w:pPr>
      <w:r w:rsidRPr="006D6E37">
        <w:rPr>
          <w:rFonts w:ascii="Arial" w:hAnsi="Arial" w:cs="Arial"/>
          <w:b/>
          <w:bCs/>
        </w:rPr>
        <w:t>Market Penetration:</w:t>
      </w:r>
      <w:r w:rsidRPr="006D6E37">
        <w:rPr>
          <w:rFonts w:ascii="Arial" w:hAnsi="Arial" w:cs="Arial"/>
        </w:rPr>
        <w:t xml:space="preserve"> </w:t>
      </w:r>
      <w:r w:rsidRPr="006D6E37">
        <w:rPr>
          <w:rFonts w:ascii="Arial" w:hAnsi="Arial" w:cs="Arial"/>
          <w:b/>
          <w:bCs/>
          <w:i/>
          <w:iCs/>
        </w:rPr>
        <w:t>Sustainable</w:t>
      </w:r>
      <w:r w:rsidRPr="006D6E37">
        <w:rPr>
          <w:rFonts w:ascii="Arial" w:hAnsi="Arial" w:cs="Arial"/>
        </w:rPr>
        <w:t xml:space="preserve"> </w:t>
      </w:r>
      <w:r w:rsidRPr="006D6E37">
        <w:rPr>
          <w:rFonts w:ascii="Arial" w:hAnsi="Arial" w:cs="Arial"/>
          <w:b/>
          <w:bCs/>
          <w:i/>
          <w:iCs/>
        </w:rPr>
        <w:t xml:space="preserve">Growth Strategy </w:t>
      </w:r>
      <w:r w:rsidRPr="006D6E37">
        <w:rPr>
          <w:rFonts w:ascii="Arial" w:hAnsi="Arial" w:cs="Arial"/>
        </w:rPr>
        <w:t xml:space="preserve">with its existing products to boost their sales as well as improving their perceptions of current operational sustainability. As per BHP Annual Report (2025), BHP achieved US $19.5 billion profit from operations in FY2025 and distributed a 110 US cents dividend per share, demonstrating solid financial and market confidence that possess an advantage for BHP. Furthermore, BHP is well placed to use its greenhouse gas emissions reduction as part of Scope 1 and Scope 2. This enhances existing customer relationships as a result of these sustainability benefits. </w:t>
      </w:r>
    </w:p>
    <w:p w14:paraId="643484A7"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0" distB="0" distL="0" distR="0" wp14:anchorId="65A1D468" wp14:editId="0C5E7AAB">
            <wp:extent cx="4005943" cy="2679188"/>
            <wp:effectExtent l="0" t="0" r="0" b="6985"/>
            <wp:docPr id="159640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400602"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007269" cy="2680075"/>
                    </a:xfrm>
                    <a:prstGeom prst="rect">
                      <a:avLst/>
                    </a:prstGeom>
                    <a:noFill/>
                    <a:ln>
                      <a:noFill/>
                    </a:ln>
                  </pic:spPr>
                </pic:pic>
              </a:graphicData>
            </a:graphic>
          </wp:inline>
        </w:drawing>
      </w:r>
    </w:p>
    <w:p w14:paraId="4DD1EA50" w14:textId="77777777" w:rsidR="006D6E37" w:rsidRPr="006D6E37" w:rsidRDefault="006D6E37" w:rsidP="006D6E37">
      <w:pPr>
        <w:pStyle w:val="Heading4"/>
        <w:rPr>
          <w:rFonts w:ascii="Arial" w:hAnsi="Arial" w:cs="Arial"/>
        </w:rPr>
      </w:pPr>
      <w:bookmarkStart w:id="13" w:name="_Toc235707047"/>
      <w:r w:rsidRPr="006D6E37">
        <w:rPr>
          <w:rFonts w:ascii="Arial" w:hAnsi="Arial" w:cs="Arial"/>
        </w:rPr>
        <w:t>Figure 5: Financial Figure of BHP in 2025</w:t>
      </w:r>
      <w:bookmarkEnd w:id="13"/>
    </w:p>
    <w:p w14:paraId="0916CB45" w14:textId="77777777" w:rsidR="006D6E37" w:rsidRPr="006D6E37" w:rsidRDefault="006D6E37" w:rsidP="006D6E37">
      <w:pPr>
        <w:jc w:val="center"/>
        <w:rPr>
          <w:rFonts w:ascii="Arial" w:hAnsi="Arial" w:cs="Arial"/>
        </w:rPr>
      </w:pPr>
      <w:r w:rsidRPr="006D6E37">
        <w:rPr>
          <w:rFonts w:ascii="Arial" w:hAnsi="Arial" w:cs="Arial"/>
        </w:rPr>
        <w:t>(Source: BHP Annual Report 2025)</w:t>
      </w:r>
    </w:p>
    <w:p w14:paraId="4A80BF20" w14:textId="77777777" w:rsidR="006D6E37" w:rsidRPr="006D6E37" w:rsidRDefault="006D6E37" w:rsidP="006D6E37">
      <w:pPr>
        <w:pStyle w:val="ListParagraph"/>
        <w:numPr>
          <w:ilvl w:val="0"/>
          <w:numId w:val="1"/>
        </w:numPr>
        <w:spacing w:before="240" w:after="240"/>
        <w:jc w:val="both"/>
        <w:rPr>
          <w:rFonts w:ascii="Arial" w:hAnsi="Arial" w:cs="Arial"/>
        </w:rPr>
      </w:pPr>
      <w:r w:rsidRPr="006D6E37">
        <w:rPr>
          <w:rFonts w:ascii="Arial" w:hAnsi="Arial" w:cs="Arial"/>
          <w:b/>
          <w:bCs/>
        </w:rPr>
        <w:t>Market Development:</w:t>
      </w:r>
      <w:r w:rsidRPr="006D6E37">
        <w:rPr>
          <w:rFonts w:ascii="Arial" w:hAnsi="Arial" w:cs="Arial"/>
        </w:rPr>
        <w:t xml:space="preserve"> Production of minerals in a responsible manner for the international market with a strong focus on </w:t>
      </w:r>
      <w:r w:rsidRPr="006D6E37">
        <w:rPr>
          <w:rFonts w:ascii="Arial" w:hAnsi="Arial" w:cs="Arial"/>
          <w:b/>
          <w:bCs/>
          <w:i/>
          <w:iCs/>
        </w:rPr>
        <w:t>Sustainable</w:t>
      </w:r>
      <w:r w:rsidRPr="006D6E37">
        <w:rPr>
          <w:rFonts w:ascii="Arial" w:hAnsi="Arial" w:cs="Arial"/>
        </w:rPr>
        <w:t xml:space="preserve"> </w:t>
      </w:r>
      <w:r w:rsidRPr="006D6E37">
        <w:rPr>
          <w:rFonts w:ascii="Arial" w:hAnsi="Arial" w:cs="Arial"/>
          <w:b/>
          <w:bCs/>
          <w:i/>
          <w:iCs/>
        </w:rPr>
        <w:t>Growth Strategy</w:t>
      </w:r>
      <w:r w:rsidRPr="006D6E37">
        <w:rPr>
          <w:rFonts w:ascii="Arial" w:hAnsi="Arial" w:cs="Arial"/>
        </w:rPr>
        <w:t xml:space="preserve">. As per BHP's Annual Report (2025), BHP's total contribution of US $46.8 billion to gross global economic output and payment of US $10.4 billion to governments further </w:t>
      </w:r>
      <w:proofErr w:type="spellStart"/>
      <w:r w:rsidRPr="006D6E37">
        <w:rPr>
          <w:rFonts w:ascii="Arial" w:hAnsi="Arial" w:cs="Arial"/>
        </w:rPr>
        <w:t>emphasised</w:t>
      </w:r>
      <w:proofErr w:type="spellEnd"/>
      <w:r w:rsidRPr="006D6E37">
        <w:rPr>
          <w:rFonts w:ascii="Arial" w:hAnsi="Arial" w:cs="Arial"/>
        </w:rPr>
        <w:t xml:space="preserve"> its healthy presence on a global scale and its capacity to drive economic growth globally which signifies an advantage to its operations. As per BHP's Annual Report (2025), its commitment to Indigenous procurement saw a 40% increase for FY2024 to $853 million and underscores the critical role of inclusive supply chains and sustainable sourcing. </w:t>
      </w:r>
    </w:p>
    <w:p w14:paraId="48311D25"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0" distB="0" distL="0" distR="0" wp14:anchorId="1F94A047" wp14:editId="23D59970">
            <wp:extent cx="4416231" cy="2275114"/>
            <wp:effectExtent l="0" t="0" r="3810" b="0"/>
            <wp:docPr id="328473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7364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427030" cy="2280677"/>
                    </a:xfrm>
                    <a:prstGeom prst="rect">
                      <a:avLst/>
                    </a:prstGeom>
                    <a:noFill/>
                    <a:ln>
                      <a:noFill/>
                    </a:ln>
                  </pic:spPr>
                </pic:pic>
              </a:graphicData>
            </a:graphic>
          </wp:inline>
        </w:drawing>
      </w:r>
    </w:p>
    <w:p w14:paraId="1F37EB36" w14:textId="77777777" w:rsidR="006D6E37" w:rsidRPr="006D6E37" w:rsidRDefault="006D6E37" w:rsidP="006D6E37">
      <w:pPr>
        <w:pStyle w:val="Heading4"/>
        <w:rPr>
          <w:rFonts w:ascii="Arial" w:hAnsi="Arial" w:cs="Arial"/>
        </w:rPr>
      </w:pPr>
      <w:bookmarkStart w:id="14" w:name="_Toc235707048"/>
      <w:r w:rsidRPr="006D6E37">
        <w:rPr>
          <w:rFonts w:ascii="Arial" w:hAnsi="Arial" w:cs="Arial"/>
        </w:rPr>
        <w:t>Figure 6: FY2025 of BHP</w:t>
      </w:r>
      <w:bookmarkEnd w:id="14"/>
    </w:p>
    <w:p w14:paraId="3F473721" w14:textId="77777777" w:rsidR="006D6E37" w:rsidRPr="006D6E37" w:rsidRDefault="006D6E37" w:rsidP="006D6E37">
      <w:pPr>
        <w:jc w:val="center"/>
        <w:rPr>
          <w:rFonts w:ascii="Arial" w:hAnsi="Arial" w:cs="Arial"/>
        </w:rPr>
      </w:pPr>
      <w:r w:rsidRPr="006D6E37">
        <w:rPr>
          <w:rFonts w:ascii="Arial" w:hAnsi="Arial" w:cs="Arial"/>
        </w:rPr>
        <w:t>(Source: BHP Annual Report 2025)</w:t>
      </w:r>
    </w:p>
    <w:p w14:paraId="2A1AD5E4" w14:textId="77777777" w:rsidR="006D6E37" w:rsidRPr="006D6E37" w:rsidRDefault="006D6E37" w:rsidP="006D6E37">
      <w:pPr>
        <w:pStyle w:val="ListParagraph"/>
        <w:numPr>
          <w:ilvl w:val="0"/>
          <w:numId w:val="1"/>
        </w:numPr>
        <w:spacing w:before="240" w:after="240"/>
        <w:jc w:val="both"/>
        <w:rPr>
          <w:rFonts w:ascii="Arial" w:hAnsi="Arial" w:cs="Arial"/>
        </w:rPr>
      </w:pPr>
      <w:r w:rsidRPr="006D6E37">
        <w:rPr>
          <w:rFonts w:ascii="Arial" w:hAnsi="Arial" w:cs="Arial"/>
          <w:b/>
          <w:bCs/>
        </w:rPr>
        <w:t>Product Development:</w:t>
      </w:r>
      <w:r w:rsidRPr="006D6E37">
        <w:rPr>
          <w:rFonts w:ascii="Arial" w:hAnsi="Arial" w:cs="Arial"/>
        </w:rPr>
        <w:t xml:space="preserve"> </w:t>
      </w:r>
      <w:r w:rsidRPr="006D6E37">
        <w:rPr>
          <w:rFonts w:ascii="Arial" w:hAnsi="Arial" w:cs="Arial"/>
          <w:b/>
          <w:bCs/>
          <w:i/>
          <w:iCs/>
        </w:rPr>
        <w:t>This approach fits best with</w:t>
      </w:r>
      <w:r w:rsidRPr="006D6E37">
        <w:rPr>
          <w:rFonts w:ascii="Arial" w:hAnsi="Arial" w:cs="Arial"/>
        </w:rPr>
        <w:t xml:space="preserve"> </w:t>
      </w:r>
      <w:r w:rsidRPr="006D6E37">
        <w:rPr>
          <w:rFonts w:ascii="Arial" w:hAnsi="Arial" w:cs="Arial"/>
          <w:b/>
          <w:bCs/>
          <w:i/>
          <w:iCs/>
        </w:rPr>
        <w:t>BHP's Sustainable Growth Strategy</w:t>
      </w:r>
      <w:r w:rsidRPr="006D6E37">
        <w:rPr>
          <w:rFonts w:ascii="Arial" w:hAnsi="Arial" w:cs="Arial"/>
        </w:rPr>
        <w:t xml:space="preserve"> as it would help the company introduce new lower-carbon mineral products to its existing customers in other sectors of industry (Johnson et al., 2017). BHP has coordinated the annual production of two million tons of copper in one year. Its supply chain can be tailored to support the production of the critically important minerals for EVs and other renewables that provide an advantage for </w:t>
      </w:r>
      <w:proofErr w:type="gramStart"/>
      <w:r w:rsidRPr="006D6E37">
        <w:rPr>
          <w:rFonts w:ascii="Arial" w:hAnsi="Arial" w:cs="Arial"/>
        </w:rPr>
        <w:t>them .</w:t>
      </w:r>
      <w:proofErr w:type="gramEnd"/>
      <w:r w:rsidRPr="006D6E37">
        <w:rPr>
          <w:rFonts w:ascii="Arial" w:hAnsi="Arial" w:cs="Arial"/>
        </w:rPr>
        <w:t xml:space="preserve"> As per BHP's Annual Report (2025), a 18% decrease in high-potential injuries and a 41.3% proportion of female participation in the workplace have also demonstrated BHP's stance on diversity and safety in its sustainable approach. </w:t>
      </w:r>
    </w:p>
    <w:p w14:paraId="628C4AB1" w14:textId="77777777" w:rsidR="006D6E37" w:rsidRPr="006D6E37" w:rsidRDefault="006D6E37" w:rsidP="006D6E37">
      <w:pPr>
        <w:pStyle w:val="ListParagraph"/>
        <w:numPr>
          <w:ilvl w:val="0"/>
          <w:numId w:val="1"/>
        </w:numPr>
        <w:spacing w:before="240" w:after="240"/>
        <w:jc w:val="both"/>
        <w:rPr>
          <w:rFonts w:ascii="Arial" w:hAnsi="Arial" w:cs="Arial"/>
        </w:rPr>
      </w:pPr>
      <w:r w:rsidRPr="006D6E37">
        <w:rPr>
          <w:rFonts w:ascii="Arial" w:hAnsi="Arial" w:cs="Arial"/>
          <w:b/>
          <w:bCs/>
        </w:rPr>
        <w:t>Diversification:</w:t>
      </w:r>
      <w:r w:rsidRPr="006D6E37">
        <w:rPr>
          <w:rFonts w:ascii="Arial" w:hAnsi="Arial" w:cs="Arial"/>
        </w:rPr>
        <w:t xml:space="preserve"> Adopting the </w:t>
      </w:r>
      <w:r w:rsidRPr="006D6E37">
        <w:rPr>
          <w:rFonts w:ascii="Arial" w:hAnsi="Arial" w:cs="Arial"/>
          <w:b/>
          <w:bCs/>
          <w:i/>
          <w:iCs/>
        </w:rPr>
        <w:t>Sustainable Growth Strategy</w:t>
      </w:r>
      <w:r w:rsidRPr="006D6E37">
        <w:rPr>
          <w:rFonts w:ascii="Arial" w:hAnsi="Arial" w:cs="Arial"/>
        </w:rPr>
        <w:t xml:space="preserve"> in all new products, service offerings and markets in general, such as into new technologies that generate renewable energy or other green industrial applications can provide a disadvantage to their operations (Islam et al., 2022). BHP has good financial resources and a natural aspect of investment for diversification and commercial risk too that isn't in BHP's comfort zone.</w:t>
      </w:r>
    </w:p>
    <w:p w14:paraId="3B1A515A" w14:textId="77777777" w:rsidR="006D6E37" w:rsidRPr="006D6E37" w:rsidRDefault="006D6E37" w:rsidP="006D6E37">
      <w:pPr>
        <w:pStyle w:val="Heading2"/>
        <w:rPr>
          <w:rFonts w:ascii="Arial" w:hAnsi="Arial" w:cs="Arial"/>
          <w:sz w:val="24"/>
          <w:szCs w:val="24"/>
        </w:rPr>
      </w:pPr>
      <w:bookmarkStart w:id="15" w:name="_Toc235699518"/>
      <w:r w:rsidRPr="006D6E37">
        <w:rPr>
          <w:rFonts w:ascii="Arial" w:hAnsi="Arial" w:cs="Arial"/>
          <w:sz w:val="24"/>
          <w:szCs w:val="24"/>
        </w:rPr>
        <w:lastRenderedPageBreak/>
        <w:t xml:space="preserve">2.2 Competitive Advantage by using </w:t>
      </w:r>
      <w:bookmarkEnd w:id="15"/>
      <w:r w:rsidRPr="006D6E37">
        <w:rPr>
          <w:rFonts w:ascii="Arial" w:hAnsi="Arial" w:cs="Arial"/>
          <w:sz w:val="24"/>
          <w:szCs w:val="24"/>
        </w:rPr>
        <w:t>TBL framework</w:t>
      </w:r>
    </w:p>
    <w:p w14:paraId="7BAFB67E" w14:textId="77777777" w:rsidR="006D6E37" w:rsidRPr="006D6E37" w:rsidRDefault="006D6E37" w:rsidP="006D6E37">
      <w:pPr>
        <w:rPr>
          <w:rFonts w:ascii="Arial" w:hAnsi="Arial" w:cs="Arial"/>
        </w:rPr>
      </w:pPr>
      <w:r w:rsidRPr="006D6E37">
        <w:rPr>
          <w:rFonts w:ascii="Arial" w:hAnsi="Arial" w:cs="Arial"/>
        </w:rPr>
        <w:t xml:space="preserve">BHP has the opportunity to create a sustainable competitive advantage by moving towards a lower-carbon business model at a faster pace by using the TBL framework: </w:t>
      </w:r>
    </w:p>
    <w:tbl>
      <w:tblPr>
        <w:tblStyle w:val="TableGrid"/>
        <w:tblW w:w="0" w:type="auto"/>
        <w:tblLook w:val="04A0" w:firstRow="1" w:lastRow="0" w:firstColumn="1" w:lastColumn="0" w:noHBand="0" w:noVBand="1"/>
      </w:tblPr>
      <w:tblGrid>
        <w:gridCol w:w="1775"/>
        <w:gridCol w:w="7801"/>
      </w:tblGrid>
      <w:tr w:rsidR="006D6E37" w:rsidRPr="006D6E37" w14:paraId="696B91FE" w14:textId="77777777" w:rsidTr="00F60221">
        <w:tc>
          <w:tcPr>
            <w:tcW w:w="0" w:type="auto"/>
            <w:hideMark/>
          </w:tcPr>
          <w:p w14:paraId="1EF906F2"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TBL Dimension</w:t>
            </w:r>
          </w:p>
        </w:tc>
        <w:tc>
          <w:tcPr>
            <w:tcW w:w="0" w:type="auto"/>
            <w:hideMark/>
          </w:tcPr>
          <w:p w14:paraId="528C3F77" w14:textId="77777777" w:rsidR="006D6E37" w:rsidRPr="006D6E37" w:rsidRDefault="006D6E37" w:rsidP="00F60221">
            <w:pPr>
              <w:rPr>
                <w:rFonts w:ascii="Arial" w:hAnsi="Arial" w:cs="Arial"/>
                <w:b/>
                <w:bCs/>
                <w:sz w:val="24"/>
                <w:szCs w:val="24"/>
              </w:rPr>
            </w:pPr>
            <w:r w:rsidRPr="006D6E37">
              <w:rPr>
                <w:rFonts w:ascii="Arial" w:hAnsi="Arial" w:cs="Arial"/>
                <w:b/>
                <w:bCs/>
                <w:sz w:val="24"/>
                <w:szCs w:val="24"/>
              </w:rPr>
              <w:t>Key Highlights</w:t>
            </w:r>
          </w:p>
        </w:tc>
      </w:tr>
      <w:tr w:rsidR="006D6E37" w:rsidRPr="006D6E37" w14:paraId="6D8AF619" w14:textId="77777777" w:rsidTr="00F60221">
        <w:tc>
          <w:tcPr>
            <w:tcW w:w="0" w:type="auto"/>
            <w:hideMark/>
          </w:tcPr>
          <w:p w14:paraId="5ECCAE57" w14:textId="77777777" w:rsidR="006D6E37" w:rsidRPr="006D6E37" w:rsidRDefault="006D6E37" w:rsidP="00F60221">
            <w:pPr>
              <w:rPr>
                <w:rFonts w:ascii="Arial" w:hAnsi="Arial" w:cs="Arial"/>
                <w:sz w:val="24"/>
                <w:szCs w:val="24"/>
              </w:rPr>
            </w:pPr>
            <w:r w:rsidRPr="006D6E37">
              <w:rPr>
                <w:rFonts w:ascii="Arial" w:hAnsi="Arial" w:cs="Arial"/>
                <w:b/>
                <w:bCs/>
                <w:sz w:val="24"/>
                <w:szCs w:val="24"/>
              </w:rPr>
              <w:t>Planet</w:t>
            </w:r>
          </w:p>
        </w:tc>
        <w:tc>
          <w:tcPr>
            <w:tcW w:w="0" w:type="auto"/>
            <w:hideMark/>
          </w:tcPr>
          <w:p w14:paraId="6D491D1D" w14:textId="77777777" w:rsidR="006D6E37" w:rsidRPr="006D6E37" w:rsidRDefault="006D6E37" w:rsidP="006D6E37">
            <w:pPr>
              <w:pStyle w:val="ListParagraph"/>
              <w:numPr>
                <w:ilvl w:val="0"/>
                <w:numId w:val="5"/>
              </w:numPr>
              <w:jc w:val="both"/>
              <w:rPr>
                <w:rFonts w:ascii="Arial" w:hAnsi="Arial" w:cs="Arial"/>
                <w:sz w:val="24"/>
                <w:szCs w:val="24"/>
              </w:rPr>
            </w:pPr>
            <w:r w:rsidRPr="006D6E37">
              <w:rPr>
                <w:rFonts w:ascii="Arial" w:hAnsi="Arial" w:cs="Arial"/>
                <w:sz w:val="24"/>
                <w:szCs w:val="24"/>
              </w:rPr>
              <w:t>Reducing emissions by 26%</w:t>
            </w:r>
          </w:p>
          <w:p w14:paraId="28EED5C0" w14:textId="77777777" w:rsidR="006D6E37" w:rsidRPr="006D6E37" w:rsidRDefault="006D6E37" w:rsidP="006D6E37">
            <w:pPr>
              <w:pStyle w:val="ListParagraph"/>
              <w:numPr>
                <w:ilvl w:val="0"/>
                <w:numId w:val="5"/>
              </w:numPr>
              <w:jc w:val="both"/>
              <w:rPr>
                <w:rFonts w:ascii="Arial" w:hAnsi="Arial" w:cs="Arial"/>
                <w:sz w:val="24"/>
                <w:szCs w:val="24"/>
              </w:rPr>
            </w:pPr>
            <w:r w:rsidRPr="006D6E37">
              <w:rPr>
                <w:rFonts w:ascii="Arial" w:hAnsi="Arial" w:cs="Arial"/>
                <w:sz w:val="24"/>
                <w:szCs w:val="24"/>
              </w:rPr>
              <w:t xml:space="preserve">Investing US$4bn in </w:t>
            </w:r>
            <w:proofErr w:type="spellStart"/>
            <w:r w:rsidRPr="006D6E37">
              <w:rPr>
                <w:rFonts w:ascii="Arial" w:hAnsi="Arial" w:cs="Arial"/>
                <w:sz w:val="24"/>
                <w:szCs w:val="24"/>
              </w:rPr>
              <w:t>decarbonisation</w:t>
            </w:r>
            <w:proofErr w:type="spellEnd"/>
            <w:r w:rsidRPr="006D6E37">
              <w:rPr>
                <w:rFonts w:ascii="Arial" w:hAnsi="Arial" w:cs="Arial"/>
                <w:sz w:val="24"/>
                <w:szCs w:val="24"/>
              </w:rPr>
              <w:t>, renewable energy, and mine electrification by 2030.</w:t>
            </w:r>
          </w:p>
        </w:tc>
      </w:tr>
      <w:tr w:rsidR="006D6E37" w:rsidRPr="006D6E37" w14:paraId="07C86E4E" w14:textId="77777777" w:rsidTr="00F60221">
        <w:tc>
          <w:tcPr>
            <w:tcW w:w="0" w:type="auto"/>
            <w:hideMark/>
          </w:tcPr>
          <w:p w14:paraId="071004A3" w14:textId="77777777" w:rsidR="006D6E37" w:rsidRPr="006D6E37" w:rsidRDefault="006D6E37" w:rsidP="00F60221">
            <w:pPr>
              <w:rPr>
                <w:rFonts w:ascii="Arial" w:hAnsi="Arial" w:cs="Arial"/>
                <w:sz w:val="24"/>
                <w:szCs w:val="24"/>
              </w:rPr>
            </w:pPr>
            <w:r w:rsidRPr="006D6E37">
              <w:rPr>
                <w:rFonts w:ascii="Arial" w:hAnsi="Arial" w:cs="Arial"/>
                <w:b/>
                <w:bCs/>
                <w:sz w:val="24"/>
                <w:szCs w:val="24"/>
              </w:rPr>
              <w:t>People</w:t>
            </w:r>
          </w:p>
        </w:tc>
        <w:tc>
          <w:tcPr>
            <w:tcW w:w="0" w:type="auto"/>
            <w:hideMark/>
          </w:tcPr>
          <w:p w14:paraId="0C8E95E5" w14:textId="77777777" w:rsidR="006D6E37" w:rsidRPr="006D6E37" w:rsidRDefault="006D6E37" w:rsidP="006D6E37">
            <w:pPr>
              <w:pStyle w:val="ListParagraph"/>
              <w:numPr>
                <w:ilvl w:val="0"/>
                <w:numId w:val="6"/>
              </w:numPr>
              <w:jc w:val="both"/>
              <w:rPr>
                <w:rFonts w:ascii="Arial" w:hAnsi="Arial" w:cs="Arial"/>
                <w:sz w:val="24"/>
                <w:szCs w:val="24"/>
              </w:rPr>
            </w:pPr>
            <w:r w:rsidRPr="006D6E37">
              <w:rPr>
                <w:rFonts w:ascii="Arial" w:hAnsi="Arial" w:cs="Arial"/>
                <w:sz w:val="24"/>
                <w:szCs w:val="24"/>
              </w:rPr>
              <w:t>Cutting operational emissions by 5%</w:t>
            </w:r>
          </w:p>
          <w:p w14:paraId="551919E7" w14:textId="77777777" w:rsidR="006D6E37" w:rsidRPr="006D6E37" w:rsidRDefault="006D6E37" w:rsidP="006D6E37">
            <w:pPr>
              <w:pStyle w:val="ListParagraph"/>
              <w:numPr>
                <w:ilvl w:val="0"/>
                <w:numId w:val="6"/>
              </w:numPr>
              <w:jc w:val="both"/>
              <w:rPr>
                <w:rFonts w:ascii="Arial" w:hAnsi="Arial" w:cs="Arial"/>
                <w:sz w:val="24"/>
                <w:szCs w:val="24"/>
              </w:rPr>
            </w:pPr>
            <w:r w:rsidRPr="006D6E37">
              <w:rPr>
                <w:rFonts w:ascii="Arial" w:hAnsi="Arial" w:cs="Arial"/>
                <w:sz w:val="24"/>
                <w:szCs w:val="24"/>
              </w:rPr>
              <w:t>Achieved US$19.5bn operating profit</w:t>
            </w:r>
          </w:p>
          <w:p w14:paraId="3F039719" w14:textId="77777777" w:rsidR="006D6E37" w:rsidRPr="006D6E37" w:rsidRDefault="006D6E37" w:rsidP="006D6E37">
            <w:pPr>
              <w:pStyle w:val="ListParagraph"/>
              <w:numPr>
                <w:ilvl w:val="0"/>
                <w:numId w:val="6"/>
              </w:numPr>
              <w:jc w:val="both"/>
              <w:rPr>
                <w:rFonts w:ascii="Arial" w:hAnsi="Arial" w:cs="Arial"/>
                <w:sz w:val="24"/>
                <w:szCs w:val="24"/>
              </w:rPr>
            </w:pPr>
            <w:r w:rsidRPr="006D6E37">
              <w:rPr>
                <w:rFonts w:ascii="Arial" w:hAnsi="Arial" w:cs="Arial"/>
                <w:sz w:val="24"/>
                <w:szCs w:val="24"/>
              </w:rPr>
              <w:t>Strengthened reputation through sustainability initiatives.</w:t>
            </w:r>
          </w:p>
        </w:tc>
      </w:tr>
      <w:tr w:rsidR="006D6E37" w:rsidRPr="006D6E37" w14:paraId="4782FC81" w14:textId="77777777" w:rsidTr="00F60221">
        <w:tc>
          <w:tcPr>
            <w:tcW w:w="0" w:type="auto"/>
            <w:hideMark/>
          </w:tcPr>
          <w:p w14:paraId="2F3C601B" w14:textId="77777777" w:rsidR="006D6E37" w:rsidRPr="006D6E37" w:rsidRDefault="006D6E37" w:rsidP="00F60221">
            <w:pPr>
              <w:rPr>
                <w:rFonts w:ascii="Arial" w:hAnsi="Arial" w:cs="Arial"/>
                <w:sz w:val="24"/>
                <w:szCs w:val="24"/>
              </w:rPr>
            </w:pPr>
            <w:r w:rsidRPr="006D6E37">
              <w:rPr>
                <w:rFonts w:ascii="Arial" w:hAnsi="Arial" w:cs="Arial"/>
                <w:b/>
                <w:bCs/>
                <w:sz w:val="24"/>
                <w:szCs w:val="24"/>
              </w:rPr>
              <w:t>Profit</w:t>
            </w:r>
          </w:p>
        </w:tc>
        <w:tc>
          <w:tcPr>
            <w:tcW w:w="0" w:type="auto"/>
            <w:hideMark/>
          </w:tcPr>
          <w:p w14:paraId="3A3FC75F" w14:textId="77777777" w:rsidR="006D6E37" w:rsidRPr="006D6E37" w:rsidRDefault="006D6E37" w:rsidP="006D6E37">
            <w:pPr>
              <w:pStyle w:val="ListParagraph"/>
              <w:numPr>
                <w:ilvl w:val="0"/>
                <w:numId w:val="7"/>
              </w:numPr>
              <w:jc w:val="both"/>
              <w:rPr>
                <w:rFonts w:ascii="Arial" w:hAnsi="Arial" w:cs="Arial"/>
                <w:sz w:val="24"/>
                <w:szCs w:val="24"/>
              </w:rPr>
            </w:pPr>
            <w:r w:rsidRPr="006D6E37">
              <w:rPr>
                <w:rFonts w:ascii="Arial" w:hAnsi="Arial" w:cs="Arial"/>
                <w:sz w:val="24"/>
                <w:szCs w:val="24"/>
              </w:rPr>
              <w:t>Recording 2Mt copper production</w:t>
            </w:r>
          </w:p>
          <w:p w14:paraId="3BD06001" w14:textId="77777777" w:rsidR="006D6E37" w:rsidRPr="006D6E37" w:rsidRDefault="006D6E37" w:rsidP="006D6E37">
            <w:pPr>
              <w:pStyle w:val="ListParagraph"/>
              <w:numPr>
                <w:ilvl w:val="0"/>
                <w:numId w:val="7"/>
              </w:numPr>
              <w:jc w:val="both"/>
              <w:rPr>
                <w:rFonts w:ascii="Arial" w:hAnsi="Arial" w:cs="Arial"/>
                <w:sz w:val="24"/>
                <w:szCs w:val="24"/>
              </w:rPr>
            </w:pPr>
            <w:r w:rsidRPr="006D6E37">
              <w:rPr>
                <w:rFonts w:ascii="Arial" w:hAnsi="Arial" w:cs="Arial"/>
                <w:sz w:val="24"/>
                <w:szCs w:val="24"/>
              </w:rPr>
              <w:t>Emissions 32% below 2020 baseline and 41.3% women workforce</w:t>
            </w:r>
          </w:p>
          <w:p w14:paraId="43FFCDB2" w14:textId="77777777" w:rsidR="006D6E37" w:rsidRPr="006D6E37" w:rsidRDefault="006D6E37" w:rsidP="006D6E37">
            <w:pPr>
              <w:pStyle w:val="ListParagraph"/>
              <w:numPr>
                <w:ilvl w:val="0"/>
                <w:numId w:val="7"/>
              </w:numPr>
              <w:jc w:val="both"/>
              <w:rPr>
                <w:rFonts w:ascii="Arial" w:hAnsi="Arial" w:cs="Arial"/>
                <w:sz w:val="24"/>
                <w:szCs w:val="24"/>
              </w:rPr>
            </w:pPr>
            <w:r w:rsidRPr="006D6E37">
              <w:rPr>
                <w:rFonts w:ascii="Arial" w:hAnsi="Arial" w:cs="Arial"/>
                <w:sz w:val="24"/>
                <w:szCs w:val="24"/>
              </w:rPr>
              <w:t>18% fewer high-potential injuries, supporting long-term competitive advantage.</w:t>
            </w:r>
          </w:p>
        </w:tc>
      </w:tr>
    </w:tbl>
    <w:p w14:paraId="071DCEB6" w14:textId="77777777" w:rsidR="006D6E37" w:rsidRPr="006D6E37" w:rsidRDefault="006D6E37" w:rsidP="006D6E37">
      <w:pPr>
        <w:pStyle w:val="Heading5"/>
        <w:rPr>
          <w:rFonts w:ascii="Arial" w:hAnsi="Arial" w:cs="Arial"/>
        </w:rPr>
      </w:pPr>
      <w:bookmarkStart w:id="16" w:name="_Toc235546873"/>
      <w:r w:rsidRPr="006D6E37">
        <w:rPr>
          <w:rFonts w:ascii="Arial" w:hAnsi="Arial" w:cs="Arial"/>
        </w:rPr>
        <w:t>Table 4: TBL Highlights</w:t>
      </w:r>
      <w:bookmarkEnd w:id="16"/>
    </w:p>
    <w:p w14:paraId="1D8FDA89" w14:textId="77777777" w:rsidR="006D6E37" w:rsidRPr="006D6E37" w:rsidRDefault="006D6E37" w:rsidP="006D6E37">
      <w:pPr>
        <w:jc w:val="center"/>
        <w:rPr>
          <w:rFonts w:ascii="Arial" w:hAnsi="Arial" w:cs="Arial"/>
        </w:rPr>
      </w:pPr>
      <w:r w:rsidRPr="006D6E37">
        <w:rPr>
          <w:rFonts w:ascii="Arial" w:hAnsi="Arial" w:cs="Arial"/>
        </w:rPr>
        <w:t>(Source: Self-Created)</w:t>
      </w:r>
    </w:p>
    <w:p w14:paraId="32BF7903"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Planet</w:t>
      </w:r>
    </w:p>
    <w:p w14:paraId="76922740" w14:textId="77777777" w:rsidR="006D6E37" w:rsidRPr="006D6E37" w:rsidRDefault="006D6E37" w:rsidP="006D6E37">
      <w:pPr>
        <w:rPr>
          <w:rFonts w:ascii="Arial" w:hAnsi="Arial" w:cs="Arial"/>
        </w:rPr>
      </w:pPr>
      <w:r w:rsidRPr="006D6E37">
        <w:rPr>
          <w:rFonts w:ascii="Arial" w:hAnsi="Arial" w:cs="Arial"/>
        </w:rPr>
        <w:t xml:space="preserve">Investment in cleaner production technologies is one of the key sources for achieving competitive advantage (Hooley et al., 2024). As per L (2023), BHP has reduced carbon emissions from the year 2022 with a decrease of 26% from the previous year level. BHP has signed up for approximately US$4bn to reduce carbon emissions till the end of 2030. These initiatives will support </w:t>
      </w:r>
      <w:proofErr w:type="spellStart"/>
      <w:r w:rsidRPr="006D6E37">
        <w:rPr>
          <w:rFonts w:ascii="Arial" w:hAnsi="Arial" w:cs="Arial"/>
        </w:rPr>
        <w:t>decarbonisation</w:t>
      </w:r>
      <w:proofErr w:type="spellEnd"/>
      <w:r w:rsidRPr="006D6E37">
        <w:rPr>
          <w:rFonts w:ascii="Arial" w:hAnsi="Arial" w:cs="Arial"/>
        </w:rPr>
        <w:t xml:space="preserve">, which include operational efficiency improvements, renewable electricity and electrification of mines (BHP, 2024). The investments not only </w:t>
      </w:r>
      <w:proofErr w:type="spellStart"/>
      <w:r w:rsidRPr="006D6E37">
        <w:rPr>
          <w:rFonts w:ascii="Arial" w:hAnsi="Arial" w:cs="Arial"/>
        </w:rPr>
        <w:t>minimise</w:t>
      </w:r>
      <w:proofErr w:type="spellEnd"/>
      <w:r w:rsidRPr="006D6E37">
        <w:rPr>
          <w:rFonts w:ascii="Arial" w:hAnsi="Arial" w:cs="Arial"/>
        </w:rPr>
        <w:t xml:space="preserve"> the emissions generated in the operation but also enable the company to use them as a source for meeting customers' demand for environmentally friendly supply chains for their minerals needs. </w:t>
      </w:r>
    </w:p>
    <w:p w14:paraId="5FF8C72C"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0" distB="0" distL="0" distR="0" wp14:anchorId="546C28C4" wp14:editId="5464C131">
            <wp:extent cx="4495800" cy="2834852"/>
            <wp:effectExtent l="0" t="0" r="0" b="3810"/>
            <wp:docPr id="1845767912" name="Picture 4" descr="BHP to Spend $4B to Decarbonize by 2030, Carbon Emissions Spikes Up  Near-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67912" name="Picture 5" descr="BHP to Spend $4B to Decarbonize by 2030, Carbon Emissions Spikes Up  Near-Term"/>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00609" cy="2837884"/>
                    </a:xfrm>
                    <a:prstGeom prst="rect">
                      <a:avLst/>
                    </a:prstGeom>
                    <a:noFill/>
                    <a:ln>
                      <a:noFill/>
                    </a:ln>
                  </pic:spPr>
                </pic:pic>
              </a:graphicData>
            </a:graphic>
          </wp:inline>
        </w:drawing>
      </w:r>
    </w:p>
    <w:p w14:paraId="65FDC5D0" w14:textId="77777777" w:rsidR="006D6E37" w:rsidRPr="006D6E37" w:rsidRDefault="006D6E37" w:rsidP="006D6E37">
      <w:pPr>
        <w:pStyle w:val="Heading4"/>
        <w:rPr>
          <w:rFonts w:ascii="Arial" w:hAnsi="Arial" w:cs="Arial"/>
        </w:rPr>
      </w:pPr>
      <w:bookmarkStart w:id="17" w:name="_Toc235707049"/>
      <w:r w:rsidRPr="006D6E37">
        <w:rPr>
          <w:rFonts w:ascii="Arial" w:hAnsi="Arial" w:cs="Arial"/>
        </w:rPr>
        <w:t>Figure 7: Results of BHP approach to reduce Carbon Emission</w:t>
      </w:r>
      <w:bookmarkEnd w:id="17"/>
    </w:p>
    <w:p w14:paraId="539AACCE" w14:textId="77777777" w:rsidR="006D6E37" w:rsidRPr="006D6E37" w:rsidRDefault="006D6E37" w:rsidP="006D6E37">
      <w:pPr>
        <w:jc w:val="center"/>
        <w:rPr>
          <w:rFonts w:ascii="Arial" w:hAnsi="Arial" w:cs="Arial"/>
        </w:rPr>
      </w:pPr>
      <w:r w:rsidRPr="006D6E37">
        <w:rPr>
          <w:rFonts w:ascii="Arial" w:hAnsi="Arial" w:cs="Arial"/>
        </w:rPr>
        <w:t>(Source: L, 2023)</w:t>
      </w:r>
    </w:p>
    <w:p w14:paraId="6FE4386B"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People</w:t>
      </w:r>
    </w:p>
    <w:p w14:paraId="21555C0E" w14:textId="77777777" w:rsidR="006D6E37" w:rsidRPr="006D6E37" w:rsidRDefault="006D6E37" w:rsidP="006D6E37">
      <w:pPr>
        <w:rPr>
          <w:rFonts w:ascii="Arial" w:hAnsi="Arial" w:cs="Arial"/>
        </w:rPr>
      </w:pPr>
      <w:r w:rsidRPr="006D6E37">
        <w:rPr>
          <w:rFonts w:ascii="Arial" w:hAnsi="Arial" w:cs="Arial"/>
        </w:rPr>
        <w:t xml:space="preserve">Environmental performance also contributes to the company's disadvantages as it could hamper their reputation and the trust of its customers. In FY2025, BHP achieved a 5% reduction in operational greenhouse gas emissions, including a downward trend in scope 1 and scope 2 emissions, proving SBP's strategy to tackle emissions is yielding results (BHP Annual Report, 2025). The enhancement makes BHP's offerings more appealing to manufacturers looking to </w:t>
      </w:r>
      <w:proofErr w:type="spellStart"/>
      <w:r w:rsidRPr="006D6E37">
        <w:rPr>
          <w:rFonts w:ascii="Arial" w:hAnsi="Arial" w:cs="Arial"/>
        </w:rPr>
        <w:t>decarbonise</w:t>
      </w:r>
      <w:proofErr w:type="spellEnd"/>
      <w:r w:rsidRPr="006D6E37">
        <w:rPr>
          <w:rFonts w:ascii="Arial" w:hAnsi="Arial" w:cs="Arial"/>
        </w:rPr>
        <w:t xml:space="preserve"> their value chain. As per Zheng et al. (2024), the company also achieved an operating profit of US$19.5 billion, demonstrating that making investments in sustainability doesn't come at the cost of good financial performance.</w:t>
      </w:r>
    </w:p>
    <w:p w14:paraId="62B9503D"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0" distB="0" distL="0" distR="0" wp14:anchorId="38545469" wp14:editId="1637114B">
            <wp:extent cx="4919565" cy="2701381"/>
            <wp:effectExtent l="0" t="0" r="0" b="3810"/>
            <wp:docPr id="1585764474" name="Picture 5" descr="BHP decarbonisation road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64474" name="Picture 7" descr="BHP decarbonisation roadmap"/>
                    <pic:cNvPicPr>
                      <a:picLocks noChangeAspect="1" noChangeArrowheads="1"/>
                    </pic:cNvPicPr>
                  </pic:nvPicPr>
                  <pic:blipFill>
                    <a:blip r:embed="rId16">
                      <a:extLst>
                        <a:ext uri="{28A0092B-C50C-407E-A947-70E740481C1C}">
                          <a14:useLocalDpi xmlns:a14="http://schemas.microsoft.com/office/drawing/2010/main" val="0"/>
                        </a:ext>
                      </a:extLst>
                    </a:blip>
                    <a:srcRect t="7458"/>
                    <a:stretch>
                      <a:fillRect/>
                    </a:stretch>
                  </pic:blipFill>
                  <pic:spPr bwMode="auto">
                    <a:xfrm>
                      <a:off x="0" y="0"/>
                      <a:ext cx="4921977" cy="2702705"/>
                    </a:xfrm>
                    <a:prstGeom prst="rect">
                      <a:avLst/>
                    </a:prstGeom>
                    <a:noFill/>
                    <a:ln>
                      <a:noFill/>
                    </a:ln>
                    <a:extLst>
                      <a:ext uri="{53640926-AAD7-44D8-BBD7-CCE9431645EC}">
                        <a14:shadowObscured xmlns:a14="http://schemas.microsoft.com/office/drawing/2010/main"/>
                      </a:ext>
                    </a:extLst>
                  </pic:spPr>
                </pic:pic>
              </a:graphicData>
            </a:graphic>
          </wp:inline>
        </w:drawing>
      </w:r>
    </w:p>
    <w:p w14:paraId="7A48151D" w14:textId="77777777" w:rsidR="006D6E37" w:rsidRPr="006D6E37" w:rsidRDefault="006D6E37" w:rsidP="006D6E37">
      <w:pPr>
        <w:pStyle w:val="Heading4"/>
        <w:rPr>
          <w:rFonts w:ascii="Arial" w:hAnsi="Arial" w:cs="Arial"/>
        </w:rPr>
      </w:pPr>
      <w:bookmarkStart w:id="18" w:name="_Toc235707050"/>
      <w:r w:rsidRPr="006D6E37">
        <w:rPr>
          <w:rFonts w:ascii="Arial" w:hAnsi="Arial" w:cs="Arial"/>
        </w:rPr>
        <w:t>Figure 8: BHP’s emission results till 2023</w:t>
      </w:r>
      <w:bookmarkEnd w:id="18"/>
    </w:p>
    <w:p w14:paraId="3A5EFB63" w14:textId="77777777" w:rsidR="006D6E37" w:rsidRPr="006D6E37" w:rsidRDefault="006D6E37" w:rsidP="006D6E37">
      <w:pPr>
        <w:jc w:val="center"/>
        <w:rPr>
          <w:rFonts w:ascii="Arial" w:hAnsi="Arial" w:cs="Arial"/>
        </w:rPr>
      </w:pPr>
      <w:r w:rsidRPr="006D6E37">
        <w:rPr>
          <w:rFonts w:ascii="Arial" w:hAnsi="Arial" w:cs="Arial"/>
        </w:rPr>
        <w:t>(Source: Digital, 2026)</w:t>
      </w:r>
    </w:p>
    <w:p w14:paraId="68DED68F"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Profit</w:t>
      </w:r>
    </w:p>
    <w:p w14:paraId="47DA24BC" w14:textId="77777777" w:rsidR="006D6E37" w:rsidRPr="006D6E37" w:rsidRDefault="006D6E37" w:rsidP="006D6E37">
      <w:pPr>
        <w:rPr>
          <w:rFonts w:ascii="Arial" w:hAnsi="Arial" w:cs="Arial"/>
        </w:rPr>
      </w:pPr>
      <w:r w:rsidRPr="006D6E37">
        <w:rPr>
          <w:rFonts w:ascii="Arial" w:hAnsi="Arial" w:cs="Arial"/>
        </w:rPr>
        <w:t xml:space="preserve">The International Energy Agency (2024) estimates that investment in clean energy will be over $2 trillion in 2024, requiring a significant increase in demand for minerals like copper and nickel. This is vital to EVs and other renewable energy systems and their batteries. BHP is uniquely well placed to </w:t>
      </w:r>
      <w:proofErr w:type="spellStart"/>
      <w:r w:rsidRPr="006D6E37">
        <w:rPr>
          <w:rFonts w:ascii="Arial" w:hAnsi="Arial" w:cs="Arial"/>
        </w:rPr>
        <w:t>capitalise</w:t>
      </w:r>
      <w:proofErr w:type="spellEnd"/>
      <w:r w:rsidRPr="006D6E37">
        <w:rPr>
          <w:rFonts w:ascii="Arial" w:hAnsi="Arial" w:cs="Arial"/>
        </w:rPr>
        <w:t xml:space="preserve"> on this market opportunity, as it is ranked as the world's biggest copper producer in FY25 with copper production which provides an advantage for them. This reached record highs of 2 million </w:t>
      </w:r>
      <w:proofErr w:type="spellStart"/>
      <w:r w:rsidRPr="006D6E37">
        <w:rPr>
          <w:rFonts w:ascii="Arial" w:hAnsi="Arial" w:cs="Arial"/>
        </w:rPr>
        <w:t>tonnes</w:t>
      </w:r>
      <w:proofErr w:type="spellEnd"/>
      <w:r w:rsidRPr="006D6E37">
        <w:rPr>
          <w:rFonts w:ascii="Arial" w:hAnsi="Arial" w:cs="Arial"/>
        </w:rPr>
        <w:t xml:space="preserve">, meeting the increased demand of its customers and building its market share on the global cleantech side (Xiong, 2025).  The competitive advantage is further cemented by having strong stakeholder relationships. As per Digital (2026), BHP’s emissions in 2023 were 32% below the 2020 baseline, after adjusting for recent acquisitions and divestments. The advantage </w:t>
      </w:r>
      <w:proofErr w:type="gramStart"/>
      <w:r w:rsidRPr="006D6E37">
        <w:rPr>
          <w:rFonts w:ascii="Arial" w:hAnsi="Arial" w:cs="Arial"/>
        </w:rPr>
        <w:t>indicate</w:t>
      </w:r>
      <w:proofErr w:type="gramEnd"/>
      <w:r w:rsidRPr="006D6E37">
        <w:rPr>
          <w:rFonts w:ascii="Arial" w:hAnsi="Arial" w:cs="Arial"/>
        </w:rPr>
        <w:t xml:space="preserve"> the company's commitment to responsible business practices, which further reinforces its social license to operate and improves relationships between the company, governments and local communities. Moreover, BHP achieved a 41.3% representation of women in its workforce while decreasing its frequency of high-potential injuries by 18% (Agu et al., 2024). This demonstrates ongoing efforts to enhance the safety of the workplace and diversity of employees. </w:t>
      </w:r>
    </w:p>
    <w:p w14:paraId="16C012A5" w14:textId="77777777" w:rsidR="006D6E37" w:rsidRPr="006D6E37" w:rsidRDefault="006D6E37" w:rsidP="006D6E37">
      <w:pPr>
        <w:jc w:val="center"/>
        <w:rPr>
          <w:rFonts w:ascii="Arial" w:hAnsi="Arial" w:cs="Arial"/>
        </w:rPr>
      </w:pPr>
      <w:r w:rsidRPr="006D6E37">
        <w:rPr>
          <w:rFonts w:ascii="Arial" w:hAnsi="Arial" w:cs="Arial"/>
          <w:noProof/>
        </w:rPr>
        <w:lastRenderedPageBreak/>
        <w:drawing>
          <wp:inline distT="0" distB="0" distL="0" distR="0" wp14:anchorId="599F3938" wp14:editId="4C63046A">
            <wp:extent cx="4252328" cy="2781541"/>
            <wp:effectExtent l="0" t="0" r="0" b="0"/>
            <wp:docPr id="164937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76832" name=""/>
                    <pic:cNvPicPr/>
                  </pic:nvPicPr>
                  <pic:blipFill>
                    <a:blip r:embed="rId17"/>
                    <a:stretch>
                      <a:fillRect/>
                    </a:stretch>
                  </pic:blipFill>
                  <pic:spPr>
                    <a:xfrm>
                      <a:off x="0" y="0"/>
                      <a:ext cx="4252328" cy="2781541"/>
                    </a:xfrm>
                    <a:prstGeom prst="rect">
                      <a:avLst/>
                    </a:prstGeom>
                  </pic:spPr>
                </pic:pic>
              </a:graphicData>
            </a:graphic>
          </wp:inline>
        </w:drawing>
      </w:r>
    </w:p>
    <w:p w14:paraId="61980F51" w14:textId="77777777" w:rsidR="006D6E37" w:rsidRPr="006D6E37" w:rsidRDefault="006D6E37" w:rsidP="006D6E37">
      <w:pPr>
        <w:pStyle w:val="Heading4"/>
        <w:rPr>
          <w:rFonts w:ascii="Arial" w:hAnsi="Arial" w:cs="Arial"/>
        </w:rPr>
      </w:pPr>
      <w:bookmarkStart w:id="19" w:name="_Toc235707051"/>
      <w:r w:rsidRPr="006D6E37">
        <w:rPr>
          <w:rFonts w:ascii="Arial" w:hAnsi="Arial" w:cs="Arial"/>
        </w:rPr>
        <w:t>Figure 9: Marketing Mix Table of BHP</w:t>
      </w:r>
      <w:bookmarkEnd w:id="19"/>
    </w:p>
    <w:p w14:paraId="21908C4A" w14:textId="77777777" w:rsidR="006D6E37" w:rsidRPr="006D6E37" w:rsidRDefault="006D6E37" w:rsidP="006D6E37">
      <w:pPr>
        <w:jc w:val="center"/>
        <w:rPr>
          <w:rFonts w:ascii="Arial" w:hAnsi="Arial" w:cs="Arial"/>
        </w:rPr>
      </w:pPr>
      <w:r w:rsidRPr="006D6E37">
        <w:rPr>
          <w:rFonts w:ascii="Arial" w:hAnsi="Arial" w:cs="Arial"/>
        </w:rPr>
        <w:t>(Source: Self-Created)</w:t>
      </w:r>
    </w:p>
    <w:p w14:paraId="4162C202" w14:textId="77777777" w:rsidR="006D6E37" w:rsidRPr="006D6E37" w:rsidRDefault="006D6E37" w:rsidP="006D6E37">
      <w:pPr>
        <w:pStyle w:val="Heading1"/>
        <w:rPr>
          <w:rFonts w:ascii="Arial" w:hAnsi="Arial" w:cs="Arial"/>
          <w:sz w:val="24"/>
          <w:szCs w:val="24"/>
        </w:rPr>
      </w:pPr>
      <w:bookmarkStart w:id="20" w:name="_Toc235699519"/>
      <w:r w:rsidRPr="006D6E37">
        <w:rPr>
          <w:rFonts w:ascii="Arial" w:hAnsi="Arial" w:cs="Arial"/>
          <w:sz w:val="24"/>
          <w:szCs w:val="24"/>
        </w:rPr>
        <w:t>Task 3: Critical Reflection on AI Usage</w:t>
      </w:r>
      <w:bookmarkEnd w:id="20"/>
    </w:p>
    <w:p w14:paraId="04B99960" w14:textId="77777777" w:rsidR="006D6E37" w:rsidRPr="006D6E37" w:rsidRDefault="006D6E37" w:rsidP="006D6E37">
      <w:pPr>
        <w:pStyle w:val="Heading2"/>
        <w:rPr>
          <w:rFonts w:ascii="Arial" w:eastAsia="Times New Roman" w:hAnsi="Arial" w:cs="Arial"/>
          <w:sz w:val="24"/>
          <w:szCs w:val="24"/>
        </w:rPr>
      </w:pPr>
      <w:bookmarkStart w:id="21" w:name="_Toc235699520"/>
      <w:r w:rsidRPr="006D6E37">
        <w:rPr>
          <w:rFonts w:ascii="Arial" w:eastAsia="Times New Roman" w:hAnsi="Arial" w:cs="Arial"/>
          <w:sz w:val="24"/>
          <w:szCs w:val="24"/>
        </w:rPr>
        <w:t>3.1 Tool Disclosure</w:t>
      </w:r>
      <w:bookmarkEnd w:id="21"/>
    </w:p>
    <w:p w14:paraId="5F3DB8C3" w14:textId="77777777" w:rsidR="006D6E37" w:rsidRPr="006D6E37" w:rsidRDefault="006D6E37" w:rsidP="006D6E37">
      <w:pPr>
        <w:rPr>
          <w:rFonts w:ascii="Arial" w:hAnsi="Arial" w:cs="Arial"/>
        </w:rPr>
      </w:pPr>
      <w:r w:rsidRPr="006D6E37">
        <w:rPr>
          <w:rFonts w:ascii="Arial" w:hAnsi="Arial" w:cs="Arial"/>
        </w:rPr>
        <w:t xml:space="preserve">During the conduct of university assessments, I have </w:t>
      </w:r>
      <w:proofErr w:type="spellStart"/>
      <w:r w:rsidRPr="006D6E37">
        <w:rPr>
          <w:rFonts w:ascii="Arial" w:hAnsi="Arial" w:cs="Arial"/>
        </w:rPr>
        <w:t>utilised</w:t>
      </w:r>
      <w:proofErr w:type="spellEnd"/>
      <w:r w:rsidRPr="006D6E37">
        <w:rPr>
          <w:rFonts w:ascii="Arial" w:hAnsi="Arial" w:cs="Arial"/>
        </w:rPr>
        <w:t xml:space="preserve"> AI technology for performing detailed research on topics that helped me towards locating adequate resources on obscure subject matters. For instance, almost 80% of doctoral students have mentioned using various AI tools such as ChatGPT and Google Gemini for performing critical research tasks without any major disruptions (</w:t>
      </w:r>
      <w:r w:rsidRPr="006D6E37">
        <w:rPr>
          <w:rFonts w:ascii="Arial" w:hAnsi="Arial" w:cs="Arial"/>
          <w:color w:val="222222"/>
        </w:rPr>
        <w:t xml:space="preserve">El Hani </w:t>
      </w:r>
      <w:r w:rsidRPr="006D6E37">
        <w:rPr>
          <w:rFonts w:ascii="Arial" w:hAnsi="Arial" w:cs="Arial"/>
          <w:i/>
          <w:iCs/>
          <w:color w:val="222222"/>
        </w:rPr>
        <w:t xml:space="preserve">et al. </w:t>
      </w:r>
      <w:r w:rsidRPr="006D6E37">
        <w:rPr>
          <w:rFonts w:ascii="Arial" w:hAnsi="Arial" w:cs="Arial"/>
          <w:color w:val="222222"/>
        </w:rPr>
        <w:t>2025)</w:t>
      </w:r>
      <w:r w:rsidRPr="006D6E37">
        <w:rPr>
          <w:rFonts w:ascii="Arial" w:hAnsi="Arial" w:cs="Arial"/>
        </w:rPr>
        <w:t>. I have personally felt that the AI technology usage has greatly improved my research skills in locating viable websites and journal articles on diverse tasks. The artificial intelligence has also been useful in the identification of industry trends and reports published by both the government and the corporation itself, thus increasing the validity of the research.</w:t>
      </w:r>
    </w:p>
    <w:p w14:paraId="5DE5F637" w14:textId="77777777" w:rsidR="006D6E37" w:rsidRPr="006D6E37" w:rsidRDefault="006D6E37" w:rsidP="006D6E37">
      <w:pPr>
        <w:pStyle w:val="Heading2"/>
        <w:rPr>
          <w:rFonts w:ascii="Arial" w:eastAsia="Times New Roman" w:hAnsi="Arial" w:cs="Arial"/>
          <w:sz w:val="24"/>
          <w:szCs w:val="24"/>
        </w:rPr>
      </w:pPr>
      <w:bookmarkStart w:id="22" w:name="_Toc235699521"/>
      <w:r w:rsidRPr="006D6E37">
        <w:rPr>
          <w:rFonts w:ascii="Arial" w:eastAsia="Times New Roman" w:hAnsi="Arial" w:cs="Arial"/>
          <w:sz w:val="24"/>
          <w:szCs w:val="24"/>
        </w:rPr>
        <w:t>3.2 Critical Analysis of AI Output</w:t>
      </w:r>
      <w:bookmarkEnd w:id="22"/>
    </w:p>
    <w:p w14:paraId="5A2392F7" w14:textId="77777777" w:rsidR="006D6E37" w:rsidRPr="006D6E37" w:rsidRDefault="006D6E37" w:rsidP="006D6E37">
      <w:pPr>
        <w:rPr>
          <w:rFonts w:ascii="Arial" w:hAnsi="Arial" w:cs="Arial"/>
        </w:rPr>
      </w:pPr>
      <w:r w:rsidRPr="006D6E37">
        <w:rPr>
          <w:rFonts w:ascii="Arial" w:hAnsi="Arial" w:cs="Arial"/>
        </w:rPr>
        <w:t xml:space="preserve">During the usage of AI systems, I have </w:t>
      </w:r>
      <w:proofErr w:type="spellStart"/>
      <w:r w:rsidRPr="006D6E37">
        <w:rPr>
          <w:rFonts w:ascii="Arial" w:hAnsi="Arial" w:cs="Arial"/>
        </w:rPr>
        <w:t>utilised</w:t>
      </w:r>
      <w:proofErr w:type="spellEnd"/>
      <w:r w:rsidRPr="006D6E37">
        <w:rPr>
          <w:rFonts w:ascii="Arial" w:hAnsi="Arial" w:cs="Arial"/>
        </w:rPr>
        <w:t xml:space="preserve"> the Retrieval-Augmented Generation (RAG) features involved with different smart systems for locating the source documents that can help me to verify system accuracy levels. I have also performed a detailed </w:t>
      </w:r>
      <w:r w:rsidRPr="006D6E37">
        <w:rPr>
          <w:rFonts w:ascii="Arial" w:hAnsi="Arial" w:cs="Arial"/>
        </w:rPr>
        <w:lastRenderedPageBreak/>
        <w:t xml:space="preserve">consistency check for the AI feedback provided by the system to locate potential hallucinations and system errors that can degrade my task standards. In my opinion, the </w:t>
      </w:r>
      <w:proofErr w:type="spellStart"/>
      <w:r w:rsidRPr="006D6E37">
        <w:rPr>
          <w:rFonts w:ascii="Arial" w:hAnsi="Arial" w:cs="Arial"/>
        </w:rPr>
        <w:t>utilisation</w:t>
      </w:r>
      <w:proofErr w:type="spellEnd"/>
      <w:r w:rsidRPr="006D6E37">
        <w:rPr>
          <w:rFonts w:ascii="Arial" w:hAnsi="Arial" w:cs="Arial"/>
        </w:rPr>
        <w:t xml:space="preserve"> of Human-in-the-Loop (HITL) interventions has proven to be an effective technique for improving the AI feedback quality through lowering error factors. The factual accuracy of the AI-produced responses has been verified with the help of peer-reviewed journal articles.</w:t>
      </w:r>
    </w:p>
    <w:p w14:paraId="21C9F8A8" w14:textId="77777777" w:rsidR="006D6E37" w:rsidRPr="006D6E37" w:rsidRDefault="006D6E37" w:rsidP="006D6E37">
      <w:pPr>
        <w:pStyle w:val="Heading2"/>
        <w:rPr>
          <w:rFonts w:ascii="Arial" w:hAnsi="Arial" w:cs="Arial"/>
          <w:sz w:val="24"/>
          <w:szCs w:val="24"/>
        </w:rPr>
      </w:pPr>
      <w:bookmarkStart w:id="23" w:name="_Toc235699522"/>
      <w:r w:rsidRPr="006D6E37">
        <w:rPr>
          <w:rFonts w:ascii="Arial" w:hAnsi="Arial" w:cs="Arial"/>
          <w:sz w:val="24"/>
          <w:szCs w:val="24"/>
        </w:rPr>
        <w:t>3.3 Contribution Analysis</w:t>
      </w:r>
      <w:bookmarkEnd w:id="23"/>
    </w:p>
    <w:p w14:paraId="5C550039" w14:textId="77777777" w:rsidR="006D6E37" w:rsidRPr="006D6E37" w:rsidRDefault="006D6E37" w:rsidP="006D6E37">
      <w:pPr>
        <w:rPr>
          <w:rFonts w:ascii="Arial" w:hAnsi="Arial" w:cs="Arial"/>
        </w:rPr>
      </w:pPr>
      <w:r w:rsidRPr="006D6E37">
        <w:rPr>
          <w:rFonts w:ascii="Arial" w:hAnsi="Arial" w:cs="Arial"/>
        </w:rPr>
        <w:t xml:space="preserve">AI did most of the work to generate first drafts, assist with </w:t>
      </w:r>
      <w:proofErr w:type="spellStart"/>
      <w:r w:rsidRPr="006D6E37">
        <w:rPr>
          <w:rFonts w:ascii="Arial" w:hAnsi="Arial" w:cs="Arial"/>
        </w:rPr>
        <w:t>summarising</w:t>
      </w:r>
      <w:proofErr w:type="spellEnd"/>
      <w:r w:rsidRPr="006D6E37">
        <w:rPr>
          <w:rFonts w:ascii="Arial" w:hAnsi="Arial" w:cs="Arial"/>
        </w:rPr>
        <w:t xml:space="preserve"> theoretical concepts, and provide appropriate report structures. It also helped refine sentence structure and provided a way to structure information into sections. The critical analysis and evaluation of BHP's marketing environment, the choice of the sustainable growth strategy and the justification of the product development strategy and recommendations to secure competitive advantage (</w:t>
      </w:r>
      <w:proofErr w:type="spellStart"/>
      <w:r w:rsidRPr="006D6E37">
        <w:rPr>
          <w:rFonts w:ascii="Arial" w:hAnsi="Arial" w:cs="Arial"/>
        </w:rPr>
        <w:t>Gholiagha</w:t>
      </w:r>
      <w:proofErr w:type="spellEnd"/>
      <w:r w:rsidRPr="006D6E37">
        <w:rPr>
          <w:rFonts w:ascii="Arial" w:hAnsi="Arial" w:cs="Arial"/>
        </w:rPr>
        <w:t xml:space="preserve"> et al., 2026). My own interpretations of academic literature, the former literature being sourced from company reports. I independently chose the numerical evidence, incorporated a wide range of sources, edited arguments and made sure that the report covered the assessment criteria. I have individually improved the structure of the paper and provided the critical discussion along with the most up-to-date statistics from credible sources. All of the conclusions and recommendations which I have provided have been based on my personal opinion, after </w:t>
      </w:r>
      <w:proofErr w:type="spellStart"/>
      <w:r w:rsidRPr="006D6E37">
        <w:rPr>
          <w:rFonts w:ascii="Arial" w:hAnsi="Arial" w:cs="Arial"/>
        </w:rPr>
        <w:t>analysing</w:t>
      </w:r>
      <w:proofErr w:type="spellEnd"/>
      <w:r w:rsidRPr="006D6E37">
        <w:rPr>
          <w:rFonts w:ascii="Arial" w:hAnsi="Arial" w:cs="Arial"/>
        </w:rPr>
        <w:t xml:space="preserve"> the relevant academic and industrial sources.</w:t>
      </w:r>
    </w:p>
    <w:p w14:paraId="43F67794" w14:textId="77777777" w:rsidR="006D6E37" w:rsidRPr="006D6E37" w:rsidRDefault="006D6E37" w:rsidP="006D6E37">
      <w:pPr>
        <w:pStyle w:val="Heading2"/>
        <w:rPr>
          <w:rFonts w:ascii="Arial" w:hAnsi="Arial" w:cs="Arial"/>
          <w:sz w:val="24"/>
          <w:szCs w:val="24"/>
        </w:rPr>
      </w:pPr>
      <w:bookmarkStart w:id="24" w:name="_Toc235699523"/>
      <w:r w:rsidRPr="006D6E37">
        <w:rPr>
          <w:rFonts w:ascii="Arial" w:hAnsi="Arial" w:cs="Arial"/>
          <w:sz w:val="24"/>
          <w:szCs w:val="24"/>
        </w:rPr>
        <w:t>3.4 Ethical and Professional Reflection</w:t>
      </w:r>
      <w:bookmarkEnd w:id="24"/>
    </w:p>
    <w:p w14:paraId="61563FAE" w14:textId="77777777" w:rsidR="006D6E37" w:rsidRPr="006D6E37" w:rsidRDefault="006D6E37" w:rsidP="006D6E37">
      <w:pPr>
        <w:rPr>
          <w:rFonts w:ascii="Arial" w:hAnsi="Arial" w:cs="Arial"/>
        </w:rPr>
      </w:pPr>
      <w:r w:rsidRPr="006D6E37">
        <w:rPr>
          <w:rFonts w:ascii="Arial" w:hAnsi="Arial" w:cs="Arial"/>
        </w:rPr>
        <w:t>Leveraging AI in marketing analysis offers several advantages, including making the process more efficient, generating ideas and aiding in data interpretation. AI outputs should be used wisely, however, as it may produce false information or a reference list or conclusion that is unreliable if outputs are not verified. However, any use of AI must be ethical, free from plagiarism and trans clear, which includes proper attribution of any sources that were used (</w:t>
      </w:r>
      <w:proofErr w:type="spellStart"/>
      <w:r w:rsidRPr="006D6E37">
        <w:rPr>
          <w:rFonts w:ascii="Arial" w:hAnsi="Arial" w:cs="Arial"/>
        </w:rPr>
        <w:t>Gholiagha</w:t>
      </w:r>
      <w:proofErr w:type="spellEnd"/>
      <w:r w:rsidRPr="006D6E37">
        <w:rPr>
          <w:rFonts w:ascii="Arial" w:hAnsi="Arial" w:cs="Arial"/>
        </w:rPr>
        <w:t xml:space="preserve"> et al., 2026). It is essential for marketing professionals to make sure that AI is used to assist rather than replace thinking and decision-making. It is important to use the AI tool in a responsible way while maintaining </w:t>
      </w:r>
      <w:r w:rsidRPr="006D6E37">
        <w:rPr>
          <w:rFonts w:ascii="Arial" w:hAnsi="Arial" w:cs="Arial"/>
        </w:rPr>
        <w:lastRenderedPageBreak/>
        <w:t>human supervision throughout the whole assessment process. Ethical judgment should play a key role in the assessment of the information credibility.</w:t>
      </w:r>
    </w:p>
    <w:p w14:paraId="44D5EB06" w14:textId="77777777" w:rsidR="006D6E37" w:rsidRPr="006D6E37" w:rsidRDefault="006D6E37" w:rsidP="006D6E37">
      <w:pPr>
        <w:pStyle w:val="Heading1"/>
        <w:rPr>
          <w:rFonts w:ascii="Arial" w:hAnsi="Arial" w:cs="Arial"/>
          <w:sz w:val="24"/>
          <w:szCs w:val="24"/>
        </w:rPr>
      </w:pPr>
      <w:bookmarkStart w:id="25" w:name="_Toc235699524"/>
      <w:r w:rsidRPr="006D6E37">
        <w:rPr>
          <w:rFonts w:ascii="Arial" w:hAnsi="Arial" w:cs="Arial"/>
          <w:sz w:val="24"/>
          <w:szCs w:val="24"/>
        </w:rPr>
        <w:t>Conclusion</w:t>
      </w:r>
      <w:bookmarkEnd w:id="25"/>
    </w:p>
    <w:p w14:paraId="5DA625D6" w14:textId="77777777" w:rsidR="006D6E37" w:rsidRPr="006D6E37" w:rsidRDefault="006D6E37" w:rsidP="006D6E37">
      <w:pPr>
        <w:rPr>
          <w:rFonts w:ascii="Arial" w:hAnsi="Arial" w:cs="Arial"/>
        </w:rPr>
      </w:pPr>
      <w:r w:rsidRPr="006D6E37">
        <w:rPr>
          <w:rFonts w:ascii="Arial" w:hAnsi="Arial" w:cs="Arial"/>
        </w:rPr>
        <w:t xml:space="preserve">Within the analysis of BHP’s marketing environment, the effect of environmental and legal factors on the company’s performance and sustainability was taken into account. More specifically, it is evident that such elements as climate change, carbon emissions, and environmental regulations had an effect on the strategy of the firm and made it develop more responsible attitudes towards mining activities.  </w:t>
      </w:r>
      <w:r w:rsidRPr="006D6E37">
        <w:rPr>
          <w:rFonts w:ascii="Arial" w:hAnsi="Arial" w:cs="Arial"/>
        </w:rPr>
        <w:br w:type="page"/>
      </w:r>
    </w:p>
    <w:p w14:paraId="4A0668B8" w14:textId="77777777" w:rsidR="006D6E37" w:rsidRPr="006D6E37" w:rsidRDefault="006D6E37" w:rsidP="006D6E37">
      <w:pPr>
        <w:pStyle w:val="Heading1"/>
        <w:rPr>
          <w:rFonts w:ascii="Arial" w:hAnsi="Arial" w:cs="Arial"/>
          <w:sz w:val="24"/>
          <w:szCs w:val="24"/>
        </w:rPr>
      </w:pPr>
      <w:bookmarkStart w:id="26" w:name="_Toc235699525"/>
      <w:r w:rsidRPr="006D6E37">
        <w:rPr>
          <w:rFonts w:ascii="Arial" w:hAnsi="Arial" w:cs="Arial"/>
          <w:sz w:val="24"/>
          <w:szCs w:val="24"/>
        </w:rPr>
        <w:lastRenderedPageBreak/>
        <w:t>Reference List</w:t>
      </w:r>
      <w:bookmarkEnd w:id="26"/>
    </w:p>
    <w:p w14:paraId="72EC3CD9"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Core Text</w:t>
      </w:r>
    </w:p>
    <w:p w14:paraId="6BE74126" w14:textId="77777777" w:rsidR="006D6E37" w:rsidRPr="006D6E37" w:rsidRDefault="006D6E37" w:rsidP="006D6E37">
      <w:pPr>
        <w:rPr>
          <w:rFonts w:ascii="Arial" w:hAnsi="Arial" w:cs="Arial"/>
        </w:rPr>
      </w:pPr>
      <w:r w:rsidRPr="006D6E37">
        <w:rPr>
          <w:rFonts w:ascii="Arial" w:hAnsi="Arial" w:cs="Arial"/>
        </w:rPr>
        <w:t xml:space="preserve">Kotler, P., Armstrong, G., Harris, L.C. and He, H. (2024) </w:t>
      </w:r>
      <w:r w:rsidRPr="006D6E37">
        <w:rPr>
          <w:rFonts w:ascii="Arial" w:hAnsi="Arial" w:cs="Arial"/>
          <w:i/>
          <w:iCs/>
        </w:rPr>
        <w:t xml:space="preserve">Principles of marketing. 19th </w:t>
      </w:r>
      <w:proofErr w:type="spellStart"/>
      <w:r w:rsidRPr="006D6E37">
        <w:rPr>
          <w:rFonts w:ascii="Arial" w:hAnsi="Arial" w:cs="Arial"/>
          <w:i/>
          <w:iCs/>
        </w:rPr>
        <w:t>edn</w:t>
      </w:r>
      <w:proofErr w:type="spellEnd"/>
      <w:r w:rsidRPr="006D6E37">
        <w:rPr>
          <w:rFonts w:ascii="Arial" w:hAnsi="Arial" w:cs="Arial"/>
        </w:rPr>
        <w:t xml:space="preserve">. Harlow: Pearson. </w:t>
      </w:r>
    </w:p>
    <w:p w14:paraId="21BB3370" w14:textId="77777777" w:rsidR="006D6E37" w:rsidRPr="006D6E37" w:rsidRDefault="006D6E37" w:rsidP="006D6E37">
      <w:pPr>
        <w:rPr>
          <w:rFonts w:ascii="Arial" w:hAnsi="Arial" w:cs="Arial"/>
        </w:rPr>
      </w:pPr>
      <w:r w:rsidRPr="006D6E37">
        <w:rPr>
          <w:rFonts w:ascii="Arial" w:hAnsi="Arial" w:cs="Arial"/>
        </w:rPr>
        <w:t xml:space="preserve">Hooley, G. J., </w:t>
      </w:r>
      <w:proofErr w:type="spellStart"/>
      <w:r w:rsidRPr="006D6E37">
        <w:rPr>
          <w:rFonts w:ascii="Arial" w:hAnsi="Arial" w:cs="Arial"/>
        </w:rPr>
        <w:t>Nicoulaud</w:t>
      </w:r>
      <w:proofErr w:type="spellEnd"/>
      <w:r w:rsidRPr="006D6E37">
        <w:rPr>
          <w:rFonts w:ascii="Arial" w:hAnsi="Arial" w:cs="Arial"/>
        </w:rPr>
        <w:t xml:space="preserve">, B., Rudd, J. M., and Lee, N. (2024) </w:t>
      </w:r>
      <w:r w:rsidRPr="006D6E37">
        <w:rPr>
          <w:rFonts w:ascii="Arial" w:hAnsi="Arial" w:cs="Arial"/>
          <w:i/>
          <w:iCs/>
        </w:rPr>
        <w:t>Marketing strategy and competitive positioning. Eighth edition</w:t>
      </w:r>
      <w:r w:rsidRPr="006D6E37">
        <w:rPr>
          <w:rFonts w:ascii="Arial" w:hAnsi="Arial" w:cs="Arial"/>
        </w:rPr>
        <w:t>. Harlow, England; Pearson.</w:t>
      </w:r>
    </w:p>
    <w:p w14:paraId="25B10111" w14:textId="77777777" w:rsidR="006D6E37" w:rsidRPr="006D6E37" w:rsidRDefault="006D6E37" w:rsidP="006D6E37">
      <w:pPr>
        <w:tabs>
          <w:tab w:val="left" w:pos="720"/>
        </w:tabs>
        <w:rPr>
          <w:rFonts w:ascii="Arial" w:hAnsi="Arial" w:cs="Arial"/>
        </w:rPr>
      </w:pPr>
      <w:r w:rsidRPr="006D6E37">
        <w:rPr>
          <w:rFonts w:ascii="Arial" w:hAnsi="Arial" w:cs="Arial"/>
        </w:rPr>
        <w:t xml:space="preserve">Johnson, G., Whittington, R., Scholes, K., Angwin, D., and </w:t>
      </w:r>
      <w:proofErr w:type="spellStart"/>
      <w:r w:rsidRPr="006D6E37">
        <w:rPr>
          <w:rFonts w:ascii="Arial" w:hAnsi="Arial" w:cs="Arial"/>
        </w:rPr>
        <w:t>Regnér</w:t>
      </w:r>
      <w:proofErr w:type="spellEnd"/>
      <w:r w:rsidRPr="006D6E37">
        <w:rPr>
          <w:rFonts w:ascii="Arial" w:hAnsi="Arial" w:cs="Arial"/>
        </w:rPr>
        <w:t>, P. (2017) </w:t>
      </w:r>
      <w:r w:rsidRPr="006D6E37">
        <w:rPr>
          <w:rFonts w:ascii="Arial" w:hAnsi="Arial" w:cs="Arial"/>
          <w:i/>
          <w:iCs/>
        </w:rPr>
        <w:t>Exploring strategy: text and cases</w:t>
      </w:r>
      <w:r w:rsidRPr="006D6E37">
        <w:rPr>
          <w:rFonts w:ascii="Arial" w:hAnsi="Arial" w:cs="Arial"/>
        </w:rPr>
        <w:t>. Eleventh edition. Harlow: Pearson Education Limited.</w:t>
      </w:r>
    </w:p>
    <w:p w14:paraId="1282B78E"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 xml:space="preserve">Journal Articles </w:t>
      </w:r>
    </w:p>
    <w:p w14:paraId="3BC875EA" w14:textId="77777777" w:rsidR="006D6E37" w:rsidRPr="006D6E37" w:rsidRDefault="006D6E37" w:rsidP="006D6E37">
      <w:pPr>
        <w:rPr>
          <w:rFonts w:ascii="Arial" w:hAnsi="Arial" w:cs="Arial"/>
        </w:rPr>
      </w:pPr>
      <w:r w:rsidRPr="006D6E37">
        <w:rPr>
          <w:rFonts w:ascii="Arial" w:hAnsi="Arial" w:cs="Arial"/>
        </w:rPr>
        <w:t xml:space="preserve">Agu, E.E., </w:t>
      </w:r>
      <w:proofErr w:type="spellStart"/>
      <w:r w:rsidRPr="006D6E37">
        <w:rPr>
          <w:rFonts w:ascii="Arial" w:hAnsi="Arial" w:cs="Arial"/>
        </w:rPr>
        <w:t>Iyelolu</w:t>
      </w:r>
      <w:proofErr w:type="spellEnd"/>
      <w:r w:rsidRPr="006D6E37">
        <w:rPr>
          <w:rFonts w:ascii="Arial" w:hAnsi="Arial" w:cs="Arial"/>
        </w:rPr>
        <w:t xml:space="preserve">, T.V., Idemudia, C. and </w:t>
      </w:r>
      <w:proofErr w:type="spellStart"/>
      <w:r w:rsidRPr="006D6E37">
        <w:rPr>
          <w:rFonts w:ascii="Arial" w:hAnsi="Arial" w:cs="Arial"/>
        </w:rPr>
        <w:t>Ijomah</w:t>
      </w:r>
      <w:proofErr w:type="spellEnd"/>
      <w:r w:rsidRPr="006D6E37">
        <w:rPr>
          <w:rFonts w:ascii="Arial" w:hAnsi="Arial" w:cs="Arial"/>
        </w:rPr>
        <w:t>, T.I., (2024). Exploring the relationship between sustainable business practices and increased brand loyalty. </w:t>
      </w:r>
      <w:r w:rsidRPr="006D6E37">
        <w:rPr>
          <w:rFonts w:ascii="Arial" w:hAnsi="Arial" w:cs="Arial"/>
          <w:i/>
          <w:iCs/>
        </w:rPr>
        <w:t>International Journal of Management &amp; Entrepreneurship Research</w:t>
      </w:r>
      <w:r w:rsidRPr="006D6E37">
        <w:rPr>
          <w:rFonts w:ascii="Arial" w:hAnsi="Arial" w:cs="Arial"/>
        </w:rPr>
        <w:t>, </w:t>
      </w:r>
      <w:r w:rsidRPr="006D6E37">
        <w:rPr>
          <w:rFonts w:ascii="Arial" w:hAnsi="Arial" w:cs="Arial"/>
          <w:i/>
          <w:iCs/>
        </w:rPr>
        <w:t>6</w:t>
      </w:r>
      <w:r w:rsidRPr="006D6E37">
        <w:rPr>
          <w:rFonts w:ascii="Arial" w:hAnsi="Arial" w:cs="Arial"/>
        </w:rPr>
        <w:t xml:space="preserve">(8), pp.2463-2475. </w:t>
      </w:r>
      <w:hyperlink r:id="rId18" w:history="1">
        <w:r w:rsidRPr="006D6E37">
          <w:rPr>
            <w:rStyle w:val="Hyperlink"/>
            <w:rFonts w:ascii="Arial" w:hAnsi="Arial" w:cs="Arial"/>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146055BF" w14:textId="77777777" w:rsidR="006D6E37" w:rsidRPr="006D6E37" w:rsidRDefault="006D6E37" w:rsidP="006D6E37">
      <w:pPr>
        <w:rPr>
          <w:rFonts w:ascii="Arial" w:hAnsi="Arial" w:cs="Arial"/>
        </w:rPr>
      </w:pPr>
      <w:r w:rsidRPr="006D6E37">
        <w:rPr>
          <w:rFonts w:ascii="Arial" w:hAnsi="Arial" w:cs="Arial"/>
          <w:color w:val="222222"/>
        </w:rPr>
        <w:t xml:space="preserve">EL HANI, Z., KARROUM, J., ELOUADI, A. and MOUMEN, A., (2025). Artificial intelligence in academic research: Benefits, challenges, and ethical dimensions in doctoral studies. </w:t>
      </w:r>
      <w:r w:rsidRPr="006D6E37">
        <w:rPr>
          <w:rFonts w:ascii="Arial" w:hAnsi="Arial" w:cs="Arial"/>
          <w:i/>
          <w:iCs/>
          <w:color w:val="222222"/>
        </w:rPr>
        <w:t>Moroccan Journal of Quantitative &amp; Qualitative Research</w:t>
      </w:r>
      <w:r w:rsidRPr="006D6E37">
        <w:rPr>
          <w:rFonts w:ascii="Arial" w:hAnsi="Arial" w:cs="Arial"/>
          <w:color w:val="222222"/>
        </w:rPr>
        <w:t xml:space="preserve">, </w:t>
      </w:r>
      <w:r w:rsidRPr="006D6E37">
        <w:rPr>
          <w:rFonts w:ascii="Arial" w:hAnsi="Arial" w:cs="Arial"/>
          <w:i/>
          <w:iCs/>
          <w:color w:val="222222"/>
        </w:rPr>
        <w:t>7</w:t>
      </w:r>
      <w:r w:rsidRPr="006D6E37">
        <w:rPr>
          <w:rFonts w:ascii="Arial" w:hAnsi="Arial" w:cs="Arial"/>
          <w:color w:val="222222"/>
        </w:rPr>
        <w:t>(2), p.1.</w:t>
      </w:r>
      <w:r w:rsidRPr="006D6E37">
        <w:rPr>
          <w:rFonts w:ascii="Arial" w:hAnsi="Arial" w:cs="Arial"/>
        </w:rPr>
        <w:t xml:space="preserve"> </w:t>
      </w:r>
      <w:hyperlink r:id="rId19">
        <w:r w:rsidRPr="006D6E37">
          <w:rPr>
            <w:rFonts w:ascii="Arial" w:hAnsi="Arial" w:cs="Arial"/>
            <w:color w:val="1155CC"/>
            <w:u w:val="single"/>
          </w:rPr>
          <w:t>https://scholar.archive.org/work/cyrpzu7wqjak5hisdhgkf4iu6q/access/wayback/https://revues.imist.ma/index.php/MJQR/article/download/55186/29035</w:t>
        </w:r>
      </w:hyperlink>
    </w:p>
    <w:p w14:paraId="4EC63BA8" w14:textId="77777777" w:rsidR="006D6E37" w:rsidRPr="006D6E37" w:rsidRDefault="006D6E37" w:rsidP="006D6E37">
      <w:pPr>
        <w:rPr>
          <w:rFonts w:ascii="Arial" w:hAnsi="Arial" w:cs="Arial"/>
        </w:rPr>
      </w:pPr>
      <w:proofErr w:type="spellStart"/>
      <w:r w:rsidRPr="006D6E37">
        <w:rPr>
          <w:rFonts w:ascii="Arial" w:hAnsi="Arial" w:cs="Arial"/>
        </w:rPr>
        <w:t>Gholiagha</w:t>
      </w:r>
      <w:proofErr w:type="spellEnd"/>
      <w:r w:rsidRPr="006D6E37">
        <w:rPr>
          <w:rFonts w:ascii="Arial" w:hAnsi="Arial" w:cs="Arial"/>
        </w:rPr>
        <w:t xml:space="preserve">, S., Neyer, J., Sienknecht, M., Wolska, M.A., Kiesel, D., Riehmann, P., Voigt, J., Wiegmann, M., López García, I., </w:t>
      </w:r>
      <w:proofErr w:type="spellStart"/>
      <w:r w:rsidRPr="006D6E37">
        <w:rPr>
          <w:rFonts w:ascii="Arial" w:hAnsi="Arial" w:cs="Arial"/>
        </w:rPr>
        <w:t>Girgensohn</w:t>
      </w:r>
      <w:proofErr w:type="spellEnd"/>
      <w:r w:rsidRPr="006D6E37">
        <w:rPr>
          <w:rFonts w:ascii="Arial" w:hAnsi="Arial" w:cs="Arial"/>
        </w:rPr>
        <w:t>, K. and Stein, B., (2026). From annotation to reflection: how participatory AI training enhances critical thinking. </w:t>
      </w:r>
      <w:r w:rsidRPr="006D6E37">
        <w:rPr>
          <w:rFonts w:ascii="Arial" w:hAnsi="Arial" w:cs="Arial"/>
          <w:i/>
          <w:iCs/>
        </w:rPr>
        <w:t>AI &amp; SOCIETY</w:t>
      </w:r>
      <w:r w:rsidRPr="006D6E37">
        <w:rPr>
          <w:rFonts w:ascii="Arial" w:hAnsi="Arial" w:cs="Arial"/>
        </w:rPr>
        <w:t>, </w:t>
      </w:r>
      <w:r w:rsidRPr="006D6E37">
        <w:rPr>
          <w:rFonts w:ascii="Arial" w:hAnsi="Arial" w:cs="Arial"/>
          <w:i/>
          <w:iCs/>
        </w:rPr>
        <w:t>41</w:t>
      </w:r>
      <w:r w:rsidRPr="006D6E37">
        <w:rPr>
          <w:rFonts w:ascii="Arial" w:hAnsi="Arial" w:cs="Arial"/>
        </w:rPr>
        <w:t xml:space="preserve">(3), pp.1937-1950. </w:t>
      </w:r>
      <w:hyperlink r:id="rId20" w:history="1">
        <w:r w:rsidRPr="006D6E37">
          <w:rPr>
            <w:rStyle w:val="Hyperlink"/>
            <w:rFonts w:ascii="Arial" w:hAnsi="Arial" w:cs="Arial"/>
          </w:rPr>
          <w:t>https://link.springer.com/article/10.1007/s00146-025-02539-9</w:t>
        </w:r>
      </w:hyperlink>
    </w:p>
    <w:p w14:paraId="25EB6982" w14:textId="77777777" w:rsidR="006D6E37" w:rsidRPr="006D6E37" w:rsidRDefault="006D6E37" w:rsidP="006D6E37">
      <w:pPr>
        <w:rPr>
          <w:rFonts w:ascii="Arial" w:hAnsi="Arial" w:cs="Arial"/>
        </w:rPr>
      </w:pPr>
      <w:r w:rsidRPr="006D6E37">
        <w:rPr>
          <w:rFonts w:ascii="Arial" w:hAnsi="Arial" w:cs="Arial"/>
        </w:rPr>
        <w:t>Islam, A., Wahab, S.A. and Latiff, A.A., (2022). Annexing a smart sustainable business growth model for small and medium enterprises (SMEs). </w:t>
      </w:r>
      <w:r w:rsidRPr="006D6E37">
        <w:rPr>
          <w:rFonts w:ascii="Arial" w:hAnsi="Arial" w:cs="Arial"/>
          <w:i/>
          <w:iCs/>
        </w:rPr>
        <w:t>World Journal of Entrepreneurship, Management and Sustainable Development</w:t>
      </w:r>
      <w:r w:rsidRPr="006D6E37">
        <w:rPr>
          <w:rFonts w:ascii="Arial" w:hAnsi="Arial" w:cs="Arial"/>
        </w:rPr>
        <w:t>, </w:t>
      </w:r>
      <w:r w:rsidRPr="006D6E37">
        <w:rPr>
          <w:rFonts w:ascii="Arial" w:hAnsi="Arial" w:cs="Arial"/>
          <w:i/>
          <w:iCs/>
        </w:rPr>
        <w:t>18</w:t>
      </w:r>
      <w:r w:rsidRPr="006D6E37">
        <w:rPr>
          <w:rFonts w:ascii="Arial" w:hAnsi="Arial" w:cs="Arial"/>
        </w:rPr>
        <w:t xml:space="preserve">(2), pp.1-24. </w:t>
      </w:r>
      <w:hyperlink r:id="rId21" w:history="1">
        <w:r w:rsidRPr="006D6E37">
          <w:rPr>
            <w:rStyle w:val="Hyperlink"/>
            <w:rFonts w:ascii="Arial" w:hAnsi="Arial" w:cs="Arial"/>
          </w:rPr>
          <w:t>https://www.researchgate.net/profile/Dr-Ariful-</w:t>
        </w:r>
        <w:r w:rsidRPr="006D6E37">
          <w:rPr>
            <w:rStyle w:val="Hyperlink"/>
            <w:rFonts w:ascii="Arial" w:hAnsi="Arial" w:cs="Arial"/>
          </w:rPr>
          <w:lastRenderedPageBreak/>
          <w:t>Islam/publication/354034695_Annexing_a_Smart_Sustainable_Business_Growth_Model_for_Small_and_Medium_Enterprises_SMEs/links/61b8c614a6251b553aba95b9/Annexing-a-Smart-Sustainable-Business-Growth-Model-for-Small-and-Medium-Enterprises-SMEs.pdf</w:t>
        </w:r>
      </w:hyperlink>
    </w:p>
    <w:p w14:paraId="533B7305" w14:textId="77777777" w:rsidR="006D6E37" w:rsidRPr="006D6E37" w:rsidRDefault="006D6E37" w:rsidP="006D6E37">
      <w:pPr>
        <w:rPr>
          <w:rFonts w:ascii="Arial" w:hAnsi="Arial" w:cs="Arial"/>
        </w:rPr>
      </w:pPr>
      <w:r w:rsidRPr="006D6E37">
        <w:rPr>
          <w:rFonts w:ascii="Arial" w:hAnsi="Arial" w:cs="Arial"/>
        </w:rPr>
        <w:t xml:space="preserve">Xiong, M. (2025). Broken Hill Proprietary Billiton report: Analysis of Available Strategies to Hedge Risks by Using Futures Contracts, Foreign Exchange Futures. </w:t>
      </w:r>
      <w:hyperlink r:id="rId22" w:history="1">
        <w:r w:rsidRPr="006D6E37">
          <w:rPr>
            <w:rStyle w:val="Hyperlink"/>
            <w:rFonts w:ascii="Arial" w:hAnsi="Arial" w:cs="Arial"/>
          </w:rPr>
          <w:t>http://www.aeph.press/uploadfile/202312/60771d03f2a9e.pdf</w:t>
        </w:r>
      </w:hyperlink>
    </w:p>
    <w:p w14:paraId="2AB87C02" w14:textId="77777777" w:rsidR="006D6E37" w:rsidRPr="006D6E37" w:rsidRDefault="006D6E37" w:rsidP="006D6E37">
      <w:pPr>
        <w:rPr>
          <w:rFonts w:ascii="Arial" w:hAnsi="Arial" w:cs="Arial"/>
        </w:rPr>
      </w:pPr>
      <w:r w:rsidRPr="006D6E37">
        <w:rPr>
          <w:rFonts w:ascii="Arial" w:hAnsi="Arial" w:cs="Arial"/>
        </w:rPr>
        <w:t xml:space="preserve">Zheng, L.J., Zhang, J.Z., Lee, L.Y.S., </w:t>
      </w:r>
      <w:proofErr w:type="spellStart"/>
      <w:r w:rsidRPr="006D6E37">
        <w:rPr>
          <w:rFonts w:ascii="Arial" w:hAnsi="Arial" w:cs="Arial"/>
        </w:rPr>
        <w:t>Jasimuddin</w:t>
      </w:r>
      <w:proofErr w:type="spellEnd"/>
      <w:r w:rsidRPr="006D6E37">
        <w:rPr>
          <w:rFonts w:ascii="Arial" w:hAnsi="Arial" w:cs="Arial"/>
        </w:rPr>
        <w:t>, S.M. and Kamal, M.M., (2024). Digital technology integration in business model innovation for carbon neutrality: An evolutionary process model for SMEs. </w:t>
      </w:r>
      <w:r w:rsidRPr="006D6E37">
        <w:rPr>
          <w:rFonts w:ascii="Arial" w:hAnsi="Arial" w:cs="Arial"/>
          <w:i/>
          <w:iCs/>
        </w:rPr>
        <w:t>Journal of Environmental Management</w:t>
      </w:r>
      <w:r w:rsidRPr="006D6E37">
        <w:rPr>
          <w:rFonts w:ascii="Arial" w:hAnsi="Arial" w:cs="Arial"/>
        </w:rPr>
        <w:t>, </w:t>
      </w:r>
      <w:r w:rsidRPr="006D6E37">
        <w:rPr>
          <w:rFonts w:ascii="Arial" w:hAnsi="Arial" w:cs="Arial"/>
          <w:i/>
          <w:iCs/>
        </w:rPr>
        <w:t>359</w:t>
      </w:r>
      <w:r w:rsidRPr="006D6E37">
        <w:rPr>
          <w:rFonts w:ascii="Arial" w:hAnsi="Arial" w:cs="Arial"/>
        </w:rPr>
        <w:t xml:space="preserve">, p.120978. </w:t>
      </w:r>
      <w:hyperlink r:id="rId23" w:history="1">
        <w:r w:rsidRPr="006D6E37">
          <w:rPr>
            <w:rStyle w:val="Hyperlink"/>
            <w:rFonts w:ascii="Arial" w:hAnsi="Arial" w:cs="Arial"/>
          </w:rPr>
          <w:t>https://www.sciencedirect.com/science/article/pii/S0301479724009642</w:t>
        </w:r>
      </w:hyperlink>
    </w:p>
    <w:p w14:paraId="027A0F81" w14:textId="77777777" w:rsidR="006D6E37" w:rsidRPr="006D6E37" w:rsidRDefault="006D6E37" w:rsidP="006D6E37">
      <w:pPr>
        <w:rPr>
          <w:rFonts w:ascii="Arial" w:hAnsi="Arial" w:cs="Arial"/>
          <w:b/>
          <w:bCs/>
          <w:i/>
          <w:iCs/>
          <w:u w:val="single"/>
        </w:rPr>
      </w:pPr>
      <w:r w:rsidRPr="006D6E37">
        <w:rPr>
          <w:rFonts w:ascii="Arial" w:hAnsi="Arial" w:cs="Arial"/>
          <w:b/>
          <w:bCs/>
          <w:i/>
          <w:iCs/>
          <w:u w:val="single"/>
        </w:rPr>
        <w:t xml:space="preserve">Web References </w:t>
      </w:r>
    </w:p>
    <w:p w14:paraId="1FB172E0" w14:textId="77777777" w:rsidR="006D6E37" w:rsidRPr="006D6E37" w:rsidRDefault="006D6E37" w:rsidP="006D6E37">
      <w:pPr>
        <w:rPr>
          <w:rFonts w:ascii="Arial" w:hAnsi="Arial" w:cs="Arial"/>
        </w:rPr>
      </w:pPr>
      <w:r w:rsidRPr="006D6E37">
        <w:rPr>
          <w:rFonts w:ascii="Arial" w:hAnsi="Arial" w:cs="Arial"/>
        </w:rPr>
        <w:t xml:space="preserve">BHP (2024) </w:t>
      </w:r>
      <w:r w:rsidRPr="006D6E37">
        <w:rPr>
          <w:rFonts w:ascii="Arial" w:hAnsi="Arial" w:cs="Arial"/>
          <w:i/>
          <w:iCs/>
        </w:rPr>
        <w:t>Climate Transition Action Plan 2024</w:t>
      </w:r>
      <w:r w:rsidRPr="006D6E37">
        <w:rPr>
          <w:rFonts w:ascii="Arial" w:hAnsi="Arial" w:cs="Arial"/>
        </w:rPr>
        <w:t xml:space="preserve">. Available at: </w:t>
      </w:r>
      <w:hyperlink r:id="rId24" w:tgtFrame="_new" w:history="1">
        <w:r w:rsidRPr="006D6E37">
          <w:rPr>
            <w:rStyle w:val="Hyperlink"/>
            <w:rFonts w:ascii="Arial" w:hAnsi="Arial" w:cs="Arial"/>
          </w:rPr>
          <w:t>https://www.bhp.com/sustainability/climate-change/climate-transition-action-plan</w:t>
        </w:r>
      </w:hyperlink>
    </w:p>
    <w:p w14:paraId="7590B8E4" w14:textId="77777777" w:rsidR="006D6E37" w:rsidRPr="006D6E37" w:rsidRDefault="006D6E37" w:rsidP="006D6E37">
      <w:pPr>
        <w:rPr>
          <w:rFonts w:ascii="Arial" w:hAnsi="Arial" w:cs="Arial"/>
        </w:rPr>
      </w:pPr>
      <w:r w:rsidRPr="006D6E37">
        <w:rPr>
          <w:rFonts w:ascii="Arial" w:hAnsi="Arial" w:cs="Arial"/>
        </w:rPr>
        <w:t xml:space="preserve">BHP (2026a) </w:t>
      </w:r>
      <w:r w:rsidRPr="006D6E37">
        <w:rPr>
          <w:rFonts w:ascii="Arial" w:hAnsi="Arial" w:cs="Arial"/>
          <w:i/>
          <w:iCs/>
        </w:rPr>
        <w:t>About us</w:t>
      </w:r>
      <w:r w:rsidRPr="006D6E37">
        <w:rPr>
          <w:rFonts w:ascii="Arial" w:hAnsi="Arial" w:cs="Arial"/>
        </w:rPr>
        <w:t xml:space="preserve">, Available at: </w:t>
      </w:r>
      <w:hyperlink r:id="rId25">
        <w:r w:rsidRPr="006D6E37">
          <w:rPr>
            <w:rFonts w:ascii="Arial" w:hAnsi="Arial" w:cs="Arial"/>
            <w:color w:val="1155CC"/>
            <w:u w:val="single"/>
          </w:rPr>
          <w:t>https://www.bhp.com/about</w:t>
        </w:r>
      </w:hyperlink>
      <w:r w:rsidRPr="006D6E37">
        <w:rPr>
          <w:rFonts w:ascii="Arial" w:hAnsi="Arial" w:cs="Arial"/>
        </w:rPr>
        <w:t xml:space="preserve"> [Accessed: 21st July 2026]</w:t>
      </w:r>
    </w:p>
    <w:p w14:paraId="4C11F88A" w14:textId="77777777" w:rsidR="006D6E37" w:rsidRPr="006D6E37" w:rsidRDefault="006D6E37" w:rsidP="006D6E37">
      <w:pPr>
        <w:rPr>
          <w:rFonts w:ascii="Arial" w:hAnsi="Arial" w:cs="Arial"/>
        </w:rPr>
      </w:pPr>
      <w:r w:rsidRPr="006D6E37">
        <w:rPr>
          <w:rFonts w:ascii="Arial" w:hAnsi="Arial" w:cs="Arial"/>
        </w:rPr>
        <w:t xml:space="preserve">BHP (2026b) </w:t>
      </w:r>
      <w:r w:rsidRPr="006D6E37">
        <w:rPr>
          <w:rFonts w:ascii="Arial" w:hAnsi="Arial" w:cs="Arial"/>
          <w:i/>
          <w:iCs/>
        </w:rPr>
        <w:t>Sustainability</w:t>
      </w:r>
      <w:r w:rsidRPr="006D6E37">
        <w:rPr>
          <w:rFonts w:ascii="Arial" w:hAnsi="Arial" w:cs="Arial"/>
        </w:rPr>
        <w:t xml:space="preserve">, Available at: </w:t>
      </w:r>
      <w:hyperlink r:id="rId26">
        <w:r w:rsidRPr="006D6E37">
          <w:rPr>
            <w:rFonts w:ascii="Arial" w:hAnsi="Arial" w:cs="Arial"/>
            <w:color w:val="1155CC"/>
            <w:u w:val="single"/>
          </w:rPr>
          <w:t>https://www.bhp.com/sustainability</w:t>
        </w:r>
      </w:hyperlink>
      <w:r w:rsidRPr="006D6E37">
        <w:rPr>
          <w:rFonts w:ascii="Arial" w:hAnsi="Arial" w:cs="Arial"/>
        </w:rPr>
        <w:t xml:space="preserve"> [Accessed: 21st July 2026]</w:t>
      </w:r>
    </w:p>
    <w:p w14:paraId="6878ADC2" w14:textId="77777777" w:rsidR="006D6E37" w:rsidRPr="006D6E37" w:rsidRDefault="006D6E37" w:rsidP="006D6E37">
      <w:pPr>
        <w:rPr>
          <w:rFonts w:ascii="Arial" w:hAnsi="Arial" w:cs="Arial"/>
        </w:rPr>
      </w:pPr>
      <w:r w:rsidRPr="006D6E37">
        <w:rPr>
          <w:rFonts w:ascii="Arial" w:hAnsi="Arial" w:cs="Arial"/>
        </w:rPr>
        <w:t>BHP Annual Report (2025) </w:t>
      </w:r>
      <w:r w:rsidRPr="006D6E37">
        <w:rPr>
          <w:rFonts w:ascii="Arial" w:hAnsi="Arial" w:cs="Arial"/>
          <w:i/>
          <w:iCs/>
        </w:rPr>
        <w:t>Annual Report 2025. Our products help build a better, clearer future</w:t>
      </w:r>
      <w:r w:rsidRPr="006D6E37">
        <w:rPr>
          <w:rFonts w:ascii="Arial" w:hAnsi="Arial" w:cs="Arial"/>
        </w:rPr>
        <w:t xml:space="preserve">. Available at: </w:t>
      </w:r>
      <w:hyperlink r:id="rId27" w:history="1">
        <w:r w:rsidRPr="006D6E37">
          <w:rPr>
            <w:rStyle w:val="Hyperlink"/>
            <w:rFonts w:ascii="Arial" w:hAnsi="Arial" w:cs="Arial"/>
          </w:rPr>
          <w:t>https://www.bhp.com/investor-hub/reports-and-presentations/annual-report</w:t>
        </w:r>
      </w:hyperlink>
    </w:p>
    <w:p w14:paraId="78AECD54" w14:textId="77777777" w:rsidR="006D6E37" w:rsidRPr="006D6E37" w:rsidRDefault="006D6E37" w:rsidP="006D6E37">
      <w:pPr>
        <w:rPr>
          <w:rFonts w:ascii="Arial" w:hAnsi="Arial" w:cs="Arial"/>
        </w:rPr>
      </w:pPr>
      <w:r w:rsidRPr="006D6E37">
        <w:rPr>
          <w:rFonts w:ascii="Arial" w:hAnsi="Arial" w:cs="Arial"/>
        </w:rPr>
        <w:t xml:space="preserve">CSIRO (2026) </w:t>
      </w:r>
      <w:r w:rsidRPr="006D6E37">
        <w:rPr>
          <w:rFonts w:ascii="Arial" w:hAnsi="Arial" w:cs="Arial"/>
          <w:i/>
          <w:iCs/>
        </w:rPr>
        <w:t>Climate adaptation in the Australian mining and exploration industries</w:t>
      </w:r>
      <w:r w:rsidRPr="006D6E37">
        <w:rPr>
          <w:rFonts w:ascii="Arial" w:hAnsi="Arial" w:cs="Arial"/>
        </w:rPr>
        <w:t xml:space="preserve">, Available at: </w:t>
      </w:r>
      <w:hyperlink r:id="rId28">
        <w:r w:rsidRPr="006D6E37">
          <w:rPr>
            <w:rFonts w:ascii="Arial" w:hAnsi="Arial" w:cs="Arial"/>
            <w:color w:val="1155CC"/>
            <w:u w:val="single"/>
          </w:rPr>
          <w:t>https://research.csiro.au/climate/wp-content/uploads/sites/54/2016/03/5_WorkingPaper5_CAF_pdf-Standard.pdf</w:t>
        </w:r>
      </w:hyperlink>
      <w:r w:rsidRPr="006D6E37">
        <w:rPr>
          <w:rFonts w:ascii="Arial" w:hAnsi="Arial" w:cs="Arial"/>
        </w:rPr>
        <w:t xml:space="preserve"> [Accessed: 21st July 2026]</w:t>
      </w:r>
    </w:p>
    <w:p w14:paraId="65081842" w14:textId="77777777" w:rsidR="006D6E37" w:rsidRPr="006D6E37" w:rsidRDefault="006D6E37" w:rsidP="006D6E37">
      <w:pPr>
        <w:rPr>
          <w:rFonts w:ascii="Arial" w:hAnsi="Arial" w:cs="Arial"/>
        </w:rPr>
      </w:pPr>
      <w:r w:rsidRPr="006D6E37">
        <w:rPr>
          <w:rFonts w:ascii="Arial" w:hAnsi="Arial" w:cs="Arial"/>
        </w:rPr>
        <w:t>Digital, B. (2026) </w:t>
      </w:r>
      <w:r w:rsidRPr="006D6E37">
        <w:rPr>
          <w:rFonts w:ascii="Arial" w:hAnsi="Arial" w:cs="Arial"/>
          <w:i/>
          <w:iCs/>
        </w:rPr>
        <w:t xml:space="preserve">BHP </w:t>
      </w:r>
      <w:proofErr w:type="spellStart"/>
      <w:r w:rsidRPr="006D6E37">
        <w:rPr>
          <w:rFonts w:ascii="Arial" w:hAnsi="Arial" w:cs="Arial"/>
          <w:i/>
          <w:iCs/>
        </w:rPr>
        <w:t>decarbonisation</w:t>
      </w:r>
      <w:proofErr w:type="spellEnd"/>
      <w:r w:rsidRPr="006D6E37">
        <w:rPr>
          <w:rFonts w:ascii="Arial" w:hAnsi="Arial" w:cs="Arial"/>
          <w:i/>
          <w:iCs/>
        </w:rPr>
        <w:t xml:space="preserve"> roadmap</w:t>
      </w:r>
      <w:r w:rsidRPr="006D6E37">
        <w:rPr>
          <w:rFonts w:ascii="Arial" w:hAnsi="Arial" w:cs="Arial"/>
        </w:rPr>
        <w:t xml:space="preserve">. Available at: </w:t>
      </w:r>
      <w:hyperlink r:id="rId29" w:history="1">
        <w:r w:rsidRPr="006D6E37">
          <w:rPr>
            <w:rStyle w:val="Hyperlink"/>
            <w:rFonts w:ascii="Arial" w:hAnsi="Arial" w:cs="Arial"/>
          </w:rPr>
          <w:t>https://www.skarnassociates.com/insights/bhp-decarbonisation-roadmap</w:t>
        </w:r>
      </w:hyperlink>
    </w:p>
    <w:p w14:paraId="029788DA" w14:textId="77777777" w:rsidR="006D6E37" w:rsidRPr="006D6E37" w:rsidRDefault="006D6E37" w:rsidP="006D6E37">
      <w:pPr>
        <w:rPr>
          <w:rFonts w:ascii="Arial" w:hAnsi="Arial" w:cs="Arial"/>
        </w:rPr>
      </w:pPr>
      <w:r w:rsidRPr="006D6E37">
        <w:rPr>
          <w:rFonts w:ascii="Arial" w:hAnsi="Arial" w:cs="Arial"/>
        </w:rPr>
        <w:t xml:space="preserve">GOV AU (2024) </w:t>
      </w:r>
      <w:r w:rsidRPr="006D6E37">
        <w:rPr>
          <w:rFonts w:ascii="Arial" w:hAnsi="Arial" w:cs="Arial"/>
          <w:i/>
          <w:iCs/>
        </w:rPr>
        <w:t>Australian Government Climate Change Commitments, Policies and Programs</w:t>
      </w:r>
      <w:r w:rsidRPr="006D6E37">
        <w:rPr>
          <w:rFonts w:ascii="Arial" w:hAnsi="Arial" w:cs="Arial"/>
        </w:rPr>
        <w:t xml:space="preserve">, Available at: </w:t>
      </w:r>
      <w:hyperlink r:id="rId30">
        <w:r w:rsidRPr="006D6E37">
          <w:rPr>
            <w:rFonts w:ascii="Arial" w:hAnsi="Arial" w:cs="Arial"/>
            <w:color w:val="1155CC"/>
            <w:u w:val="single"/>
          </w:rPr>
          <w:t>https://www.aofm.gov.au/sites/default/files/2024-02-02/Climate%20change%20slides%20updated%20February%202024.pdf</w:t>
        </w:r>
      </w:hyperlink>
      <w:r w:rsidRPr="006D6E37">
        <w:rPr>
          <w:rFonts w:ascii="Arial" w:hAnsi="Arial" w:cs="Arial"/>
        </w:rPr>
        <w:t xml:space="preserve"> [Accessed: 21st July 2026]</w:t>
      </w:r>
    </w:p>
    <w:p w14:paraId="0A69C3C1" w14:textId="77777777" w:rsidR="006D6E37" w:rsidRPr="006D6E37" w:rsidRDefault="006D6E37" w:rsidP="006D6E37">
      <w:pPr>
        <w:rPr>
          <w:rFonts w:ascii="Arial" w:hAnsi="Arial" w:cs="Arial"/>
        </w:rPr>
      </w:pPr>
      <w:r w:rsidRPr="006D6E37">
        <w:rPr>
          <w:rFonts w:ascii="Arial" w:hAnsi="Arial" w:cs="Arial"/>
        </w:rPr>
        <w:lastRenderedPageBreak/>
        <w:t xml:space="preserve">IEA (2026) </w:t>
      </w:r>
      <w:r w:rsidRPr="006D6E37">
        <w:rPr>
          <w:rFonts w:ascii="Arial" w:hAnsi="Arial" w:cs="Arial"/>
          <w:i/>
          <w:iCs/>
        </w:rPr>
        <w:t>CO2 emissions from fuel combustion in Australia</w:t>
      </w:r>
      <w:r w:rsidRPr="006D6E37">
        <w:rPr>
          <w:rFonts w:ascii="Arial" w:hAnsi="Arial" w:cs="Arial"/>
        </w:rPr>
        <w:t xml:space="preserve">, Available at: </w:t>
      </w:r>
      <w:hyperlink r:id="rId31">
        <w:r w:rsidRPr="006D6E37">
          <w:rPr>
            <w:rFonts w:ascii="Arial" w:hAnsi="Arial" w:cs="Arial"/>
            <w:color w:val="1155CC"/>
            <w:u w:val="single"/>
          </w:rPr>
          <w:t>https://www.iea.org/countries/australia/emissions</w:t>
        </w:r>
      </w:hyperlink>
      <w:r w:rsidRPr="006D6E37">
        <w:rPr>
          <w:rFonts w:ascii="Arial" w:hAnsi="Arial" w:cs="Arial"/>
        </w:rPr>
        <w:t xml:space="preserve"> [Accessed: 21st July 2026]</w:t>
      </w:r>
    </w:p>
    <w:p w14:paraId="16876B35" w14:textId="77777777" w:rsidR="006D6E37" w:rsidRPr="006D6E37" w:rsidRDefault="006D6E37" w:rsidP="006D6E37">
      <w:pPr>
        <w:rPr>
          <w:rFonts w:ascii="Arial" w:hAnsi="Arial" w:cs="Arial"/>
        </w:rPr>
      </w:pPr>
      <w:r w:rsidRPr="006D6E37">
        <w:rPr>
          <w:rFonts w:ascii="Arial" w:hAnsi="Arial" w:cs="Arial"/>
        </w:rPr>
        <w:t xml:space="preserve">International Energy Agency (IEA) (2024) </w:t>
      </w:r>
      <w:r w:rsidRPr="006D6E37">
        <w:rPr>
          <w:rFonts w:ascii="Arial" w:hAnsi="Arial" w:cs="Arial"/>
          <w:i/>
          <w:iCs/>
        </w:rPr>
        <w:t>World Energy Investment 2024</w:t>
      </w:r>
      <w:r w:rsidRPr="006D6E37">
        <w:rPr>
          <w:rFonts w:ascii="Arial" w:hAnsi="Arial" w:cs="Arial"/>
        </w:rPr>
        <w:t xml:space="preserve">. Available at: </w:t>
      </w:r>
      <w:hyperlink r:id="rId32" w:tgtFrame="_new" w:history="1">
        <w:r w:rsidRPr="006D6E37">
          <w:rPr>
            <w:rStyle w:val="Hyperlink"/>
            <w:rFonts w:ascii="Arial" w:hAnsi="Arial" w:cs="Arial"/>
          </w:rPr>
          <w:t>https://www.iea.org/reports/world-energy-investment-2024</w:t>
        </w:r>
      </w:hyperlink>
    </w:p>
    <w:p w14:paraId="64287B2D" w14:textId="77777777" w:rsidR="006D6E37" w:rsidRPr="006D6E37" w:rsidRDefault="006D6E37" w:rsidP="006D6E37">
      <w:pPr>
        <w:rPr>
          <w:rFonts w:ascii="Arial" w:hAnsi="Arial" w:cs="Arial"/>
        </w:rPr>
      </w:pPr>
      <w:r w:rsidRPr="006D6E37">
        <w:rPr>
          <w:rFonts w:ascii="Arial" w:hAnsi="Arial" w:cs="Arial"/>
        </w:rPr>
        <w:t>L, J. (2023) </w:t>
      </w:r>
      <w:r w:rsidRPr="006D6E37">
        <w:rPr>
          <w:rFonts w:ascii="Arial" w:hAnsi="Arial" w:cs="Arial"/>
          <w:i/>
          <w:iCs/>
        </w:rPr>
        <w:t xml:space="preserve">BHP to Spend $4B to </w:t>
      </w:r>
      <w:proofErr w:type="spellStart"/>
      <w:r w:rsidRPr="006D6E37">
        <w:rPr>
          <w:rFonts w:ascii="Arial" w:hAnsi="Arial" w:cs="Arial"/>
          <w:i/>
          <w:iCs/>
        </w:rPr>
        <w:t>Decarbonise</w:t>
      </w:r>
      <w:proofErr w:type="spellEnd"/>
      <w:r w:rsidRPr="006D6E37">
        <w:rPr>
          <w:rFonts w:ascii="Arial" w:hAnsi="Arial" w:cs="Arial"/>
          <w:i/>
          <w:iCs/>
        </w:rPr>
        <w:t xml:space="preserve"> by 2030, Carbon Emissions Spikes Up Near-Term</w:t>
      </w:r>
      <w:r w:rsidRPr="006D6E37">
        <w:rPr>
          <w:rFonts w:ascii="Arial" w:hAnsi="Arial" w:cs="Arial"/>
        </w:rPr>
        <w:t>, </w:t>
      </w:r>
      <w:r w:rsidRPr="006D6E37">
        <w:rPr>
          <w:rFonts w:ascii="Arial" w:hAnsi="Arial" w:cs="Arial"/>
          <w:i/>
          <w:iCs/>
        </w:rPr>
        <w:t>Carbon Credits</w:t>
      </w:r>
      <w:r w:rsidRPr="006D6E37">
        <w:rPr>
          <w:rFonts w:ascii="Arial" w:hAnsi="Arial" w:cs="Arial"/>
        </w:rPr>
        <w:t xml:space="preserve">. Available at: </w:t>
      </w:r>
      <w:hyperlink r:id="rId33" w:history="1">
        <w:r w:rsidRPr="006D6E37">
          <w:rPr>
            <w:rStyle w:val="Hyperlink"/>
            <w:rFonts w:ascii="Arial" w:hAnsi="Arial" w:cs="Arial"/>
          </w:rPr>
          <w:t>https://carboncredits.com/bhp-to-spend-4b-to-decarbonise-by-2030-carbon-emissions-spikes-up-near-term/</w:t>
        </w:r>
      </w:hyperlink>
    </w:p>
    <w:p w14:paraId="000A6161" w14:textId="77777777" w:rsidR="006D6E37" w:rsidRPr="006D6E37" w:rsidRDefault="006D6E37" w:rsidP="006D6E37">
      <w:pPr>
        <w:rPr>
          <w:rFonts w:ascii="Arial" w:hAnsi="Arial" w:cs="Arial"/>
        </w:rPr>
      </w:pPr>
      <w:r w:rsidRPr="006D6E37">
        <w:rPr>
          <w:rFonts w:ascii="Arial" w:hAnsi="Arial" w:cs="Arial"/>
        </w:rPr>
        <w:t xml:space="preserve">Mineral Council of Australia (2024) </w:t>
      </w:r>
      <w:r w:rsidRPr="006D6E37">
        <w:rPr>
          <w:rFonts w:ascii="Arial" w:hAnsi="Arial" w:cs="Arial"/>
          <w:i/>
          <w:iCs/>
        </w:rPr>
        <w:t>Energy and climate change</w:t>
      </w:r>
      <w:r w:rsidRPr="006D6E37">
        <w:rPr>
          <w:rFonts w:ascii="Arial" w:hAnsi="Arial" w:cs="Arial"/>
        </w:rPr>
        <w:t xml:space="preserve">, Available at: </w:t>
      </w:r>
      <w:hyperlink r:id="rId34">
        <w:r w:rsidRPr="006D6E37">
          <w:rPr>
            <w:rFonts w:ascii="Arial" w:hAnsi="Arial" w:cs="Arial"/>
            <w:color w:val="1155CC"/>
            <w:u w:val="single"/>
          </w:rPr>
          <w:t>https://minerals.org.au/policies/energy-and-climate-change/</w:t>
        </w:r>
      </w:hyperlink>
      <w:r w:rsidRPr="006D6E37">
        <w:rPr>
          <w:rFonts w:ascii="Arial" w:hAnsi="Arial" w:cs="Arial"/>
        </w:rPr>
        <w:t xml:space="preserve"> [Accessed: 21st July 2026]</w:t>
      </w:r>
    </w:p>
    <w:p w14:paraId="294670F3" w14:textId="77777777" w:rsidR="006D6E37" w:rsidRPr="006D6E37" w:rsidRDefault="006D6E37" w:rsidP="006D6E37">
      <w:pPr>
        <w:rPr>
          <w:rFonts w:ascii="Arial" w:hAnsi="Arial" w:cs="Arial"/>
        </w:rPr>
      </w:pPr>
    </w:p>
    <w:p w14:paraId="5028CDDE" w14:textId="77777777" w:rsidR="00A20CD9" w:rsidRPr="006D6E37" w:rsidRDefault="00A20CD9" w:rsidP="009158AE">
      <w:pPr>
        <w:rPr>
          <w:rFonts w:ascii="Arial" w:hAnsi="Arial" w:cs="Arial"/>
        </w:rPr>
      </w:pPr>
    </w:p>
    <w:sectPr w:rsidR="00A20CD9" w:rsidRPr="006D6E37" w:rsidSect="009415A1">
      <w:footerReference w:type="default" r:id="rId35"/>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407CD" w14:textId="77777777" w:rsidR="007E52F0" w:rsidRDefault="007E52F0">
      <w:pPr>
        <w:spacing w:line="240" w:lineRule="auto"/>
      </w:pPr>
      <w:r>
        <w:separator/>
      </w:r>
    </w:p>
  </w:endnote>
  <w:endnote w:type="continuationSeparator" w:id="0">
    <w:p w14:paraId="3A769F3C" w14:textId="77777777" w:rsidR="007E52F0" w:rsidRDefault="007E52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608079"/>
      <w:docPartObj>
        <w:docPartGallery w:val="Page Numbers (Bottom of Page)"/>
        <w:docPartUnique/>
      </w:docPartObj>
    </w:sdtPr>
    <w:sdtEndPr>
      <w:rPr>
        <w:noProof/>
      </w:rPr>
    </w:sdtEndPr>
    <w:sdtContent>
      <w:p w14:paraId="6D195DBE" w14:textId="77777777" w:rsidR="009415A1" w:rsidRDefault="009415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2E2AED" w14:textId="77777777" w:rsidR="009415A1" w:rsidRDefault="00941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178F6" w14:textId="77777777" w:rsidR="007E52F0" w:rsidRDefault="007E52F0">
      <w:pPr>
        <w:spacing w:line="240" w:lineRule="auto"/>
      </w:pPr>
      <w:r>
        <w:separator/>
      </w:r>
    </w:p>
  </w:footnote>
  <w:footnote w:type="continuationSeparator" w:id="0">
    <w:p w14:paraId="1F5AA25C" w14:textId="77777777" w:rsidR="007E52F0" w:rsidRDefault="007E52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8790F"/>
    <w:multiLevelType w:val="hybridMultilevel"/>
    <w:tmpl w:val="FFC0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7C17EC"/>
    <w:multiLevelType w:val="hybridMultilevel"/>
    <w:tmpl w:val="E9A2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262F7"/>
    <w:multiLevelType w:val="hybridMultilevel"/>
    <w:tmpl w:val="C1CEA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65E12"/>
    <w:multiLevelType w:val="hybridMultilevel"/>
    <w:tmpl w:val="47947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89313F"/>
    <w:multiLevelType w:val="hybridMultilevel"/>
    <w:tmpl w:val="0F00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943186"/>
    <w:multiLevelType w:val="hybridMultilevel"/>
    <w:tmpl w:val="4274E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690ACF"/>
    <w:multiLevelType w:val="hybridMultilevel"/>
    <w:tmpl w:val="C2D60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1B55E1"/>
    <w:multiLevelType w:val="hybridMultilevel"/>
    <w:tmpl w:val="A3AA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AE5D6B"/>
    <w:multiLevelType w:val="hybridMultilevel"/>
    <w:tmpl w:val="7334FDB8"/>
    <w:lvl w:ilvl="0" w:tplc="F74838EC">
      <w:start w:val="1"/>
      <w:numFmt w:val="bullet"/>
      <w:lvlText w:val=""/>
      <w:lvlJc w:val="left"/>
      <w:pPr>
        <w:ind w:left="720" w:hanging="360"/>
      </w:pPr>
      <w:rPr>
        <w:rFonts w:ascii="Symbol" w:hAnsi="Symbol" w:hint="default"/>
      </w:rPr>
    </w:lvl>
    <w:lvl w:ilvl="1" w:tplc="31B2EBB8" w:tentative="1">
      <w:start w:val="1"/>
      <w:numFmt w:val="bullet"/>
      <w:lvlText w:val="o"/>
      <w:lvlJc w:val="left"/>
      <w:pPr>
        <w:ind w:left="1440" w:hanging="360"/>
      </w:pPr>
      <w:rPr>
        <w:rFonts w:ascii="Courier New" w:hAnsi="Courier New" w:cs="Courier New" w:hint="default"/>
      </w:rPr>
    </w:lvl>
    <w:lvl w:ilvl="2" w:tplc="BAC6CC00" w:tentative="1">
      <w:start w:val="1"/>
      <w:numFmt w:val="bullet"/>
      <w:lvlText w:val=""/>
      <w:lvlJc w:val="left"/>
      <w:pPr>
        <w:ind w:left="2160" w:hanging="360"/>
      </w:pPr>
      <w:rPr>
        <w:rFonts w:ascii="Wingdings" w:hAnsi="Wingdings" w:hint="default"/>
      </w:rPr>
    </w:lvl>
    <w:lvl w:ilvl="3" w:tplc="C756B276" w:tentative="1">
      <w:start w:val="1"/>
      <w:numFmt w:val="bullet"/>
      <w:lvlText w:val=""/>
      <w:lvlJc w:val="left"/>
      <w:pPr>
        <w:ind w:left="2880" w:hanging="360"/>
      </w:pPr>
      <w:rPr>
        <w:rFonts w:ascii="Symbol" w:hAnsi="Symbol" w:hint="default"/>
      </w:rPr>
    </w:lvl>
    <w:lvl w:ilvl="4" w:tplc="D772C6CE" w:tentative="1">
      <w:start w:val="1"/>
      <w:numFmt w:val="bullet"/>
      <w:lvlText w:val="o"/>
      <w:lvlJc w:val="left"/>
      <w:pPr>
        <w:ind w:left="3600" w:hanging="360"/>
      </w:pPr>
      <w:rPr>
        <w:rFonts w:ascii="Courier New" w:hAnsi="Courier New" w:cs="Courier New" w:hint="default"/>
      </w:rPr>
    </w:lvl>
    <w:lvl w:ilvl="5" w:tplc="770472DA" w:tentative="1">
      <w:start w:val="1"/>
      <w:numFmt w:val="bullet"/>
      <w:lvlText w:val=""/>
      <w:lvlJc w:val="left"/>
      <w:pPr>
        <w:ind w:left="4320" w:hanging="360"/>
      </w:pPr>
      <w:rPr>
        <w:rFonts w:ascii="Wingdings" w:hAnsi="Wingdings" w:hint="default"/>
      </w:rPr>
    </w:lvl>
    <w:lvl w:ilvl="6" w:tplc="A5AE80AA" w:tentative="1">
      <w:start w:val="1"/>
      <w:numFmt w:val="bullet"/>
      <w:lvlText w:val=""/>
      <w:lvlJc w:val="left"/>
      <w:pPr>
        <w:ind w:left="5040" w:hanging="360"/>
      </w:pPr>
      <w:rPr>
        <w:rFonts w:ascii="Symbol" w:hAnsi="Symbol" w:hint="default"/>
      </w:rPr>
    </w:lvl>
    <w:lvl w:ilvl="7" w:tplc="A230BA9A" w:tentative="1">
      <w:start w:val="1"/>
      <w:numFmt w:val="bullet"/>
      <w:lvlText w:val="o"/>
      <w:lvlJc w:val="left"/>
      <w:pPr>
        <w:ind w:left="5760" w:hanging="360"/>
      </w:pPr>
      <w:rPr>
        <w:rFonts w:ascii="Courier New" w:hAnsi="Courier New" w:cs="Courier New" w:hint="default"/>
      </w:rPr>
    </w:lvl>
    <w:lvl w:ilvl="8" w:tplc="22EE7D4A" w:tentative="1">
      <w:start w:val="1"/>
      <w:numFmt w:val="bullet"/>
      <w:lvlText w:val=""/>
      <w:lvlJc w:val="left"/>
      <w:pPr>
        <w:ind w:left="6480" w:hanging="360"/>
      </w:pPr>
      <w:rPr>
        <w:rFonts w:ascii="Wingdings" w:hAnsi="Wingdings" w:hint="default"/>
      </w:rPr>
    </w:lvl>
  </w:abstractNum>
  <w:abstractNum w:abstractNumId="9" w15:restartNumberingAfterBreak="0">
    <w:nsid w:val="7C0A5A3E"/>
    <w:multiLevelType w:val="hybridMultilevel"/>
    <w:tmpl w:val="7270B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403686"/>
    <w:multiLevelType w:val="hybridMultilevel"/>
    <w:tmpl w:val="F95CD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0786234">
    <w:abstractNumId w:val="8"/>
  </w:num>
  <w:num w:numId="2" w16cid:durableId="1903439376">
    <w:abstractNumId w:val="7"/>
  </w:num>
  <w:num w:numId="3" w16cid:durableId="364716680">
    <w:abstractNumId w:val="10"/>
  </w:num>
  <w:num w:numId="4" w16cid:durableId="247539879">
    <w:abstractNumId w:val="4"/>
  </w:num>
  <w:num w:numId="5" w16cid:durableId="990139117">
    <w:abstractNumId w:val="1"/>
  </w:num>
  <w:num w:numId="6" w16cid:durableId="623195276">
    <w:abstractNumId w:val="0"/>
  </w:num>
  <w:num w:numId="7" w16cid:durableId="1023552215">
    <w:abstractNumId w:val="5"/>
  </w:num>
  <w:num w:numId="8" w16cid:durableId="115606977">
    <w:abstractNumId w:val="9"/>
  </w:num>
  <w:num w:numId="9" w16cid:durableId="358243549">
    <w:abstractNumId w:val="6"/>
  </w:num>
  <w:num w:numId="10" w16cid:durableId="101809247">
    <w:abstractNumId w:val="3"/>
  </w:num>
  <w:num w:numId="11" w16cid:durableId="625742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548AB"/>
    <w:rsid w:val="001630E7"/>
    <w:rsid w:val="001A13BC"/>
    <w:rsid w:val="00460107"/>
    <w:rsid w:val="00466088"/>
    <w:rsid w:val="006911D4"/>
    <w:rsid w:val="006D6E37"/>
    <w:rsid w:val="00706F05"/>
    <w:rsid w:val="007E52F0"/>
    <w:rsid w:val="008548AB"/>
    <w:rsid w:val="008B3042"/>
    <w:rsid w:val="009158AE"/>
    <w:rsid w:val="009415A1"/>
    <w:rsid w:val="00962692"/>
    <w:rsid w:val="009A2FF8"/>
    <w:rsid w:val="00A20CD9"/>
    <w:rsid w:val="00AE66CA"/>
    <w:rsid w:val="00AF3908"/>
    <w:rsid w:val="00BE4BB9"/>
    <w:rsid w:val="00BF2524"/>
    <w:rsid w:val="00C8383F"/>
    <w:rsid w:val="00D2439A"/>
    <w:rsid w:val="00D539D0"/>
    <w:rsid w:val="00E72129"/>
    <w:rsid w:val="00EC71BA"/>
    <w:rsid w:val="00F073F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3547"/>
  <w15:chartTrackingRefBased/>
  <w15:docId w15:val="{8533713A-D7B1-4410-908D-E08752E20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gu-IN"/>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042"/>
  </w:style>
  <w:style w:type="paragraph" w:styleId="Heading1">
    <w:name w:val="heading 1"/>
    <w:basedOn w:val="Normal"/>
    <w:next w:val="Normal"/>
    <w:link w:val="Heading1Char"/>
    <w:uiPriority w:val="9"/>
    <w:qFormat/>
    <w:rsid w:val="008548A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548A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548A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548A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548A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548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8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8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8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8A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548A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548A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548A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548A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54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8AB"/>
    <w:rPr>
      <w:rFonts w:eastAsiaTheme="majorEastAsia" w:cstheme="majorBidi"/>
      <w:color w:val="272727" w:themeColor="text1" w:themeTint="D8"/>
    </w:rPr>
  </w:style>
  <w:style w:type="paragraph" w:styleId="Title">
    <w:name w:val="Title"/>
    <w:basedOn w:val="Normal"/>
    <w:next w:val="Normal"/>
    <w:link w:val="TitleChar"/>
    <w:uiPriority w:val="10"/>
    <w:qFormat/>
    <w:rsid w:val="00854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8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8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48AB"/>
    <w:rPr>
      <w:i/>
      <w:iCs/>
      <w:color w:val="404040" w:themeColor="text1" w:themeTint="BF"/>
    </w:rPr>
  </w:style>
  <w:style w:type="paragraph" w:styleId="ListParagraph">
    <w:name w:val="List Paragraph"/>
    <w:basedOn w:val="Normal"/>
    <w:uiPriority w:val="34"/>
    <w:qFormat/>
    <w:rsid w:val="008548AB"/>
    <w:pPr>
      <w:ind w:left="720"/>
      <w:contextualSpacing/>
    </w:pPr>
  </w:style>
  <w:style w:type="character" w:styleId="IntenseEmphasis">
    <w:name w:val="Intense Emphasis"/>
    <w:basedOn w:val="DefaultParagraphFont"/>
    <w:uiPriority w:val="21"/>
    <w:qFormat/>
    <w:rsid w:val="008548AB"/>
    <w:rPr>
      <w:i/>
      <w:iCs/>
      <w:color w:val="365F91" w:themeColor="accent1" w:themeShade="BF"/>
    </w:rPr>
  </w:style>
  <w:style w:type="paragraph" w:styleId="IntenseQuote">
    <w:name w:val="Intense Quote"/>
    <w:basedOn w:val="Normal"/>
    <w:next w:val="Normal"/>
    <w:link w:val="IntenseQuoteChar"/>
    <w:uiPriority w:val="30"/>
    <w:qFormat/>
    <w:rsid w:val="008548A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548AB"/>
    <w:rPr>
      <w:i/>
      <w:iCs/>
      <w:color w:val="365F91" w:themeColor="accent1" w:themeShade="BF"/>
    </w:rPr>
  </w:style>
  <w:style w:type="character" w:styleId="IntenseReference">
    <w:name w:val="Intense Reference"/>
    <w:basedOn w:val="DefaultParagraphFont"/>
    <w:uiPriority w:val="32"/>
    <w:qFormat/>
    <w:rsid w:val="008548AB"/>
    <w:rPr>
      <w:b/>
      <w:bCs/>
      <w:smallCaps/>
      <w:color w:val="365F91" w:themeColor="accent1" w:themeShade="BF"/>
      <w:spacing w:val="5"/>
    </w:rPr>
  </w:style>
  <w:style w:type="paragraph" w:styleId="NoSpacing">
    <w:name w:val="No Spacing"/>
    <w:uiPriority w:val="1"/>
    <w:qFormat/>
    <w:rsid w:val="00F073FE"/>
    <w:pPr>
      <w:spacing w:line="240" w:lineRule="auto"/>
    </w:pPr>
  </w:style>
  <w:style w:type="character" w:styleId="Hyperlink">
    <w:name w:val="Hyperlink"/>
    <w:basedOn w:val="DefaultParagraphFont"/>
    <w:uiPriority w:val="99"/>
    <w:unhideWhenUsed/>
    <w:rsid w:val="009415A1"/>
    <w:rPr>
      <w:color w:val="0000FF" w:themeColor="hyperlink"/>
      <w:u w:val="single"/>
    </w:rPr>
  </w:style>
  <w:style w:type="paragraph" w:styleId="TOCHeading">
    <w:name w:val="TOC Heading"/>
    <w:basedOn w:val="Heading1"/>
    <w:next w:val="Normal"/>
    <w:uiPriority w:val="39"/>
    <w:unhideWhenUsed/>
    <w:qFormat/>
    <w:rsid w:val="009415A1"/>
    <w:pPr>
      <w:spacing w:before="240" w:after="0" w:line="259" w:lineRule="auto"/>
      <w:outlineLvl w:val="9"/>
    </w:pPr>
    <w:rPr>
      <w:sz w:val="32"/>
      <w:szCs w:val="32"/>
      <w:lang w:bidi="ar-SA"/>
    </w:rPr>
  </w:style>
  <w:style w:type="paragraph" w:styleId="TOC1">
    <w:name w:val="toc 1"/>
    <w:basedOn w:val="Normal"/>
    <w:next w:val="Normal"/>
    <w:autoRedefine/>
    <w:uiPriority w:val="39"/>
    <w:unhideWhenUsed/>
    <w:rsid w:val="009415A1"/>
    <w:pPr>
      <w:spacing w:before="240" w:after="100"/>
      <w:jc w:val="both"/>
    </w:pPr>
    <w:rPr>
      <w:rFonts w:ascii="Arial" w:eastAsia="Times New Roman" w:hAnsi="Arial" w:cs="Times New Roman"/>
      <w:b/>
      <w:szCs w:val="20"/>
      <w:lang w:val="en-GB" w:bidi="ar-SA"/>
    </w:rPr>
  </w:style>
  <w:style w:type="paragraph" w:styleId="TOC2">
    <w:name w:val="toc 2"/>
    <w:basedOn w:val="Normal"/>
    <w:next w:val="Normal"/>
    <w:autoRedefine/>
    <w:uiPriority w:val="39"/>
    <w:unhideWhenUsed/>
    <w:rsid w:val="009415A1"/>
    <w:pPr>
      <w:spacing w:before="240" w:after="100"/>
      <w:ind w:left="240"/>
      <w:jc w:val="both"/>
    </w:pPr>
    <w:rPr>
      <w:rFonts w:ascii="Arial" w:eastAsia="Times New Roman" w:hAnsi="Arial" w:cs="Times New Roman"/>
      <w:szCs w:val="20"/>
      <w:lang w:val="en-GB" w:bidi="ar-SA"/>
    </w:rPr>
  </w:style>
  <w:style w:type="paragraph" w:styleId="Footer">
    <w:name w:val="footer"/>
    <w:basedOn w:val="Normal"/>
    <w:link w:val="FooterChar"/>
    <w:uiPriority w:val="99"/>
    <w:unhideWhenUsed/>
    <w:rsid w:val="009415A1"/>
    <w:pPr>
      <w:tabs>
        <w:tab w:val="center" w:pos="4680"/>
        <w:tab w:val="right" w:pos="9360"/>
      </w:tabs>
      <w:spacing w:line="240" w:lineRule="auto"/>
      <w:jc w:val="both"/>
    </w:pPr>
    <w:rPr>
      <w:rFonts w:ascii="Arial" w:eastAsia="Times New Roman" w:hAnsi="Arial" w:cs="Times New Roman"/>
      <w:szCs w:val="20"/>
      <w:lang w:val="en-GB" w:bidi="ar-SA"/>
    </w:rPr>
  </w:style>
  <w:style w:type="character" w:customStyle="1" w:styleId="FooterChar">
    <w:name w:val="Footer Char"/>
    <w:basedOn w:val="DefaultParagraphFont"/>
    <w:link w:val="Footer"/>
    <w:uiPriority w:val="99"/>
    <w:rsid w:val="009415A1"/>
    <w:rPr>
      <w:rFonts w:ascii="Arial" w:eastAsia="Times New Roman" w:hAnsi="Arial" w:cs="Times New Roman"/>
      <w:szCs w:val="20"/>
      <w:lang w:val="en-GB" w:bidi="ar-SA"/>
    </w:rPr>
  </w:style>
  <w:style w:type="paragraph" w:styleId="TableofFigures">
    <w:name w:val="table of figures"/>
    <w:basedOn w:val="Normal"/>
    <w:next w:val="Normal"/>
    <w:uiPriority w:val="99"/>
    <w:unhideWhenUsed/>
    <w:rsid w:val="009415A1"/>
    <w:pPr>
      <w:spacing w:before="240"/>
      <w:jc w:val="both"/>
    </w:pPr>
    <w:rPr>
      <w:rFonts w:ascii="Arial" w:eastAsia="Times New Roman" w:hAnsi="Arial" w:cs="Times New Roman"/>
      <w:szCs w:val="20"/>
      <w:lang w:val="en-GB" w:bidi="ar-SA"/>
    </w:rPr>
  </w:style>
  <w:style w:type="table" w:styleId="TableGrid">
    <w:name w:val="Table Grid"/>
    <w:basedOn w:val="TableNormal"/>
    <w:uiPriority w:val="39"/>
    <w:rsid w:val="009415A1"/>
    <w:pPr>
      <w:spacing w:line="240" w:lineRule="auto"/>
    </w:pPr>
    <w:rPr>
      <w:rFonts w:eastAsia="Times New Roman"/>
      <w:kern w:val="2"/>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26" Type="http://schemas.openxmlformats.org/officeDocument/2006/relationships/hyperlink" Target="https://www.bhp.com/sustainability" TargetMode="External"/><Relationship Id="rId21" Type="http://schemas.openxmlformats.org/officeDocument/2006/relationships/hyperlink" Target="https://www.researchgate.net/profile/Dr-Ariful-Islam/publication/354034695_Annexing_a_Smart_Sustainable_Business_Growth_Model_for_Small_and_Medium_Enterprises_SMEs/links/61b8c614a6251b553aba95b9/Annexing-a-Smart-Sustainable-Business-Growth-Model-for-Small-and-Medium-Enterprises-SMEs.pdf" TargetMode="External"/><Relationship Id="rId34" Type="http://schemas.openxmlformats.org/officeDocument/2006/relationships/hyperlink" Target="https://minerals.org.au/policies/energy-and-climate-chang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hp.com/about" TargetMode="External"/><Relationship Id="rId33" Type="http://schemas.openxmlformats.org/officeDocument/2006/relationships/hyperlink" Target="https://carboncredits.com/bhp-to-spend-4b-to-decarbonize-by-2030-carbon-emissions-spikes-up-near-ter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link.springer.com/article/10.1007/s00146-025-02539-9" TargetMode="External"/><Relationship Id="rId29" Type="http://schemas.openxmlformats.org/officeDocument/2006/relationships/hyperlink" Target="https://www.skarnassociates.com/insights/bhp-decarbonisation-roadm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hp.com/sustainability/climate-change/climate-transition-action-plan" TargetMode="External"/><Relationship Id="rId32" Type="http://schemas.openxmlformats.org/officeDocument/2006/relationships/hyperlink" Target="https://www.iea.org/reports/world-energy-investment-202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ciencedirect.com/science/article/pii/S0301479724009642" TargetMode="External"/><Relationship Id="rId28" Type="http://schemas.openxmlformats.org/officeDocument/2006/relationships/hyperlink" Target="https://research.csiro.au/climate/wp-content/uploads/sites/54/2016/03/5_WorkingPaper5_CAF_pdf-Standard.pdf"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cholar.archive.org/work/cyrpzu7wqjak5hisdhgkf4iu6q/access/wayback/https://revues.imist.ma/index.php/MJQR/article/download/55186/29035" TargetMode="External"/><Relationship Id="rId31" Type="http://schemas.openxmlformats.org/officeDocument/2006/relationships/hyperlink" Target="https://www.iea.org/countries/australia/emiss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aeph.press/uploadfile/202312/60771d03f2a9e.pdf" TargetMode="External"/><Relationship Id="rId27" Type="http://schemas.openxmlformats.org/officeDocument/2006/relationships/hyperlink" Target="https://www.bhp.com/investor-hub/reports-and-presentations/annual-report" TargetMode="External"/><Relationship Id="rId30" Type="http://schemas.openxmlformats.org/officeDocument/2006/relationships/hyperlink" Target="https://www.aofm.gov.au/sites/default/files/2024-02-02/Climate%20change%20slides%20updated%20February%202024.pdf"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10971-79D1-41FB-96C7-454665946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4302</Words>
  <Characters>24524</Characters>
  <Application>Microsoft Office Word</Application>
  <DocSecurity>0</DocSecurity>
  <Lines>204</Lines>
  <Paragraphs>57</Paragraphs>
  <ScaleCrop>false</ScaleCrop>
  <Company/>
  <LinksUpToDate>false</LinksUpToDate>
  <CharactersWithSpaces>28769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yovan jetani</dc:creator>
  <cp:keywords/>
  <dc:description/>
  <cp:lastModifiedBy>yovan jetani</cp:lastModifiedBy>
  <cp:revision>19</cp:revision>
  <dcterms:created xsi:type="dcterms:W3CDTF">2026-07-17T10:22:00Z</dcterms:created>
  <dcterms:modified xsi:type="dcterms:W3CDTF">2026-07-24T00:29:00Z</dcterms:modified>
</cp:coreProperties>
</file>