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6A252" w14:textId="77777777" w:rsidR="00B91A59" w:rsidRDefault="00B91A59" w:rsidP="00B91A59">
      <w:pPr>
        <w:spacing w:line="259" w:lineRule="auto"/>
        <w:jc w:val="center"/>
      </w:pPr>
    </w:p>
    <w:p w14:paraId="03B33FB1" w14:textId="77777777" w:rsidR="00B91A59" w:rsidRDefault="00B91A59" w:rsidP="00B91A59">
      <w:pPr>
        <w:spacing w:line="259" w:lineRule="auto"/>
        <w:jc w:val="center"/>
      </w:pPr>
    </w:p>
    <w:p w14:paraId="07AFE086" w14:textId="77777777" w:rsidR="00B91A59" w:rsidRDefault="00B91A59" w:rsidP="00B91A59">
      <w:pPr>
        <w:spacing w:line="259" w:lineRule="auto"/>
        <w:jc w:val="center"/>
      </w:pPr>
    </w:p>
    <w:p w14:paraId="53A12988" w14:textId="3EE44F6B" w:rsidR="00B91A59" w:rsidRDefault="002F3CE4" w:rsidP="00B91A59">
      <w:pPr>
        <w:spacing w:line="259" w:lineRule="auto"/>
        <w:jc w:val="center"/>
      </w:pPr>
      <w:r>
        <w:rPr>
          <w:rFonts w:cs="Times New Roman"/>
          <w:noProof/>
          <w:lang w:val="en-GB"/>
        </w:rPr>
        <w:drawing>
          <wp:inline distT="0" distB="0" distL="0" distR="0" wp14:anchorId="57C78EF7" wp14:editId="590282F4">
            <wp:extent cx="5731510" cy="1642298"/>
            <wp:effectExtent l="0" t="0" r="2540" b="0"/>
            <wp:docPr id="1490455729" name="Picture 14904557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1642298"/>
                    </a:xfrm>
                    <a:prstGeom prst="rect">
                      <a:avLst/>
                    </a:prstGeom>
                  </pic:spPr>
                </pic:pic>
              </a:graphicData>
            </a:graphic>
          </wp:inline>
        </w:drawing>
      </w:r>
    </w:p>
    <w:p w14:paraId="22EC54AD" w14:textId="77777777" w:rsidR="00B91A59" w:rsidRDefault="00B91A59" w:rsidP="00B91A59">
      <w:pPr>
        <w:spacing w:line="259" w:lineRule="auto"/>
        <w:jc w:val="center"/>
      </w:pPr>
    </w:p>
    <w:p w14:paraId="499DC5D8" w14:textId="77777777" w:rsidR="00B91A59" w:rsidRDefault="00B91A59" w:rsidP="00B91A59">
      <w:pPr>
        <w:spacing w:line="259" w:lineRule="auto"/>
        <w:jc w:val="center"/>
      </w:pPr>
    </w:p>
    <w:p w14:paraId="07725C52" w14:textId="77777777" w:rsidR="00B91A59" w:rsidRPr="00B153A3" w:rsidRDefault="00B91A59" w:rsidP="002F3CE4">
      <w:pPr>
        <w:spacing w:line="259" w:lineRule="auto"/>
        <w:rPr>
          <w:b/>
          <w:bCs/>
          <w:i/>
          <w:iCs/>
          <w:sz w:val="48"/>
          <w:szCs w:val="48"/>
        </w:rPr>
      </w:pPr>
    </w:p>
    <w:p w14:paraId="7F7468D2" w14:textId="32F54C06" w:rsidR="00B91A59" w:rsidRPr="00B153A3" w:rsidRDefault="00B91A59" w:rsidP="00B91A59">
      <w:pPr>
        <w:spacing w:line="259" w:lineRule="auto"/>
        <w:jc w:val="center"/>
        <w:rPr>
          <w:b/>
          <w:bCs/>
          <w:i/>
          <w:iCs/>
          <w:sz w:val="48"/>
          <w:szCs w:val="48"/>
        </w:rPr>
      </w:pPr>
      <w:r w:rsidRPr="00B153A3">
        <w:rPr>
          <w:b/>
          <w:bCs/>
          <w:i/>
          <w:iCs/>
          <w:sz w:val="48"/>
          <w:szCs w:val="48"/>
        </w:rPr>
        <w:t>International Financial Management</w:t>
      </w:r>
    </w:p>
    <w:p w14:paraId="2E869FAF" w14:textId="2FCFF68F" w:rsidR="00B91A59" w:rsidRPr="00B153A3" w:rsidRDefault="00B91A59" w:rsidP="00B91A59">
      <w:pPr>
        <w:spacing w:line="259" w:lineRule="auto"/>
        <w:jc w:val="center"/>
        <w:rPr>
          <w:b/>
          <w:bCs/>
          <w:i/>
          <w:iCs/>
          <w:sz w:val="48"/>
          <w:szCs w:val="48"/>
        </w:rPr>
      </w:pPr>
      <w:r w:rsidRPr="00B153A3">
        <w:rPr>
          <w:b/>
          <w:bCs/>
          <w:i/>
          <w:iCs/>
          <w:sz w:val="48"/>
          <w:szCs w:val="48"/>
        </w:rPr>
        <w:t>Name of the Student</w:t>
      </w:r>
      <w:r w:rsidR="00B153A3">
        <w:rPr>
          <w:b/>
          <w:bCs/>
          <w:i/>
          <w:iCs/>
          <w:sz w:val="48"/>
          <w:szCs w:val="48"/>
        </w:rPr>
        <w:t>: Ivan Hristov Stoyanov</w:t>
      </w:r>
    </w:p>
    <w:p w14:paraId="27AC4204" w14:textId="3868F9D7" w:rsidR="00B91A59" w:rsidRPr="00B153A3" w:rsidRDefault="00B91A59" w:rsidP="00B91A59">
      <w:pPr>
        <w:spacing w:line="259" w:lineRule="auto"/>
        <w:jc w:val="center"/>
        <w:rPr>
          <w:b/>
          <w:bCs/>
          <w:i/>
          <w:iCs/>
          <w:sz w:val="48"/>
          <w:szCs w:val="48"/>
        </w:rPr>
      </w:pPr>
      <w:r w:rsidRPr="00B153A3">
        <w:rPr>
          <w:b/>
          <w:bCs/>
          <w:i/>
          <w:iCs/>
          <w:sz w:val="48"/>
          <w:szCs w:val="48"/>
        </w:rPr>
        <w:t>Name of the University</w:t>
      </w:r>
      <w:r w:rsidR="00B153A3">
        <w:rPr>
          <w:b/>
          <w:bCs/>
          <w:i/>
          <w:iCs/>
          <w:sz w:val="48"/>
          <w:szCs w:val="48"/>
        </w:rPr>
        <w:t>: University of Wales Trinity Saint David</w:t>
      </w:r>
    </w:p>
    <w:p w14:paraId="39FE2B12" w14:textId="17076DD0" w:rsidR="00B91A59" w:rsidRDefault="00B91A59" w:rsidP="00B91A59">
      <w:pPr>
        <w:spacing w:line="259" w:lineRule="auto"/>
        <w:jc w:val="center"/>
        <w:rPr>
          <w:b/>
        </w:rPr>
      </w:pPr>
      <w:r w:rsidRPr="00B153A3">
        <w:rPr>
          <w:b/>
          <w:bCs/>
          <w:i/>
          <w:iCs/>
          <w:sz w:val="48"/>
          <w:szCs w:val="48"/>
        </w:rPr>
        <w:t>Course ID</w:t>
      </w:r>
      <w:r w:rsidR="00B153A3">
        <w:rPr>
          <w:b/>
          <w:bCs/>
          <w:i/>
          <w:iCs/>
          <w:sz w:val="48"/>
          <w:szCs w:val="48"/>
        </w:rPr>
        <w:t>: LCBB60002</w:t>
      </w:r>
      <w:r>
        <w:br w:type="page"/>
      </w:r>
    </w:p>
    <w:sdt>
      <w:sdtPr>
        <w:rPr>
          <w:rFonts w:ascii="Times New Roman" w:eastAsiaTheme="minorHAnsi" w:hAnsi="Times New Roman" w:cstheme="minorBidi"/>
          <w:color w:val="auto"/>
          <w:sz w:val="24"/>
          <w:szCs w:val="22"/>
          <w:lang w:val="en-IN"/>
        </w:rPr>
        <w:id w:val="-397057023"/>
        <w:docPartObj>
          <w:docPartGallery w:val="Table of Contents"/>
          <w:docPartUnique/>
        </w:docPartObj>
      </w:sdtPr>
      <w:sdtEndPr>
        <w:rPr>
          <w:b/>
          <w:bCs/>
          <w:noProof/>
        </w:rPr>
      </w:sdtEndPr>
      <w:sdtContent>
        <w:p w14:paraId="7727E7C0" w14:textId="27366351" w:rsidR="00B91A59" w:rsidRPr="00B91A59" w:rsidRDefault="00B91A59" w:rsidP="00B91A59">
          <w:pPr>
            <w:pStyle w:val="TOCHeading"/>
            <w:spacing w:line="480" w:lineRule="auto"/>
            <w:jc w:val="center"/>
            <w:rPr>
              <w:rFonts w:ascii="Times New Roman" w:hAnsi="Times New Roman" w:cs="Times New Roman"/>
              <w:b/>
              <w:bCs/>
              <w:color w:val="000000" w:themeColor="text1"/>
              <w:sz w:val="24"/>
              <w:szCs w:val="24"/>
            </w:rPr>
          </w:pPr>
          <w:r w:rsidRPr="00B91A59">
            <w:rPr>
              <w:rFonts w:ascii="Times New Roman" w:hAnsi="Times New Roman" w:cs="Times New Roman"/>
              <w:b/>
              <w:bCs/>
              <w:color w:val="000000" w:themeColor="text1"/>
              <w:sz w:val="24"/>
              <w:szCs w:val="24"/>
            </w:rPr>
            <w:t>Table of Contents</w:t>
          </w:r>
        </w:p>
        <w:p w14:paraId="0CFF9070" w14:textId="345100F2" w:rsidR="00086C7E" w:rsidRDefault="00B91A59">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52253970" w:history="1">
            <w:r w:rsidR="00086C7E" w:rsidRPr="00C34C15">
              <w:rPr>
                <w:rStyle w:val="Hyperlink"/>
                <w:noProof/>
              </w:rPr>
              <w:t>Introduction:</w:t>
            </w:r>
            <w:r w:rsidR="00086C7E">
              <w:rPr>
                <w:noProof/>
                <w:webHidden/>
              </w:rPr>
              <w:tab/>
            </w:r>
            <w:r w:rsidR="00086C7E">
              <w:rPr>
                <w:noProof/>
                <w:webHidden/>
              </w:rPr>
              <w:fldChar w:fldCharType="begin"/>
            </w:r>
            <w:r w:rsidR="00086C7E">
              <w:rPr>
                <w:noProof/>
                <w:webHidden/>
              </w:rPr>
              <w:instrText xml:space="preserve"> PAGEREF _Toc152253970 \h </w:instrText>
            </w:r>
            <w:r w:rsidR="00086C7E">
              <w:rPr>
                <w:noProof/>
                <w:webHidden/>
              </w:rPr>
            </w:r>
            <w:r w:rsidR="00086C7E">
              <w:rPr>
                <w:noProof/>
                <w:webHidden/>
              </w:rPr>
              <w:fldChar w:fldCharType="separate"/>
            </w:r>
            <w:r w:rsidR="00086C7E">
              <w:rPr>
                <w:noProof/>
                <w:webHidden/>
              </w:rPr>
              <w:t>2</w:t>
            </w:r>
            <w:r w:rsidR="00086C7E">
              <w:rPr>
                <w:noProof/>
                <w:webHidden/>
              </w:rPr>
              <w:fldChar w:fldCharType="end"/>
            </w:r>
          </w:hyperlink>
        </w:p>
        <w:p w14:paraId="4354E1E4" w14:textId="6966D596" w:rsidR="00086C7E" w:rsidRDefault="00541165">
          <w:pPr>
            <w:pStyle w:val="TOC1"/>
            <w:tabs>
              <w:tab w:val="right" w:leader="dot" w:pos="9016"/>
            </w:tabs>
            <w:rPr>
              <w:rFonts w:asciiTheme="minorHAnsi" w:eastAsiaTheme="minorEastAsia" w:hAnsiTheme="minorHAnsi"/>
              <w:noProof/>
              <w:sz w:val="22"/>
              <w:lang w:eastAsia="en-IN"/>
            </w:rPr>
          </w:pPr>
          <w:hyperlink w:anchor="_Toc152253971" w:history="1">
            <w:r w:rsidR="00086C7E" w:rsidRPr="00C34C15">
              <w:rPr>
                <w:rStyle w:val="Hyperlink"/>
                <w:noProof/>
              </w:rPr>
              <w:t>Types of foreign exchange risk:</w:t>
            </w:r>
            <w:r w:rsidR="00086C7E">
              <w:rPr>
                <w:noProof/>
                <w:webHidden/>
              </w:rPr>
              <w:tab/>
            </w:r>
            <w:r w:rsidR="00086C7E">
              <w:rPr>
                <w:noProof/>
                <w:webHidden/>
              </w:rPr>
              <w:fldChar w:fldCharType="begin"/>
            </w:r>
            <w:r w:rsidR="00086C7E">
              <w:rPr>
                <w:noProof/>
                <w:webHidden/>
              </w:rPr>
              <w:instrText xml:space="preserve"> PAGEREF _Toc152253971 \h </w:instrText>
            </w:r>
            <w:r w:rsidR="00086C7E">
              <w:rPr>
                <w:noProof/>
                <w:webHidden/>
              </w:rPr>
            </w:r>
            <w:r w:rsidR="00086C7E">
              <w:rPr>
                <w:noProof/>
                <w:webHidden/>
              </w:rPr>
              <w:fldChar w:fldCharType="separate"/>
            </w:r>
            <w:r w:rsidR="00086C7E">
              <w:rPr>
                <w:noProof/>
                <w:webHidden/>
              </w:rPr>
              <w:t>2</w:t>
            </w:r>
            <w:r w:rsidR="00086C7E">
              <w:rPr>
                <w:noProof/>
                <w:webHidden/>
              </w:rPr>
              <w:fldChar w:fldCharType="end"/>
            </w:r>
          </w:hyperlink>
        </w:p>
        <w:p w14:paraId="2A6AD36D" w14:textId="55152F6E" w:rsidR="00086C7E" w:rsidRDefault="00541165">
          <w:pPr>
            <w:pStyle w:val="TOC1"/>
            <w:tabs>
              <w:tab w:val="right" w:leader="dot" w:pos="9016"/>
            </w:tabs>
            <w:rPr>
              <w:rFonts w:asciiTheme="minorHAnsi" w:eastAsiaTheme="minorEastAsia" w:hAnsiTheme="minorHAnsi"/>
              <w:noProof/>
              <w:sz w:val="22"/>
              <w:lang w:eastAsia="en-IN"/>
            </w:rPr>
          </w:pPr>
          <w:hyperlink w:anchor="_Toc152253972" w:history="1">
            <w:r w:rsidR="00086C7E" w:rsidRPr="00C34C15">
              <w:rPr>
                <w:rStyle w:val="Hyperlink"/>
                <w:noProof/>
              </w:rPr>
              <w:t>Strategies adopted by multinational corporations in managing their exposure to foreign exchange rate risks:</w:t>
            </w:r>
            <w:r w:rsidR="00086C7E">
              <w:rPr>
                <w:noProof/>
                <w:webHidden/>
              </w:rPr>
              <w:tab/>
            </w:r>
            <w:r w:rsidR="00086C7E">
              <w:rPr>
                <w:noProof/>
                <w:webHidden/>
              </w:rPr>
              <w:fldChar w:fldCharType="begin"/>
            </w:r>
            <w:r w:rsidR="00086C7E">
              <w:rPr>
                <w:noProof/>
                <w:webHidden/>
              </w:rPr>
              <w:instrText xml:space="preserve"> PAGEREF _Toc152253972 \h </w:instrText>
            </w:r>
            <w:r w:rsidR="00086C7E">
              <w:rPr>
                <w:noProof/>
                <w:webHidden/>
              </w:rPr>
            </w:r>
            <w:r w:rsidR="00086C7E">
              <w:rPr>
                <w:noProof/>
                <w:webHidden/>
              </w:rPr>
              <w:fldChar w:fldCharType="separate"/>
            </w:r>
            <w:r w:rsidR="00086C7E">
              <w:rPr>
                <w:noProof/>
                <w:webHidden/>
              </w:rPr>
              <w:t>4</w:t>
            </w:r>
            <w:r w:rsidR="00086C7E">
              <w:rPr>
                <w:noProof/>
                <w:webHidden/>
              </w:rPr>
              <w:fldChar w:fldCharType="end"/>
            </w:r>
          </w:hyperlink>
        </w:p>
        <w:p w14:paraId="5F3DD024" w14:textId="36715E0A" w:rsidR="00086C7E" w:rsidRDefault="00541165">
          <w:pPr>
            <w:pStyle w:val="TOC1"/>
            <w:tabs>
              <w:tab w:val="right" w:leader="dot" w:pos="9016"/>
            </w:tabs>
            <w:rPr>
              <w:rFonts w:asciiTheme="minorHAnsi" w:eastAsiaTheme="minorEastAsia" w:hAnsiTheme="minorHAnsi"/>
              <w:noProof/>
              <w:sz w:val="22"/>
              <w:lang w:eastAsia="en-IN"/>
            </w:rPr>
          </w:pPr>
          <w:hyperlink w:anchor="_Toc152253973" w:history="1">
            <w:r w:rsidR="00086C7E" w:rsidRPr="00C34C15">
              <w:rPr>
                <w:rStyle w:val="Hyperlink"/>
                <w:noProof/>
              </w:rPr>
              <w:t>Conclusion:</w:t>
            </w:r>
            <w:r w:rsidR="00086C7E">
              <w:rPr>
                <w:noProof/>
                <w:webHidden/>
              </w:rPr>
              <w:tab/>
            </w:r>
            <w:r w:rsidR="00086C7E">
              <w:rPr>
                <w:noProof/>
                <w:webHidden/>
              </w:rPr>
              <w:fldChar w:fldCharType="begin"/>
            </w:r>
            <w:r w:rsidR="00086C7E">
              <w:rPr>
                <w:noProof/>
                <w:webHidden/>
              </w:rPr>
              <w:instrText xml:space="preserve"> PAGEREF _Toc152253973 \h </w:instrText>
            </w:r>
            <w:r w:rsidR="00086C7E">
              <w:rPr>
                <w:noProof/>
                <w:webHidden/>
              </w:rPr>
            </w:r>
            <w:r w:rsidR="00086C7E">
              <w:rPr>
                <w:noProof/>
                <w:webHidden/>
              </w:rPr>
              <w:fldChar w:fldCharType="separate"/>
            </w:r>
            <w:r w:rsidR="00086C7E">
              <w:rPr>
                <w:noProof/>
                <w:webHidden/>
              </w:rPr>
              <w:t>6</w:t>
            </w:r>
            <w:r w:rsidR="00086C7E">
              <w:rPr>
                <w:noProof/>
                <w:webHidden/>
              </w:rPr>
              <w:fldChar w:fldCharType="end"/>
            </w:r>
          </w:hyperlink>
        </w:p>
        <w:p w14:paraId="6166E339" w14:textId="114C538C" w:rsidR="00086C7E" w:rsidRDefault="00541165">
          <w:pPr>
            <w:pStyle w:val="TOC1"/>
            <w:tabs>
              <w:tab w:val="right" w:leader="dot" w:pos="9016"/>
            </w:tabs>
            <w:rPr>
              <w:rFonts w:asciiTheme="minorHAnsi" w:eastAsiaTheme="minorEastAsia" w:hAnsiTheme="minorHAnsi"/>
              <w:noProof/>
              <w:sz w:val="22"/>
              <w:lang w:eastAsia="en-IN"/>
            </w:rPr>
          </w:pPr>
          <w:hyperlink w:anchor="_Toc152253974" w:history="1">
            <w:r w:rsidR="00086C7E" w:rsidRPr="00C34C15">
              <w:rPr>
                <w:rStyle w:val="Hyperlink"/>
                <w:noProof/>
              </w:rPr>
              <w:t>References:</w:t>
            </w:r>
            <w:r w:rsidR="00086C7E">
              <w:rPr>
                <w:noProof/>
                <w:webHidden/>
              </w:rPr>
              <w:tab/>
            </w:r>
            <w:r w:rsidR="00086C7E">
              <w:rPr>
                <w:noProof/>
                <w:webHidden/>
              </w:rPr>
              <w:fldChar w:fldCharType="begin"/>
            </w:r>
            <w:r w:rsidR="00086C7E">
              <w:rPr>
                <w:noProof/>
                <w:webHidden/>
              </w:rPr>
              <w:instrText xml:space="preserve"> PAGEREF _Toc152253974 \h </w:instrText>
            </w:r>
            <w:r w:rsidR="00086C7E">
              <w:rPr>
                <w:noProof/>
                <w:webHidden/>
              </w:rPr>
            </w:r>
            <w:r w:rsidR="00086C7E">
              <w:rPr>
                <w:noProof/>
                <w:webHidden/>
              </w:rPr>
              <w:fldChar w:fldCharType="separate"/>
            </w:r>
            <w:r w:rsidR="00086C7E">
              <w:rPr>
                <w:noProof/>
                <w:webHidden/>
              </w:rPr>
              <w:t>8</w:t>
            </w:r>
            <w:r w:rsidR="00086C7E">
              <w:rPr>
                <w:noProof/>
                <w:webHidden/>
              </w:rPr>
              <w:fldChar w:fldCharType="end"/>
            </w:r>
          </w:hyperlink>
        </w:p>
        <w:p w14:paraId="50F29B39" w14:textId="4327DBFF" w:rsidR="00B91A59" w:rsidRDefault="00B91A59">
          <w:r>
            <w:rPr>
              <w:b/>
              <w:bCs/>
              <w:noProof/>
            </w:rPr>
            <w:fldChar w:fldCharType="end"/>
          </w:r>
        </w:p>
      </w:sdtContent>
    </w:sdt>
    <w:p w14:paraId="039865BD" w14:textId="77777777" w:rsidR="00B91A59" w:rsidRDefault="00B91A59">
      <w:pPr>
        <w:spacing w:line="259" w:lineRule="auto"/>
        <w:jc w:val="left"/>
        <w:rPr>
          <w:b/>
        </w:rPr>
      </w:pPr>
      <w:r>
        <w:br w:type="page"/>
      </w:r>
    </w:p>
    <w:p w14:paraId="51C0627B" w14:textId="66C73711" w:rsidR="004B591F" w:rsidRDefault="001B7C6F" w:rsidP="001B7C6F">
      <w:pPr>
        <w:pStyle w:val="Heading1"/>
      </w:pPr>
      <w:bookmarkStart w:id="0" w:name="_Toc152253970"/>
      <w:r>
        <w:lastRenderedPageBreak/>
        <w:t>Introduction:</w:t>
      </w:r>
      <w:bookmarkEnd w:id="0"/>
      <w:r>
        <w:t xml:space="preserve"> </w:t>
      </w:r>
    </w:p>
    <w:p w14:paraId="09614ED3" w14:textId="21212AB5" w:rsidR="001B7C6F" w:rsidRDefault="001B7C6F" w:rsidP="00B91A59">
      <w:pPr>
        <w:ind w:firstLine="720"/>
      </w:pPr>
      <w:r>
        <w:t>Fluctuation in exchange rate is everyday occurrence. From those that are holidaymaker making a plan for overseas trip and speculating when and how local currency can be obtained to the multinational organisation purchasing and selling in numerous countries, the effect of getting it wrong can be huge. Therefore, management of foreign exchange risk is very important</w:t>
      </w:r>
      <w:r w:rsidR="00B91A59">
        <w:t xml:space="preserve"> (</w:t>
      </w:r>
      <w:r w:rsidR="00B91A59" w:rsidRPr="00B91A59">
        <w:rPr>
          <w:shd w:val="clear" w:color="auto" w:fill="FFFFFF"/>
        </w:rPr>
        <w:t>Bernoth and Herwartz 2021</w:t>
      </w:r>
      <w:r w:rsidR="00B91A59">
        <w:t>)</w:t>
      </w:r>
      <w:r>
        <w:t xml:space="preserve">. Making investment in foreign exchange assets has proved to be merits of </w:t>
      </w:r>
      <w:r w:rsidR="00B91A59">
        <w:t>diversification</w:t>
      </w:r>
      <w:r>
        <w:t xml:space="preserve"> and majority of investors take the benefits international assets. If the foreign exchange securities are issued in USD, the portfolio of an individual will experience currency related risk. </w:t>
      </w:r>
    </w:p>
    <w:p w14:paraId="60D6A95F" w14:textId="053DF8E4" w:rsidR="001B7C6F" w:rsidRDefault="001B7C6F" w:rsidP="00B91A59">
      <w:pPr>
        <w:ind w:firstLine="720"/>
      </w:pPr>
      <w:r>
        <w:t>Currency risk is a type of risk where one currency simply moves against another currency, negatively creating an impact on the overall return from investment. The investors can agree to take currency risk and hope for best or they can simply employ hedging strategies to mitigate or eliminate the risk</w:t>
      </w:r>
      <w:r w:rsidR="00B91A59">
        <w:t xml:space="preserve"> (</w:t>
      </w:r>
      <w:r w:rsidR="00B91A59" w:rsidRPr="00B91A59">
        <w:rPr>
          <w:shd w:val="clear" w:color="auto" w:fill="FFFFFF"/>
        </w:rPr>
        <w:t>Salomao</w:t>
      </w:r>
      <w:r w:rsidR="00B91A59">
        <w:rPr>
          <w:shd w:val="clear" w:color="auto" w:fill="FFFFFF"/>
        </w:rPr>
        <w:t xml:space="preserve"> </w:t>
      </w:r>
      <w:r w:rsidR="00B91A59" w:rsidRPr="00B91A59">
        <w:rPr>
          <w:shd w:val="clear" w:color="auto" w:fill="FFFFFF"/>
        </w:rPr>
        <w:t>and Varela 2022</w:t>
      </w:r>
      <w:r w:rsidR="00B91A59">
        <w:t>)</w:t>
      </w:r>
      <w:r>
        <w:t xml:space="preserve">. The present study is based on understanding types of foreign exchange risk and strategies adopted by multinational companies in managing the foreign exchange risk exposure. </w:t>
      </w:r>
    </w:p>
    <w:p w14:paraId="1E53750D" w14:textId="77777777" w:rsidR="001B7C6F" w:rsidRDefault="001B7C6F" w:rsidP="00B91A59">
      <w:pPr>
        <w:pStyle w:val="Heading1"/>
      </w:pPr>
      <w:bookmarkStart w:id="1" w:name="_Toc152253971"/>
      <w:r>
        <w:t>Types of foreign exchange risk:</w:t>
      </w:r>
      <w:bookmarkEnd w:id="1"/>
    </w:p>
    <w:p w14:paraId="08DAF0E4" w14:textId="77777777" w:rsidR="00DC3221" w:rsidRDefault="001B7C6F" w:rsidP="00B91A59">
      <w:pPr>
        <w:ind w:firstLine="720"/>
      </w:pPr>
      <w:r>
        <w:t xml:space="preserve">Fundamentally, there are three types of foreign exchange exposure that multinational corporations face. Namely, transaction exposure, translation exposure and economic or operating exposure. </w:t>
      </w:r>
    </w:p>
    <w:p w14:paraId="4AB28362" w14:textId="77777777" w:rsidR="00DC3221" w:rsidRPr="00B91A59" w:rsidRDefault="00DC3221" w:rsidP="001B7C6F">
      <w:pPr>
        <w:rPr>
          <w:b/>
          <w:bCs/>
        </w:rPr>
      </w:pPr>
      <w:r w:rsidRPr="00B91A59">
        <w:rPr>
          <w:b/>
          <w:bCs/>
        </w:rPr>
        <w:t xml:space="preserve">Transaction Exposure: </w:t>
      </w:r>
    </w:p>
    <w:p w14:paraId="69B70904" w14:textId="7DEC1016" w:rsidR="00DC3221" w:rsidRDefault="00DC3221" w:rsidP="00B91A59">
      <w:pPr>
        <w:ind w:firstLine="720"/>
      </w:pPr>
      <w:r>
        <w:t>The transaction exposure is regarded as the simple form of foreign currency exposure. Transaction exposure, arises because of actual business transaction that takes place in foreign currency</w:t>
      </w:r>
      <w:r w:rsidR="00B91A59">
        <w:t xml:space="preserve"> (</w:t>
      </w:r>
      <w:r w:rsidR="00B91A59" w:rsidRPr="00B91A59">
        <w:rPr>
          <w:shd w:val="clear" w:color="auto" w:fill="FFFFFF"/>
        </w:rPr>
        <w:t xml:space="preserve">Alfaro, Calani </w:t>
      </w:r>
      <w:r w:rsidR="00B91A59">
        <w:rPr>
          <w:shd w:val="clear" w:color="auto" w:fill="FFFFFF"/>
        </w:rPr>
        <w:t>a</w:t>
      </w:r>
      <w:r w:rsidR="00B91A59" w:rsidRPr="00B91A59">
        <w:rPr>
          <w:shd w:val="clear" w:color="auto" w:fill="FFFFFF"/>
        </w:rPr>
        <w:t>nd Varela 2021</w:t>
      </w:r>
      <w:r w:rsidR="00B91A59">
        <w:t>)</w:t>
      </w:r>
      <w:r>
        <w:t xml:space="preserve">. This type of exposure happens because of time difference amid an entitlement to obtain cash from the customer and actual physical receipt of </w:t>
      </w:r>
      <w:r>
        <w:lastRenderedPageBreak/>
        <w:t xml:space="preserve">cash. In case of payables, it involves the time amid placing purchase order and settlement of invoice. </w:t>
      </w:r>
    </w:p>
    <w:p w14:paraId="7C1158F0" w14:textId="22538995" w:rsidR="001B7C6F" w:rsidRDefault="00DC3221" w:rsidP="00B91A59">
      <w:pPr>
        <w:ind w:firstLine="720"/>
        <w:rPr>
          <w:rFonts w:cs="Times New Roman"/>
        </w:rPr>
      </w:pPr>
      <w:r>
        <w:t>For example, a UK based multinational corporation that wishes to purchase a piece of equipment and following receipt of quotes from number of suppliers both domestic and foreign, has decided to purchase in Euro from a company located in Germany. The cost of equipment is €100,000 and when placing order the exchange rate between €/</w:t>
      </w:r>
      <w:r>
        <w:rPr>
          <w:rFonts w:cs="Times New Roman"/>
        </w:rPr>
        <w:t>£</w:t>
      </w:r>
      <w:r>
        <w:t xml:space="preserve"> stood 1.1. This implies that the cost to UK based multinational company now stands </w:t>
      </w:r>
      <w:r>
        <w:rPr>
          <w:rFonts w:cs="Times New Roman"/>
        </w:rPr>
        <w:t>£110,000. After three months when the invoice becomes due for payment, the Euro € has become weak and the €/£ exchange rate has become 1.2</w:t>
      </w:r>
      <w:r w:rsidR="00086C7E">
        <w:rPr>
          <w:rFonts w:cs="Times New Roman"/>
        </w:rPr>
        <w:t xml:space="preserve"> (</w:t>
      </w:r>
      <w:r w:rsidR="00086C7E" w:rsidRPr="00B91A59">
        <w:rPr>
          <w:shd w:val="clear" w:color="auto" w:fill="FFFFFF"/>
        </w:rPr>
        <w:t>Rampini, Viswanathan and Vuillemey 2020</w:t>
      </w:r>
      <w:r w:rsidR="00086C7E">
        <w:rPr>
          <w:rFonts w:cs="Times New Roman"/>
        </w:rPr>
        <w:t>)</w:t>
      </w:r>
      <w:r>
        <w:rPr>
          <w:rFonts w:cs="Times New Roman"/>
        </w:rPr>
        <w:t xml:space="preserve">. The cost that will be incurred by company to settle the payment of €100,000 would stand £120,000. The transaction exposure has led to added unanticipated cost to the company of £10,000 and this means that the company may have bought the equipment at less price from an alternative supplier. </w:t>
      </w:r>
    </w:p>
    <w:p w14:paraId="75FAB5BC" w14:textId="77777777" w:rsidR="00DC3221" w:rsidRPr="00B91A59" w:rsidRDefault="00DC3221" w:rsidP="001B7C6F">
      <w:pPr>
        <w:rPr>
          <w:rFonts w:cs="Times New Roman"/>
          <w:b/>
          <w:bCs/>
        </w:rPr>
      </w:pPr>
      <w:r w:rsidRPr="00B91A59">
        <w:rPr>
          <w:rFonts w:cs="Times New Roman"/>
          <w:b/>
          <w:bCs/>
        </w:rPr>
        <w:t>Translation Exposure</w:t>
      </w:r>
    </w:p>
    <w:p w14:paraId="2AD4EAE7" w14:textId="2310C9DA" w:rsidR="00651044" w:rsidRDefault="00DC3221" w:rsidP="00B91A59">
      <w:pPr>
        <w:ind w:firstLine="720"/>
        <w:rPr>
          <w:rFonts w:cs="Times New Roman"/>
        </w:rPr>
      </w:pPr>
      <w:r>
        <w:rPr>
          <w:rFonts w:cs="Times New Roman"/>
        </w:rPr>
        <w:t xml:space="preserve">The translation exposure is at times known as exchange rate exposure. The translation exposure represents conversion of financial statements of overseas subsidiary company from its local currency to the reporting currency of parent company. This situation arises because the parent company has obligations to report to </w:t>
      </w:r>
      <w:r w:rsidR="00651044">
        <w:rPr>
          <w:rFonts w:cs="Times New Roman"/>
        </w:rPr>
        <w:t>stockholders</w:t>
      </w:r>
      <w:r>
        <w:rPr>
          <w:rFonts w:cs="Times New Roman"/>
        </w:rPr>
        <w:t xml:space="preserve"> and </w:t>
      </w:r>
      <w:r w:rsidR="00651044">
        <w:rPr>
          <w:rFonts w:cs="Times New Roman"/>
        </w:rPr>
        <w:t>controllers</w:t>
      </w:r>
      <w:r>
        <w:rPr>
          <w:rFonts w:cs="Times New Roman"/>
        </w:rPr>
        <w:t xml:space="preserve"> that requires the company to provide a consolidated accounting set </w:t>
      </w:r>
      <w:r w:rsidR="00651044">
        <w:rPr>
          <w:rFonts w:cs="Times New Roman"/>
        </w:rPr>
        <w:t>in its reporting currency for all its holdings</w:t>
      </w:r>
      <w:r w:rsidR="00086C7E">
        <w:rPr>
          <w:rFonts w:cs="Times New Roman"/>
        </w:rPr>
        <w:t xml:space="preserve"> (</w:t>
      </w:r>
      <w:r w:rsidR="00086C7E" w:rsidRPr="00B91A59">
        <w:rPr>
          <w:shd w:val="clear" w:color="auto" w:fill="FFFFFF"/>
        </w:rPr>
        <w:t>Mueller, Stathopoulos and Vedolin 2017</w:t>
      </w:r>
      <w:r w:rsidR="00086C7E">
        <w:rPr>
          <w:rFonts w:cs="Times New Roman"/>
        </w:rPr>
        <w:t>)</w:t>
      </w:r>
      <w:r w:rsidR="00651044">
        <w:rPr>
          <w:rFonts w:cs="Times New Roman"/>
        </w:rPr>
        <w:t>. The translation risk generally happens when the company has assets, liabilities, equities or income held under overseas currency.</w:t>
      </w:r>
      <w:r>
        <w:rPr>
          <w:rFonts w:cs="Times New Roman"/>
        </w:rPr>
        <w:t xml:space="preserve"> </w:t>
      </w:r>
      <w:r w:rsidR="00651044">
        <w:rPr>
          <w:rFonts w:cs="Times New Roman"/>
        </w:rPr>
        <w:t>The translation risk happens when the company is required to translate these assets back to its home currency. The translation exposure is normally found in multinational companies since their operations and assets are based in overseas currency.</w:t>
      </w:r>
    </w:p>
    <w:p w14:paraId="0D52585D" w14:textId="7E70BACB" w:rsidR="00651044" w:rsidRDefault="00651044" w:rsidP="00B91A59">
      <w:pPr>
        <w:ind w:firstLine="720"/>
        <w:rPr>
          <w:rFonts w:cs="Times New Roman"/>
        </w:rPr>
      </w:pPr>
      <w:r>
        <w:rPr>
          <w:rFonts w:cs="Times New Roman"/>
        </w:rPr>
        <w:lastRenderedPageBreak/>
        <w:t xml:space="preserve">For example, assuming that a US company takes the decision of setting up a subsidiary in UK to manufacturing specific type of equipment. The subsidiary company in UK is required to report its financial statements in </w:t>
      </w:r>
      <w:r w:rsidR="00335CFC">
        <w:rPr>
          <w:rFonts w:cs="Times New Roman"/>
        </w:rPr>
        <w:t xml:space="preserve">Pound and the US parent company will be required to translate those financial statements into USD. </w:t>
      </w:r>
    </w:p>
    <w:p w14:paraId="45BB018C" w14:textId="38254579" w:rsidR="00335CFC" w:rsidRPr="00B91A59" w:rsidRDefault="00335CFC" w:rsidP="001B7C6F">
      <w:pPr>
        <w:rPr>
          <w:rFonts w:cs="Times New Roman"/>
          <w:b/>
          <w:bCs/>
        </w:rPr>
      </w:pPr>
      <w:r w:rsidRPr="00B91A59">
        <w:rPr>
          <w:rFonts w:cs="Times New Roman"/>
          <w:b/>
          <w:bCs/>
        </w:rPr>
        <w:t xml:space="preserve">Economic or operating Exposure: </w:t>
      </w:r>
    </w:p>
    <w:p w14:paraId="08E6F8CB" w14:textId="26066D25" w:rsidR="00335CFC" w:rsidRDefault="00335CFC" w:rsidP="00B91A59">
      <w:pPr>
        <w:ind w:firstLine="720"/>
        <w:rPr>
          <w:rFonts w:cs="Times New Roman"/>
        </w:rPr>
      </w:pPr>
      <w:r>
        <w:rPr>
          <w:rFonts w:cs="Times New Roman"/>
        </w:rPr>
        <w:t>This is a final form of foreign exchange exposure. The economic or operating exposure happens due to the effect of unanticipated and unavoidable fluctuations of currency on future cash flow of the company and market value which is long-term in nature</w:t>
      </w:r>
      <w:r w:rsidR="00086C7E">
        <w:rPr>
          <w:rFonts w:cs="Times New Roman"/>
        </w:rPr>
        <w:t xml:space="preserve"> (</w:t>
      </w:r>
      <w:r w:rsidR="00086C7E" w:rsidRPr="00B91A59">
        <w:rPr>
          <w:shd w:val="clear" w:color="auto" w:fill="FFFFFF"/>
        </w:rPr>
        <w:t>Nouajaa and Viviani 2023</w:t>
      </w:r>
      <w:r w:rsidR="00086C7E">
        <w:rPr>
          <w:rFonts w:cs="Times New Roman"/>
        </w:rPr>
        <w:t>)</w:t>
      </w:r>
      <w:r>
        <w:rPr>
          <w:rFonts w:cs="Times New Roman"/>
        </w:rPr>
        <w:t xml:space="preserve">. This form of exposure can create an effect on the long-term strategic decisions involving where a company can make investment to increase its manufacturing capacity. A stronger overseas currency can make the manufacturing inputs very expensive and may contribute to reduced profitability. </w:t>
      </w:r>
    </w:p>
    <w:p w14:paraId="7894F716" w14:textId="3021021F" w:rsidR="00335CFC" w:rsidRDefault="00335CFC" w:rsidP="00B91A59">
      <w:pPr>
        <w:ind w:firstLine="720"/>
        <w:rPr>
          <w:rFonts w:cs="Times New Roman"/>
        </w:rPr>
      </w:pPr>
      <w:r>
        <w:rPr>
          <w:rFonts w:cs="Times New Roman"/>
        </w:rPr>
        <w:t>The economic exposure can hamper the competitive position of the company</w:t>
      </w:r>
      <w:r w:rsidR="00086C7E">
        <w:rPr>
          <w:rFonts w:cs="Times New Roman"/>
        </w:rPr>
        <w:t xml:space="preserve"> (</w:t>
      </w:r>
      <w:r w:rsidR="00086C7E" w:rsidRPr="00B91A59">
        <w:rPr>
          <w:shd w:val="clear" w:color="auto" w:fill="FFFFFF"/>
        </w:rPr>
        <w:t>Abbassi and Bräuning 2019</w:t>
      </w:r>
      <w:r w:rsidR="00086C7E">
        <w:rPr>
          <w:rFonts w:cs="Times New Roman"/>
        </w:rPr>
        <w:t>)</w:t>
      </w:r>
      <w:r>
        <w:rPr>
          <w:rFonts w:cs="Times New Roman"/>
        </w:rPr>
        <w:t>. For instance, if it is found that local currency has gained strength, the local manufacturers will have to have very intense competition from overseas manufacturers whose goods and services will turn less expensive and affordable.</w:t>
      </w:r>
    </w:p>
    <w:p w14:paraId="00E3D5C0" w14:textId="7511CBD7" w:rsidR="00335CFC" w:rsidRDefault="003A1800" w:rsidP="00B91A59">
      <w:pPr>
        <w:pStyle w:val="Heading1"/>
      </w:pPr>
      <w:bookmarkStart w:id="2" w:name="_Toc152253972"/>
      <w:r>
        <w:t>Strategies adopted by multinational corporations in managing their exposure to foreign exchange rate risks:</w:t>
      </w:r>
      <w:bookmarkEnd w:id="2"/>
      <w:r>
        <w:t xml:space="preserve"> </w:t>
      </w:r>
    </w:p>
    <w:p w14:paraId="0C9F8D82" w14:textId="05EC6C4D" w:rsidR="003A1800" w:rsidRDefault="003A1800" w:rsidP="00B91A59">
      <w:pPr>
        <w:ind w:firstLine="720"/>
        <w:rPr>
          <w:rFonts w:cs="Times New Roman"/>
        </w:rPr>
      </w:pPr>
      <w:r>
        <w:rPr>
          <w:rFonts w:cs="Times New Roman"/>
        </w:rPr>
        <w:t>The primary question that multinational corporations should ask is whether it should bother trying to mitigate the risk. It may that a multinational company may agree to take the risk of movement in currency as the cost incurred in doing business and it is prepared to deal with possible volatility in earnings</w:t>
      </w:r>
      <w:r w:rsidR="00086C7E">
        <w:rPr>
          <w:rFonts w:cs="Times New Roman"/>
        </w:rPr>
        <w:t xml:space="preserve"> (</w:t>
      </w:r>
      <w:r w:rsidR="00086C7E" w:rsidRPr="00B91A59">
        <w:rPr>
          <w:shd w:val="clear" w:color="auto" w:fill="FFFFFF"/>
        </w:rPr>
        <w:t>Ito and McCauley 2020</w:t>
      </w:r>
      <w:r w:rsidR="00086C7E">
        <w:rPr>
          <w:rFonts w:cs="Times New Roman"/>
        </w:rPr>
        <w:t>)</w:t>
      </w:r>
      <w:r>
        <w:rPr>
          <w:rFonts w:cs="Times New Roman"/>
        </w:rPr>
        <w:t xml:space="preserve">. The multinational companies might have high amount of profit margins which may provide cushion against volatility in exchange rate. Alternatively, the multinational company might have very strong band or </w:t>
      </w:r>
      <w:r>
        <w:rPr>
          <w:rFonts w:cs="Times New Roman"/>
        </w:rPr>
        <w:lastRenderedPageBreak/>
        <w:t xml:space="preserve">competitive advantage which allows them to increase prices of their goods in order to offset the adverse movements. In spite of this, multinational corporations are employing strategies to manage their exposure to foreign exchange risk. </w:t>
      </w:r>
    </w:p>
    <w:p w14:paraId="6C9C4218" w14:textId="2E2EB39C" w:rsidR="00565EEC" w:rsidRDefault="00565EEC" w:rsidP="00B91A59">
      <w:pPr>
        <w:ind w:firstLine="720"/>
        <w:rPr>
          <w:rFonts w:cs="Times New Roman"/>
        </w:rPr>
      </w:pPr>
      <w:r>
        <w:rPr>
          <w:rFonts w:cs="Times New Roman"/>
        </w:rPr>
        <w:t>To manage the financial risk the multinational companies are using transaction risk and accounting risk for ex-post risk prevention. Along with these methods, the multinational companies are also performing ex-ante prevention strategically and operationally</w:t>
      </w:r>
      <w:r w:rsidR="00086C7E">
        <w:rPr>
          <w:rFonts w:cs="Times New Roman"/>
        </w:rPr>
        <w:t xml:space="preserve"> (</w:t>
      </w:r>
      <w:r w:rsidR="00086C7E" w:rsidRPr="00B91A59">
        <w:rPr>
          <w:shd w:val="clear" w:color="auto" w:fill="FFFFFF"/>
        </w:rPr>
        <w:t>Saunders, Cornett and Erhemjamts 2021</w:t>
      </w:r>
      <w:r w:rsidR="00086C7E">
        <w:rPr>
          <w:rFonts w:cs="Times New Roman"/>
        </w:rPr>
        <w:t>)</w:t>
      </w:r>
      <w:r>
        <w:rPr>
          <w:rFonts w:cs="Times New Roman"/>
        </w:rPr>
        <w:t xml:space="preserve">. Considering the theory of internal control, the ex-ante method of risk management is much more effective than the ex-post control. It is a better option to prevent risk, the multinationals companies are required to introduce a greater number of policies or guidance at the company level. This includes localizing the purchase of raw materials and the process of internationalization. </w:t>
      </w:r>
    </w:p>
    <w:p w14:paraId="1B0B8D63" w14:textId="41EE9522" w:rsidR="00565EEC" w:rsidRDefault="00565EEC" w:rsidP="00B91A59">
      <w:pPr>
        <w:ind w:firstLine="720"/>
        <w:rPr>
          <w:rFonts w:cs="Times New Roman"/>
        </w:rPr>
      </w:pPr>
      <w:r>
        <w:rPr>
          <w:rFonts w:cs="Times New Roman"/>
        </w:rPr>
        <w:t>The multinational companies are managing economic risks by using operational strategy that is aimed at adjusting or simply changing the present business operations of the company to prevent the possibility of risks related with future fluctuations in currency. The operational risk management of multinational companies involve diversification of production facilities and marketing of products</w:t>
      </w:r>
      <w:r w:rsidR="00086C7E">
        <w:rPr>
          <w:rFonts w:cs="Times New Roman"/>
        </w:rPr>
        <w:t xml:space="preserve"> (</w:t>
      </w:r>
      <w:r w:rsidR="00086C7E" w:rsidRPr="00B91A59">
        <w:rPr>
          <w:shd w:val="clear" w:color="auto" w:fill="FFFFFF"/>
        </w:rPr>
        <w:t>Chakrabarti and Sen 2023</w:t>
      </w:r>
      <w:r w:rsidR="00086C7E">
        <w:rPr>
          <w:rFonts w:cs="Times New Roman"/>
        </w:rPr>
        <w:t>)</w:t>
      </w:r>
      <w:r>
        <w:rPr>
          <w:rFonts w:cs="Times New Roman"/>
        </w:rPr>
        <w:t xml:space="preserve">. The multinational companies are expanding their operation facilities and sales to mixture of markets. Furthermore, the multinational companies are considering acquisition of its vital inputs from different number of regions. Furthermore, the multinational companies are seeking financing from capital markets of different regions.  </w:t>
      </w:r>
    </w:p>
    <w:p w14:paraId="7D0526C4" w14:textId="5D5A7617" w:rsidR="003A1800" w:rsidRDefault="00565EEC" w:rsidP="00B91A59">
      <w:pPr>
        <w:ind w:firstLine="720"/>
        <w:rPr>
          <w:rFonts w:cs="Times New Roman"/>
        </w:rPr>
      </w:pPr>
      <w:r>
        <w:rPr>
          <w:rFonts w:cs="Times New Roman"/>
        </w:rPr>
        <w:t>To manage foreign exchange risk, multinational companies are c</w:t>
      </w:r>
      <w:r w:rsidR="003A1800">
        <w:rPr>
          <w:rFonts w:cs="Times New Roman"/>
        </w:rPr>
        <w:t>reating protection through commercial relationships or contracts</w:t>
      </w:r>
      <w:r>
        <w:rPr>
          <w:rFonts w:cs="Times New Roman"/>
        </w:rPr>
        <w:t xml:space="preserve">. Several companies are managing large number of infrastructure projects </w:t>
      </w:r>
      <w:r w:rsidR="00E922F7">
        <w:rPr>
          <w:rFonts w:cs="Times New Roman"/>
        </w:rPr>
        <w:t>in areas of oil and gas, energy or mining industries which are usually for long-term purpose or contracts</w:t>
      </w:r>
      <w:r w:rsidR="00086C7E">
        <w:rPr>
          <w:rFonts w:cs="Times New Roman"/>
        </w:rPr>
        <w:t xml:space="preserve"> (</w:t>
      </w:r>
      <w:r w:rsidR="00086C7E" w:rsidRPr="00B91A59">
        <w:rPr>
          <w:shd w:val="clear" w:color="auto" w:fill="FFFFFF"/>
        </w:rPr>
        <w:t>Su 2018</w:t>
      </w:r>
      <w:r w:rsidR="00086C7E">
        <w:rPr>
          <w:rFonts w:cs="Times New Roman"/>
        </w:rPr>
        <w:t>)</w:t>
      </w:r>
      <w:r w:rsidR="00E922F7">
        <w:rPr>
          <w:rFonts w:cs="Times New Roman"/>
        </w:rPr>
        <w:t xml:space="preserve">. The long-term contracts may involve huge </w:t>
      </w:r>
      <w:r w:rsidR="00E922F7">
        <w:rPr>
          <w:rFonts w:cs="Times New Roman"/>
        </w:rPr>
        <w:lastRenderedPageBreak/>
        <w:t xml:space="preserve">amount of foreign currency. The contracts might last for several years and exchange rates while agreeing to contracts might last for several years. The exchange rate while agreeing to contract and setting price might fluctuate and hamper the profitability. </w:t>
      </w:r>
    </w:p>
    <w:p w14:paraId="0D57EAFB" w14:textId="561B91DB" w:rsidR="00E922F7" w:rsidRDefault="00E922F7" w:rsidP="00B91A59">
      <w:pPr>
        <w:ind w:firstLine="720"/>
        <w:rPr>
          <w:rFonts w:cs="Times New Roman"/>
        </w:rPr>
      </w:pPr>
      <w:r>
        <w:rPr>
          <w:rFonts w:cs="Times New Roman"/>
        </w:rPr>
        <w:t>The multinational companies are building foreign exchange clauses in contract which allows revenues to get recouped in the event of deviation in exchange rate greater than the agreed amount</w:t>
      </w:r>
      <w:r w:rsidR="00086C7E">
        <w:rPr>
          <w:rFonts w:cs="Times New Roman"/>
        </w:rPr>
        <w:t xml:space="preserve"> (</w:t>
      </w:r>
      <w:r w:rsidR="00086C7E" w:rsidRPr="00B91A59">
        <w:rPr>
          <w:shd w:val="clear" w:color="auto" w:fill="FFFFFF"/>
        </w:rPr>
        <w:t>Hutson, Laing and Ye 2019</w:t>
      </w:r>
      <w:r w:rsidR="00086C7E">
        <w:rPr>
          <w:rFonts w:cs="Times New Roman"/>
        </w:rPr>
        <w:t>)</w:t>
      </w:r>
      <w:r>
        <w:rPr>
          <w:rFonts w:cs="Times New Roman"/>
        </w:rPr>
        <w:t xml:space="preserve">. This process simply passes the foreign exchange risk on the customers or suppliers and requires negotiation similarly like contract clause. </w:t>
      </w:r>
    </w:p>
    <w:p w14:paraId="7C76C2F6" w14:textId="03815939" w:rsidR="00E922F7" w:rsidRDefault="00E922F7" w:rsidP="00B91A59">
      <w:pPr>
        <w:ind w:firstLine="720"/>
        <w:rPr>
          <w:rFonts w:cs="Times New Roman"/>
        </w:rPr>
      </w:pPr>
      <w:r>
        <w:rPr>
          <w:rFonts w:cs="Times New Roman"/>
        </w:rPr>
        <w:t>The multinational companies are managing the foreign exchange risk through hedging. A foreign exchange hedge happens when a company can match the revenues and cost in foreign currency in way that net exposure gets reduced or eliminated</w:t>
      </w:r>
      <w:r w:rsidR="00086C7E">
        <w:rPr>
          <w:rFonts w:cs="Times New Roman"/>
        </w:rPr>
        <w:t xml:space="preserve"> (</w:t>
      </w:r>
      <w:r w:rsidR="00086C7E" w:rsidRPr="00B91A59">
        <w:rPr>
          <w:shd w:val="clear" w:color="auto" w:fill="FFFFFF"/>
        </w:rPr>
        <w:t>Rampini, Viswanatha</w:t>
      </w:r>
      <w:r w:rsidR="00086C7E">
        <w:rPr>
          <w:shd w:val="clear" w:color="auto" w:fill="FFFFFF"/>
        </w:rPr>
        <w:t>n</w:t>
      </w:r>
      <w:r w:rsidR="00086C7E" w:rsidRPr="00B91A59">
        <w:rPr>
          <w:shd w:val="clear" w:color="auto" w:fill="FFFFFF"/>
        </w:rPr>
        <w:t xml:space="preserve"> and Vuillemey 2020</w:t>
      </w:r>
      <w:r w:rsidR="00086C7E">
        <w:rPr>
          <w:rFonts w:cs="Times New Roman"/>
        </w:rPr>
        <w:t>)</w:t>
      </w:r>
      <w:r>
        <w:rPr>
          <w:rFonts w:cs="Times New Roman"/>
        </w:rPr>
        <w:t xml:space="preserve">. For example, a US based company conducing business functions in Europe and producing income in Euro might look to source product from Europe to supply it in domestic US business so that the Euros can be used. </w:t>
      </w:r>
    </w:p>
    <w:p w14:paraId="74788D13" w14:textId="4A9F6E47" w:rsidR="00561AB4" w:rsidRDefault="00E922F7" w:rsidP="00B91A59">
      <w:pPr>
        <w:ind w:firstLine="720"/>
        <w:rPr>
          <w:rFonts w:cs="Times New Roman"/>
        </w:rPr>
      </w:pPr>
      <w:r>
        <w:rPr>
          <w:rFonts w:cs="Times New Roman"/>
        </w:rPr>
        <w:t xml:space="preserve">Besides this, the multinational companies are managing foreign exchange risk by hedging currency risk with exchange traded funds. </w:t>
      </w:r>
      <w:r w:rsidR="00561AB4">
        <w:rPr>
          <w:rFonts w:cs="Times New Roman"/>
        </w:rPr>
        <w:t>There are large number of exchange traded funds that emphasize on long term purchase and sell exposure to several currencies</w:t>
      </w:r>
      <w:r w:rsidR="00086C7E">
        <w:rPr>
          <w:rFonts w:cs="Times New Roman"/>
        </w:rPr>
        <w:t xml:space="preserve"> (</w:t>
      </w:r>
      <w:r w:rsidR="00086C7E" w:rsidRPr="00B91A59">
        <w:rPr>
          <w:shd w:val="clear" w:color="auto" w:fill="FFFFFF"/>
        </w:rPr>
        <w:t>Chugh, Sharma and Mehta</w:t>
      </w:r>
      <w:r w:rsidR="00086C7E">
        <w:rPr>
          <w:shd w:val="clear" w:color="auto" w:fill="FFFFFF"/>
        </w:rPr>
        <w:t xml:space="preserve"> </w:t>
      </w:r>
      <w:r w:rsidR="00086C7E" w:rsidRPr="00B91A59">
        <w:rPr>
          <w:shd w:val="clear" w:color="auto" w:fill="FFFFFF"/>
        </w:rPr>
        <w:t>2017</w:t>
      </w:r>
      <w:r w:rsidR="00086C7E">
        <w:rPr>
          <w:rFonts w:cs="Times New Roman"/>
        </w:rPr>
        <w:t>)</w:t>
      </w:r>
      <w:r w:rsidR="00561AB4">
        <w:rPr>
          <w:rFonts w:cs="Times New Roman"/>
        </w:rPr>
        <w:t xml:space="preserve">. The exchange traded funds which holds large number of securities can consider including currency position which experience gains or losses due to the movement in currency exchange rate. The currency option provides the multinational companies with right but not the obligation to purchase and sell a currency at a particular rate on or prior to the specific date. They are considered identical to forward contracts but the multinational companies are not forced to finish the transaction when the date of contract expiry arrives. </w:t>
      </w:r>
    </w:p>
    <w:p w14:paraId="091A4F15" w14:textId="77777777" w:rsidR="00561AB4" w:rsidRDefault="00561AB4" w:rsidP="00B91A59">
      <w:pPr>
        <w:pStyle w:val="Heading1"/>
      </w:pPr>
      <w:bookmarkStart w:id="3" w:name="_Toc152253973"/>
      <w:r>
        <w:t>Conclusion:</w:t>
      </w:r>
      <w:bookmarkEnd w:id="3"/>
      <w:r>
        <w:t xml:space="preserve"> </w:t>
      </w:r>
    </w:p>
    <w:p w14:paraId="4EEACE54" w14:textId="44737411" w:rsidR="00E922F7" w:rsidRDefault="00561AB4" w:rsidP="00B91A59">
      <w:pPr>
        <w:ind w:firstLine="720"/>
        <w:rPr>
          <w:rFonts w:cs="Times New Roman"/>
        </w:rPr>
      </w:pPr>
      <w:r>
        <w:rPr>
          <w:rFonts w:cs="Times New Roman"/>
        </w:rPr>
        <w:lastRenderedPageBreak/>
        <w:t xml:space="preserve">On a conclusive note, the hedging strategies can be used in safeguarding the foreign investment from the currency risk when the funds are converted back to </w:t>
      </w:r>
      <w:r w:rsidR="00B91A59">
        <w:rPr>
          <w:rFonts w:cs="Times New Roman"/>
        </w:rPr>
        <w:t>the multinational company home currency. Furthermore, the multinational companies are also employing currency exchange traded funds to mitigate the exposure of portfolio towards the performance of a currency exchange rate. The analysis shows that the forward contracts help in providing rate lock to allow foreign funds to get transformed back to home currency at a later date.</w:t>
      </w:r>
    </w:p>
    <w:p w14:paraId="08078DC8" w14:textId="225E8E1E" w:rsidR="00B91A59" w:rsidRDefault="00B91A59">
      <w:pPr>
        <w:spacing w:line="259" w:lineRule="auto"/>
        <w:jc w:val="left"/>
        <w:rPr>
          <w:rFonts w:cs="Times New Roman"/>
        </w:rPr>
      </w:pPr>
      <w:r>
        <w:rPr>
          <w:rFonts w:cs="Times New Roman"/>
        </w:rPr>
        <w:br w:type="page"/>
      </w:r>
    </w:p>
    <w:p w14:paraId="207EDF28" w14:textId="04859CC2" w:rsidR="00B91A59" w:rsidRDefault="00B91A59" w:rsidP="00B91A59">
      <w:pPr>
        <w:pStyle w:val="Heading1"/>
      </w:pPr>
      <w:bookmarkStart w:id="4" w:name="_Toc152253974"/>
      <w:r>
        <w:lastRenderedPageBreak/>
        <w:t>References:</w:t>
      </w:r>
      <w:bookmarkEnd w:id="4"/>
    </w:p>
    <w:p w14:paraId="658DCE58" w14:textId="77777777" w:rsidR="00086C7E" w:rsidRPr="00B91A59" w:rsidRDefault="00086C7E" w:rsidP="00B91A59">
      <w:bookmarkStart w:id="5" w:name="_Hlk152253657"/>
      <w:r w:rsidRPr="00B91A59">
        <w:rPr>
          <w:shd w:val="clear" w:color="auto" w:fill="FFFFFF"/>
        </w:rPr>
        <w:t>Abbassi, P. and Bräuning, F., 2019. </w:t>
      </w:r>
      <w:r w:rsidRPr="00B91A59">
        <w:rPr>
          <w:i/>
          <w:iCs/>
          <w:shd w:val="clear" w:color="auto" w:fill="FFFFFF"/>
        </w:rPr>
        <w:t>Financial Stability Effects of Foreign-Exchange Risk Migration</w:t>
      </w:r>
      <w:r w:rsidRPr="00B91A59">
        <w:rPr>
          <w:shd w:val="clear" w:color="auto" w:fill="FFFFFF"/>
        </w:rPr>
        <w:t>. Working Paper. http://dx. doi. org/10.2139/ssrn. 3483234.</w:t>
      </w:r>
    </w:p>
    <w:p w14:paraId="0C3201C1" w14:textId="77777777" w:rsidR="00086C7E" w:rsidRPr="00B91A59" w:rsidRDefault="00086C7E" w:rsidP="00B91A59">
      <w:pPr>
        <w:rPr>
          <w:shd w:val="clear" w:color="auto" w:fill="FFFFFF"/>
        </w:rPr>
      </w:pPr>
      <w:r w:rsidRPr="00B91A59">
        <w:rPr>
          <w:shd w:val="clear" w:color="auto" w:fill="FFFFFF"/>
        </w:rPr>
        <w:t>Alfaro, L., Calani, M. and Varela, L., 2021. Currency hedging: Managing cash flow exposure.</w:t>
      </w:r>
    </w:p>
    <w:p w14:paraId="7579FF49" w14:textId="77777777" w:rsidR="00086C7E" w:rsidRPr="00B91A59" w:rsidRDefault="00086C7E" w:rsidP="00B91A59">
      <w:pPr>
        <w:rPr>
          <w:shd w:val="clear" w:color="auto" w:fill="FFFFFF"/>
        </w:rPr>
      </w:pPr>
      <w:r w:rsidRPr="00B91A59">
        <w:rPr>
          <w:shd w:val="clear" w:color="auto" w:fill="FFFFFF"/>
        </w:rPr>
        <w:t>Bernoth, K. and Herwartz, H., 2021. Exchange rates, foreign currency exposure and sovereign risk. </w:t>
      </w:r>
      <w:r w:rsidRPr="00B91A59">
        <w:rPr>
          <w:i/>
          <w:iCs/>
          <w:shd w:val="clear" w:color="auto" w:fill="FFFFFF"/>
        </w:rPr>
        <w:t>Journal of International Money and Finance</w:t>
      </w:r>
      <w:r w:rsidRPr="00B91A59">
        <w:rPr>
          <w:shd w:val="clear" w:color="auto" w:fill="FFFFFF"/>
        </w:rPr>
        <w:t>, </w:t>
      </w:r>
      <w:r w:rsidRPr="00B91A59">
        <w:rPr>
          <w:i/>
          <w:iCs/>
          <w:shd w:val="clear" w:color="auto" w:fill="FFFFFF"/>
        </w:rPr>
        <w:t>117</w:t>
      </w:r>
      <w:r w:rsidRPr="00B91A59">
        <w:rPr>
          <w:shd w:val="clear" w:color="auto" w:fill="FFFFFF"/>
        </w:rPr>
        <w:t>, p.102454.</w:t>
      </w:r>
    </w:p>
    <w:p w14:paraId="644379DF" w14:textId="77777777" w:rsidR="00086C7E" w:rsidRPr="00B91A59" w:rsidRDefault="00086C7E" w:rsidP="00B91A59">
      <w:pPr>
        <w:rPr>
          <w:shd w:val="clear" w:color="auto" w:fill="FFFFFF"/>
        </w:rPr>
      </w:pPr>
      <w:r w:rsidRPr="00B91A59">
        <w:rPr>
          <w:shd w:val="clear" w:color="auto" w:fill="FFFFFF"/>
        </w:rPr>
        <w:t>Chakrabarti, P. and Sen, S., 2023. Foreign currency borrowing and risk exposure of firms: An emerging market economy viewpoint. </w:t>
      </w:r>
      <w:r w:rsidRPr="00B91A59">
        <w:rPr>
          <w:i/>
          <w:iCs/>
          <w:shd w:val="clear" w:color="auto" w:fill="FFFFFF"/>
        </w:rPr>
        <w:t>Journal of Policy Modeling</w:t>
      </w:r>
      <w:r w:rsidRPr="00B91A59">
        <w:rPr>
          <w:shd w:val="clear" w:color="auto" w:fill="FFFFFF"/>
        </w:rPr>
        <w:t>, </w:t>
      </w:r>
      <w:r w:rsidRPr="00B91A59">
        <w:rPr>
          <w:i/>
          <w:iCs/>
          <w:shd w:val="clear" w:color="auto" w:fill="FFFFFF"/>
        </w:rPr>
        <w:t>45</w:t>
      </w:r>
      <w:r w:rsidRPr="00B91A59">
        <w:rPr>
          <w:shd w:val="clear" w:color="auto" w:fill="FFFFFF"/>
        </w:rPr>
        <w:t>(6), pp.1246-1261.</w:t>
      </w:r>
    </w:p>
    <w:p w14:paraId="0BA73EA6" w14:textId="77777777" w:rsidR="00086C7E" w:rsidRPr="00B91A59" w:rsidRDefault="00086C7E" w:rsidP="00B91A59">
      <w:pPr>
        <w:rPr>
          <w:shd w:val="clear" w:color="auto" w:fill="FFFFFF"/>
        </w:rPr>
      </w:pPr>
      <w:r w:rsidRPr="00B91A59">
        <w:rPr>
          <w:shd w:val="clear" w:color="auto" w:fill="FFFFFF"/>
        </w:rPr>
        <w:t>Chugh, A., Sharma, R. and Mehta, K., 2017. Forex Risk Management by SMEs and Unlisted Non-financial Firms: A Literature Survey. </w:t>
      </w:r>
      <w:r w:rsidRPr="00B91A59">
        <w:rPr>
          <w:i/>
          <w:iCs/>
          <w:shd w:val="clear" w:color="auto" w:fill="FFFFFF"/>
        </w:rPr>
        <w:t>Journal of Technology Management for Growing Economies</w:t>
      </w:r>
      <w:r w:rsidRPr="00B91A59">
        <w:rPr>
          <w:shd w:val="clear" w:color="auto" w:fill="FFFFFF"/>
        </w:rPr>
        <w:t>, </w:t>
      </w:r>
      <w:r w:rsidRPr="00B91A59">
        <w:rPr>
          <w:i/>
          <w:iCs/>
          <w:shd w:val="clear" w:color="auto" w:fill="FFFFFF"/>
        </w:rPr>
        <w:t>8</w:t>
      </w:r>
      <w:r w:rsidRPr="00B91A59">
        <w:rPr>
          <w:shd w:val="clear" w:color="auto" w:fill="FFFFFF"/>
        </w:rPr>
        <w:t>(2), pp.145-166.</w:t>
      </w:r>
    </w:p>
    <w:p w14:paraId="2A1B2998" w14:textId="77777777" w:rsidR="00086C7E" w:rsidRPr="00B91A59" w:rsidRDefault="00086C7E" w:rsidP="00B91A59">
      <w:pPr>
        <w:rPr>
          <w:shd w:val="clear" w:color="auto" w:fill="FFFFFF"/>
        </w:rPr>
      </w:pPr>
      <w:r w:rsidRPr="00B91A59">
        <w:rPr>
          <w:shd w:val="clear" w:color="auto" w:fill="FFFFFF"/>
        </w:rPr>
        <w:t>Hutson, E., Laing, E. and Ye, M., 2019. Mutual fund ownership and foreign exchange risk in Chinese firms. </w:t>
      </w:r>
      <w:r w:rsidRPr="00B91A59">
        <w:rPr>
          <w:i/>
          <w:iCs/>
          <w:shd w:val="clear" w:color="auto" w:fill="FFFFFF"/>
        </w:rPr>
        <w:t>Journal of International Financial Markets, Institutions and Money</w:t>
      </w:r>
      <w:r w:rsidRPr="00B91A59">
        <w:rPr>
          <w:shd w:val="clear" w:color="auto" w:fill="FFFFFF"/>
        </w:rPr>
        <w:t>, </w:t>
      </w:r>
      <w:r w:rsidRPr="00B91A59">
        <w:rPr>
          <w:i/>
          <w:iCs/>
          <w:shd w:val="clear" w:color="auto" w:fill="FFFFFF"/>
        </w:rPr>
        <w:t>60</w:t>
      </w:r>
      <w:r w:rsidRPr="00B91A59">
        <w:rPr>
          <w:shd w:val="clear" w:color="auto" w:fill="FFFFFF"/>
        </w:rPr>
        <w:t>, pp.169-192.</w:t>
      </w:r>
    </w:p>
    <w:p w14:paraId="6F17640A" w14:textId="77777777" w:rsidR="00086C7E" w:rsidRPr="00B91A59" w:rsidRDefault="00086C7E" w:rsidP="00B91A59">
      <w:pPr>
        <w:rPr>
          <w:shd w:val="clear" w:color="auto" w:fill="FFFFFF"/>
        </w:rPr>
      </w:pPr>
      <w:r w:rsidRPr="00B91A59">
        <w:rPr>
          <w:shd w:val="clear" w:color="auto" w:fill="FFFFFF"/>
        </w:rPr>
        <w:t>Ito, H. and McCauley, R.N., 2020. Currency composition of foreign exchange reserves. </w:t>
      </w:r>
      <w:r w:rsidRPr="00B91A59">
        <w:rPr>
          <w:i/>
          <w:iCs/>
          <w:shd w:val="clear" w:color="auto" w:fill="FFFFFF"/>
        </w:rPr>
        <w:t>Journal of International Money and Finance</w:t>
      </w:r>
      <w:r w:rsidRPr="00B91A59">
        <w:rPr>
          <w:shd w:val="clear" w:color="auto" w:fill="FFFFFF"/>
        </w:rPr>
        <w:t>, </w:t>
      </w:r>
      <w:r w:rsidRPr="00B91A59">
        <w:rPr>
          <w:i/>
          <w:iCs/>
          <w:shd w:val="clear" w:color="auto" w:fill="FFFFFF"/>
        </w:rPr>
        <w:t>102</w:t>
      </w:r>
      <w:r w:rsidRPr="00B91A59">
        <w:rPr>
          <w:shd w:val="clear" w:color="auto" w:fill="FFFFFF"/>
        </w:rPr>
        <w:t>, p.102104.</w:t>
      </w:r>
    </w:p>
    <w:p w14:paraId="6F65B9D5" w14:textId="77777777" w:rsidR="00086C7E" w:rsidRPr="00B91A59" w:rsidRDefault="00086C7E" w:rsidP="00B91A59">
      <w:pPr>
        <w:rPr>
          <w:shd w:val="clear" w:color="auto" w:fill="FFFFFF"/>
        </w:rPr>
      </w:pPr>
      <w:r w:rsidRPr="00B91A59">
        <w:rPr>
          <w:shd w:val="clear" w:color="auto" w:fill="FFFFFF"/>
        </w:rPr>
        <w:t>Mueller, P., Stathopoulos, A. and Vedolin, A., 2017. International correlation risk. </w:t>
      </w:r>
      <w:r w:rsidRPr="00B91A59">
        <w:rPr>
          <w:i/>
          <w:iCs/>
          <w:shd w:val="clear" w:color="auto" w:fill="FFFFFF"/>
        </w:rPr>
        <w:t>Journal of Financial Economics</w:t>
      </w:r>
      <w:r w:rsidRPr="00B91A59">
        <w:rPr>
          <w:shd w:val="clear" w:color="auto" w:fill="FFFFFF"/>
        </w:rPr>
        <w:t>, </w:t>
      </w:r>
      <w:r w:rsidRPr="00B91A59">
        <w:rPr>
          <w:i/>
          <w:iCs/>
          <w:shd w:val="clear" w:color="auto" w:fill="FFFFFF"/>
        </w:rPr>
        <w:t>126</w:t>
      </w:r>
      <w:r w:rsidRPr="00B91A59">
        <w:rPr>
          <w:shd w:val="clear" w:color="auto" w:fill="FFFFFF"/>
        </w:rPr>
        <w:t>(2), pp.270-299.</w:t>
      </w:r>
    </w:p>
    <w:p w14:paraId="2C97174B" w14:textId="77777777" w:rsidR="00086C7E" w:rsidRPr="00B91A59" w:rsidRDefault="00086C7E" w:rsidP="00B91A59">
      <w:pPr>
        <w:rPr>
          <w:shd w:val="clear" w:color="auto" w:fill="FFFFFF"/>
        </w:rPr>
      </w:pPr>
      <w:r w:rsidRPr="00B91A59">
        <w:rPr>
          <w:shd w:val="clear" w:color="auto" w:fill="FFFFFF"/>
        </w:rPr>
        <w:t>Nouajaa, G. and Viviani, J.L., 2023. Foreign Exchange Risk Hedging Policy: Evidence from France. In </w:t>
      </w:r>
      <w:r w:rsidRPr="00B91A59">
        <w:rPr>
          <w:i/>
          <w:iCs/>
          <w:shd w:val="clear" w:color="auto" w:fill="FFFFFF"/>
        </w:rPr>
        <w:t>Essays on Financial Analytics: Applications and Methods</w:t>
      </w:r>
      <w:r w:rsidRPr="00B91A59">
        <w:rPr>
          <w:shd w:val="clear" w:color="auto" w:fill="FFFFFF"/>
        </w:rPr>
        <w:t> (pp. 3-26). Cham: Springer International Publishing.</w:t>
      </w:r>
    </w:p>
    <w:p w14:paraId="3B6555EA" w14:textId="77777777" w:rsidR="00086C7E" w:rsidRPr="00B91A59" w:rsidRDefault="00086C7E" w:rsidP="00B91A59">
      <w:pPr>
        <w:rPr>
          <w:shd w:val="clear" w:color="auto" w:fill="FFFFFF"/>
        </w:rPr>
      </w:pPr>
      <w:r w:rsidRPr="00B91A59">
        <w:rPr>
          <w:shd w:val="clear" w:color="auto" w:fill="FFFFFF"/>
        </w:rPr>
        <w:lastRenderedPageBreak/>
        <w:t>Rampini, A.A., Viswanathan, S. and Vuillemey, G., 2020. Retracted: Risk management in financial institutions.</w:t>
      </w:r>
    </w:p>
    <w:p w14:paraId="399DB84B" w14:textId="77777777" w:rsidR="00086C7E" w:rsidRPr="00B91A59" w:rsidRDefault="00086C7E" w:rsidP="00B91A59">
      <w:pPr>
        <w:rPr>
          <w:shd w:val="clear" w:color="auto" w:fill="FFFFFF"/>
        </w:rPr>
      </w:pPr>
      <w:r w:rsidRPr="00B91A59">
        <w:rPr>
          <w:shd w:val="clear" w:color="auto" w:fill="FFFFFF"/>
        </w:rPr>
        <w:t>Rampini, A.A., Viswanathan, S. and Vuillemey, G., 2020. Retracted: Risk management in financial institutions.</w:t>
      </w:r>
    </w:p>
    <w:p w14:paraId="72B3D741" w14:textId="77777777" w:rsidR="00086C7E" w:rsidRPr="00B91A59" w:rsidRDefault="00086C7E" w:rsidP="00B91A59">
      <w:pPr>
        <w:rPr>
          <w:shd w:val="clear" w:color="auto" w:fill="FFFFFF"/>
        </w:rPr>
      </w:pPr>
      <w:r w:rsidRPr="00B91A59">
        <w:rPr>
          <w:shd w:val="clear" w:color="auto" w:fill="FFFFFF"/>
        </w:rPr>
        <w:t>Salomao, J. and Varela, L., 2022. Exchange rate exposure and firm dynamics. </w:t>
      </w:r>
      <w:r w:rsidRPr="00B91A59">
        <w:rPr>
          <w:i/>
          <w:iCs/>
          <w:shd w:val="clear" w:color="auto" w:fill="FFFFFF"/>
        </w:rPr>
        <w:t>The Review of Economic Studies</w:t>
      </w:r>
      <w:r w:rsidRPr="00B91A59">
        <w:rPr>
          <w:shd w:val="clear" w:color="auto" w:fill="FFFFFF"/>
        </w:rPr>
        <w:t>, </w:t>
      </w:r>
      <w:r w:rsidRPr="00B91A59">
        <w:rPr>
          <w:i/>
          <w:iCs/>
          <w:shd w:val="clear" w:color="auto" w:fill="FFFFFF"/>
        </w:rPr>
        <w:t>89</w:t>
      </w:r>
      <w:r w:rsidRPr="00B91A59">
        <w:rPr>
          <w:shd w:val="clear" w:color="auto" w:fill="FFFFFF"/>
        </w:rPr>
        <w:t>(1), pp.481-514.</w:t>
      </w:r>
    </w:p>
    <w:p w14:paraId="7855D9C9" w14:textId="77777777" w:rsidR="00086C7E" w:rsidRPr="00B91A59" w:rsidRDefault="00086C7E" w:rsidP="00B91A59">
      <w:pPr>
        <w:rPr>
          <w:shd w:val="clear" w:color="auto" w:fill="FFFFFF"/>
        </w:rPr>
      </w:pPr>
      <w:r w:rsidRPr="00B91A59">
        <w:rPr>
          <w:shd w:val="clear" w:color="auto" w:fill="FFFFFF"/>
        </w:rPr>
        <w:t>Saunders, A., Cornett, M.M. and Erhemjamts, O., 2021. </w:t>
      </w:r>
      <w:r w:rsidRPr="00B91A59">
        <w:rPr>
          <w:i/>
          <w:iCs/>
          <w:shd w:val="clear" w:color="auto" w:fill="FFFFFF"/>
        </w:rPr>
        <w:t>Financial institutions management: A risk management approach</w:t>
      </w:r>
      <w:r w:rsidRPr="00B91A59">
        <w:rPr>
          <w:shd w:val="clear" w:color="auto" w:fill="FFFFFF"/>
        </w:rPr>
        <w:t>. McGraw-Hill.</w:t>
      </w:r>
    </w:p>
    <w:bookmarkEnd w:id="5"/>
    <w:p w14:paraId="1090F9EB" w14:textId="77777777" w:rsidR="00086C7E" w:rsidRPr="00B91A59" w:rsidRDefault="00086C7E" w:rsidP="00B91A59">
      <w:pPr>
        <w:rPr>
          <w:shd w:val="clear" w:color="auto" w:fill="FFFFFF"/>
        </w:rPr>
      </w:pPr>
      <w:r w:rsidRPr="00B91A59">
        <w:rPr>
          <w:shd w:val="clear" w:color="auto" w:fill="FFFFFF"/>
        </w:rPr>
        <w:t>Su, S., 2018, June. An investigation of foreign exchange risk management in Chinese multinational companies compared with US and UK MNEs. In </w:t>
      </w:r>
      <w:r w:rsidRPr="00B91A59">
        <w:rPr>
          <w:i/>
          <w:iCs/>
          <w:shd w:val="clear" w:color="auto" w:fill="FFFFFF"/>
        </w:rPr>
        <w:t>2018 2nd International Conference on Management, Education and Social Science (ICMESS 2018)</w:t>
      </w:r>
      <w:r w:rsidRPr="00B91A59">
        <w:rPr>
          <w:shd w:val="clear" w:color="auto" w:fill="FFFFFF"/>
        </w:rPr>
        <w:t> (pp. 530-534). Atlantis Press.</w:t>
      </w:r>
    </w:p>
    <w:sectPr w:rsidR="00086C7E" w:rsidRPr="00B91A59" w:rsidSect="00B91A59">
      <w:headerReference w:type="default" r:id="rId9"/>
      <w:headerReference w:type="firs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D5E86" w14:textId="77777777" w:rsidR="00A51EDB" w:rsidRDefault="00A51EDB" w:rsidP="00B91A59">
      <w:pPr>
        <w:spacing w:after="0" w:line="240" w:lineRule="auto"/>
      </w:pPr>
      <w:r>
        <w:separator/>
      </w:r>
    </w:p>
  </w:endnote>
  <w:endnote w:type="continuationSeparator" w:id="0">
    <w:p w14:paraId="3DCCC8D9" w14:textId="77777777" w:rsidR="00A51EDB" w:rsidRDefault="00A51EDB" w:rsidP="00B91A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BA3397" w14:textId="77777777" w:rsidR="00A51EDB" w:rsidRDefault="00A51EDB" w:rsidP="00B91A59">
      <w:pPr>
        <w:spacing w:after="0" w:line="240" w:lineRule="auto"/>
      </w:pPr>
      <w:r>
        <w:separator/>
      </w:r>
    </w:p>
  </w:footnote>
  <w:footnote w:type="continuationSeparator" w:id="0">
    <w:p w14:paraId="361E496B" w14:textId="77777777" w:rsidR="00A51EDB" w:rsidRDefault="00A51EDB" w:rsidP="00B91A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5C8B1" w14:textId="57F67351" w:rsidR="00B91A59" w:rsidRDefault="00B91A59">
    <w:pPr>
      <w:pStyle w:val="Header"/>
    </w:pPr>
    <w:r>
      <w:rPr>
        <w:noProof/>
      </w:rPr>
      <mc:AlternateContent>
        <mc:Choice Requires="wps">
          <w:drawing>
            <wp:anchor distT="0" distB="0" distL="114300" distR="114300" simplePos="0" relativeHeight="251660288" behindDoc="0" locked="0" layoutInCell="0" allowOverlap="1" wp14:anchorId="24B2CFE1" wp14:editId="7ADDC254">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FB4339" w14:textId="1878895D" w:rsidR="00B91A59" w:rsidRDefault="00B91A59" w:rsidP="00B91A59">
                          <w:pPr>
                            <w:spacing w:after="0" w:line="240" w:lineRule="auto"/>
                            <w:rPr>
                              <w:noProof/>
                            </w:rPr>
                          </w:pPr>
                          <w:r>
                            <w:t>INTERNATIONAL FINANCIAL MANAGEMENT</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24B2CFE1"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76FB4339" w14:textId="1878895D" w:rsidR="00B91A59" w:rsidRDefault="00B91A59" w:rsidP="00B91A59">
                    <w:pPr>
                      <w:spacing w:after="0" w:line="240" w:lineRule="auto"/>
                      <w:rPr>
                        <w:noProof/>
                      </w:rPr>
                    </w:pPr>
                    <w:r>
                      <w:t>INTERNATIONAL FINANCIAL MANAGEMENT</w:t>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2874F752" wp14:editId="2A40C05C">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097D6497" w14:textId="77777777" w:rsidR="00B91A59" w:rsidRDefault="00B91A59">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2874F752"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sd7DgIAAAgEAAAOAAAAZHJzL2Uyb0RvYy54bWysU1Fv0zAQfkfiP1h+p0mmUrqo6TQ6FSEN&#10;hjT4Aa7jNBaOz5zdJuXXc3bSbsDbtDxYvnP8fXfffV7dDJ1hR4Veg614Mcs5U1ZCre2+4j++b98t&#10;OfNB2FoYsKriJ+X5zfrtm1XvSnUFLZhaISMQ68veVbwNwZVZ5mWrOuFn4JSlwwawE4FC3Gc1ip7Q&#10;O5Nd5fki6wFrhyCV95S9Gw/5OuE3jZLhoWm8CsxUnGoLacW07uKarVei3KNwrZZTGeIFVXRCWyK9&#10;QN2JINgB9X9QnZYIHpowk9Bl0DRaqtQDdVPk/3Tz2AqnUi8kjncXmfzrwcqvx0f3DVkYPsJAA0xN&#10;eHcP8qdnFjatsHt1iwh9q0RNxEWULOudL6erUWpf+giy679ATUMWhwAJaGiwi6pQn4zQaQCni+hq&#10;CExS8roolgs6kXRUfMiXxfvEIMrzZYc+fFLQsbipONJME7g43vsQixHl+ZfI5cHoequNSUH0kdoY&#10;ZEdBDhBSKhsW6bo5dFTtmF/k9I1eoDQ5ZkzPz2miSI6MSInwLxJjI5WFSDrWEzNJoyjLKFAYdgPT&#10;9SRglGwH9YlEQxhNSY+INi3gb856MmTF/a+DQMWZ+WxJ+OtiPo8OTgFt8Hl2d84KKwmi4jIgZ2Ow&#10;CaPfDw71viWO85BvaUxbnSR8qmcqnOyWGp2eRvTz8zj99fSA138AAAD//wMAUEsDBBQABgAIAAAA&#10;IQDU32SA3AAAAAQBAAAPAAAAZHJzL2Rvd25yZXYueG1sTI9BS8NAEIXvQv/DMgVvdtMoocZMiggq&#10;ipdGW/C2zU6T1Oxsmt028d+79aKXgcd7vPdNthxNK07Uu8YywnwWgSAurW64Qvh4f7xagHBesVat&#10;ZUL4JgfLfHKRqVTbgVd0KnwlQgm7VCHU3neplK6sySg3sx1x8Ha2N8oH2VdS92oI5aaVcRQl0qiG&#10;w0KtOnqoqfwqjgbhlTdmiBdPz7uX0a3f9vJQfPoD4uV0vL8D4Wn0f2E44wd0yAPT1h5ZO9EihEf8&#10;7z17N9cJiC1CnNyCzDP5Hz7/AQAA//8DAFBLAQItABQABgAIAAAAIQC2gziS/gAAAOEBAAATAAAA&#10;AAAAAAAAAAAAAAAAAABbQ29udGVudF9UeXBlc10ueG1sUEsBAi0AFAAGAAgAAAAhADj9If/WAAAA&#10;lAEAAAsAAAAAAAAAAAAAAAAALwEAAF9yZWxzLy5yZWxzUEsBAi0AFAAGAAgAAAAhAFOOx3sOAgAA&#10;CAQAAA4AAAAAAAAAAAAAAAAALgIAAGRycy9lMm9Eb2MueG1sUEsBAi0AFAAGAAgAAAAhANTfZIDc&#10;AAAABAEAAA8AAAAAAAAAAAAAAAAAaAQAAGRycy9kb3ducmV2LnhtbFBLBQYAAAAABAAEAPMAAABx&#10;BQAAAAA=&#10;" o:allowincell="f" fillcolor="#a8d08d [1945]" stroked="f">
              <v:textbox style="mso-fit-shape-to-text:t" inset=",0,,0">
                <w:txbxContent>
                  <w:p w14:paraId="097D6497" w14:textId="77777777" w:rsidR="00B91A59" w:rsidRDefault="00B91A59">
                    <w:pPr>
                      <w:spacing w:after="0" w:line="240" w:lineRule="auto"/>
                      <w:rPr>
                        <w:color w:val="FFFFFF" w:themeColor="background1"/>
                      </w:rPr>
                    </w:pPr>
                    <w:r>
                      <w:fldChar w:fldCharType="begin"/>
                    </w:r>
                    <w:r>
                      <w:instrText xml:space="preserve"> PAGE   \* MERGEFORMAT </w:instrText>
                    </w:r>
                    <w: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B49B9F" w14:textId="77777777" w:rsidR="00B91A59" w:rsidRDefault="00B91A59" w:rsidP="00B91A59">
    <w:pPr>
      <w:pStyle w:val="Header"/>
    </w:pPr>
    <w:r>
      <w:t>Running head: INTERNATIONAL FINANCIAL MANAGEMENT</w:t>
    </w:r>
  </w:p>
  <w:p w14:paraId="489380E9" w14:textId="77777777" w:rsidR="00B91A59" w:rsidRDefault="00B91A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763744"/>
    <w:multiLevelType w:val="hybridMultilevel"/>
    <w:tmpl w:val="BA2E29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45948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C6F"/>
    <w:rsid w:val="00086C7E"/>
    <w:rsid w:val="001B7C6F"/>
    <w:rsid w:val="002F3CE4"/>
    <w:rsid w:val="00335CFC"/>
    <w:rsid w:val="003A1800"/>
    <w:rsid w:val="004B591F"/>
    <w:rsid w:val="00561AB4"/>
    <w:rsid w:val="00565EEC"/>
    <w:rsid w:val="00651044"/>
    <w:rsid w:val="006F2515"/>
    <w:rsid w:val="00A51EDB"/>
    <w:rsid w:val="00B153A3"/>
    <w:rsid w:val="00B91A59"/>
    <w:rsid w:val="00DC3221"/>
    <w:rsid w:val="00E922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39A3D8F"/>
  <w15:chartTrackingRefBased/>
  <w15:docId w15:val="{C4B9ED07-C377-4A7C-B100-CDAE8ACA4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7C6F"/>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B7C6F"/>
    <w:pPr>
      <w:outlineLvl w:val="0"/>
    </w:pPr>
    <w:rPr>
      <w:b/>
    </w:rPr>
  </w:style>
  <w:style w:type="paragraph" w:styleId="Heading2">
    <w:name w:val="heading 2"/>
    <w:basedOn w:val="Heading1"/>
    <w:next w:val="Normal"/>
    <w:link w:val="Heading2Char"/>
    <w:uiPriority w:val="9"/>
    <w:unhideWhenUsed/>
    <w:qFormat/>
    <w:rsid w:val="001B7C6F"/>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C6F"/>
    <w:rPr>
      <w:rFonts w:ascii="Times New Roman" w:hAnsi="Times New Roman"/>
      <w:b/>
      <w:sz w:val="24"/>
    </w:rPr>
  </w:style>
  <w:style w:type="character" w:customStyle="1" w:styleId="Heading2Char">
    <w:name w:val="Heading 2 Char"/>
    <w:basedOn w:val="DefaultParagraphFont"/>
    <w:link w:val="Heading2"/>
    <w:uiPriority w:val="9"/>
    <w:rsid w:val="001B7C6F"/>
    <w:rPr>
      <w:rFonts w:ascii="Times New Roman" w:hAnsi="Times New Roman"/>
      <w:b/>
      <w:sz w:val="24"/>
    </w:rPr>
  </w:style>
  <w:style w:type="character" w:styleId="Hyperlink">
    <w:name w:val="Hyperlink"/>
    <w:basedOn w:val="DefaultParagraphFont"/>
    <w:uiPriority w:val="99"/>
    <w:unhideWhenUsed/>
    <w:rsid w:val="006F2515"/>
    <w:rPr>
      <w:color w:val="0563C1" w:themeColor="hyperlink"/>
      <w:u w:val="single"/>
    </w:rPr>
  </w:style>
  <w:style w:type="character" w:styleId="UnresolvedMention">
    <w:name w:val="Unresolved Mention"/>
    <w:basedOn w:val="DefaultParagraphFont"/>
    <w:uiPriority w:val="99"/>
    <w:semiHidden/>
    <w:unhideWhenUsed/>
    <w:rsid w:val="006F2515"/>
    <w:rPr>
      <w:color w:val="605E5C"/>
      <w:shd w:val="clear" w:color="auto" w:fill="E1DFDD"/>
    </w:rPr>
  </w:style>
  <w:style w:type="paragraph" w:styleId="Header">
    <w:name w:val="header"/>
    <w:basedOn w:val="Normal"/>
    <w:link w:val="HeaderChar"/>
    <w:uiPriority w:val="99"/>
    <w:unhideWhenUsed/>
    <w:rsid w:val="00B91A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1A59"/>
    <w:rPr>
      <w:rFonts w:ascii="Times New Roman" w:hAnsi="Times New Roman"/>
      <w:sz w:val="24"/>
    </w:rPr>
  </w:style>
  <w:style w:type="paragraph" w:styleId="Footer">
    <w:name w:val="footer"/>
    <w:basedOn w:val="Normal"/>
    <w:link w:val="FooterChar"/>
    <w:uiPriority w:val="99"/>
    <w:unhideWhenUsed/>
    <w:rsid w:val="00B91A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1A59"/>
    <w:rPr>
      <w:rFonts w:ascii="Times New Roman" w:hAnsi="Times New Roman"/>
      <w:sz w:val="24"/>
    </w:rPr>
  </w:style>
  <w:style w:type="paragraph" w:styleId="TOCHeading">
    <w:name w:val="TOC Heading"/>
    <w:basedOn w:val="Heading1"/>
    <w:next w:val="Normal"/>
    <w:uiPriority w:val="39"/>
    <w:unhideWhenUsed/>
    <w:qFormat/>
    <w:rsid w:val="00B91A59"/>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91A59"/>
    <w:pPr>
      <w:spacing w:after="100"/>
    </w:pPr>
  </w:style>
  <w:style w:type="paragraph" w:styleId="NoSpacing">
    <w:name w:val="No Spacing"/>
    <w:uiPriority w:val="1"/>
    <w:qFormat/>
    <w:rsid w:val="00B91A59"/>
    <w:pPr>
      <w:spacing w:after="0" w:line="240" w:lineRule="auto"/>
      <w:jc w:val="both"/>
    </w:pPr>
    <w:rPr>
      <w:rFonts w:ascii="Times New Roman" w:hAnsi="Times New Roman"/>
      <w:sz w:val="24"/>
    </w:rPr>
  </w:style>
  <w:style w:type="paragraph" w:styleId="ListParagraph">
    <w:name w:val="List Paragraph"/>
    <w:basedOn w:val="Normal"/>
    <w:uiPriority w:val="34"/>
    <w:qFormat/>
    <w:rsid w:val="00B91A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883ED96-92C1-467D-9F30-851CF2285D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1947</Words>
  <Characters>11102</Characters>
  <Application>Microsoft Office Word</Application>
  <DocSecurity>0</DocSecurity>
  <Lines>92</Lines>
  <Paragraphs>26</Paragraphs>
  <ScaleCrop>false</ScaleCrop>
  <Company/>
  <LinksUpToDate>false</LinksUpToDate>
  <CharactersWithSpaces>13023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 Stoyanov</dc:creator>
  <cp:lastModifiedBy>Ivan Stoyanov</cp:lastModifiedBy>
  <cp:revision>2</cp:revision>
  <dcterms:created xsi:type="dcterms:W3CDTF">2024-01-02T10:03:00Z</dcterms:created>
  <dcterms:modified xsi:type="dcterms:W3CDTF">2024-01-02T10:03:00Z</dcterms:modified>
</cp:coreProperties>
</file>