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64D" w:rsidRDefault="0083564D" w:rsidP="0083564D">
      <w:pPr>
        <w:jc w:val="center"/>
        <w:rPr>
          <w:b/>
          <w:bCs/>
          <w:sz w:val="56"/>
          <w:szCs w:val="56"/>
        </w:rPr>
      </w:pPr>
      <w:r w:rsidRPr="00865B18">
        <w:rPr>
          <w:b/>
          <w:bCs/>
          <w:sz w:val="40"/>
          <w:szCs w:val="40"/>
        </w:rPr>
        <w:t>Yoanna Chalkiyan                            Student ID-2120501</w:t>
      </w:r>
    </w:p>
    <w:p w:rsidR="0083564D" w:rsidRDefault="0083564D" w:rsidP="0083564D">
      <w:pPr>
        <w:jc w:val="center"/>
        <w:rPr>
          <w:b/>
          <w:bCs/>
          <w:sz w:val="56"/>
          <w:szCs w:val="56"/>
        </w:rPr>
      </w:pPr>
    </w:p>
    <w:p w:rsidR="0083564D" w:rsidRDefault="0083564D" w:rsidP="0083564D">
      <w:pPr>
        <w:jc w:val="center"/>
        <w:rPr>
          <w:b/>
          <w:bCs/>
          <w:sz w:val="56"/>
          <w:szCs w:val="56"/>
        </w:rPr>
      </w:pPr>
    </w:p>
    <w:p w:rsidR="0083564D" w:rsidRDefault="0083564D" w:rsidP="0083564D">
      <w:pPr>
        <w:jc w:val="center"/>
        <w:rPr>
          <w:b/>
          <w:bCs/>
          <w:sz w:val="56"/>
          <w:szCs w:val="56"/>
        </w:rPr>
      </w:pPr>
      <w:r>
        <w:rPr>
          <w:b/>
          <w:bCs/>
          <w:sz w:val="56"/>
          <w:szCs w:val="56"/>
        </w:rPr>
        <w:t xml:space="preserve">Accounting Fundamentals </w:t>
      </w:r>
    </w:p>
    <w:p w:rsidR="0083564D" w:rsidRPr="00865B18" w:rsidRDefault="0083564D" w:rsidP="0083564D">
      <w:pPr>
        <w:jc w:val="center"/>
        <w:rPr>
          <w:b/>
          <w:bCs/>
          <w:sz w:val="56"/>
          <w:szCs w:val="56"/>
        </w:rPr>
      </w:pPr>
      <w:r>
        <w:rPr>
          <w:b/>
          <w:bCs/>
          <w:sz w:val="56"/>
          <w:szCs w:val="56"/>
        </w:rPr>
        <w:t>(LCBB4001</w:t>
      </w:r>
      <w:r w:rsidRPr="00865B18">
        <w:rPr>
          <w:b/>
          <w:bCs/>
          <w:sz w:val="56"/>
          <w:szCs w:val="56"/>
        </w:rPr>
        <w:t>_B</w:t>
      </w:r>
      <w:r>
        <w:rPr>
          <w:b/>
          <w:bCs/>
          <w:sz w:val="56"/>
          <w:szCs w:val="56"/>
        </w:rPr>
        <w:t>I</w:t>
      </w:r>
      <w:r w:rsidRPr="00865B18">
        <w:rPr>
          <w:b/>
          <w:bCs/>
          <w:sz w:val="56"/>
          <w:szCs w:val="56"/>
        </w:rPr>
        <w:t>RM)</w:t>
      </w:r>
    </w:p>
    <w:p w:rsidR="0083564D" w:rsidRPr="00865B18" w:rsidRDefault="0083564D" w:rsidP="0083564D">
      <w:pPr>
        <w:rPr>
          <w:b/>
          <w:bCs/>
          <w:sz w:val="56"/>
          <w:szCs w:val="56"/>
        </w:rPr>
      </w:pPr>
    </w:p>
    <w:p w:rsidR="0083564D" w:rsidRDefault="0083564D" w:rsidP="0083564D">
      <w:pPr>
        <w:rPr>
          <w:b/>
          <w:bCs/>
          <w:sz w:val="56"/>
          <w:szCs w:val="56"/>
        </w:rPr>
      </w:pPr>
      <w:r>
        <w:rPr>
          <w:b/>
          <w:bCs/>
          <w:sz w:val="56"/>
          <w:szCs w:val="56"/>
        </w:rPr>
        <w:t xml:space="preserve">                      </w:t>
      </w:r>
    </w:p>
    <w:p w:rsidR="0083564D" w:rsidRDefault="0083564D" w:rsidP="0083564D">
      <w:pPr>
        <w:rPr>
          <w:b/>
          <w:bCs/>
          <w:sz w:val="56"/>
          <w:szCs w:val="56"/>
        </w:rPr>
      </w:pPr>
      <w:r>
        <w:rPr>
          <w:b/>
          <w:bCs/>
          <w:sz w:val="56"/>
          <w:szCs w:val="56"/>
        </w:rPr>
        <w:t xml:space="preserve">        Module Lecturer: Isaiah Oino</w:t>
      </w:r>
    </w:p>
    <w:p w:rsidR="0083564D" w:rsidRPr="00865B18" w:rsidRDefault="0083564D" w:rsidP="0083564D">
      <w:pPr>
        <w:rPr>
          <w:b/>
          <w:bCs/>
          <w:sz w:val="56"/>
          <w:szCs w:val="56"/>
        </w:rPr>
      </w:pPr>
      <w:r>
        <w:rPr>
          <w:b/>
          <w:bCs/>
          <w:sz w:val="56"/>
          <w:szCs w:val="56"/>
        </w:rPr>
        <w:t xml:space="preserve">        Module Coordinator: Khaza Ahmed</w:t>
      </w:r>
    </w:p>
    <w:p w:rsidR="0083564D" w:rsidRPr="00865B18" w:rsidRDefault="0083564D" w:rsidP="0083564D">
      <w:pPr>
        <w:jc w:val="center"/>
        <w:rPr>
          <w:b/>
          <w:bCs/>
          <w:sz w:val="56"/>
          <w:szCs w:val="56"/>
        </w:rPr>
      </w:pPr>
    </w:p>
    <w:p w:rsidR="0083564D" w:rsidRPr="00865B18" w:rsidRDefault="0083564D" w:rsidP="0083564D">
      <w:pPr>
        <w:jc w:val="center"/>
        <w:rPr>
          <w:b/>
          <w:bCs/>
          <w:sz w:val="56"/>
          <w:szCs w:val="56"/>
        </w:rPr>
      </w:pPr>
      <w:r>
        <w:rPr>
          <w:b/>
          <w:bCs/>
          <w:sz w:val="56"/>
          <w:szCs w:val="56"/>
        </w:rPr>
        <w:t xml:space="preserve">  02.03</w:t>
      </w:r>
      <w:r w:rsidRPr="00865B18">
        <w:rPr>
          <w:b/>
          <w:bCs/>
          <w:sz w:val="56"/>
          <w:szCs w:val="56"/>
        </w:rPr>
        <w:t>.2022</w:t>
      </w:r>
    </w:p>
    <w:p w:rsidR="0083564D" w:rsidRPr="00865B18" w:rsidRDefault="0083564D" w:rsidP="0083564D">
      <w:pPr>
        <w:jc w:val="center"/>
        <w:rPr>
          <w:b/>
          <w:bCs/>
          <w:sz w:val="56"/>
          <w:szCs w:val="56"/>
        </w:rPr>
      </w:pPr>
      <w:r w:rsidRPr="00865B18">
        <w:rPr>
          <w:b/>
          <w:bCs/>
          <w:sz w:val="56"/>
          <w:szCs w:val="56"/>
        </w:rPr>
        <w:t xml:space="preserve"> </w:t>
      </w:r>
    </w:p>
    <w:p w:rsidR="0083564D" w:rsidRPr="00865B18" w:rsidRDefault="0083564D" w:rsidP="0083564D">
      <w:pPr>
        <w:rPr>
          <w:b/>
          <w:bCs/>
          <w:sz w:val="56"/>
          <w:szCs w:val="56"/>
        </w:rPr>
      </w:pPr>
      <w:r>
        <w:rPr>
          <w:b/>
          <w:bCs/>
          <w:sz w:val="56"/>
          <w:szCs w:val="56"/>
        </w:rPr>
        <w:t xml:space="preserve">                    Individual Assignment </w:t>
      </w:r>
    </w:p>
    <w:p w:rsidR="0083564D" w:rsidRDefault="0083564D" w:rsidP="0083564D">
      <w:pPr>
        <w:tabs>
          <w:tab w:val="left" w:pos="1331"/>
        </w:tabs>
        <w:spacing w:before="124"/>
        <w:rPr>
          <w:sz w:val="56"/>
          <w:szCs w:val="56"/>
        </w:rPr>
      </w:pPr>
    </w:p>
    <w:p w:rsidR="0083564D" w:rsidRDefault="0083564D" w:rsidP="0083564D">
      <w:pPr>
        <w:rPr>
          <w:rFonts w:ascii="Arial" w:hAnsi="Arial" w:cs="Arial"/>
          <w:b/>
          <w:u w:val="single"/>
        </w:rPr>
      </w:pPr>
      <w:r>
        <w:rPr>
          <w:rFonts w:cstheme="minorHAnsi"/>
          <w:b/>
          <w:bCs/>
          <w:sz w:val="56"/>
          <w:szCs w:val="56"/>
        </w:rPr>
        <w:t xml:space="preserve">           </w:t>
      </w:r>
    </w:p>
    <w:p w:rsidR="0083564D" w:rsidRPr="00865B18" w:rsidRDefault="0083564D" w:rsidP="0083564D">
      <w:pPr>
        <w:rPr>
          <w:b/>
          <w:bCs/>
          <w:sz w:val="40"/>
          <w:szCs w:val="40"/>
        </w:rPr>
      </w:pPr>
      <w:r>
        <w:rPr>
          <w:rFonts w:ascii="Arial" w:hAnsi="Arial" w:cs="Arial"/>
          <w:b/>
          <w:u w:val="single"/>
        </w:rPr>
        <w:br w:type="page"/>
      </w:r>
    </w:p>
    <w:p w:rsidR="001B14B0" w:rsidRPr="0083564D" w:rsidRDefault="0083564D" w:rsidP="0083564D">
      <w:pPr>
        <w:jc w:val="center"/>
        <w:rPr>
          <w:b/>
          <w:bCs/>
          <w:sz w:val="52"/>
          <w:szCs w:val="52"/>
        </w:rPr>
      </w:pPr>
      <w:r>
        <w:rPr>
          <w:b/>
          <w:bCs/>
          <w:sz w:val="52"/>
          <w:szCs w:val="52"/>
        </w:rPr>
        <w:lastRenderedPageBreak/>
        <w:t xml:space="preserve"> </w:t>
      </w:r>
      <w:r w:rsidR="001B14B0" w:rsidRPr="00B04BEC">
        <w:rPr>
          <w:rFonts w:ascii="Arial" w:hAnsi="Arial" w:cs="Arial"/>
          <w:b/>
          <w:u w:val="single"/>
        </w:rPr>
        <w:t>Adjusted Trial B</w:t>
      </w:r>
      <w:r w:rsidR="000E3EB3" w:rsidRPr="00B04BEC">
        <w:rPr>
          <w:rFonts w:ascii="Arial" w:hAnsi="Arial" w:cs="Arial"/>
          <w:b/>
          <w:u w:val="single"/>
        </w:rPr>
        <w:t>a</w:t>
      </w:r>
      <w:r w:rsidR="001B14B0" w:rsidRPr="00B04BEC">
        <w:rPr>
          <w:rFonts w:ascii="Arial" w:hAnsi="Arial" w:cs="Arial"/>
          <w:b/>
          <w:u w:val="single"/>
        </w:rPr>
        <w:t>lance</w:t>
      </w:r>
    </w:p>
    <w:tbl>
      <w:tblPr>
        <w:tblW w:w="9980" w:type="dxa"/>
        <w:tblInd w:w="-180" w:type="dxa"/>
        <w:tblLook w:val="04A0"/>
      </w:tblPr>
      <w:tblGrid>
        <w:gridCol w:w="5058"/>
        <w:gridCol w:w="2520"/>
        <w:gridCol w:w="2402"/>
      </w:tblGrid>
      <w:tr w:rsidR="001B14B0" w:rsidRPr="00B04BEC" w:rsidTr="00977989">
        <w:trPr>
          <w:trHeight w:val="300"/>
        </w:trPr>
        <w:tc>
          <w:tcPr>
            <w:tcW w:w="5058"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520" w:type="dxa"/>
            <w:tcBorders>
              <w:top w:val="single" w:sz="8" w:space="0" w:color="auto"/>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2"/>
              <w:jc w:val="both"/>
              <w:rPr>
                <w:rFonts w:ascii="Arial" w:eastAsia="Times New Roman" w:hAnsi="Arial" w:cs="Arial"/>
                <w:b/>
                <w:color w:val="000000"/>
              </w:rPr>
            </w:pPr>
            <w:r w:rsidRPr="00B04BEC">
              <w:rPr>
                <w:rFonts w:ascii="Arial" w:eastAsia="Times New Roman" w:hAnsi="Arial" w:cs="Arial"/>
                <w:b/>
                <w:color w:val="000000"/>
              </w:rPr>
              <w:t>Debit (£)</w:t>
            </w:r>
          </w:p>
        </w:tc>
        <w:tc>
          <w:tcPr>
            <w:tcW w:w="2402" w:type="dxa"/>
            <w:tcBorders>
              <w:top w:val="single" w:sz="8" w:space="0" w:color="auto"/>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2"/>
              <w:jc w:val="both"/>
              <w:rPr>
                <w:rFonts w:ascii="Arial" w:eastAsia="Times New Roman" w:hAnsi="Arial" w:cs="Arial"/>
                <w:b/>
                <w:color w:val="000000"/>
              </w:rPr>
            </w:pPr>
            <w:r w:rsidRPr="00B04BEC">
              <w:rPr>
                <w:rFonts w:ascii="Arial" w:eastAsia="Times New Roman" w:hAnsi="Arial" w:cs="Arial"/>
                <w:b/>
                <w:color w:val="000000"/>
              </w:rPr>
              <w:t>Credit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Finance Income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4,000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Finance expense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16,000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Share Capital</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347,900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Bank</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2,000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Opening Inventory</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90,000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Machinery at cost</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120,000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Buildings at cost</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750,000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Depreciation expense-Buildings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32,500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Depreciation expense-Machinery</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30,000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Provision for Depreciation - Buildings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132,500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Provision for Depreciation – Machinery</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55,000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Legal expenses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7,000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Heating and Lighting</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xml:space="preserve">long </w:t>
            </w:r>
            <w:r w:rsidR="00515F1A" w:rsidRPr="00B04BEC">
              <w:rPr>
                <w:rFonts w:ascii="Arial" w:eastAsia="Times New Roman" w:hAnsi="Arial" w:cs="Arial"/>
                <w:color w:val="000000"/>
              </w:rPr>
              <w:t>term</w:t>
            </w:r>
            <w:r w:rsidRPr="00B04BEC">
              <w:rPr>
                <w:rFonts w:ascii="Arial" w:eastAsia="Times New Roman" w:hAnsi="Arial" w:cs="Arial"/>
                <w:color w:val="000000"/>
              </w:rPr>
              <w:t xml:space="preserve"> loan</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200,000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Rent and Rates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28,000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Accrued Expenses-Rent and rates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3220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Insurance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1,520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Insurance Expense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16,000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Postage and Stationery</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6,000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Share Premium</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100,000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Sales Revenue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900,000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Retained Profits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50,000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Travelling Expenses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5,000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Motor Running Expenses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8,700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Salaries and Wages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150,000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Bad Debt</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5,000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xml:space="preserve">Purchases </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560,000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Revaluation Reserve</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100,000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Provision for bad debts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4,000</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Taxation</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12,900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Trade Receivables (debtors)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400,000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r>
      <w:tr w:rsidR="001B14B0" w:rsidRPr="00B04BEC" w:rsidTr="00977989">
        <w:trPr>
          <w:trHeight w:val="300"/>
        </w:trPr>
        <w:tc>
          <w:tcPr>
            <w:tcW w:w="5058" w:type="dxa"/>
            <w:tcBorders>
              <w:top w:val="nil"/>
              <w:left w:val="single" w:sz="8" w:space="0" w:color="auto"/>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Trade Payables (creditors)</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350,000</w:t>
            </w:r>
          </w:p>
        </w:tc>
      </w:tr>
      <w:tr w:rsidR="001B14B0" w:rsidRPr="00B04BEC" w:rsidTr="00977989">
        <w:trPr>
          <w:trHeight w:val="300"/>
        </w:trPr>
        <w:tc>
          <w:tcPr>
            <w:tcW w:w="5058" w:type="dxa"/>
            <w:tcBorders>
              <w:top w:val="nil"/>
              <w:left w:val="nil"/>
              <w:bottom w:val="nil"/>
              <w:right w:val="single" w:sz="8" w:space="0" w:color="auto"/>
            </w:tcBorders>
            <w:shd w:val="clear" w:color="auto" w:fill="auto"/>
            <w:vAlign w:val="center"/>
            <w:hideMark/>
          </w:tcPr>
          <w:p w:rsidR="001B14B0" w:rsidRPr="00B04BEC" w:rsidRDefault="001B14B0" w:rsidP="00B12148">
            <w:pPr>
              <w:spacing w:after="0" w:line="360" w:lineRule="auto"/>
              <w:ind w:firstLineChars="200" w:firstLine="440"/>
              <w:jc w:val="both"/>
              <w:rPr>
                <w:rFonts w:ascii="Arial" w:eastAsia="Times New Roman" w:hAnsi="Arial" w:cs="Arial"/>
                <w:color w:val="000000"/>
              </w:rPr>
            </w:pPr>
            <w:r w:rsidRPr="00B04BEC">
              <w:rPr>
                <w:rFonts w:ascii="Arial" w:eastAsia="Times New Roman" w:hAnsi="Arial" w:cs="Arial"/>
                <w:color w:val="000000"/>
              </w:rPr>
              <w:t> </w:t>
            </w:r>
          </w:p>
        </w:tc>
        <w:tc>
          <w:tcPr>
            <w:tcW w:w="2520"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2"/>
              <w:jc w:val="both"/>
              <w:rPr>
                <w:rFonts w:ascii="Arial" w:eastAsia="Times New Roman" w:hAnsi="Arial" w:cs="Arial"/>
                <w:b/>
                <w:color w:val="000000"/>
              </w:rPr>
            </w:pPr>
            <w:r w:rsidRPr="00B04BEC">
              <w:rPr>
                <w:rFonts w:ascii="Arial" w:eastAsia="Times New Roman" w:hAnsi="Arial" w:cs="Arial"/>
                <w:b/>
                <w:color w:val="000000"/>
              </w:rPr>
              <w:t>2,248,620</w:t>
            </w:r>
          </w:p>
        </w:tc>
        <w:tc>
          <w:tcPr>
            <w:tcW w:w="2402" w:type="dxa"/>
            <w:tcBorders>
              <w:top w:val="nil"/>
              <w:left w:val="nil"/>
              <w:bottom w:val="single" w:sz="8" w:space="0" w:color="auto"/>
              <w:right w:val="single" w:sz="8" w:space="0" w:color="auto"/>
            </w:tcBorders>
            <w:shd w:val="clear" w:color="auto" w:fill="auto"/>
            <w:vAlign w:val="center"/>
            <w:hideMark/>
          </w:tcPr>
          <w:p w:rsidR="001B14B0" w:rsidRPr="00B04BEC" w:rsidRDefault="001B14B0" w:rsidP="00B12148">
            <w:pPr>
              <w:spacing w:after="0" w:line="360" w:lineRule="auto"/>
              <w:ind w:firstLineChars="200" w:firstLine="442"/>
              <w:jc w:val="both"/>
              <w:rPr>
                <w:rFonts w:ascii="Arial" w:eastAsia="Times New Roman" w:hAnsi="Arial" w:cs="Arial"/>
                <w:b/>
                <w:color w:val="000000"/>
              </w:rPr>
            </w:pPr>
            <w:r w:rsidRPr="00B04BEC">
              <w:rPr>
                <w:rFonts w:ascii="Arial" w:eastAsia="Times New Roman" w:hAnsi="Arial" w:cs="Arial"/>
                <w:b/>
                <w:color w:val="000000"/>
              </w:rPr>
              <w:t>2,248,620</w:t>
            </w:r>
          </w:p>
        </w:tc>
      </w:tr>
    </w:tbl>
    <w:p w:rsidR="001B14B0" w:rsidRPr="00B04BEC" w:rsidRDefault="001B14B0" w:rsidP="00B12148">
      <w:pPr>
        <w:spacing w:line="360" w:lineRule="auto"/>
        <w:jc w:val="both"/>
        <w:rPr>
          <w:rFonts w:ascii="Arial" w:hAnsi="Arial" w:cs="Arial"/>
          <w:b/>
        </w:rPr>
      </w:pPr>
      <w:r w:rsidRPr="00B04BEC">
        <w:rPr>
          <w:rFonts w:ascii="Arial" w:hAnsi="Arial" w:cs="Arial"/>
          <w:b/>
        </w:rPr>
        <w:br w:type="page"/>
      </w:r>
    </w:p>
    <w:p w:rsidR="00ED0055" w:rsidRPr="00B04BEC" w:rsidRDefault="00ED0055" w:rsidP="00B12148">
      <w:pPr>
        <w:spacing w:line="360" w:lineRule="auto"/>
        <w:jc w:val="center"/>
        <w:rPr>
          <w:rFonts w:ascii="Arial" w:hAnsi="Arial" w:cs="Arial"/>
          <w:b/>
        </w:rPr>
      </w:pPr>
      <w:r w:rsidRPr="00B04BEC">
        <w:rPr>
          <w:rFonts w:ascii="Arial" w:hAnsi="Arial" w:cs="Arial"/>
          <w:b/>
        </w:rPr>
        <w:lastRenderedPageBreak/>
        <w:t>Income statement</w:t>
      </w:r>
    </w:p>
    <w:tbl>
      <w:tblPr>
        <w:tblW w:w="7212" w:type="dxa"/>
        <w:tblInd w:w="96" w:type="dxa"/>
        <w:tblLook w:val="04A0"/>
      </w:tblPr>
      <w:tblGrid>
        <w:gridCol w:w="4332"/>
        <w:gridCol w:w="2880"/>
      </w:tblGrid>
      <w:tr w:rsidR="00ED0055" w:rsidRPr="00B04BEC" w:rsidTr="00754792">
        <w:trPr>
          <w:trHeight w:val="288"/>
        </w:trPr>
        <w:tc>
          <w:tcPr>
            <w:tcW w:w="4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sales</w:t>
            </w:r>
          </w:p>
        </w:tc>
        <w:tc>
          <w:tcPr>
            <w:tcW w:w="2880" w:type="dxa"/>
            <w:tcBorders>
              <w:top w:val="single" w:sz="4" w:space="0" w:color="auto"/>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900000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Cost of sales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 </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58455A"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Opening</w:t>
            </w:r>
            <w:r w:rsidR="00ED0055" w:rsidRPr="00B04BEC">
              <w:rPr>
                <w:rFonts w:ascii="Arial" w:eastAsia="Times New Roman" w:hAnsi="Arial" w:cs="Arial"/>
                <w:color w:val="000000"/>
              </w:rPr>
              <w:t xml:space="preserve"> stock</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90000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1F1B31"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P</w:t>
            </w:r>
            <w:r w:rsidR="00ED0055" w:rsidRPr="00B04BEC">
              <w:rPr>
                <w:rFonts w:ascii="Arial" w:eastAsia="Times New Roman" w:hAnsi="Arial" w:cs="Arial"/>
                <w:color w:val="000000"/>
              </w:rPr>
              <w:t>urchases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560000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1F1B31"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C</w:t>
            </w:r>
            <w:r w:rsidR="00ED0055" w:rsidRPr="00B04BEC">
              <w:rPr>
                <w:rFonts w:ascii="Arial" w:eastAsia="Times New Roman" w:hAnsi="Arial" w:cs="Arial"/>
                <w:color w:val="000000"/>
              </w:rPr>
              <w:t>losing stock</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CF21C0"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w:t>
            </w:r>
            <w:r w:rsidR="00ED0055" w:rsidRPr="00B04BEC">
              <w:rPr>
                <w:rFonts w:ascii="Arial" w:eastAsia="Times New Roman" w:hAnsi="Arial" w:cs="Arial"/>
                <w:color w:val="000000"/>
              </w:rPr>
              <w:t>125000</w:t>
            </w:r>
            <w:r w:rsidRPr="00B04BEC">
              <w:rPr>
                <w:rFonts w:ascii="Arial" w:eastAsia="Times New Roman" w:hAnsi="Arial" w:cs="Arial"/>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 </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57283"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w:t>
            </w:r>
            <w:r w:rsidR="00ED0055" w:rsidRPr="00B04BEC">
              <w:rPr>
                <w:rFonts w:ascii="Arial" w:eastAsia="Times New Roman" w:hAnsi="Arial" w:cs="Arial"/>
                <w:b/>
                <w:color w:val="000000"/>
              </w:rPr>
              <w:t>525000</w:t>
            </w:r>
            <w:r w:rsidRPr="00B04BEC">
              <w:rPr>
                <w:rFonts w:ascii="Arial" w:eastAsia="Times New Roman" w:hAnsi="Arial" w:cs="Arial"/>
                <w:b/>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Gross Profit</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375000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Operating expenses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 </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Travelling Expenses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5000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Motor Running Expenses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8700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Salaries and Wages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150000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Bad Debt</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5000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Insurance Expense</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16000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Postage and Stationery</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6000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Depreciation expense-Buildings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32500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Depreciation expense-Machinery</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30000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Legal expenses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7000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Heating and Lighting</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10000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 </w:t>
            </w:r>
            <w:r w:rsidR="00765CEC" w:rsidRPr="00B04BEC">
              <w:rPr>
                <w:rFonts w:ascii="Arial" w:eastAsia="Times New Roman" w:hAnsi="Arial" w:cs="Arial"/>
                <w:b/>
                <w:color w:val="000000"/>
              </w:rPr>
              <w:t>Total operating expenses</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0B52AC"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w:t>
            </w:r>
            <w:r w:rsidR="00ED0055" w:rsidRPr="00B04BEC">
              <w:rPr>
                <w:rFonts w:ascii="Arial" w:eastAsia="Times New Roman" w:hAnsi="Arial" w:cs="Arial"/>
                <w:b/>
                <w:color w:val="000000"/>
              </w:rPr>
              <w:t>270200</w:t>
            </w:r>
            <w:r w:rsidRPr="00B04BEC">
              <w:rPr>
                <w:rFonts w:ascii="Arial" w:eastAsia="Times New Roman" w:hAnsi="Arial" w:cs="Arial"/>
                <w:b/>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D976A4"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Operating</w:t>
            </w:r>
            <w:r w:rsidR="00ED0055" w:rsidRPr="00B04BEC">
              <w:rPr>
                <w:rFonts w:ascii="Arial" w:eastAsia="Times New Roman" w:hAnsi="Arial" w:cs="Arial"/>
                <w:color w:val="000000"/>
              </w:rPr>
              <w:t xml:space="preserve"> Profit</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104800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Other income-Finance Income</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267564"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w:t>
            </w:r>
            <w:r w:rsidR="00ED0055" w:rsidRPr="00B04BEC">
              <w:rPr>
                <w:rFonts w:ascii="Arial" w:eastAsia="Times New Roman" w:hAnsi="Arial" w:cs="Arial"/>
                <w:color w:val="000000"/>
              </w:rPr>
              <w:t>4000</w:t>
            </w:r>
            <w:r w:rsidRPr="00B04BEC">
              <w:rPr>
                <w:rFonts w:ascii="Arial" w:eastAsia="Times New Roman" w:hAnsi="Arial" w:cs="Arial"/>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Profit before interest and Tax</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100800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Finance expense</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694F6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w:t>
            </w:r>
            <w:r w:rsidR="00ED0055" w:rsidRPr="00B04BEC">
              <w:rPr>
                <w:rFonts w:ascii="Arial" w:eastAsia="Times New Roman" w:hAnsi="Arial" w:cs="Arial"/>
                <w:color w:val="000000"/>
              </w:rPr>
              <w:t>16000</w:t>
            </w:r>
            <w:r w:rsidRPr="00B04BEC">
              <w:rPr>
                <w:rFonts w:ascii="Arial" w:eastAsia="Times New Roman" w:hAnsi="Arial" w:cs="Arial"/>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Profit before Tax</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84800</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Taxation</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3D7393" w:rsidP="00B12148">
            <w:pPr>
              <w:spacing w:after="0" w:line="360" w:lineRule="auto"/>
              <w:jc w:val="both"/>
              <w:rPr>
                <w:rFonts w:ascii="Arial" w:eastAsia="Times New Roman" w:hAnsi="Arial" w:cs="Arial"/>
                <w:color w:val="000000"/>
              </w:rPr>
            </w:pPr>
            <w:r w:rsidRPr="00B04BEC">
              <w:rPr>
                <w:rFonts w:ascii="Arial" w:eastAsia="Times New Roman" w:hAnsi="Arial" w:cs="Arial"/>
                <w:color w:val="000000"/>
              </w:rPr>
              <w:t>(</w:t>
            </w:r>
            <w:r w:rsidR="00ED0055" w:rsidRPr="00B04BEC">
              <w:rPr>
                <w:rFonts w:ascii="Arial" w:eastAsia="Times New Roman" w:hAnsi="Arial" w:cs="Arial"/>
                <w:color w:val="000000"/>
              </w:rPr>
              <w:t>12900</w:t>
            </w:r>
            <w:r w:rsidRPr="00B04BEC">
              <w:rPr>
                <w:rFonts w:ascii="Arial" w:eastAsia="Times New Roman" w:hAnsi="Arial" w:cs="Arial"/>
                <w:color w:val="000000"/>
              </w:rPr>
              <w:t>)</w:t>
            </w:r>
          </w:p>
        </w:tc>
      </w:tr>
      <w:tr w:rsidR="00ED0055" w:rsidRPr="00B04BEC" w:rsidTr="00754792">
        <w:trPr>
          <w:trHeight w:val="288"/>
        </w:trPr>
        <w:tc>
          <w:tcPr>
            <w:tcW w:w="4332" w:type="dxa"/>
            <w:tcBorders>
              <w:top w:val="nil"/>
              <w:left w:val="single" w:sz="4" w:space="0" w:color="auto"/>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Profit after tax</w:t>
            </w:r>
          </w:p>
        </w:tc>
        <w:tc>
          <w:tcPr>
            <w:tcW w:w="2880" w:type="dxa"/>
            <w:tcBorders>
              <w:top w:val="nil"/>
              <w:left w:val="nil"/>
              <w:bottom w:val="single" w:sz="4" w:space="0" w:color="auto"/>
              <w:right w:val="single" w:sz="4" w:space="0" w:color="auto"/>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b/>
                <w:color w:val="000000"/>
              </w:rPr>
            </w:pPr>
            <w:r w:rsidRPr="00B04BEC">
              <w:rPr>
                <w:rFonts w:ascii="Arial" w:eastAsia="Times New Roman" w:hAnsi="Arial" w:cs="Arial"/>
                <w:b/>
                <w:color w:val="000000"/>
              </w:rPr>
              <w:t>71900</w:t>
            </w:r>
          </w:p>
        </w:tc>
      </w:tr>
      <w:tr w:rsidR="00ED0055" w:rsidRPr="00B04BEC" w:rsidTr="00754792">
        <w:trPr>
          <w:trHeight w:val="288"/>
        </w:trPr>
        <w:tc>
          <w:tcPr>
            <w:tcW w:w="4332" w:type="dxa"/>
            <w:tcBorders>
              <w:top w:val="nil"/>
              <w:left w:val="nil"/>
              <w:bottom w:val="nil"/>
              <w:right w:val="nil"/>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p>
        </w:tc>
        <w:tc>
          <w:tcPr>
            <w:tcW w:w="2880" w:type="dxa"/>
            <w:tcBorders>
              <w:top w:val="nil"/>
              <w:left w:val="nil"/>
              <w:bottom w:val="nil"/>
              <w:right w:val="nil"/>
            </w:tcBorders>
            <w:shd w:val="clear" w:color="auto" w:fill="auto"/>
            <w:noWrap/>
            <w:vAlign w:val="bottom"/>
            <w:hideMark/>
          </w:tcPr>
          <w:p w:rsidR="00ED0055" w:rsidRPr="00B04BEC" w:rsidRDefault="00ED0055" w:rsidP="00B12148">
            <w:pPr>
              <w:spacing w:after="0" w:line="360" w:lineRule="auto"/>
              <w:jc w:val="both"/>
              <w:rPr>
                <w:rFonts w:ascii="Arial" w:eastAsia="Times New Roman" w:hAnsi="Arial" w:cs="Arial"/>
                <w:color w:val="000000"/>
              </w:rPr>
            </w:pPr>
          </w:p>
        </w:tc>
      </w:tr>
    </w:tbl>
    <w:p w:rsidR="00ED0055" w:rsidRPr="00B04BEC" w:rsidRDefault="00ED0055" w:rsidP="00B12148">
      <w:pPr>
        <w:spacing w:line="360" w:lineRule="auto"/>
        <w:jc w:val="both"/>
        <w:rPr>
          <w:rFonts w:ascii="Arial" w:hAnsi="Arial" w:cs="Arial"/>
          <w:b/>
        </w:rPr>
      </w:pPr>
      <w:r w:rsidRPr="00B04BEC">
        <w:rPr>
          <w:rFonts w:ascii="Arial" w:hAnsi="Arial" w:cs="Arial"/>
          <w:b/>
        </w:rPr>
        <w:br w:type="page"/>
      </w:r>
    </w:p>
    <w:p w:rsidR="008778F8" w:rsidRPr="00B04BEC" w:rsidRDefault="008778F8" w:rsidP="00B12148">
      <w:pPr>
        <w:spacing w:line="360" w:lineRule="auto"/>
        <w:jc w:val="center"/>
        <w:rPr>
          <w:rFonts w:ascii="Arial" w:hAnsi="Arial" w:cs="Arial"/>
          <w:b/>
        </w:rPr>
      </w:pPr>
      <w:r w:rsidRPr="00B04BEC">
        <w:rPr>
          <w:rFonts w:ascii="Arial" w:hAnsi="Arial" w:cs="Arial"/>
          <w:b/>
        </w:rPr>
        <w:lastRenderedPageBreak/>
        <w:t>Balance Sheet</w:t>
      </w:r>
    </w:p>
    <w:tbl>
      <w:tblPr>
        <w:tblW w:w="9176" w:type="dxa"/>
        <w:tblInd w:w="96" w:type="dxa"/>
        <w:tblLook w:val="04A0"/>
      </w:tblPr>
      <w:tblGrid>
        <w:gridCol w:w="2120"/>
        <w:gridCol w:w="1160"/>
        <w:gridCol w:w="692"/>
        <w:gridCol w:w="4148"/>
        <w:gridCol w:w="1073"/>
      </w:tblGrid>
      <w:tr w:rsidR="009173BA" w:rsidRPr="00B04BEC" w:rsidTr="00C055ED">
        <w:trPr>
          <w:trHeight w:val="348"/>
        </w:trPr>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b/>
                <w:bCs/>
                <w:color w:val="000000"/>
              </w:rPr>
            </w:pPr>
            <w:r w:rsidRPr="00B04BEC">
              <w:rPr>
                <w:rFonts w:ascii="Arial" w:eastAsia="Times New Roman" w:hAnsi="Arial" w:cs="Arial"/>
                <w:b/>
                <w:bCs/>
                <w:color w:val="000000"/>
              </w:rPr>
              <w:t>ASSETS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single" w:sz="4" w:space="0" w:color="auto"/>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b/>
                <w:bCs/>
                <w:color w:val="000000"/>
              </w:rPr>
            </w:pPr>
            <w:r w:rsidRPr="00B04BEC">
              <w:rPr>
                <w:rFonts w:ascii="Arial" w:eastAsia="Times New Roman" w:hAnsi="Arial" w:cs="Arial"/>
                <w:b/>
                <w:bCs/>
                <w:color w:val="000000"/>
              </w:rPr>
              <w:t>Equity and liabilities</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r>
      <w:tr w:rsidR="009173BA" w:rsidRPr="00B04BEC" w:rsidTr="00C055ED">
        <w:trPr>
          <w:trHeight w:val="34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b/>
                <w:bCs/>
                <w:color w:val="000000"/>
              </w:rPr>
            </w:pPr>
            <w:r w:rsidRPr="00B04BEC">
              <w:rPr>
                <w:rFonts w:ascii="Arial" w:eastAsia="Times New Roman" w:hAnsi="Arial" w:cs="Arial"/>
                <w:b/>
                <w:bCs/>
                <w:color w:val="000000"/>
              </w:rPr>
              <w:t>Fixed Assets</w:t>
            </w:r>
          </w:p>
        </w:tc>
        <w:tc>
          <w:tcPr>
            <w:tcW w:w="1160"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692"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056"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r>
      <w:tr w:rsidR="009173BA" w:rsidRPr="00B04BEC" w:rsidTr="00C055ED">
        <w:trPr>
          <w:trHeight w:val="360"/>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Machinery</w:t>
            </w:r>
          </w:p>
        </w:tc>
        <w:tc>
          <w:tcPr>
            <w:tcW w:w="1160"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 xml:space="preserve">   65,000 </w:t>
            </w:r>
          </w:p>
        </w:tc>
        <w:tc>
          <w:tcPr>
            <w:tcW w:w="692"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share capital</w:t>
            </w:r>
          </w:p>
        </w:tc>
        <w:tc>
          <w:tcPr>
            <w:tcW w:w="1056"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347900</w:t>
            </w:r>
          </w:p>
        </w:tc>
      </w:tr>
      <w:tr w:rsidR="009173BA" w:rsidRPr="00B04BEC" w:rsidTr="00C055ED">
        <w:trPr>
          <w:trHeight w:val="360"/>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Building</w:t>
            </w:r>
          </w:p>
        </w:tc>
        <w:tc>
          <w:tcPr>
            <w:tcW w:w="1160"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 xml:space="preserve">  617,500 </w:t>
            </w:r>
          </w:p>
        </w:tc>
        <w:tc>
          <w:tcPr>
            <w:tcW w:w="692"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xml:space="preserve">share premium </w:t>
            </w:r>
          </w:p>
        </w:tc>
        <w:tc>
          <w:tcPr>
            <w:tcW w:w="1056"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100000</w:t>
            </w:r>
          </w:p>
        </w:tc>
      </w:tr>
      <w:tr w:rsidR="009173BA"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p>
        </w:tc>
        <w:tc>
          <w:tcPr>
            <w:tcW w:w="1160"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p>
        </w:tc>
        <w:tc>
          <w:tcPr>
            <w:tcW w:w="692"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p>
        </w:tc>
        <w:tc>
          <w:tcPr>
            <w:tcW w:w="4148"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revaluation surplus</w:t>
            </w:r>
          </w:p>
        </w:tc>
        <w:tc>
          <w:tcPr>
            <w:tcW w:w="1056"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100000</w:t>
            </w:r>
          </w:p>
        </w:tc>
      </w:tr>
      <w:tr w:rsidR="009173BA"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160"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p>
        </w:tc>
        <w:tc>
          <w:tcPr>
            <w:tcW w:w="692"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rPr>
                <w:rFonts w:ascii="Arial" w:eastAsia="Times New Roman" w:hAnsi="Arial" w:cs="Arial"/>
                <w:color w:val="000000"/>
              </w:rPr>
            </w:pPr>
            <w:r w:rsidRPr="00B04BEC">
              <w:rPr>
                <w:rFonts w:ascii="Arial" w:eastAsia="Times New Roman" w:hAnsi="Arial" w:cs="Arial"/>
                <w:color w:val="000000"/>
              </w:rPr>
              <w:t>Accumulated Reserves- Retained profits</w:t>
            </w:r>
          </w:p>
        </w:tc>
        <w:tc>
          <w:tcPr>
            <w:tcW w:w="1056" w:type="dxa"/>
            <w:tcBorders>
              <w:top w:val="nil"/>
              <w:left w:val="nil"/>
              <w:bottom w:val="single" w:sz="4" w:space="0" w:color="auto"/>
              <w:right w:val="single" w:sz="4" w:space="0" w:color="auto"/>
            </w:tcBorders>
            <w:shd w:val="clear" w:color="auto" w:fill="auto"/>
            <w:noWrap/>
            <w:vAlign w:val="bottom"/>
            <w:hideMark/>
          </w:tcPr>
          <w:p w:rsidR="009173BA" w:rsidRPr="00B04BEC" w:rsidRDefault="009173BA"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101900</w:t>
            </w:r>
          </w:p>
        </w:tc>
      </w:tr>
      <w:tr w:rsidR="00147865"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682500</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649800</w:t>
            </w:r>
          </w:p>
        </w:tc>
      </w:tr>
      <w:tr w:rsidR="00147865" w:rsidRPr="00B04BEC" w:rsidTr="00C055ED">
        <w:trPr>
          <w:trHeight w:val="34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b/>
                <w:bCs/>
                <w:color w:val="000000"/>
              </w:rPr>
            </w:pPr>
            <w:r w:rsidRPr="00B04BEC">
              <w:rPr>
                <w:rFonts w:ascii="Arial" w:eastAsia="Times New Roman" w:hAnsi="Arial" w:cs="Arial"/>
                <w:b/>
                <w:bCs/>
                <w:color w:val="000000"/>
              </w:rPr>
              <w:t>Currrent assets</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Liabilities</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r>
      <w:tr w:rsidR="00147865" w:rsidRPr="00B04BEC" w:rsidTr="00C055ED">
        <w:trPr>
          <w:trHeight w:val="360"/>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inventory</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125000</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long term liabilities</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r>
      <w:tr w:rsidR="00147865" w:rsidRPr="00B04BEC" w:rsidTr="00C055ED">
        <w:trPr>
          <w:trHeight w:val="360"/>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debtors</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396000</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long trerm loan</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200000</w:t>
            </w:r>
          </w:p>
        </w:tc>
      </w:tr>
      <w:tr w:rsidR="00147865" w:rsidRPr="00B04BEC" w:rsidTr="00C055ED">
        <w:trPr>
          <w:trHeight w:val="360"/>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prepaid insurance</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1520</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Current liabilities</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r>
      <w:tr w:rsidR="00147865"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Traded Creditors</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350000</w:t>
            </w:r>
          </w:p>
        </w:tc>
      </w:tr>
      <w:tr w:rsidR="00147865"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Bank overdraft</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2000</w:t>
            </w:r>
          </w:p>
        </w:tc>
      </w:tr>
      <w:tr w:rsidR="00147865"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160"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692"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rPr>
                <w:rFonts w:ascii="Arial" w:eastAsia="Times New Roman" w:hAnsi="Arial" w:cs="Arial"/>
                <w:color w:val="000000"/>
              </w:rPr>
            </w:pPr>
            <w:r w:rsidRPr="00B04BEC">
              <w:rPr>
                <w:rFonts w:ascii="Arial" w:eastAsia="Times New Roman" w:hAnsi="Arial" w:cs="Arial"/>
                <w:color w:val="000000"/>
              </w:rPr>
              <w:t>Rent and rates payable</w:t>
            </w:r>
          </w:p>
        </w:tc>
        <w:tc>
          <w:tcPr>
            <w:tcW w:w="1056" w:type="dxa"/>
            <w:tcBorders>
              <w:top w:val="nil"/>
              <w:left w:val="nil"/>
              <w:bottom w:val="single" w:sz="4" w:space="0" w:color="auto"/>
              <w:right w:val="single" w:sz="4" w:space="0" w:color="auto"/>
            </w:tcBorders>
            <w:shd w:val="clear" w:color="auto" w:fill="auto"/>
            <w:noWrap/>
            <w:vAlign w:val="bottom"/>
            <w:hideMark/>
          </w:tcPr>
          <w:p w:rsidR="00147865" w:rsidRPr="00B04BEC" w:rsidRDefault="00147865" w:rsidP="00B12148">
            <w:pPr>
              <w:spacing w:after="0" w:line="360" w:lineRule="auto"/>
              <w:jc w:val="right"/>
              <w:rPr>
                <w:rFonts w:ascii="Arial" w:eastAsia="Times New Roman" w:hAnsi="Arial" w:cs="Arial"/>
                <w:color w:val="000000"/>
              </w:rPr>
            </w:pPr>
            <w:r w:rsidRPr="00B04BEC">
              <w:rPr>
                <w:rFonts w:ascii="Arial" w:eastAsia="Times New Roman" w:hAnsi="Arial" w:cs="Arial"/>
                <w:color w:val="000000"/>
              </w:rPr>
              <w:t>3220</w:t>
            </w:r>
          </w:p>
        </w:tc>
      </w:tr>
      <w:tr w:rsidR="003233CB"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160"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522520</w:t>
            </w:r>
          </w:p>
        </w:tc>
        <w:tc>
          <w:tcPr>
            <w:tcW w:w="692"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r w:rsidRPr="00B04BEC">
              <w:rPr>
                <w:rFonts w:ascii="Arial" w:eastAsia="Times New Roman" w:hAnsi="Arial" w:cs="Arial"/>
                <w:color w:val="000000"/>
              </w:rPr>
              <w:t> </w:t>
            </w:r>
          </w:p>
        </w:tc>
        <w:tc>
          <w:tcPr>
            <w:tcW w:w="1056"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355220</w:t>
            </w:r>
          </w:p>
        </w:tc>
      </w:tr>
      <w:tr w:rsidR="003233CB"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p>
        </w:tc>
        <w:tc>
          <w:tcPr>
            <w:tcW w:w="1160"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p>
        </w:tc>
        <w:tc>
          <w:tcPr>
            <w:tcW w:w="692"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p>
        </w:tc>
        <w:tc>
          <w:tcPr>
            <w:tcW w:w="4148"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color w:val="000000"/>
              </w:rPr>
            </w:pPr>
          </w:p>
        </w:tc>
        <w:tc>
          <w:tcPr>
            <w:tcW w:w="1056"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jc w:val="right"/>
              <w:rPr>
                <w:rFonts w:ascii="Arial" w:eastAsia="Times New Roman" w:hAnsi="Arial" w:cs="Arial"/>
                <w:color w:val="000000"/>
              </w:rPr>
            </w:pPr>
          </w:p>
        </w:tc>
      </w:tr>
      <w:tr w:rsidR="003233CB" w:rsidRPr="00B04BEC" w:rsidTr="00C055ED">
        <w:trPr>
          <w:trHeight w:val="288"/>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Total Assets</w:t>
            </w:r>
          </w:p>
        </w:tc>
        <w:tc>
          <w:tcPr>
            <w:tcW w:w="1160"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1205020</w:t>
            </w:r>
          </w:p>
        </w:tc>
        <w:tc>
          <w:tcPr>
            <w:tcW w:w="692"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 </w:t>
            </w:r>
          </w:p>
        </w:tc>
        <w:tc>
          <w:tcPr>
            <w:tcW w:w="4148"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rPr>
                <w:rFonts w:ascii="Arial" w:eastAsia="Times New Roman" w:hAnsi="Arial" w:cs="Arial"/>
                <w:b/>
                <w:color w:val="000000"/>
              </w:rPr>
            </w:pPr>
            <w:r w:rsidRPr="00B04BEC">
              <w:rPr>
                <w:rFonts w:ascii="Arial" w:eastAsia="Times New Roman" w:hAnsi="Arial" w:cs="Arial"/>
                <w:b/>
                <w:color w:val="000000"/>
              </w:rPr>
              <w:t xml:space="preserve"> Total </w:t>
            </w:r>
            <w:r w:rsidRPr="00B04BEC">
              <w:rPr>
                <w:rFonts w:ascii="Arial" w:eastAsia="Times New Roman" w:hAnsi="Arial" w:cs="Arial"/>
                <w:b/>
                <w:bCs/>
                <w:color w:val="000000"/>
              </w:rPr>
              <w:t>Equity and liabilities</w:t>
            </w:r>
          </w:p>
        </w:tc>
        <w:tc>
          <w:tcPr>
            <w:tcW w:w="1056" w:type="dxa"/>
            <w:tcBorders>
              <w:top w:val="nil"/>
              <w:left w:val="nil"/>
              <w:bottom w:val="single" w:sz="4" w:space="0" w:color="auto"/>
              <w:right w:val="single" w:sz="4" w:space="0" w:color="auto"/>
            </w:tcBorders>
            <w:shd w:val="clear" w:color="auto" w:fill="auto"/>
            <w:noWrap/>
            <w:vAlign w:val="bottom"/>
            <w:hideMark/>
          </w:tcPr>
          <w:p w:rsidR="003233CB" w:rsidRPr="00B04BEC" w:rsidRDefault="003233CB" w:rsidP="00B12148">
            <w:pPr>
              <w:spacing w:after="0" w:line="360" w:lineRule="auto"/>
              <w:jc w:val="right"/>
              <w:rPr>
                <w:rFonts w:ascii="Arial" w:eastAsia="Times New Roman" w:hAnsi="Arial" w:cs="Arial"/>
                <w:b/>
                <w:color w:val="000000"/>
              </w:rPr>
            </w:pPr>
            <w:r w:rsidRPr="00B04BEC">
              <w:rPr>
                <w:rFonts w:ascii="Arial" w:eastAsia="Times New Roman" w:hAnsi="Arial" w:cs="Arial"/>
                <w:b/>
                <w:color w:val="000000"/>
              </w:rPr>
              <w:t>1205020</w:t>
            </w:r>
          </w:p>
        </w:tc>
      </w:tr>
    </w:tbl>
    <w:p w:rsidR="009173BA" w:rsidRPr="00B04BEC" w:rsidRDefault="009173BA" w:rsidP="00B12148">
      <w:pPr>
        <w:spacing w:line="360" w:lineRule="auto"/>
        <w:rPr>
          <w:rFonts w:ascii="Arial" w:hAnsi="Arial" w:cs="Arial"/>
          <w:b/>
          <w:u w:val="single"/>
        </w:rPr>
      </w:pPr>
      <w:r w:rsidRPr="00B04BEC">
        <w:rPr>
          <w:rFonts w:ascii="Arial" w:hAnsi="Arial" w:cs="Arial"/>
          <w:b/>
          <w:u w:val="single"/>
        </w:rPr>
        <w:br w:type="page"/>
      </w:r>
    </w:p>
    <w:p w:rsidR="00D47BD6" w:rsidRPr="00B04BEC" w:rsidRDefault="00754792" w:rsidP="00B12148">
      <w:pPr>
        <w:spacing w:line="360" w:lineRule="auto"/>
        <w:jc w:val="both"/>
        <w:rPr>
          <w:rFonts w:ascii="Arial" w:hAnsi="Arial" w:cs="Arial"/>
          <w:b/>
          <w:u w:val="single"/>
        </w:rPr>
      </w:pPr>
      <w:r w:rsidRPr="00B04BEC">
        <w:rPr>
          <w:rFonts w:ascii="Arial" w:hAnsi="Arial" w:cs="Arial"/>
          <w:b/>
          <w:u w:val="single"/>
        </w:rPr>
        <w:lastRenderedPageBreak/>
        <w:t>CONSISTENCY</w:t>
      </w:r>
      <w:r w:rsidR="00B771E7" w:rsidRPr="00B04BEC">
        <w:rPr>
          <w:rFonts w:ascii="Arial" w:hAnsi="Arial" w:cs="Arial"/>
          <w:b/>
          <w:u w:val="single"/>
        </w:rPr>
        <w:t>:</w:t>
      </w:r>
    </w:p>
    <w:p w:rsidR="00AE7A65" w:rsidRDefault="00AE7A65" w:rsidP="00B12148">
      <w:pPr>
        <w:spacing w:line="360" w:lineRule="auto"/>
        <w:jc w:val="both"/>
        <w:rPr>
          <w:rFonts w:ascii="Arial" w:hAnsi="Arial" w:cs="Arial"/>
        </w:rPr>
      </w:pPr>
      <w:r w:rsidRPr="00B04BEC">
        <w:rPr>
          <w:rFonts w:ascii="Arial" w:hAnsi="Arial" w:cs="Arial"/>
        </w:rPr>
        <w:t>After an accounting principle or approach is accepted, the consistency principle states that it will be applied consistently in successive accounting periods and will only be changes to accounting principles or processes if the new version enhances the financial outcomes provided. If such adjustments are applied, make sure that fully record that impact and include it in the financial statement notes.</w:t>
      </w:r>
    </w:p>
    <w:p w:rsidR="00FE3F27" w:rsidRPr="009E15AB" w:rsidRDefault="00FE3F27" w:rsidP="00B12148">
      <w:pPr>
        <w:spacing w:line="360" w:lineRule="auto"/>
        <w:jc w:val="both"/>
        <w:rPr>
          <w:rFonts w:ascii="Arial" w:hAnsi="Arial" w:cs="Arial"/>
        </w:rPr>
      </w:pPr>
      <w:r w:rsidRPr="009E15AB">
        <w:rPr>
          <w:rFonts w:ascii="Arial" w:hAnsi="Arial" w:cs="Arial"/>
          <w:color w:val="212121"/>
        </w:rPr>
        <w:t>According to this, all</w:t>
      </w:r>
      <w:r w:rsidRPr="009E15AB">
        <w:rPr>
          <w:rFonts w:ascii="Arial" w:hAnsi="Arial" w:cs="Arial"/>
          <w:iCs/>
          <w:color w:val="212121"/>
        </w:rPr>
        <w:t xml:space="preserve"> accounting policies (are a set of rules or guidelines that the company needs to adhere to while preparing and presenting its financial statements and therefore serves as a structure or framework for companies to follow)</w:t>
      </w:r>
      <w:r w:rsidR="005E2D7A" w:rsidRPr="009E15AB">
        <w:rPr>
          <w:rFonts w:ascii="Arial" w:hAnsi="Arial" w:cs="Arial"/>
          <w:iCs/>
          <w:color w:val="212121"/>
        </w:rPr>
        <w:t xml:space="preserve"> </w:t>
      </w:r>
      <w:r w:rsidR="005E2D7A" w:rsidRPr="009E15AB">
        <w:rPr>
          <w:rFonts w:ascii="Arial" w:hAnsi="Arial" w:cs="Arial"/>
          <w:color w:val="212121"/>
        </w:rPr>
        <w:t>to be followed consistently so that financial statements can be easily comparable.</w:t>
      </w:r>
    </w:p>
    <w:p w:rsidR="00475293" w:rsidRPr="009E15AB" w:rsidRDefault="00B84C73" w:rsidP="00B12148">
      <w:pPr>
        <w:spacing w:line="360" w:lineRule="auto"/>
        <w:jc w:val="both"/>
        <w:rPr>
          <w:rFonts w:ascii="Arial" w:hAnsi="Arial" w:cs="Arial"/>
        </w:rPr>
      </w:pPr>
      <w:r w:rsidRPr="009E15AB">
        <w:rPr>
          <w:rFonts w:ascii="Arial" w:hAnsi="Arial" w:cs="Arial"/>
        </w:rPr>
        <w:t>Auditors particularly concerned,</w:t>
      </w:r>
      <w:r w:rsidR="00AE7A65" w:rsidRPr="009E15AB">
        <w:rPr>
          <w:rFonts w:ascii="Arial" w:hAnsi="Arial" w:cs="Arial"/>
        </w:rPr>
        <w:t xml:space="preserve"> whether the client follows the concept of consistency, which ensures that the results presented for each period are comparable. </w:t>
      </w:r>
      <w:r w:rsidRPr="009E15AB">
        <w:rPr>
          <w:rFonts w:ascii="Arial" w:hAnsi="Arial" w:cs="Arial"/>
        </w:rPr>
        <w:t>Due to which</w:t>
      </w:r>
      <w:r w:rsidR="00AE7A65" w:rsidRPr="009E15AB">
        <w:rPr>
          <w:rFonts w:ascii="Arial" w:hAnsi="Arial" w:cs="Arial"/>
        </w:rPr>
        <w:t xml:space="preserve"> certain audit operations will include talks with the management team concerning concerns of consistency. If there is </w:t>
      </w:r>
      <w:r w:rsidRPr="009E15AB">
        <w:rPr>
          <w:rFonts w:ascii="Arial" w:hAnsi="Arial" w:cs="Arial"/>
        </w:rPr>
        <w:t>clear</w:t>
      </w:r>
      <w:r w:rsidR="00AE7A65" w:rsidRPr="009E15AB">
        <w:rPr>
          <w:rFonts w:ascii="Arial" w:hAnsi="Arial" w:cs="Arial"/>
        </w:rPr>
        <w:t xml:space="preserve"> and unjustifiable </w:t>
      </w:r>
      <w:r w:rsidRPr="009E15AB">
        <w:rPr>
          <w:rFonts w:ascii="Arial" w:hAnsi="Arial" w:cs="Arial"/>
        </w:rPr>
        <w:t>violation</w:t>
      </w:r>
      <w:r w:rsidR="00AE7A65" w:rsidRPr="009E15AB">
        <w:rPr>
          <w:rFonts w:ascii="Arial" w:hAnsi="Arial" w:cs="Arial"/>
        </w:rPr>
        <w:t xml:space="preserve"> of the Principles, the auditor may refuse to comment on th</w:t>
      </w:r>
      <w:r w:rsidR="00475293" w:rsidRPr="009E15AB">
        <w:rPr>
          <w:rFonts w:ascii="Arial" w:hAnsi="Arial" w:cs="Arial"/>
        </w:rPr>
        <w:t>e client's financial statements (</w:t>
      </w:r>
      <w:r w:rsidR="00475293" w:rsidRPr="009E15AB">
        <w:rPr>
          <w:rFonts w:ascii="Arial" w:hAnsi="Arial" w:cs="Arial"/>
          <w:iCs/>
          <w:color w:val="212121"/>
        </w:rPr>
        <w:t>Financial statements are written reports created by a company’s management to summarize the financial condition of the business over a certain time period (quarter, six monthly or yearly). These statements, which comprise the balance sheet, income statement, cash flow statement, and statement of shareholders equity, must be prepared in accordance with specified and standardized accounting standards to ensure that reporting is consistent at all levels).</w:t>
      </w:r>
    </w:p>
    <w:p w:rsidR="00352224" w:rsidRPr="00B04BEC" w:rsidRDefault="00352224" w:rsidP="00B12148">
      <w:pPr>
        <w:spacing w:line="360" w:lineRule="auto"/>
        <w:jc w:val="both"/>
        <w:rPr>
          <w:rFonts w:ascii="Arial" w:hAnsi="Arial" w:cs="Arial"/>
        </w:rPr>
      </w:pPr>
      <w:r w:rsidRPr="00B04BEC">
        <w:rPr>
          <w:rFonts w:ascii="Arial" w:hAnsi="Arial" w:cs="Arial"/>
        </w:rPr>
        <w:t>Consistency in accounting means that a company's financial statements are prepared using the same accounting principles, techniques, practices, and processes from on</w:t>
      </w:r>
      <w:r w:rsidR="005E5AC7" w:rsidRPr="00B04BEC">
        <w:rPr>
          <w:rFonts w:ascii="Arial" w:hAnsi="Arial" w:cs="Arial"/>
        </w:rPr>
        <w:t>e accounting period to the next which</w:t>
      </w:r>
      <w:r w:rsidRPr="00B04BEC">
        <w:rPr>
          <w:rFonts w:ascii="Arial" w:hAnsi="Arial" w:cs="Arial"/>
        </w:rPr>
        <w:t xml:space="preserve"> helps financial statement readers to draw relevant year-to-year comparisons.</w:t>
      </w:r>
    </w:p>
    <w:p w:rsidR="00272F26" w:rsidRPr="00B04BEC" w:rsidRDefault="00272F26" w:rsidP="00B12148">
      <w:pPr>
        <w:spacing w:line="360" w:lineRule="auto"/>
        <w:jc w:val="both"/>
        <w:rPr>
          <w:rFonts w:ascii="Arial" w:hAnsi="Arial" w:cs="Arial"/>
        </w:rPr>
      </w:pPr>
      <w:r w:rsidRPr="00B04BEC">
        <w:rPr>
          <w:rFonts w:ascii="Arial" w:hAnsi="Arial" w:cs="Arial"/>
        </w:rPr>
        <w:t>A company's financial statements should follow the same accounting principles, procedures, methods, and policies from one accounting period to the other in order to maintain consistency</w:t>
      </w:r>
      <w:r w:rsidR="00DD7A81" w:rsidRPr="00B04BEC">
        <w:rPr>
          <w:rFonts w:ascii="Arial" w:hAnsi="Arial" w:cs="Arial"/>
        </w:rPr>
        <w:t xml:space="preserve"> and</w:t>
      </w:r>
      <w:r w:rsidRPr="00B04BEC">
        <w:rPr>
          <w:rFonts w:ascii="Arial" w:hAnsi="Arial" w:cs="Arial"/>
        </w:rPr>
        <w:t xml:space="preserve"> allow financial statement readers to make meaningful year to year comparisons.</w:t>
      </w:r>
    </w:p>
    <w:p w:rsidR="00272F26" w:rsidRPr="00B04BEC" w:rsidRDefault="00272F26" w:rsidP="00B12148">
      <w:pPr>
        <w:spacing w:line="360" w:lineRule="auto"/>
        <w:jc w:val="both"/>
        <w:rPr>
          <w:rFonts w:ascii="Arial" w:hAnsi="Arial" w:cs="Arial"/>
        </w:rPr>
      </w:pPr>
      <w:r w:rsidRPr="00B04BEC">
        <w:rPr>
          <w:rFonts w:ascii="Arial" w:hAnsi="Arial" w:cs="Arial"/>
        </w:rPr>
        <w:t>Companies make adjustments to their preferred accounting procedures if they ensure consistency. The adjustments and their implications must, however, be fully reported in the interest of t</w:t>
      </w:r>
      <w:r w:rsidR="00E909F0" w:rsidRPr="00B04BEC">
        <w:rPr>
          <w:rFonts w:ascii="Arial" w:hAnsi="Arial" w:cs="Arial"/>
        </w:rPr>
        <w:t xml:space="preserve">he financial statement readers. </w:t>
      </w:r>
      <w:r w:rsidR="00FB2D61" w:rsidRPr="00B04BEC">
        <w:rPr>
          <w:rFonts w:ascii="Arial" w:hAnsi="Arial" w:cs="Arial"/>
        </w:rPr>
        <w:t>I</w:t>
      </w:r>
      <w:r w:rsidR="00E909F0" w:rsidRPr="00B04BEC">
        <w:rPr>
          <w:rFonts w:ascii="Arial" w:hAnsi="Arial" w:cs="Arial"/>
        </w:rPr>
        <w:t>t</w:t>
      </w:r>
      <w:r w:rsidRPr="00B04BEC">
        <w:rPr>
          <w:rFonts w:ascii="Arial" w:hAnsi="Arial" w:cs="Arial"/>
        </w:rPr>
        <w:t xml:space="preserve"> is one of the properties that makes accounting information meaningful, according to the Financial Accounting Standards Board.</w:t>
      </w:r>
    </w:p>
    <w:p w:rsidR="00D47BD6" w:rsidRPr="00B04BEC" w:rsidRDefault="00754792" w:rsidP="00B12148">
      <w:pPr>
        <w:spacing w:line="360" w:lineRule="auto"/>
        <w:jc w:val="both"/>
        <w:rPr>
          <w:rFonts w:ascii="Arial" w:hAnsi="Arial" w:cs="Arial"/>
          <w:b/>
          <w:bCs/>
          <w:color w:val="333333"/>
        </w:rPr>
      </w:pPr>
      <w:r w:rsidRPr="00B04BEC">
        <w:rPr>
          <w:rFonts w:ascii="Arial" w:hAnsi="Arial" w:cs="Arial"/>
          <w:b/>
          <w:bCs/>
          <w:color w:val="333333"/>
        </w:rPr>
        <w:t>Example of Consistency</w:t>
      </w:r>
    </w:p>
    <w:p w:rsidR="00352224" w:rsidRPr="00B04BEC" w:rsidRDefault="00352224" w:rsidP="00B12148">
      <w:pPr>
        <w:spacing w:line="360" w:lineRule="auto"/>
        <w:jc w:val="both"/>
        <w:rPr>
          <w:rFonts w:ascii="Arial" w:hAnsi="Arial" w:cs="Arial"/>
        </w:rPr>
      </w:pPr>
      <w:r w:rsidRPr="00B04BEC">
        <w:rPr>
          <w:rFonts w:ascii="Arial" w:hAnsi="Arial" w:cs="Arial"/>
        </w:rPr>
        <w:t xml:space="preserve">Let's say a company in the United States </w:t>
      </w:r>
      <w:r w:rsidR="00F51137" w:rsidRPr="00B04BEC">
        <w:rPr>
          <w:rFonts w:ascii="Arial" w:hAnsi="Arial" w:cs="Arial"/>
        </w:rPr>
        <w:t>make use of</w:t>
      </w:r>
      <w:r w:rsidRPr="00B04BEC">
        <w:rPr>
          <w:rFonts w:ascii="Arial" w:hAnsi="Arial" w:cs="Arial"/>
        </w:rPr>
        <w:t xml:space="preserve"> the FIFO cost flow assumption to value its inventory and calculate its cost of goods sold</w:t>
      </w:r>
      <w:r w:rsidR="00F51137" w:rsidRPr="00B04BEC">
        <w:rPr>
          <w:rFonts w:ascii="Arial" w:hAnsi="Arial" w:cs="Arial"/>
        </w:rPr>
        <w:t xml:space="preserve"> but if</w:t>
      </w:r>
      <w:r w:rsidRPr="00B04BEC">
        <w:rPr>
          <w:rFonts w:ascii="Arial" w:hAnsi="Arial" w:cs="Arial"/>
        </w:rPr>
        <w:t xml:space="preserve"> It finds that LIFO will better reflect the company's genuine earnings due to rising material costs. The firm must declare the break in consistency in the year it switches from FIFO to LIFO (and in subsequent years when comparisons are made).</w:t>
      </w:r>
    </w:p>
    <w:p w:rsidR="001C08E3" w:rsidRDefault="001C08E3" w:rsidP="00B12148">
      <w:pPr>
        <w:spacing w:line="360" w:lineRule="auto"/>
        <w:jc w:val="both"/>
        <w:rPr>
          <w:rFonts w:ascii="Arial" w:hAnsi="Arial" w:cs="Arial"/>
          <w:b/>
        </w:rPr>
      </w:pPr>
    </w:p>
    <w:p w:rsidR="001C08E3" w:rsidRDefault="001C08E3" w:rsidP="00B12148">
      <w:pPr>
        <w:spacing w:line="360" w:lineRule="auto"/>
        <w:jc w:val="both"/>
        <w:rPr>
          <w:rFonts w:ascii="Arial" w:hAnsi="Arial" w:cs="Arial"/>
          <w:b/>
        </w:rPr>
      </w:pPr>
    </w:p>
    <w:p w:rsidR="00D47BD6" w:rsidRPr="00B04BEC" w:rsidRDefault="00754792" w:rsidP="00B12148">
      <w:pPr>
        <w:spacing w:line="360" w:lineRule="auto"/>
        <w:jc w:val="both"/>
        <w:rPr>
          <w:rFonts w:ascii="Arial" w:hAnsi="Arial" w:cs="Arial"/>
          <w:b/>
        </w:rPr>
      </w:pPr>
      <w:r w:rsidRPr="00B04BEC">
        <w:rPr>
          <w:rFonts w:ascii="Arial" w:hAnsi="Arial" w:cs="Arial"/>
          <w:b/>
        </w:rPr>
        <w:lastRenderedPageBreak/>
        <w:t>MATERIALITY </w:t>
      </w:r>
    </w:p>
    <w:p w:rsidR="00966A79" w:rsidRDefault="00F7216A" w:rsidP="00F7216A">
      <w:pPr>
        <w:spacing w:line="360" w:lineRule="auto"/>
        <w:jc w:val="both"/>
        <w:rPr>
          <w:rFonts w:ascii="Arial" w:hAnsi="Arial" w:cs="Arial"/>
          <w:bCs/>
        </w:rPr>
      </w:pPr>
      <w:r w:rsidRPr="00F7216A">
        <w:rPr>
          <w:rFonts w:ascii="Arial" w:hAnsi="Arial" w:cs="Arial"/>
          <w:bCs/>
        </w:rPr>
        <w:t>Materiality in accounting refers to the impact on a company's customers of a loss or a mischaracterization of information in its financial statements. A piece of information is considered significant if it would have influenced the user's behaviour if it had not been omitted or misprinted from the financial statements. If the user's behaviour is not affected by the omissions or misrepresentations, they are considered insignificant.</w:t>
      </w:r>
    </w:p>
    <w:p w:rsidR="00966A79" w:rsidRDefault="00966A79" w:rsidP="00F7216A">
      <w:pPr>
        <w:spacing w:line="360" w:lineRule="auto"/>
        <w:jc w:val="both"/>
        <w:rPr>
          <w:rFonts w:ascii="Arial" w:hAnsi="Arial" w:cs="Arial"/>
          <w:bCs/>
        </w:rPr>
      </w:pPr>
      <w:r w:rsidRPr="00966A79">
        <w:rPr>
          <w:rFonts w:ascii="Arial" w:hAnsi="Arial" w:cs="Arial"/>
          <w:color w:val="000000"/>
        </w:rPr>
        <w:t xml:space="preserve">In financial reporting, definitions of materiality are important to three groups of stakeholders: preparers of financial statements, auditors, and users of financial statements. Although materiality decisions are made by only two of these three groups, preparers and auditors, the auditing profession's definitions of materiality have a user-orientation. Judgments of users of financial statements are central to the definition, not judgments of preparers (even though it is preparers who make the judgments). </w:t>
      </w:r>
      <w:r w:rsidRPr="00966A79">
        <w:rPr>
          <w:rFonts w:ascii="Arial" w:hAnsi="Arial" w:cs="Arial"/>
          <w:bCs/>
        </w:rPr>
        <w:t xml:space="preserve"> </w:t>
      </w:r>
    </w:p>
    <w:p w:rsidR="00555DD2" w:rsidRDefault="00555DD2" w:rsidP="00F7216A">
      <w:pPr>
        <w:spacing w:line="360" w:lineRule="auto"/>
        <w:jc w:val="both"/>
        <w:rPr>
          <w:rFonts w:ascii="Arial" w:hAnsi="Arial" w:cs="Arial"/>
          <w:color w:val="000000"/>
        </w:rPr>
      </w:pPr>
      <w:r w:rsidRPr="00555DD2">
        <w:rPr>
          <w:rFonts w:ascii="Arial" w:hAnsi="Arial" w:cs="Arial"/>
          <w:color w:val="000000"/>
        </w:rPr>
        <w:t>Auditors "carry out procedures designed to obtain sufficient appropriate audit evidence … to determine with reasonable confidence whether the financial statements are free of material misstatement". (Auditing Practices Board, 1995a, para 2)</w:t>
      </w:r>
    </w:p>
    <w:p w:rsidR="00555DD2" w:rsidRPr="00555DD2" w:rsidRDefault="00555DD2" w:rsidP="00F7216A">
      <w:pPr>
        <w:spacing w:line="360" w:lineRule="auto"/>
        <w:jc w:val="both"/>
        <w:rPr>
          <w:rFonts w:ascii="Arial" w:hAnsi="Arial" w:cs="Arial"/>
          <w:bCs/>
        </w:rPr>
      </w:pPr>
      <w:r w:rsidRPr="00555DD2">
        <w:rPr>
          <w:rFonts w:ascii="Arial" w:hAnsi="Arial" w:cs="Arial"/>
          <w:color w:val="000000"/>
        </w:rPr>
        <w:t>The concept of materiality (in effect) builds flexibility into financial reporting. This can lead to abuse. Companies may intentionally record "small" errors within a defined percentage ceiling, so that auditors will not scrutinize such errors (as they are not material). Management excuse errors by arguing that the effect on the bottom line is so small as not to matter – it is immaterial. These small errors can build up and mislead the stock market and other stakeholders e.g. lenders, employees, creditors. This is illustrated by the quote below in relation to the Enron audit.</w:t>
      </w:r>
    </w:p>
    <w:p w:rsidR="00F7216A" w:rsidRPr="00F7216A" w:rsidRDefault="00F7216A" w:rsidP="00F7216A">
      <w:pPr>
        <w:spacing w:line="360" w:lineRule="auto"/>
        <w:jc w:val="both"/>
        <w:rPr>
          <w:rFonts w:ascii="Arial" w:hAnsi="Arial" w:cs="Arial"/>
          <w:bCs/>
        </w:rPr>
      </w:pPr>
      <w:r w:rsidRPr="00F7216A">
        <w:rPr>
          <w:rFonts w:ascii="Arial" w:hAnsi="Arial" w:cs="Arial"/>
          <w:bCs/>
        </w:rPr>
        <w:t>When it comes to accounting, the term "materiality" is frequently used, especially in the following scenarios:</w:t>
      </w:r>
    </w:p>
    <w:p w:rsidR="00F7216A" w:rsidRPr="00F7216A" w:rsidRDefault="00F7216A" w:rsidP="00F7216A">
      <w:pPr>
        <w:spacing w:line="360" w:lineRule="auto"/>
        <w:jc w:val="both"/>
        <w:rPr>
          <w:rFonts w:ascii="Arial" w:hAnsi="Arial" w:cs="Arial"/>
          <w:bCs/>
        </w:rPr>
      </w:pPr>
      <w:r w:rsidRPr="00F7216A">
        <w:rPr>
          <w:rFonts w:ascii="Arial" w:hAnsi="Arial" w:cs="Arial"/>
          <w:bCs/>
        </w:rPr>
        <w:t>INTRODUCTION TO STANDARDS OF ACCOUNTING To comply with accounting standards, a company is not allowed to do so if it has no effect on its financial statements.</w:t>
      </w:r>
    </w:p>
    <w:p w:rsidR="00F7216A" w:rsidRPr="00F7216A" w:rsidRDefault="00F7216A" w:rsidP="00F7216A">
      <w:pPr>
        <w:spacing w:line="360" w:lineRule="auto"/>
        <w:jc w:val="both"/>
        <w:rPr>
          <w:rFonts w:ascii="Arial" w:hAnsi="Arial" w:cs="Arial"/>
          <w:bCs/>
        </w:rPr>
      </w:pPr>
      <w:r w:rsidRPr="00F7216A">
        <w:rPr>
          <w:rFonts w:ascii="Arial" w:hAnsi="Arial" w:cs="Arial"/>
          <w:bCs/>
        </w:rPr>
        <w:t>A few small purchases. A control system forced to close the booklets for an accounting cycle may overlook minor journal entries that have no bearing on the financial statements.</w:t>
      </w:r>
    </w:p>
    <w:p w:rsidR="00F7216A" w:rsidRPr="00F7216A" w:rsidRDefault="00F7216A" w:rsidP="00F7216A">
      <w:pPr>
        <w:spacing w:line="360" w:lineRule="auto"/>
        <w:jc w:val="both"/>
        <w:rPr>
          <w:rFonts w:ascii="Arial" w:hAnsi="Arial" w:cs="Arial"/>
          <w:bCs/>
        </w:rPr>
      </w:pPr>
      <w:r w:rsidRPr="00F7216A">
        <w:rPr>
          <w:rFonts w:ascii="Arial" w:hAnsi="Arial" w:cs="Arial"/>
          <w:bCs/>
        </w:rPr>
        <w:t>The maximum number of letters that can be used in a sentence</w:t>
      </w:r>
      <w:r w:rsidR="00B61A53">
        <w:rPr>
          <w:rFonts w:ascii="Arial" w:hAnsi="Arial" w:cs="Arial"/>
          <w:bCs/>
        </w:rPr>
        <w:t xml:space="preserve">. </w:t>
      </w:r>
      <w:r w:rsidRPr="00F7216A">
        <w:rPr>
          <w:rFonts w:ascii="Arial" w:hAnsi="Arial" w:cs="Arial"/>
          <w:bCs/>
        </w:rPr>
        <w:t>Businesses may charge for expenditures that are generally capitalised and depreciated over time because their spending is too small to be tracked. Financial statements are not affected by capitalization at all.</w:t>
      </w:r>
    </w:p>
    <w:p w:rsidR="00F7216A" w:rsidRPr="00B61A53" w:rsidRDefault="00F7216A" w:rsidP="00F7216A">
      <w:pPr>
        <w:spacing w:line="360" w:lineRule="auto"/>
        <w:jc w:val="both"/>
        <w:rPr>
          <w:rFonts w:ascii="Arial" w:hAnsi="Arial" w:cs="Arial"/>
          <w:b/>
        </w:rPr>
      </w:pPr>
      <w:r w:rsidRPr="00B61A53">
        <w:rPr>
          <w:rFonts w:ascii="Arial" w:hAnsi="Arial" w:cs="Arial"/>
          <w:b/>
        </w:rPr>
        <w:t>The following are examples of materiality:</w:t>
      </w:r>
    </w:p>
    <w:p w:rsidR="00F7216A" w:rsidRPr="00F7216A" w:rsidRDefault="00F7216A" w:rsidP="00F7216A">
      <w:pPr>
        <w:spacing w:line="360" w:lineRule="auto"/>
        <w:jc w:val="both"/>
        <w:rPr>
          <w:rFonts w:ascii="Arial" w:hAnsi="Arial" w:cs="Arial"/>
          <w:bCs/>
        </w:rPr>
      </w:pPr>
      <w:r w:rsidRPr="00F7216A">
        <w:rPr>
          <w:rFonts w:ascii="Arial" w:hAnsi="Arial" w:cs="Arial"/>
          <w:bCs/>
        </w:rPr>
        <w:t>Even though each company's materiality takes on its own shape, there are a few circumstances that can be applied across all businesses.</w:t>
      </w:r>
    </w:p>
    <w:p w:rsidR="00B61A53" w:rsidRDefault="00F7216A" w:rsidP="00F7216A">
      <w:pPr>
        <w:spacing w:line="360" w:lineRule="auto"/>
        <w:jc w:val="both"/>
        <w:rPr>
          <w:rFonts w:ascii="Arial" w:hAnsi="Arial" w:cs="Arial"/>
          <w:b/>
        </w:rPr>
      </w:pPr>
      <w:r w:rsidRPr="00B61A53">
        <w:rPr>
          <w:rFonts w:ascii="Arial" w:hAnsi="Arial" w:cs="Arial"/>
          <w:b/>
        </w:rPr>
        <w:t>Depreciation vs. Expense</w:t>
      </w:r>
    </w:p>
    <w:p w:rsidR="00F7216A" w:rsidRPr="00B61A53" w:rsidRDefault="00F7216A" w:rsidP="00F7216A">
      <w:pPr>
        <w:spacing w:line="360" w:lineRule="auto"/>
        <w:jc w:val="both"/>
        <w:rPr>
          <w:rFonts w:ascii="Arial" w:hAnsi="Arial" w:cs="Arial"/>
          <w:b/>
        </w:rPr>
      </w:pPr>
      <w:r w:rsidRPr="00F7216A">
        <w:rPr>
          <w:rFonts w:ascii="Arial" w:hAnsi="Arial" w:cs="Arial"/>
          <w:bCs/>
        </w:rPr>
        <w:t xml:space="preserve">An electric pencil sharpener that costs your company $15 is an example. In most cases, the sharpening must be considered an investment and depreciated over the course of its useful lifespan. Due to its </w:t>
      </w:r>
      <w:r w:rsidRPr="00F7216A">
        <w:rPr>
          <w:rFonts w:ascii="Arial" w:hAnsi="Arial" w:cs="Arial"/>
          <w:bCs/>
        </w:rPr>
        <w:lastRenderedPageBreak/>
        <w:t>significance, you have the option of spending the entire $15 all at once. You can accomplish the transaction in a single sitting because the details aren't crucial in this case. The cost of a pencil sharpener is negligible because it is unlikely to affect the lender's decision-making process.</w:t>
      </w:r>
    </w:p>
    <w:p w:rsidR="00F7216A" w:rsidRPr="00B61A53" w:rsidRDefault="00F7216A" w:rsidP="00F7216A">
      <w:pPr>
        <w:spacing w:line="360" w:lineRule="auto"/>
        <w:jc w:val="both"/>
        <w:rPr>
          <w:rFonts w:ascii="Arial" w:hAnsi="Arial" w:cs="Arial"/>
          <w:b/>
        </w:rPr>
      </w:pPr>
      <w:r w:rsidRPr="00B61A53">
        <w:rPr>
          <w:rFonts w:ascii="Arial" w:hAnsi="Arial" w:cs="Arial"/>
          <w:b/>
        </w:rPr>
        <w:t>Losses as a percentage of net revenue</w:t>
      </w:r>
    </w:p>
    <w:p w:rsidR="00F7216A" w:rsidRPr="00F7216A" w:rsidRDefault="00F7216A" w:rsidP="00F7216A">
      <w:pPr>
        <w:spacing w:line="360" w:lineRule="auto"/>
        <w:jc w:val="both"/>
        <w:rPr>
          <w:rFonts w:ascii="Arial" w:hAnsi="Arial" w:cs="Arial"/>
          <w:bCs/>
        </w:rPr>
      </w:pPr>
      <w:r w:rsidRPr="00F7216A">
        <w:rPr>
          <w:rFonts w:ascii="Arial" w:hAnsi="Arial" w:cs="Arial"/>
          <w:bCs/>
        </w:rPr>
        <w:t>Due to unexpected occurrences, whether or not a company discloses a large loss is based on the size of that loss in regards to its net income.When a production company's warehouse is flooded, $20,000 worth of products are lost. It's not necessary to include the $20,000 loss on an income statement if the company's annual net income is $50 million. On the other hand, if the firm's net profit is just $40,000, then it suffers a 50% loss. Investors and other users of financial statements should be made aware of the substantial loss.</w:t>
      </w:r>
    </w:p>
    <w:p w:rsidR="00F7216A" w:rsidRPr="00907517" w:rsidRDefault="00F7216A" w:rsidP="00F7216A">
      <w:pPr>
        <w:spacing w:line="360" w:lineRule="auto"/>
        <w:jc w:val="both"/>
        <w:rPr>
          <w:rFonts w:ascii="Arial" w:hAnsi="Arial" w:cs="Arial"/>
          <w:b/>
        </w:rPr>
      </w:pPr>
      <w:r w:rsidRPr="00907517">
        <w:rPr>
          <w:rFonts w:ascii="Arial" w:hAnsi="Arial" w:cs="Arial"/>
          <w:b/>
        </w:rPr>
        <w:t>FINANCIAL UNIT</w:t>
      </w:r>
    </w:p>
    <w:p w:rsidR="00F7216A" w:rsidRPr="00F7216A" w:rsidRDefault="00F7216A" w:rsidP="00F7216A">
      <w:pPr>
        <w:spacing w:line="360" w:lineRule="auto"/>
        <w:jc w:val="both"/>
        <w:rPr>
          <w:rFonts w:ascii="Arial" w:hAnsi="Arial" w:cs="Arial"/>
          <w:bCs/>
        </w:rPr>
      </w:pPr>
      <w:r w:rsidRPr="00F7216A">
        <w:rPr>
          <w:rFonts w:ascii="Arial" w:hAnsi="Arial" w:cs="Arial"/>
          <w:bCs/>
        </w:rPr>
        <w:t>To adhere to the monetary unit principle, only currency-based transactions should be recorded. This means that companies can't keep track of things that can't be measured, like worker levels of skill, customer service, and construction staff creativity. It's impossible to put a dollar value on the value of a lecture that teaches an employee how to be creative.</w:t>
      </w:r>
    </w:p>
    <w:p w:rsidR="00F7216A" w:rsidRDefault="00F7216A" w:rsidP="00F7216A">
      <w:pPr>
        <w:spacing w:line="360" w:lineRule="auto"/>
        <w:jc w:val="both"/>
        <w:rPr>
          <w:rFonts w:ascii="Arial" w:hAnsi="Arial" w:cs="Arial"/>
          <w:bCs/>
        </w:rPr>
      </w:pPr>
      <w:r w:rsidRPr="00F7216A">
        <w:rPr>
          <w:rFonts w:ascii="Arial" w:hAnsi="Arial" w:cs="Arial"/>
          <w:bCs/>
        </w:rPr>
        <w:t>The unit currency principle, on the other hand, states that the value of a currency unit used to record transactions is fixed at all times. Given the current level of inflation in most economies, this assumption is incorrect. Spending a dollar on an item two decades ago is worth much more than investing the same amount today. On the other hand, when a company records a transfer of funds in a currency that is experiencing hyperinflation, the property begins to fall apart completely. Having hyperinflation necessitates regular reviews of your company's financial records.</w:t>
      </w:r>
    </w:p>
    <w:p w:rsidR="00C377DD" w:rsidRPr="00C377DD" w:rsidRDefault="00C377DD" w:rsidP="00C377DD">
      <w:pPr>
        <w:spacing w:line="360" w:lineRule="auto"/>
        <w:jc w:val="both"/>
        <w:rPr>
          <w:rFonts w:ascii="Arial" w:hAnsi="Arial" w:cs="Arial"/>
        </w:rPr>
      </w:pPr>
      <w:r w:rsidRPr="00C377DD">
        <w:rPr>
          <w:rFonts w:ascii="Arial" w:hAnsi="Arial" w:cs="Arial"/>
        </w:rPr>
        <w:t>The monetary unit principle also assumes that the value of the unit of currency in which you record transactions remains relatively stable over time. However, given the amount of persistent currency inflation in most economies, this assumption is not correct - for example, a dollar invested to buy an asstes 20 years ago is worth considerably more than a dollar invested today, because the purchasing power of the dollar has declined during the intervening years. The assumption fails completely if an entity records transactions in the currency of a hyperinflationary economy. When there is hyperinflation, it is necessary to restate a company's financial statements on a regular basis.</w:t>
      </w:r>
    </w:p>
    <w:p w:rsidR="00F7216A" w:rsidRPr="00907517" w:rsidRDefault="00F7216A" w:rsidP="00F7216A">
      <w:pPr>
        <w:spacing w:line="360" w:lineRule="auto"/>
        <w:jc w:val="both"/>
        <w:rPr>
          <w:rFonts w:ascii="Arial" w:hAnsi="Arial" w:cs="Arial"/>
          <w:b/>
        </w:rPr>
      </w:pPr>
      <w:r w:rsidRPr="00907517">
        <w:rPr>
          <w:rFonts w:ascii="Arial" w:hAnsi="Arial" w:cs="Arial"/>
          <w:b/>
        </w:rPr>
        <w:t>MEASUREMENT QUALIFIERS IN FINANCIAL TERMS</w:t>
      </w:r>
    </w:p>
    <w:p w:rsidR="00F7216A" w:rsidRPr="00F7216A" w:rsidRDefault="00F7216A" w:rsidP="00F7216A">
      <w:pPr>
        <w:spacing w:line="360" w:lineRule="auto"/>
        <w:jc w:val="both"/>
        <w:rPr>
          <w:rFonts w:ascii="Arial" w:hAnsi="Arial" w:cs="Arial"/>
          <w:bCs/>
        </w:rPr>
      </w:pPr>
      <w:r w:rsidRPr="00F7216A">
        <w:rPr>
          <w:rFonts w:ascii="Arial" w:hAnsi="Arial" w:cs="Arial"/>
          <w:bCs/>
        </w:rPr>
        <w:t>Monetary Unit Principle dictates that monetary transactions, like the unit of cash, should be recorded by businesses.</w:t>
      </w:r>
    </w:p>
    <w:p w:rsidR="00F7216A" w:rsidRPr="00F7216A" w:rsidRDefault="00F7216A" w:rsidP="00F7216A">
      <w:pPr>
        <w:spacing w:line="360" w:lineRule="auto"/>
        <w:jc w:val="both"/>
        <w:rPr>
          <w:rFonts w:ascii="Arial" w:hAnsi="Arial" w:cs="Arial"/>
          <w:bCs/>
        </w:rPr>
      </w:pPr>
      <w:r w:rsidRPr="00F7216A">
        <w:rPr>
          <w:rFonts w:ascii="Arial" w:hAnsi="Arial" w:cs="Arial"/>
          <w:bCs/>
        </w:rPr>
        <w:t>As a result, non-quantifiable goods should be omitted from a company's financial reports. Quality of customer service is a non-quantifiable asset that includes employee skill levels and management knowledge, as well as time lost due to the damage or repairs.</w:t>
      </w:r>
    </w:p>
    <w:p w:rsidR="00F7216A" w:rsidRPr="00907517" w:rsidRDefault="00F7216A" w:rsidP="00F7216A">
      <w:pPr>
        <w:spacing w:line="360" w:lineRule="auto"/>
        <w:jc w:val="both"/>
        <w:rPr>
          <w:rFonts w:ascii="Arial" w:hAnsi="Arial" w:cs="Arial"/>
          <w:b/>
        </w:rPr>
      </w:pPr>
      <w:r w:rsidRPr="00907517">
        <w:rPr>
          <w:rFonts w:ascii="Arial" w:hAnsi="Arial" w:cs="Arial"/>
          <w:b/>
        </w:rPr>
        <w:t>For instance:</w:t>
      </w:r>
    </w:p>
    <w:p w:rsidR="00F7216A" w:rsidRPr="00F7216A" w:rsidRDefault="00F7216A" w:rsidP="00F7216A">
      <w:pPr>
        <w:spacing w:line="360" w:lineRule="auto"/>
        <w:jc w:val="both"/>
        <w:rPr>
          <w:rFonts w:ascii="Arial" w:hAnsi="Arial" w:cs="Arial"/>
          <w:bCs/>
        </w:rPr>
      </w:pPr>
      <w:r w:rsidRPr="00F7216A">
        <w:rPr>
          <w:rFonts w:ascii="Arial" w:hAnsi="Arial" w:cs="Arial"/>
          <w:bCs/>
        </w:rPr>
        <w:lastRenderedPageBreak/>
        <w:t>This could be an opportunity to work for an organisation with high morale and motivation in the workplace, where the Director delivers an important speech twice yearly. Your corporation's economic records can't include this lecture because it can't be valued in dollars.</w:t>
      </w:r>
    </w:p>
    <w:p w:rsidR="00F7216A" w:rsidRPr="00907517" w:rsidRDefault="00F7216A" w:rsidP="00F7216A">
      <w:pPr>
        <w:spacing w:line="360" w:lineRule="auto"/>
        <w:jc w:val="both"/>
        <w:rPr>
          <w:rFonts w:ascii="Arial" w:hAnsi="Arial" w:cs="Arial"/>
          <w:b/>
        </w:rPr>
      </w:pPr>
      <w:r w:rsidRPr="00907517">
        <w:rPr>
          <w:rFonts w:ascii="Arial" w:hAnsi="Arial" w:cs="Arial"/>
          <w:b/>
        </w:rPr>
        <w:t>CURRENCY PRINCIPLES AND MONETARY UNITS</w:t>
      </w:r>
    </w:p>
    <w:p w:rsidR="00F7216A" w:rsidRPr="00F7216A" w:rsidRDefault="00F7216A" w:rsidP="00F7216A">
      <w:pPr>
        <w:spacing w:line="360" w:lineRule="auto"/>
        <w:jc w:val="both"/>
        <w:rPr>
          <w:rFonts w:ascii="Arial" w:hAnsi="Arial" w:cs="Arial"/>
          <w:bCs/>
        </w:rPr>
      </w:pPr>
      <w:r w:rsidRPr="00F7216A">
        <w:rPr>
          <w:rFonts w:ascii="Arial" w:hAnsi="Arial" w:cs="Arial"/>
          <w:bCs/>
        </w:rPr>
        <w:t>Unit currency is founded on the idea that the value of a currency unit (which you use) is stable. This means that accounting professionals may treat business income reports from different accounting periods as if they were all the same. As a result, this theory ignores the concept of inflation.</w:t>
      </w:r>
    </w:p>
    <w:p w:rsidR="00F7216A" w:rsidRPr="00F7216A" w:rsidRDefault="00F7216A" w:rsidP="00F7216A">
      <w:pPr>
        <w:spacing w:line="360" w:lineRule="auto"/>
        <w:jc w:val="both"/>
        <w:rPr>
          <w:rFonts w:ascii="Arial" w:hAnsi="Arial" w:cs="Arial"/>
          <w:bCs/>
        </w:rPr>
      </w:pPr>
      <w:r w:rsidRPr="00907517">
        <w:rPr>
          <w:rFonts w:ascii="Arial" w:hAnsi="Arial" w:cs="Arial"/>
          <w:b/>
        </w:rPr>
        <w:t>For instance</w:t>
      </w:r>
      <w:r w:rsidRPr="00F7216A">
        <w:rPr>
          <w:rFonts w:ascii="Arial" w:hAnsi="Arial" w:cs="Arial"/>
          <w:bCs/>
        </w:rPr>
        <w:t>:</w:t>
      </w:r>
    </w:p>
    <w:p w:rsidR="00F7216A" w:rsidRPr="00F7216A" w:rsidRDefault="00F7216A" w:rsidP="00F7216A">
      <w:pPr>
        <w:spacing w:line="360" w:lineRule="auto"/>
        <w:jc w:val="both"/>
        <w:rPr>
          <w:rFonts w:ascii="Arial" w:hAnsi="Arial" w:cs="Arial"/>
          <w:bCs/>
        </w:rPr>
      </w:pPr>
      <w:r w:rsidRPr="00F7216A">
        <w:rPr>
          <w:rFonts w:ascii="Arial" w:hAnsi="Arial" w:cs="Arial"/>
          <w:bCs/>
        </w:rPr>
        <w:t>What if the building was purchased in 2010 and the money was put into your company's account? In 2018, however, the same building was worth £50,000 due to inflation. Currency value unit assumptions, it is not conceivable to make alterations to your company's financial statements. Consequently, we are unable to take inflation into account.</w:t>
      </w:r>
    </w:p>
    <w:p w:rsidR="00F7216A" w:rsidRDefault="000D7A3D" w:rsidP="00F7216A">
      <w:pPr>
        <w:spacing w:line="360" w:lineRule="auto"/>
        <w:jc w:val="both"/>
        <w:rPr>
          <w:rFonts w:ascii="Arial" w:hAnsi="Arial" w:cs="Arial"/>
          <w:b/>
        </w:rPr>
      </w:pPr>
      <w:r>
        <w:rPr>
          <w:rFonts w:ascii="Arial" w:hAnsi="Arial" w:cs="Arial"/>
          <w:b/>
        </w:rPr>
        <w:t>GOING CONCERN</w:t>
      </w:r>
    </w:p>
    <w:p w:rsidR="0084487E" w:rsidRPr="00921D9D" w:rsidRDefault="0084487E" w:rsidP="00F7216A">
      <w:pPr>
        <w:spacing w:line="360" w:lineRule="auto"/>
        <w:jc w:val="both"/>
        <w:rPr>
          <w:rFonts w:ascii="Arial" w:hAnsi="Arial" w:cs="Arial"/>
        </w:rPr>
      </w:pPr>
      <w:r w:rsidRPr="00BA7A79">
        <w:rPr>
          <w:rFonts w:ascii="Arial" w:hAnsi="Arial" w:cs="Arial"/>
          <w:color w:val="111111"/>
          <w:spacing w:val="1"/>
          <w:shd w:val="clear" w:color="auto" w:fill="FFFFFF"/>
        </w:rPr>
        <w:t>Going concern is an accounting term for a company that has the resources needed to continue operating indefinitely until it provides evidence to the contrary. This term also refers to a company's ability to make enough money to stay afloat or to avoid bankrupcy</w:t>
      </w:r>
      <w:r w:rsidRPr="00921D9D">
        <w:rPr>
          <w:rFonts w:ascii="Arial" w:hAnsi="Arial" w:cs="Arial"/>
          <w:color w:val="111111"/>
          <w:spacing w:val="1"/>
          <w:shd w:val="clear" w:color="auto" w:fill="FFFFFF"/>
        </w:rPr>
        <w:t xml:space="preserve">. </w:t>
      </w:r>
      <w:r w:rsidR="00921D9D" w:rsidRPr="00921D9D">
        <w:rPr>
          <w:rFonts w:ascii="Arial" w:hAnsi="Arial" w:cs="Arial"/>
          <w:color w:val="111111"/>
          <w:spacing w:val="1"/>
          <w:shd w:val="clear" w:color="auto" w:fill="FFFFFF"/>
        </w:rPr>
        <w:t>If a business is not a going concern, it means it's gone bankrupt and its assets were </w:t>
      </w:r>
      <w:r w:rsidR="00921D9D" w:rsidRPr="00921D9D">
        <w:rPr>
          <w:rFonts w:ascii="Arial" w:hAnsi="Arial" w:cs="Arial"/>
          <w:spacing w:val="1"/>
          <w:shd w:val="clear" w:color="auto" w:fill="FFFFFF"/>
        </w:rPr>
        <w:t xml:space="preserve">liquidated. </w:t>
      </w:r>
    </w:p>
    <w:p w:rsidR="00F7216A" w:rsidRPr="00F7216A" w:rsidRDefault="00F7216A" w:rsidP="00F7216A">
      <w:pPr>
        <w:spacing w:line="360" w:lineRule="auto"/>
        <w:jc w:val="both"/>
        <w:rPr>
          <w:rFonts w:ascii="Arial" w:hAnsi="Arial" w:cs="Arial"/>
          <w:bCs/>
        </w:rPr>
      </w:pPr>
      <w:r w:rsidRPr="00F7216A">
        <w:rPr>
          <w:rFonts w:ascii="Arial" w:hAnsi="Arial" w:cs="Arial"/>
          <w:bCs/>
        </w:rPr>
        <w:t>If there is no evidence of opposition, the viable business theory states that a company can continue to operate indefinitely. Term used to describe a company's ability to generate enough revenue to keep afloat or avoid bankruptcy. In the event that a company is no longer an assumption, its assets have been liquidated and it has gone bankrupt. As a result of the technological meltdown in the late 1990s, many Internet companies, for example, no longer exist.The Going Concern Doctrine is used by accountants to determine the type of financial statement to be presented. Long-term asset reporting may be postponed at present value or insolvency value, but at a relatively high cost. If the asset does not harm the company's ability to continue its operations, such as shuttering a small branch and reassigning employees to other departments, the company maintains the assumption of business continuity.</w:t>
      </w:r>
    </w:p>
    <w:p w:rsidR="00F7216A" w:rsidRDefault="00F7216A" w:rsidP="00F7216A">
      <w:pPr>
        <w:spacing w:line="360" w:lineRule="auto"/>
        <w:jc w:val="both"/>
        <w:rPr>
          <w:rFonts w:ascii="Arial" w:hAnsi="Arial" w:cs="Arial"/>
          <w:bCs/>
        </w:rPr>
      </w:pPr>
      <w:r w:rsidRPr="00F7216A">
        <w:rPr>
          <w:rFonts w:ascii="Arial" w:hAnsi="Arial" w:cs="Arial"/>
          <w:bCs/>
        </w:rPr>
        <w:t>In the eyes of accountants, a company is a going concern if its assets are being used wisely and it doesn't need to be liquidated. The viable business principle can also be used by accountants to decide how a company will move ahead to sell off assets, reduce costs, or switch to a new product.</w:t>
      </w:r>
    </w:p>
    <w:p w:rsidR="004B6C9A" w:rsidRPr="004B6C9A" w:rsidRDefault="004B6C9A" w:rsidP="004B6C9A">
      <w:pPr>
        <w:autoSpaceDE w:val="0"/>
        <w:autoSpaceDN w:val="0"/>
        <w:adjustRightInd w:val="0"/>
        <w:spacing w:after="0" w:line="360" w:lineRule="auto"/>
        <w:jc w:val="both"/>
        <w:rPr>
          <w:rFonts w:ascii="Arial" w:hAnsi="Arial" w:cs="Arial"/>
        </w:rPr>
      </w:pPr>
      <w:r w:rsidRPr="004B6C9A">
        <w:rPr>
          <w:rFonts w:ascii="Arial" w:hAnsi="Arial" w:cs="Arial"/>
        </w:rPr>
        <w:t>Under the going concern basis of accounting, the financial statements are prepared on the assumption that the entity is a going concern and will continue its operations for the foreseeable future. General purpose financial statements are prepared using the going concern basis of accounting, unless management either intends to liquidate the entity or to cease operations, or has no realistic alternative but to do so. Special purpose financial statements may or may not be</w:t>
      </w:r>
      <w:r>
        <w:rPr>
          <w:rFonts w:ascii="Arial" w:hAnsi="Arial" w:cs="Arial"/>
        </w:rPr>
        <w:t xml:space="preserve"> </w:t>
      </w:r>
      <w:r w:rsidRPr="004B6C9A">
        <w:rPr>
          <w:rFonts w:ascii="Arial" w:hAnsi="Arial" w:cs="Arial"/>
        </w:rPr>
        <w:t xml:space="preserve">prepared in accordance with a financial reporting </w:t>
      </w:r>
      <w:r w:rsidRPr="004B6C9A">
        <w:rPr>
          <w:rFonts w:ascii="Arial" w:hAnsi="Arial" w:cs="Arial"/>
        </w:rPr>
        <w:lastRenderedPageBreak/>
        <w:t>framework for which the going concern basis of accounting is relevant (e.g., the going concern basis of accounting is not relevant for some financial statements prepared on a tax basis in particular jurisdictions).</w:t>
      </w:r>
    </w:p>
    <w:p w:rsidR="004B6C9A" w:rsidRPr="00F7216A" w:rsidRDefault="004B6C9A" w:rsidP="004B6C9A">
      <w:pPr>
        <w:spacing w:line="360" w:lineRule="auto"/>
        <w:jc w:val="both"/>
        <w:rPr>
          <w:rFonts w:ascii="Arial" w:hAnsi="Arial" w:cs="Arial"/>
          <w:bCs/>
        </w:rPr>
      </w:pPr>
    </w:p>
    <w:p w:rsidR="00F7216A" w:rsidRPr="00B924CF" w:rsidRDefault="00F7216A" w:rsidP="00F7216A">
      <w:pPr>
        <w:spacing w:line="360" w:lineRule="auto"/>
        <w:jc w:val="both"/>
        <w:rPr>
          <w:rFonts w:ascii="Arial" w:hAnsi="Arial" w:cs="Arial"/>
          <w:b/>
        </w:rPr>
      </w:pPr>
      <w:r w:rsidRPr="00B924CF">
        <w:rPr>
          <w:rFonts w:ascii="Arial" w:hAnsi="Arial" w:cs="Arial"/>
          <w:b/>
        </w:rPr>
        <w:t>Signs That a Company Isn't a Going Concern</w:t>
      </w:r>
    </w:p>
    <w:p w:rsidR="00F7216A" w:rsidRPr="00F7216A" w:rsidRDefault="00F7216A" w:rsidP="00F7216A">
      <w:pPr>
        <w:spacing w:line="360" w:lineRule="auto"/>
        <w:jc w:val="both"/>
        <w:rPr>
          <w:rFonts w:ascii="Arial" w:hAnsi="Arial" w:cs="Arial"/>
          <w:bCs/>
        </w:rPr>
      </w:pPr>
      <w:r w:rsidRPr="00F7216A">
        <w:rPr>
          <w:rFonts w:ascii="Arial" w:hAnsi="Arial" w:cs="Arial"/>
          <w:bCs/>
        </w:rPr>
        <w:t>The balance sheets of publicly traded companies may show signs that they may not be able to maintain their current levels of profitability. A company's quarterly results or balance sheet does not typically include a list of long-term assets. Value of long-term assets could shows that the firm intends to sell these assets.</w:t>
      </w:r>
    </w:p>
    <w:p w:rsidR="00F7216A" w:rsidRPr="00F7216A" w:rsidRDefault="00F7216A" w:rsidP="00F7216A">
      <w:pPr>
        <w:spacing w:line="360" w:lineRule="auto"/>
        <w:jc w:val="both"/>
        <w:rPr>
          <w:rFonts w:ascii="Arial" w:hAnsi="Arial" w:cs="Arial"/>
          <w:bCs/>
        </w:rPr>
      </w:pPr>
    </w:p>
    <w:p w:rsidR="00F7216A" w:rsidRPr="00F7216A" w:rsidRDefault="00F7216A" w:rsidP="00F7216A">
      <w:pPr>
        <w:spacing w:line="360" w:lineRule="auto"/>
        <w:jc w:val="both"/>
        <w:rPr>
          <w:rFonts w:ascii="Arial" w:hAnsi="Arial" w:cs="Arial"/>
          <w:bCs/>
        </w:rPr>
      </w:pPr>
      <w:r w:rsidRPr="00F7216A">
        <w:rPr>
          <w:rFonts w:ascii="Arial" w:hAnsi="Arial" w:cs="Arial"/>
          <w:bCs/>
        </w:rPr>
        <w:t>If the company is unable to meet its obligations without major restructuring or asset sales, this could also be an indication that it is not a going concern. There may be plans to sell off assets that are acquired during a company's restructuring.</w:t>
      </w:r>
    </w:p>
    <w:p w:rsidR="00F7216A" w:rsidRPr="00B924CF" w:rsidRDefault="00F7216A" w:rsidP="00F7216A">
      <w:pPr>
        <w:spacing w:line="360" w:lineRule="auto"/>
        <w:jc w:val="both"/>
        <w:rPr>
          <w:rFonts w:ascii="Arial" w:hAnsi="Arial" w:cs="Arial"/>
          <w:b/>
        </w:rPr>
      </w:pPr>
      <w:r w:rsidRPr="00B924CF">
        <w:rPr>
          <w:rFonts w:ascii="Arial" w:hAnsi="Arial" w:cs="Arial"/>
          <w:b/>
        </w:rPr>
        <w:t>Considering the Situation</w:t>
      </w:r>
    </w:p>
    <w:p w:rsidR="00F7216A" w:rsidRPr="00F7216A" w:rsidRDefault="00F7216A" w:rsidP="00F7216A">
      <w:pPr>
        <w:spacing w:line="360" w:lineRule="auto"/>
        <w:jc w:val="both"/>
        <w:rPr>
          <w:rFonts w:ascii="Arial" w:hAnsi="Arial" w:cs="Arial"/>
          <w:bCs/>
        </w:rPr>
      </w:pPr>
      <w:r w:rsidRPr="00F7216A">
        <w:rPr>
          <w:rFonts w:ascii="Arial" w:hAnsi="Arial" w:cs="Arial"/>
          <w:bCs/>
        </w:rPr>
        <w:t>If a company has misgivings about its ability to going concern basis, accounting standards dictate what it must reveal in its financial statements. According to the International Accounting Standards Board, the company's material doubts about its financial statements' ability to continue as a going concern needed to be clarified in May 2014. Management's explanation of the terms and plans for the future should be included in the financial statements.</w:t>
      </w:r>
    </w:p>
    <w:p w:rsidR="003415C8" w:rsidRDefault="00F7216A" w:rsidP="00B12148">
      <w:pPr>
        <w:spacing w:line="360" w:lineRule="auto"/>
        <w:jc w:val="both"/>
        <w:rPr>
          <w:rFonts w:ascii="Arial" w:hAnsi="Arial" w:cs="Arial"/>
          <w:bCs/>
        </w:rPr>
      </w:pPr>
      <w:r w:rsidRPr="00F7216A">
        <w:rPr>
          <w:rFonts w:ascii="Arial" w:hAnsi="Arial" w:cs="Arial"/>
          <w:bCs/>
        </w:rPr>
        <w:t>A company's ability to going concern basis one year after the audit is generally examined by the auditor. Several factors raise serious concerns about a company's ability to continue, such as a history of poor financial performance, recurring losses, defaults on loans, legal actions taken against by the company, and the denial of credit to suppliers.</w:t>
      </w:r>
    </w:p>
    <w:p w:rsidR="0015722C" w:rsidRPr="00FB24E6" w:rsidRDefault="0015722C" w:rsidP="00B12148">
      <w:pPr>
        <w:spacing w:line="360" w:lineRule="auto"/>
        <w:jc w:val="both"/>
        <w:rPr>
          <w:rFonts w:ascii="Arial" w:hAnsi="Arial" w:cs="Arial"/>
          <w:b/>
          <w:bCs/>
        </w:rPr>
      </w:pPr>
      <w:r w:rsidRPr="00FB24E6">
        <w:rPr>
          <w:rFonts w:ascii="Arial" w:hAnsi="Arial" w:cs="Arial"/>
          <w:b/>
          <w:bCs/>
        </w:rPr>
        <w:t>Refrences:</w:t>
      </w:r>
    </w:p>
    <w:p w:rsidR="00C84A81" w:rsidRDefault="00C84A81" w:rsidP="00C84A81">
      <w:pPr>
        <w:pStyle w:val="a7"/>
        <w:numPr>
          <w:ilvl w:val="0"/>
          <w:numId w:val="4"/>
        </w:numPr>
        <w:spacing w:line="360" w:lineRule="auto"/>
        <w:rPr>
          <w:rFonts w:ascii="Arial" w:hAnsi="Arial" w:cs="Arial"/>
          <w:bCs/>
        </w:rPr>
      </w:pPr>
      <w:r>
        <w:rPr>
          <w:rFonts w:ascii="Arial" w:hAnsi="Arial" w:cs="Arial"/>
          <w:bCs/>
        </w:rPr>
        <w:t>Naimh M. Brennan, Sidney J Gray 2005 The impact of Materiality: Accounting best kept secret pp 1-31</w:t>
      </w:r>
    </w:p>
    <w:p w:rsidR="0015722C" w:rsidRDefault="00CA200C" w:rsidP="00CA200C">
      <w:pPr>
        <w:pStyle w:val="a7"/>
        <w:numPr>
          <w:ilvl w:val="0"/>
          <w:numId w:val="4"/>
        </w:numPr>
        <w:spacing w:line="360" w:lineRule="auto"/>
        <w:jc w:val="both"/>
        <w:rPr>
          <w:rFonts w:ascii="Arial" w:hAnsi="Arial" w:cs="Arial"/>
          <w:bCs/>
        </w:rPr>
      </w:pPr>
      <w:r>
        <w:rPr>
          <w:rFonts w:ascii="Arial" w:hAnsi="Arial" w:cs="Arial"/>
          <w:bCs/>
        </w:rPr>
        <w:t>Madhuri Thakur, Change in accounting Estimate, wallstreetmojo</w:t>
      </w:r>
    </w:p>
    <w:p w:rsidR="0085777F" w:rsidRDefault="00CA200C" w:rsidP="0085777F">
      <w:pPr>
        <w:pStyle w:val="a7"/>
        <w:numPr>
          <w:ilvl w:val="0"/>
          <w:numId w:val="4"/>
        </w:numPr>
        <w:spacing w:line="360" w:lineRule="auto"/>
        <w:jc w:val="both"/>
        <w:rPr>
          <w:rFonts w:ascii="Arial" w:hAnsi="Arial" w:cs="Arial"/>
          <w:bCs/>
        </w:rPr>
      </w:pPr>
      <w:r w:rsidRPr="004C4731">
        <w:rPr>
          <w:rFonts w:ascii="Arial" w:hAnsi="Arial" w:cs="Arial"/>
          <w:bCs/>
        </w:rPr>
        <w:t>Sayantan Mukhopadhyay, accounting policies, walltreetmojo</w:t>
      </w:r>
      <w:r w:rsidR="0085777F">
        <w:rPr>
          <w:rFonts w:ascii="Arial" w:hAnsi="Arial" w:cs="Arial"/>
          <w:bCs/>
        </w:rPr>
        <w:t xml:space="preserve"> </w:t>
      </w:r>
    </w:p>
    <w:p w:rsidR="0085777F" w:rsidRPr="0085777F" w:rsidRDefault="0085777F" w:rsidP="0085777F">
      <w:pPr>
        <w:pStyle w:val="a7"/>
        <w:numPr>
          <w:ilvl w:val="0"/>
          <w:numId w:val="4"/>
        </w:numPr>
        <w:spacing w:line="360" w:lineRule="auto"/>
        <w:jc w:val="both"/>
        <w:rPr>
          <w:rFonts w:ascii="Arial" w:hAnsi="Arial" w:cs="Arial"/>
          <w:bCs/>
        </w:rPr>
      </w:pPr>
      <w:r w:rsidRPr="0085777F">
        <w:rPr>
          <w:rFonts w:ascii="Arial" w:hAnsi="Arial" w:cs="Arial"/>
          <w:bCs/>
        </w:rPr>
        <w:t>INTERNATIONAL STANDARD ON AUDITING 570 (REVISED)</w:t>
      </w:r>
      <w:r>
        <w:rPr>
          <w:rFonts w:ascii="Arial" w:hAnsi="Arial" w:cs="Arial"/>
          <w:bCs/>
        </w:rPr>
        <w:t xml:space="preserve"> </w:t>
      </w:r>
      <w:r w:rsidRPr="0085777F">
        <w:rPr>
          <w:rFonts w:ascii="Arial" w:hAnsi="Arial" w:cs="Arial"/>
          <w:bCs/>
        </w:rPr>
        <w:t xml:space="preserve">GOING CONCERN </w:t>
      </w:r>
      <w:r w:rsidRPr="0085777F">
        <w:rPr>
          <w:rFonts w:ascii="Arial" w:hAnsi="Arial" w:cs="Arial"/>
        </w:rPr>
        <w:t>Effective for audits of financial statements for periods ending on or after December 15, 2016</w:t>
      </w:r>
    </w:p>
    <w:sectPr w:rsidR="0085777F" w:rsidRPr="0085777F" w:rsidSect="00D76C6F">
      <w:headerReference w:type="default" r:id="rId7"/>
      <w:pgSz w:w="11907" w:h="16839" w:code="9"/>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69D" w:rsidRDefault="00B6369D" w:rsidP="00D76C6F">
      <w:pPr>
        <w:spacing w:after="0" w:line="240" w:lineRule="auto"/>
      </w:pPr>
      <w:r>
        <w:separator/>
      </w:r>
    </w:p>
  </w:endnote>
  <w:endnote w:type="continuationSeparator" w:id="1">
    <w:p w:rsidR="00B6369D" w:rsidRDefault="00B6369D" w:rsidP="00D76C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69D" w:rsidRDefault="00B6369D" w:rsidP="00D76C6F">
      <w:pPr>
        <w:spacing w:after="0" w:line="240" w:lineRule="auto"/>
      </w:pPr>
      <w:r>
        <w:separator/>
      </w:r>
    </w:p>
  </w:footnote>
  <w:footnote w:type="continuationSeparator" w:id="1">
    <w:p w:rsidR="00B6369D" w:rsidRDefault="00B6369D" w:rsidP="00D76C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8278749"/>
      <w:docPartObj>
        <w:docPartGallery w:val="Page Numbers (Top of Page)"/>
        <w:docPartUnique/>
      </w:docPartObj>
    </w:sdtPr>
    <w:sdtEndPr>
      <w:rPr>
        <w:noProof/>
      </w:rPr>
    </w:sdtEndPr>
    <w:sdtContent>
      <w:p w:rsidR="00D76C6F" w:rsidRDefault="00200E20">
        <w:pPr>
          <w:pStyle w:val="a8"/>
          <w:jc w:val="center"/>
        </w:pPr>
        <w:r>
          <w:fldChar w:fldCharType="begin"/>
        </w:r>
        <w:r w:rsidR="00D76C6F">
          <w:instrText xml:space="preserve"> PAGE   \* MERGEFORMAT </w:instrText>
        </w:r>
        <w:r>
          <w:fldChar w:fldCharType="separate"/>
        </w:r>
        <w:r w:rsidR="0083564D">
          <w:rPr>
            <w:noProof/>
          </w:rPr>
          <w:t>1</w:t>
        </w:r>
        <w:r>
          <w:rPr>
            <w:noProof/>
          </w:rPr>
          <w:fldChar w:fldCharType="end"/>
        </w:r>
      </w:p>
    </w:sdtContent>
  </w:sdt>
  <w:p w:rsidR="00D76C6F" w:rsidRDefault="00D76C6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21B0"/>
    <w:multiLevelType w:val="hybridMultilevel"/>
    <w:tmpl w:val="F640B8FA"/>
    <w:lvl w:ilvl="0" w:tplc="607AAFFC">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nsid w:val="17C757ED"/>
    <w:multiLevelType w:val="hybridMultilevel"/>
    <w:tmpl w:val="B64E8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7A48F2"/>
    <w:multiLevelType w:val="multilevel"/>
    <w:tmpl w:val="3D46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E10361"/>
    <w:multiLevelType w:val="hybridMultilevel"/>
    <w:tmpl w:val="8D601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hideGrammaticalErrors/>
  <w:defaultTabStop w:val="720"/>
  <w:characterSpacingControl w:val="doNotCompress"/>
  <w:footnotePr>
    <w:footnote w:id="0"/>
    <w:footnote w:id="1"/>
  </w:footnotePr>
  <w:endnotePr>
    <w:endnote w:id="0"/>
    <w:endnote w:id="1"/>
  </w:endnotePr>
  <w:compat/>
  <w:rsids>
    <w:rsidRoot w:val="0080034B"/>
    <w:rsid w:val="00042C48"/>
    <w:rsid w:val="00052071"/>
    <w:rsid w:val="00052A7F"/>
    <w:rsid w:val="00087C3A"/>
    <w:rsid w:val="000917FC"/>
    <w:rsid w:val="000B52AC"/>
    <w:rsid w:val="000D6135"/>
    <w:rsid w:val="000D7A3D"/>
    <w:rsid w:val="000E3EB3"/>
    <w:rsid w:val="00106171"/>
    <w:rsid w:val="00147865"/>
    <w:rsid w:val="00150EC9"/>
    <w:rsid w:val="0015722C"/>
    <w:rsid w:val="00157F4A"/>
    <w:rsid w:val="001B14B0"/>
    <w:rsid w:val="001C08E3"/>
    <w:rsid w:val="001F1B31"/>
    <w:rsid w:val="00200E20"/>
    <w:rsid w:val="00206EFA"/>
    <w:rsid w:val="00267564"/>
    <w:rsid w:val="00272F26"/>
    <w:rsid w:val="00292651"/>
    <w:rsid w:val="00297D4D"/>
    <w:rsid w:val="003233CB"/>
    <w:rsid w:val="00326305"/>
    <w:rsid w:val="003415C8"/>
    <w:rsid w:val="00341BAD"/>
    <w:rsid w:val="00352224"/>
    <w:rsid w:val="00372634"/>
    <w:rsid w:val="00384416"/>
    <w:rsid w:val="003953B8"/>
    <w:rsid w:val="003A3E9C"/>
    <w:rsid w:val="003B4519"/>
    <w:rsid w:val="003D7393"/>
    <w:rsid w:val="0041179A"/>
    <w:rsid w:val="00466BE8"/>
    <w:rsid w:val="00475293"/>
    <w:rsid w:val="00487D39"/>
    <w:rsid w:val="004B29FD"/>
    <w:rsid w:val="004B6C9A"/>
    <w:rsid w:val="004C4731"/>
    <w:rsid w:val="004D1F29"/>
    <w:rsid w:val="004E6154"/>
    <w:rsid w:val="00503645"/>
    <w:rsid w:val="00511DDE"/>
    <w:rsid w:val="00515F1A"/>
    <w:rsid w:val="00522104"/>
    <w:rsid w:val="0053567F"/>
    <w:rsid w:val="00551D50"/>
    <w:rsid w:val="00555DD2"/>
    <w:rsid w:val="005757A6"/>
    <w:rsid w:val="0058455A"/>
    <w:rsid w:val="00587B09"/>
    <w:rsid w:val="0059788C"/>
    <w:rsid w:val="005A5D11"/>
    <w:rsid w:val="005A66C6"/>
    <w:rsid w:val="005B206C"/>
    <w:rsid w:val="005E2D7A"/>
    <w:rsid w:val="005E5AC7"/>
    <w:rsid w:val="00616525"/>
    <w:rsid w:val="00664AD1"/>
    <w:rsid w:val="00674306"/>
    <w:rsid w:val="00694F65"/>
    <w:rsid w:val="006B4335"/>
    <w:rsid w:val="007539ED"/>
    <w:rsid w:val="00754792"/>
    <w:rsid w:val="00765CEC"/>
    <w:rsid w:val="0077020E"/>
    <w:rsid w:val="007E7379"/>
    <w:rsid w:val="007F7974"/>
    <w:rsid w:val="0080034B"/>
    <w:rsid w:val="00804DBA"/>
    <w:rsid w:val="00830997"/>
    <w:rsid w:val="0083564D"/>
    <w:rsid w:val="0084487E"/>
    <w:rsid w:val="008518F5"/>
    <w:rsid w:val="0085777F"/>
    <w:rsid w:val="008742B1"/>
    <w:rsid w:val="008778F8"/>
    <w:rsid w:val="00880CC0"/>
    <w:rsid w:val="008E6FC0"/>
    <w:rsid w:val="00907517"/>
    <w:rsid w:val="009173BA"/>
    <w:rsid w:val="00921D9D"/>
    <w:rsid w:val="0094319B"/>
    <w:rsid w:val="00946095"/>
    <w:rsid w:val="0094751B"/>
    <w:rsid w:val="00966A79"/>
    <w:rsid w:val="00977989"/>
    <w:rsid w:val="009A379B"/>
    <w:rsid w:val="009E15AB"/>
    <w:rsid w:val="00A10C09"/>
    <w:rsid w:val="00A20FAB"/>
    <w:rsid w:val="00A658AC"/>
    <w:rsid w:val="00A90CB2"/>
    <w:rsid w:val="00AA3FC1"/>
    <w:rsid w:val="00AB2463"/>
    <w:rsid w:val="00AE7A65"/>
    <w:rsid w:val="00B04BEC"/>
    <w:rsid w:val="00B12148"/>
    <w:rsid w:val="00B61A53"/>
    <w:rsid w:val="00B6369D"/>
    <w:rsid w:val="00B771E7"/>
    <w:rsid w:val="00B77C63"/>
    <w:rsid w:val="00B81426"/>
    <w:rsid w:val="00B84C73"/>
    <w:rsid w:val="00B924CF"/>
    <w:rsid w:val="00BA06E8"/>
    <w:rsid w:val="00BA7A79"/>
    <w:rsid w:val="00BC1D01"/>
    <w:rsid w:val="00BE2864"/>
    <w:rsid w:val="00BF13CD"/>
    <w:rsid w:val="00C055ED"/>
    <w:rsid w:val="00C377DD"/>
    <w:rsid w:val="00C42E0D"/>
    <w:rsid w:val="00C66356"/>
    <w:rsid w:val="00C84A81"/>
    <w:rsid w:val="00C84CFA"/>
    <w:rsid w:val="00CA200C"/>
    <w:rsid w:val="00CA6910"/>
    <w:rsid w:val="00CD5FB4"/>
    <w:rsid w:val="00CE3656"/>
    <w:rsid w:val="00CF1A5C"/>
    <w:rsid w:val="00CF21C0"/>
    <w:rsid w:val="00D44C61"/>
    <w:rsid w:val="00D4645F"/>
    <w:rsid w:val="00D47BD6"/>
    <w:rsid w:val="00D525D5"/>
    <w:rsid w:val="00D62A43"/>
    <w:rsid w:val="00D76C6F"/>
    <w:rsid w:val="00D9202B"/>
    <w:rsid w:val="00D976A4"/>
    <w:rsid w:val="00DA1DB0"/>
    <w:rsid w:val="00DB414F"/>
    <w:rsid w:val="00DB5F4F"/>
    <w:rsid w:val="00DD4207"/>
    <w:rsid w:val="00DD7A81"/>
    <w:rsid w:val="00DE359E"/>
    <w:rsid w:val="00E06996"/>
    <w:rsid w:val="00E15901"/>
    <w:rsid w:val="00E319E5"/>
    <w:rsid w:val="00E37AD3"/>
    <w:rsid w:val="00E57283"/>
    <w:rsid w:val="00E86A19"/>
    <w:rsid w:val="00E909F0"/>
    <w:rsid w:val="00EC0B2D"/>
    <w:rsid w:val="00ED0055"/>
    <w:rsid w:val="00ED1CE8"/>
    <w:rsid w:val="00EE7D8B"/>
    <w:rsid w:val="00EF4C11"/>
    <w:rsid w:val="00F153AF"/>
    <w:rsid w:val="00F51137"/>
    <w:rsid w:val="00F7216A"/>
    <w:rsid w:val="00F747C1"/>
    <w:rsid w:val="00F74A52"/>
    <w:rsid w:val="00F74E15"/>
    <w:rsid w:val="00F91099"/>
    <w:rsid w:val="00FB24E6"/>
    <w:rsid w:val="00FB2D61"/>
    <w:rsid w:val="00FC6DAA"/>
    <w:rsid w:val="00FE3F27"/>
    <w:rsid w:val="00FE7CD1"/>
    <w:rsid w:val="00FF45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901"/>
  </w:style>
  <w:style w:type="paragraph" w:styleId="1">
    <w:name w:val="heading 1"/>
    <w:basedOn w:val="a"/>
    <w:next w:val="a"/>
    <w:link w:val="10"/>
    <w:uiPriority w:val="9"/>
    <w:qFormat/>
    <w:rsid w:val="00D76C6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AB24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AB24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AB2463"/>
    <w:rPr>
      <w:i/>
      <w:iCs/>
    </w:rPr>
  </w:style>
  <w:style w:type="character" w:styleId="a4">
    <w:name w:val="Hyperlink"/>
    <w:basedOn w:val="a0"/>
    <w:uiPriority w:val="99"/>
    <w:semiHidden/>
    <w:unhideWhenUsed/>
    <w:rsid w:val="00AB2463"/>
    <w:rPr>
      <w:color w:val="0000FF"/>
      <w:u w:val="single"/>
    </w:rPr>
  </w:style>
  <w:style w:type="paragraph" w:customStyle="1" w:styleId="comp">
    <w:name w:val="comp"/>
    <w:basedOn w:val="a"/>
    <w:rsid w:val="00AB24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лавие 2 Знак"/>
    <w:basedOn w:val="a0"/>
    <w:link w:val="2"/>
    <w:uiPriority w:val="9"/>
    <w:rsid w:val="00AB2463"/>
    <w:rPr>
      <w:rFonts w:ascii="Times New Roman" w:eastAsia="Times New Roman" w:hAnsi="Times New Roman" w:cs="Times New Roman"/>
      <w:b/>
      <w:bCs/>
      <w:sz w:val="36"/>
      <w:szCs w:val="36"/>
    </w:rPr>
  </w:style>
  <w:style w:type="paragraph" w:styleId="a5">
    <w:name w:val="Normal (Web)"/>
    <w:basedOn w:val="a"/>
    <w:uiPriority w:val="99"/>
    <w:semiHidden/>
    <w:unhideWhenUsed/>
    <w:rsid w:val="00AB24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лавие 3 Знак"/>
    <w:basedOn w:val="a0"/>
    <w:link w:val="3"/>
    <w:uiPriority w:val="9"/>
    <w:semiHidden/>
    <w:rsid w:val="00AB2463"/>
    <w:rPr>
      <w:rFonts w:asciiTheme="majorHAnsi" w:eastAsiaTheme="majorEastAsia" w:hAnsiTheme="majorHAnsi" w:cstheme="majorBidi"/>
      <w:b/>
      <w:bCs/>
      <w:color w:val="4F81BD" w:themeColor="accent1"/>
    </w:rPr>
  </w:style>
  <w:style w:type="character" w:styleId="a6">
    <w:name w:val="Strong"/>
    <w:basedOn w:val="a0"/>
    <w:uiPriority w:val="22"/>
    <w:qFormat/>
    <w:rsid w:val="00DB5F4F"/>
    <w:rPr>
      <w:b/>
      <w:bCs/>
    </w:rPr>
  </w:style>
  <w:style w:type="character" w:customStyle="1" w:styleId="mntl-sc-block-headingtext">
    <w:name w:val="mntl-sc-block-heading__text"/>
    <w:basedOn w:val="a0"/>
    <w:rsid w:val="00DB5F4F"/>
  </w:style>
  <w:style w:type="character" w:customStyle="1" w:styleId="mntl-inline-citation">
    <w:name w:val="mntl-inline-citation"/>
    <w:basedOn w:val="a0"/>
    <w:rsid w:val="00DB5F4F"/>
  </w:style>
  <w:style w:type="paragraph" w:styleId="HTML">
    <w:name w:val="HTML Preformatted"/>
    <w:basedOn w:val="a"/>
    <w:link w:val="HTML0"/>
    <w:uiPriority w:val="99"/>
    <w:semiHidden/>
    <w:unhideWhenUsed/>
    <w:rsid w:val="00754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semiHidden/>
    <w:rsid w:val="00754792"/>
    <w:rPr>
      <w:rFonts w:ascii="Courier New" w:eastAsia="Times New Roman" w:hAnsi="Courier New" w:cs="Courier New"/>
      <w:sz w:val="20"/>
      <w:szCs w:val="20"/>
    </w:rPr>
  </w:style>
  <w:style w:type="character" w:customStyle="1" w:styleId="y2iqfc">
    <w:name w:val="y2iqfc"/>
    <w:basedOn w:val="a0"/>
    <w:rsid w:val="00754792"/>
  </w:style>
  <w:style w:type="paragraph" w:styleId="a7">
    <w:name w:val="List Paragraph"/>
    <w:basedOn w:val="a"/>
    <w:uiPriority w:val="34"/>
    <w:qFormat/>
    <w:rsid w:val="00D47BD6"/>
    <w:pPr>
      <w:ind w:left="720"/>
      <w:contextualSpacing/>
    </w:pPr>
  </w:style>
  <w:style w:type="character" w:customStyle="1" w:styleId="10">
    <w:name w:val="Заглавие 1 Знак"/>
    <w:basedOn w:val="a0"/>
    <w:link w:val="1"/>
    <w:uiPriority w:val="9"/>
    <w:rsid w:val="00D76C6F"/>
    <w:rPr>
      <w:rFonts w:asciiTheme="majorHAnsi" w:eastAsiaTheme="majorEastAsia" w:hAnsiTheme="majorHAnsi" w:cstheme="majorBidi"/>
      <w:color w:val="365F91" w:themeColor="accent1" w:themeShade="BF"/>
      <w:sz w:val="32"/>
      <w:szCs w:val="32"/>
    </w:rPr>
  </w:style>
  <w:style w:type="paragraph" w:styleId="a8">
    <w:name w:val="header"/>
    <w:basedOn w:val="a"/>
    <w:link w:val="a9"/>
    <w:uiPriority w:val="99"/>
    <w:unhideWhenUsed/>
    <w:rsid w:val="00D76C6F"/>
    <w:pPr>
      <w:tabs>
        <w:tab w:val="center" w:pos="4680"/>
        <w:tab w:val="right" w:pos="9360"/>
      </w:tabs>
      <w:spacing w:after="0" w:line="240" w:lineRule="auto"/>
    </w:pPr>
  </w:style>
  <w:style w:type="character" w:customStyle="1" w:styleId="a9">
    <w:name w:val="Горен колонтитул Знак"/>
    <w:basedOn w:val="a0"/>
    <w:link w:val="a8"/>
    <w:uiPriority w:val="99"/>
    <w:rsid w:val="00D76C6F"/>
  </w:style>
  <w:style w:type="paragraph" w:styleId="aa">
    <w:name w:val="footer"/>
    <w:basedOn w:val="a"/>
    <w:link w:val="ab"/>
    <w:uiPriority w:val="99"/>
    <w:unhideWhenUsed/>
    <w:rsid w:val="00D76C6F"/>
    <w:pPr>
      <w:tabs>
        <w:tab w:val="center" w:pos="4680"/>
        <w:tab w:val="right" w:pos="9360"/>
      </w:tabs>
      <w:spacing w:after="0" w:line="240" w:lineRule="auto"/>
    </w:pPr>
  </w:style>
  <w:style w:type="character" w:customStyle="1" w:styleId="ab">
    <w:name w:val="Долен колонтитул Знак"/>
    <w:basedOn w:val="a0"/>
    <w:link w:val="aa"/>
    <w:uiPriority w:val="99"/>
    <w:rsid w:val="00D76C6F"/>
  </w:style>
</w:styles>
</file>

<file path=word/webSettings.xml><?xml version="1.0" encoding="utf-8"?>
<w:webSettings xmlns:r="http://schemas.openxmlformats.org/officeDocument/2006/relationships" xmlns:w="http://schemas.openxmlformats.org/wordprocessingml/2006/main">
  <w:divs>
    <w:div w:id="68697303">
      <w:bodyDiv w:val="1"/>
      <w:marLeft w:val="0"/>
      <w:marRight w:val="0"/>
      <w:marTop w:val="0"/>
      <w:marBottom w:val="0"/>
      <w:divBdr>
        <w:top w:val="none" w:sz="0" w:space="0" w:color="auto"/>
        <w:left w:val="none" w:sz="0" w:space="0" w:color="auto"/>
        <w:bottom w:val="none" w:sz="0" w:space="0" w:color="auto"/>
        <w:right w:val="none" w:sz="0" w:space="0" w:color="auto"/>
      </w:divBdr>
    </w:div>
    <w:div w:id="167015835">
      <w:bodyDiv w:val="1"/>
      <w:marLeft w:val="0"/>
      <w:marRight w:val="0"/>
      <w:marTop w:val="0"/>
      <w:marBottom w:val="0"/>
      <w:divBdr>
        <w:top w:val="none" w:sz="0" w:space="0" w:color="auto"/>
        <w:left w:val="none" w:sz="0" w:space="0" w:color="auto"/>
        <w:bottom w:val="none" w:sz="0" w:space="0" w:color="auto"/>
        <w:right w:val="none" w:sz="0" w:space="0" w:color="auto"/>
      </w:divBdr>
    </w:div>
    <w:div w:id="239293198">
      <w:bodyDiv w:val="1"/>
      <w:marLeft w:val="0"/>
      <w:marRight w:val="0"/>
      <w:marTop w:val="0"/>
      <w:marBottom w:val="0"/>
      <w:divBdr>
        <w:top w:val="none" w:sz="0" w:space="0" w:color="auto"/>
        <w:left w:val="none" w:sz="0" w:space="0" w:color="auto"/>
        <w:bottom w:val="none" w:sz="0" w:space="0" w:color="auto"/>
        <w:right w:val="none" w:sz="0" w:space="0" w:color="auto"/>
      </w:divBdr>
    </w:div>
    <w:div w:id="250240699">
      <w:bodyDiv w:val="1"/>
      <w:marLeft w:val="0"/>
      <w:marRight w:val="0"/>
      <w:marTop w:val="0"/>
      <w:marBottom w:val="0"/>
      <w:divBdr>
        <w:top w:val="none" w:sz="0" w:space="0" w:color="auto"/>
        <w:left w:val="none" w:sz="0" w:space="0" w:color="auto"/>
        <w:bottom w:val="none" w:sz="0" w:space="0" w:color="auto"/>
        <w:right w:val="none" w:sz="0" w:space="0" w:color="auto"/>
      </w:divBdr>
    </w:div>
    <w:div w:id="282272051">
      <w:bodyDiv w:val="1"/>
      <w:marLeft w:val="0"/>
      <w:marRight w:val="0"/>
      <w:marTop w:val="0"/>
      <w:marBottom w:val="0"/>
      <w:divBdr>
        <w:top w:val="none" w:sz="0" w:space="0" w:color="auto"/>
        <w:left w:val="none" w:sz="0" w:space="0" w:color="auto"/>
        <w:bottom w:val="none" w:sz="0" w:space="0" w:color="auto"/>
        <w:right w:val="none" w:sz="0" w:space="0" w:color="auto"/>
      </w:divBdr>
    </w:div>
    <w:div w:id="312375798">
      <w:bodyDiv w:val="1"/>
      <w:marLeft w:val="0"/>
      <w:marRight w:val="0"/>
      <w:marTop w:val="0"/>
      <w:marBottom w:val="0"/>
      <w:divBdr>
        <w:top w:val="none" w:sz="0" w:space="0" w:color="auto"/>
        <w:left w:val="none" w:sz="0" w:space="0" w:color="auto"/>
        <w:bottom w:val="none" w:sz="0" w:space="0" w:color="auto"/>
        <w:right w:val="none" w:sz="0" w:space="0" w:color="auto"/>
      </w:divBdr>
    </w:div>
    <w:div w:id="333647752">
      <w:bodyDiv w:val="1"/>
      <w:marLeft w:val="0"/>
      <w:marRight w:val="0"/>
      <w:marTop w:val="0"/>
      <w:marBottom w:val="0"/>
      <w:divBdr>
        <w:top w:val="none" w:sz="0" w:space="0" w:color="auto"/>
        <w:left w:val="none" w:sz="0" w:space="0" w:color="auto"/>
        <w:bottom w:val="none" w:sz="0" w:space="0" w:color="auto"/>
        <w:right w:val="none" w:sz="0" w:space="0" w:color="auto"/>
      </w:divBdr>
    </w:div>
    <w:div w:id="350379780">
      <w:bodyDiv w:val="1"/>
      <w:marLeft w:val="0"/>
      <w:marRight w:val="0"/>
      <w:marTop w:val="0"/>
      <w:marBottom w:val="0"/>
      <w:divBdr>
        <w:top w:val="none" w:sz="0" w:space="0" w:color="auto"/>
        <w:left w:val="none" w:sz="0" w:space="0" w:color="auto"/>
        <w:bottom w:val="none" w:sz="0" w:space="0" w:color="auto"/>
        <w:right w:val="none" w:sz="0" w:space="0" w:color="auto"/>
      </w:divBdr>
    </w:div>
    <w:div w:id="398745757">
      <w:bodyDiv w:val="1"/>
      <w:marLeft w:val="0"/>
      <w:marRight w:val="0"/>
      <w:marTop w:val="0"/>
      <w:marBottom w:val="0"/>
      <w:divBdr>
        <w:top w:val="none" w:sz="0" w:space="0" w:color="auto"/>
        <w:left w:val="none" w:sz="0" w:space="0" w:color="auto"/>
        <w:bottom w:val="none" w:sz="0" w:space="0" w:color="auto"/>
        <w:right w:val="none" w:sz="0" w:space="0" w:color="auto"/>
      </w:divBdr>
    </w:div>
    <w:div w:id="418478171">
      <w:bodyDiv w:val="1"/>
      <w:marLeft w:val="0"/>
      <w:marRight w:val="0"/>
      <w:marTop w:val="0"/>
      <w:marBottom w:val="0"/>
      <w:divBdr>
        <w:top w:val="none" w:sz="0" w:space="0" w:color="auto"/>
        <w:left w:val="none" w:sz="0" w:space="0" w:color="auto"/>
        <w:bottom w:val="none" w:sz="0" w:space="0" w:color="auto"/>
        <w:right w:val="none" w:sz="0" w:space="0" w:color="auto"/>
      </w:divBdr>
    </w:div>
    <w:div w:id="443890114">
      <w:bodyDiv w:val="1"/>
      <w:marLeft w:val="0"/>
      <w:marRight w:val="0"/>
      <w:marTop w:val="0"/>
      <w:marBottom w:val="0"/>
      <w:divBdr>
        <w:top w:val="none" w:sz="0" w:space="0" w:color="auto"/>
        <w:left w:val="none" w:sz="0" w:space="0" w:color="auto"/>
        <w:bottom w:val="none" w:sz="0" w:space="0" w:color="auto"/>
        <w:right w:val="none" w:sz="0" w:space="0" w:color="auto"/>
      </w:divBdr>
    </w:div>
    <w:div w:id="502747504">
      <w:bodyDiv w:val="1"/>
      <w:marLeft w:val="0"/>
      <w:marRight w:val="0"/>
      <w:marTop w:val="0"/>
      <w:marBottom w:val="0"/>
      <w:divBdr>
        <w:top w:val="none" w:sz="0" w:space="0" w:color="auto"/>
        <w:left w:val="none" w:sz="0" w:space="0" w:color="auto"/>
        <w:bottom w:val="none" w:sz="0" w:space="0" w:color="auto"/>
        <w:right w:val="none" w:sz="0" w:space="0" w:color="auto"/>
      </w:divBdr>
    </w:div>
    <w:div w:id="568611767">
      <w:bodyDiv w:val="1"/>
      <w:marLeft w:val="0"/>
      <w:marRight w:val="0"/>
      <w:marTop w:val="0"/>
      <w:marBottom w:val="0"/>
      <w:divBdr>
        <w:top w:val="none" w:sz="0" w:space="0" w:color="auto"/>
        <w:left w:val="none" w:sz="0" w:space="0" w:color="auto"/>
        <w:bottom w:val="none" w:sz="0" w:space="0" w:color="auto"/>
        <w:right w:val="none" w:sz="0" w:space="0" w:color="auto"/>
      </w:divBdr>
    </w:div>
    <w:div w:id="696393043">
      <w:bodyDiv w:val="1"/>
      <w:marLeft w:val="0"/>
      <w:marRight w:val="0"/>
      <w:marTop w:val="0"/>
      <w:marBottom w:val="0"/>
      <w:divBdr>
        <w:top w:val="none" w:sz="0" w:space="0" w:color="auto"/>
        <w:left w:val="none" w:sz="0" w:space="0" w:color="auto"/>
        <w:bottom w:val="none" w:sz="0" w:space="0" w:color="auto"/>
        <w:right w:val="none" w:sz="0" w:space="0" w:color="auto"/>
      </w:divBdr>
    </w:div>
    <w:div w:id="801075020">
      <w:bodyDiv w:val="1"/>
      <w:marLeft w:val="0"/>
      <w:marRight w:val="0"/>
      <w:marTop w:val="0"/>
      <w:marBottom w:val="0"/>
      <w:divBdr>
        <w:top w:val="none" w:sz="0" w:space="0" w:color="auto"/>
        <w:left w:val="none" w:sz="0" w:space="0" w:color="auto"/>
        <w:bottom w:val="none" w:sz="0" w:space="0" w:color="auto"/>
        <w:right w:val="none" w:sz="0" w:space="0" w:color="auto"/>
      </w:divBdr>
    </w:div>
    <w:div w:id="810487444">
      <w:bodyDiv w:val="1"/>
      <w:marLeft w:val="0"/>
      <w:marRight w:val="0"/>
      <w:marTop w:val="0"/>
      <w:marBottom w:val="0"/>
      <w:divBdr>
        <w:top w:val="none" w:sz="0" w:space="0" w:color="auto"/>
        <w:left w:val="none" w:sz="0" w:space="0" w:color="auto"/>
        <w:bottom w:val="none" w:sz="0" w:space="0" w:color="auto"/>
        <w:right w:val="none" w:sz="0" w:space="0" w:color="auto"/>
      </w:divBdr>
    </w:div>
    <w:div w:id="824198014">
      <w:bodyDiv w:val="1"/>
      <w:marLeft w:val="0"/>
      <w:marRight w:val="0"/>
      <w:marTop w:val="0"/>
      <w:marBottom w:val="0"/>
      <w:divBdr>
        <w:top w:val="none" w:sz="0" w:space="0" w:color="auto"/>
        <w:left w:val="none" w:sz="0" w:space="0" w:color="auto"/>
        <w:bottom w:val="none" w:sz="0" w:space="0" w:color="auto"/>
        <w:right w:val="none" w:sz="0" w:space="0" w:color="auto"/>
      </w:divBdr>
    </w:div>
    <w:div w:id="856584092">
      <w:bodyDiv w:val="1"/>
      <w:marLeft w:val="0"/>
      <w:marRight w:val="0"/>
      <w:marTop w:val="0"/>
      <w:marBottom w:val="0"/>
      <w:divBdr>
        <w:top w:val="none" w:sz="0" w:space="0" w:color="auto"/>
        <w:left w:val="none" w:sz="0" w:space="0" w:color="auto"/>
        <w:bottom w:val="none" w:sz="0" w:space="0" w:color="auto"/>
        <w:right w:val="none" w:sz="0" w:space="0" w:color="auto"/>
      </w:divBdr>
    </w:div>
    <w:div w:id="903762110">
      <w:bodyDiv w:val="1"/>
      <w:marLeft w:val="0"/>
      <w:marRight w:val="0"/>
      <w:marTop w:val="0"/>
      <w:marBottom w:val="0"/>
      <w:divBdr>
        <w:top w:val="none" w:sz="0" w:space="0" w:color="auto"/>
        <w:left w:val="none" w:sz="0" w:space="0" w:color="auto"/>
        <w:bottom w:val="none" w:sz="0" w:space="0" w:color="auto"/>
        <w:right w:val="none" w:sz="0" w:space="0" w:color="auto"/>
      </w:divBdr>
    </w:div>
    <w:div w:id="921448962">
      <w:bodyDiv w:val="1"/>
      <w:marLeft w:val="0"/>
      <w:marRight w:val="0"/>
      <w:marTop w:val="0"/>
      <w:marBottom w:val="0"/>
      <w:divBdr>
        <w:top w:val="none" w:sz="0" w:space="0" w:color="auto"/>
        <w:left w:val="none" w:sz="0" w:space="0" w:color="auto"/>
        <w:bottom w:val="none" w:sz="0" w:space="0" w:color="auto"/>
        <w:right w:val="none" w:sz="0" w:space="0" w:color="auto"/>
      </w:divBdr>
    </w:div>
    <w:div w:id="930432317">
      <w:bodyDiv w:val="1"/>
      <w:marLeft w:val="0"/>
      <w:marRight w:val="0"/>
      <w:marTop w:val="0"/>
      <w:marBottom w:val="0"/>
      <w:divBdr>
        <w:top w:val="none" w:sz="0" w:space="0" w:color="auto"/>
        <w:left w:val="none" w:sz="0" w:space="0" w:color="auto"/>
        <w:bottom w:val="none" w:sz="0" w:space="0" w:color="auto"/>
        <w:right w:val="none" w:sz="0" w:space="0" w:color="auto"/>
      </w:divBdr>
    </w:div>
    <w:div w:id="1099184540">
      <w:bodyDiv w:val="1"/>
      <w:marLeft w:val="0"/>
      <w:marRight w:val="0"/>
      <w:marTop w:val="0"/>
      <w:marBottom w:val="0"/>
      <w:divBdr>
        <w:top w:val="none" w:sz="0" w:space="0" w:color="auto"/>
        <w:left w:val="none" w:sz="0" w:space="0" w:color="auto"/>
        <w:bottom w:val="none" w:sz="0" w:space="0" w:color="auto"/>
        <w:right w:val="none" w:sz="0" w:space="0" w:color="auto"/>
      </w:divBdr>
    </w:div>
    <w:div w:id="1231429215">
      <w:bodyDiv w:val="1"/>
      <w:marLeft w:val="0"/>
      <w:marRight w:val="0"/>
      <w:marTop w:val="0"/>
      <w:marBottom w:val="0"/>
      <w:divBdr>
        <w:top w:val="none" w:sz="0" w:space="0" w:color="auto"/>
        <w:left w:val="none" w:sz="0" w:space="0" w:color="auto"/>
        <w:bottom w:val="none" w:sz="0" w:space="0" w:color="auto"/>
        <w:right w:val="none" w:sz="0" w:space="0" w:color="auto"/>
      </w:divBdr>
    </w:div>
    <w:div w:id="1311203584">
      <w:bodyDiv w:val="1"/>
      <w:marLeft w:val="0"/>
      <w:marRight w:val="0"/>
      <w:marTop w:val="0"/>
      <w:marBottom w:val="0"/>
      <w:divBdr>
        <w:top w:val="none" w:sz="0" w:space="0" w:color="auto"/>
        <w:left w:val="none" w:sz="0" w:space="0" w:color="auto"/>
        <w:bottom w:val="none" w:sz="0" w:space="0" w:color="auto"/>
        <w:right w:val="none" w:sz="0" w:space="0" w:color="auto"/>
      </w:divBdr>
    </w:div>
    <w:div w:id="1326664089">
      <w:bodyDiv w:val="1"/>
      <w:marLeft w:val="0"/>
      <w:marRight w:val="0"/>
      <w:marTop w:val="0"/>
      <w:marBottom w:val="0"/>
      <w:divBdr>
        <w:top w:val="none" w:sz="0" w:space="0" w:color="auto"/>
        <w:left w:val="none" w:sz="0" w:space="0" w:color="auto"/>
        <w:bottom w:val="none" w:sz="0" w:space="0" w:color="auto"/>
        <w:right w:val="none" w:sz="0" w:space="0" w:color="auto"/>
      </w:divBdr>
    </w:div>
    <w:div w:id="1327854847">
      <w:bodyDiv w:val="1"/>
      <w:marLeft w:val="0"/>
      <w:marRight w:val="0"/>
      <w:marTop w:val="0"/>
      <w:marBottom w:val="0"/>
      <w:divBdr>
        <w:top w:val="none" w:sz="0" w:space="0" w:color="auto"/>
        <w:left w:val="none" w:sz="0" w:space="0" w:color="auto"/>
        <w:bottom w:val="none" w:sz="0" w:space="0" w:color="auto"/>
        <w:right w:val="none" w:sz="0" w:space="0" w:color="auto"/>
      </w:divBdr>
    </w:div>
    <w:div w:id="1396661840">
      <w:bodyDiv w:val="1"/>
      <w:marLeft w:val="0"/>
      <w:marRight w:val="0"/>
      <w:marTop w:val="0"/>
      <w:marBottom w:val="0"/>
      <w:divBdr>
        <w:top w:val="none" w:sz="0" w:space="0" w:color="auto"/>
        <w:left w:val="none" w:sz="0" w:space="0" w:color="auto"/>
        <w:bottom w:val="none" w:sz="0" w:space="0" w:color="auto"/>
        <w:right w:val="none" w:sz="0" w:space="0" w:color="auto"/>
      </w:divBdr>
    </w:div>
    <w:div w:id="1415512676">
      <w:bodyDiv w:val="1"/>
      <w:marLeft w:val="0"/>
      <w:marRight w:val="0"/>
      <w:marTop w:val="0"/>
      <w:marBottom w:val="0"/>
      <w:divBdr>
        <w:top w:val="none" w:sz="0" w:space="0" w:color="auto"/>
        <w:left w:val="none" w:sz="0" w:space="0" w:color="auto"/>
        <w:bottom w:val="none" w:sz="0" w:space="0" w:color="auto"/>
        <w:right w:val="none" w:sz="0" w:space="0" w:color="auto"/>
      </w:divBdr>
    </w:div>
    <w:div w:id="1446387475">
      <w:bodyDiv w:val="1"/>
      <w:marLeft w:val="0"/>
      <w:marRight w:val="0"/>
      <w:marTop w:val="0"/>
      <w:marBottom w:val="0"/>
      <w:divBdr>
        <w:top w:val="none" w:sz="0" w:space="0" w:color="auto"/>
        <w:left w:val="none" w:sz="0" w:space="0" w:color="auto"/>
        <w:bottom w:val="none" w:sz="0" w:space="0" w:color="auto"/>
        <w:right w:val="none" w:sz="0" w:space="0" w:color="auto"/>
      </w:divBdr>
    </w:div>
    <w:div w:id="1494569074">
      <w:bodyDiv w:val="1"/>
      <w:marLeft w:val="0"/>
      <w:marRight w:val="0"/>
      <w:marTop w:val="0"/>
      <w:marBottom w:val="0"/>
      <w:divBdr>
        <w:top w:val="none" w:sz="0" w:space="0" w:color="auto"/>
        <w:left w:val="none" w:sz="0" w:space="0" w:color="auto"/>
        <w:bottom w:val="none" w:sz="0" w:space="0" w:color="auto"/>
        <w:right w:val="none" w:sz="0" w:space="0" w:color="auto"/>
      </w:divBdr>
    </w:div>
    <w:div w:id="1521626043">
      <w:bodyDiv w:val="1"/>
      <w:marLeft w:val="0"/>
      <w:marRight w:val="0"/>
      <w:marTop w:val="0"/>
      <w:marBottom w:val="0"/>
      <w:divBdr>
        <w:top w:val="none" w:sz="0" w:space="0" w:color="auto"/>
        <w:left w:val="none" w:sz="0" w:space="0" w:color="auto"/>
        <w:bottom w:val="none" w:sz="0" w:space="0" w:color="auto"/>
        <w:right w:val="none" w:sz="0" w:space="0" w:color="auto"/>
      </w:divBdr>
    </w:div>
    <w:div w:id="1633168582">
      <w:bodyDiv w:val="1"/>
      <w:marLeft w:val="0"/>
      <w:marRight w:val="0"/>
      <w:marTop w:val="0"/>
      <w:marBottom w:val="0"/>
      <w:divBdr>
        <w:top w:val="none" w:sz="0" w:space="0" w:color="auto"/>
        <w:left w:val="none" w:sz="0" w:space="0" w:color="auto"/>
        <w:bottom w:val="none" w:sz="0" w:space="0" w:color="auto"/>
        <w:right w:val="none" w:sz="0" w:space="0" w:color="auto"/>
      </w:divBdr>
    </w:div>
    <w:div w:id="1686637851">
      <w:bodyDiv w:val="1"/>
      <w:marLeft w:val="0"/>
      <w:marRight w:val="0"/>
      <w:marTop w:val="0"/>
      <w:marBottom w:val="0"/>
      <w:divBdr>
        <w:top w:val="none" w:sz="0" w:space="0" w:color="auto"/>
        <w:left w:val="none" w:sz="0" w:space="0" w:color="auto"/>
        <w:bottom w:val="none" w:sz="0" w:space="0" w:color="auto"/>
        <w:right w:val="none" w:sz="0" w:space="0" w:color="auto"/>
      </w:divBdr>
    </w:div>
    <w:div w:id="1728457351">
      <w:bodyDiv w:val="1"/>
      <w:marLeft w:val="0"/>
      <w:marRight w:val="0"/>
      <w:marTop w:val="0"/>
      <w:marBottom w:val="0"/>
      <w:divBdr>
        <w:top w:val="none" w:sz="0" w:space="0" w:color="auto"/>
        <w:left w:val="none" w:sz="0" w:space="0" w:color="auto"/>
        <w:bottom w:val="none" w:sz="0" w:space="0" w:color="auto"/>
        <w:right w:val="none" w:sz="0" w:space="0" w:color="auto"/>
      </w:divBdr>
    </w:div>
    <w:div w:id="1729261669">
      <w:bodyDiv w:val="1"/>
      <w:marLeft w:val="0"/>
      <w:marRight w:val="0"/>
      <w:marTop w:val="0"/>
      <w:marBottom w:val="0"/>
      <w:divBdr>
        <w:top w:val="none" w:sz="0" w:space="0" w:color="auto"/>
        <w:left w:val="none" w:sz="0" w:space="0" w:color="auto"/>
        <w:bottom w:val="none" w:sz="0" w:space="0" w:color="auto"/>
        <w:right w:val="none" w:sz="0" w:space="0" w:color="auto"/>
      </w:divBdr>
    </w:div>
    <w:div w:id="1752123035">
      <w:bodyDiv w:val="1"/>
      <w:marLeft w:val="0"/>
      <w:marRight w:val="0"/>
      <w:marTop w:val="0"/>
      <w:marBottom w:val="0"/>
      <w:divBdr>
        <w:top w:val="none" w:sz="0" w:space="0" w:color="auto"/>
        <w:left w:val="none" w:sz="0" w:space="0" w:color="auto"/>
        <w:bottom w:val="none" w:sz="0" w:space="0" w:color="auto"/>
        <w:right w:val="none" w:sz="0" w:space="0" w:color="auto"/>
      </w:divBdr>
    </w:div>
    <w:div w:id="1787312567">
      <w:bodyDiv w:val="1"/>
      <w:marLeft w:val="0"/>
      <w:marRight w:val="0"/>
      <w:marTop w:val="0"/>
      <w:marBottom w:val="0"/>
      <w:divBdr>
        <w:top w:val="none" w:sz="0" w:space="0" w:color="auto"/>
        <w:left w:val="none" w:sz="0" w:space="0" w:color="auto"/>
        <w:bottom w:val="none" w:sz="0" w:space="0" w:color="auto"/>
        <w:right w:val="none" w:sz="0" w:space="0" w:color="auto"/>
      </w:divBdr>
    </w:div>
    <w:div w:id="1913930915">
      <w:bodyDiv w:val="1"/>
      <w:marLeft w:val="0"/>
      <w:marRight w:val="0"/>
      <w:marTop w:val="0"/>
      <w:marBottom w:val="0"/>
      <w:divBdr>
        <w:top w:val="none" w:sz="0" w:space="0" w:color="auto"/>
        <w:left w:val="none" w:sz="0" w:space="0" w:color="auto"/>
        <w:bottom w:val="none" w:sz="0" w:space="0" w:color="auto"/>
        <w:right w:val="none" w:sz="0" w:space="0" w:color="auto"/>
      </w:divBdr>
    </w:div>
    <w:div w:id="1992979700">
      <w:bodyDiv w:val="1"/>
      <w:marLeft w:val="0"/>
      <w:marRight w:val="0"/>
      <w:marTop w:val="0"/>
      <w:marBottom w:val="0"/>
      <w:divBdr>
        <w:top w:val="none" w:sz="0" w:space="0" w:color="auto"/>
        <w:left w:val="none" w:sz="0" w:space="0" w:color="auto"/>
        <w:bottom w:val="none" w:sz="0" w:space="0" w:color="auto"/>
        <w:right w:val="none" w:sz="0" w:space="0" w:color="auto"/>
      </w:divBdr>
    </w:div>
    <w:div w:id="2083873391">
      <w:bodyDiv w:val="1"/>
      <w:marLeft w:val="0"/>
      <w:marRight w:val="0"/>
      <w:marTop w:val="0"/>
      <w:marBottom w:val="0"/>
      <w:divBdr>
        <w:top w:val="none" w:sz="0" w:space="0" w:color="auto"/>
        <w:left w:val="none" w:sz="0" w:space="0" w:color="auto"/>
        <w:bottom w:val="none" w:sz="0" w:space="0" w:color="auto"/>
        <w:right w:val="none" w:sz="0" w:space="0" w:color="auto"/>
      </w:divBdr>
    </w:div>
    <w:div w:id="2101679830">
      <w:bodyDiv w:val="1"/>
      <w:marLeft w:val="0"/>
      <w:marRight w:val="0"/>
      <w:marTop w:val="0"/>
      <w:marBottom w:val="0"/>
      <w:divBdr>
        <w:top w:val="none" w:sz="0" w:space="0" w:color="auto"/>
        <w:left w:val="none" w:sz="0" w:space="0" w:color="auto"/>
        <w:bottom w:val="none" w:sz="0" w:space="0" w:color="auto"/>
        <w:right w:val="none" w:sz="0" w:space="0" w:color="auto"/>
      </w:divBdr>
    </w:div>
    <w:div w:id="212549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9</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gulzar electronics</dc:creator>
  <cp:keywords/>
  <dc:description/>
  <cp:lastModifiedBy>x</cp:lastModifiedBy>
  <cp:revision>23</cp:revision>
  <dcterms:created xsi:type="dcterms:W3CDTF">2022-02-24T09:11:00Z</dcterms:created>
  <dcterms:modified xsi:type="dcterms:W3CDTF">2022-03-02T14:54:00Z</dcterms:modified>
</cp:coreProperties>
</file>