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48"/>
          <w:szCs w:val="48"/>
        </w:rPr>
        <w:id w:val="-494187337"/>
        <w:docPartObj>
          <w:docPartGallery w:val="Cover Pages"/>
          <w:docPartUnique/>
        </w:docPartObj>
      </w:sdtPr>
      <w:sdtEndPr/>
      <w:sdtContent>
        <w:p w14:paraId="7B6424DC" w14:textId="0CEDED3D" w:rsidR="00BD1F5D" w:rsidRDefault="003B14E6">
          <w:pPr>
            <w:rPr>
              <w:rFonts w:ascii="Arial" w:eastAsiaTheme="majorEastAsia" w:hAnsi="Arial" w:cs="Arial"/>
              <w:spacing w:val="-10"/>
              <w:kern w:val="28"/>
              <w:sz w:val="48"/>
              <w:szCs w:val="48"/>
            </w:rPr>
          </w:pPr>
          <w:r>
            <w:rPr>
              <w:rFonts w:ascii="Arial" w:eastAsiaTheme="majorEastAsia" w:hAnsi="Arial" w:cs="Arial"/>
              <w:noProof/>
              <w:spacing w:val="-10"/>
              <w:kern w:val="28"/>
              <w:sz w:val="48"/>
              <w:szCs w:val="48"/>
            </w:rPr>
            <mc:AlternateContent>
              <mc:Choice Requires="wps">
                <w:drawing>
                  <wp:anchor distT="0" distB="0" distL="114300" distR="114300" simplePos="0" relativeHeight="251660288" behindDoc="0" locked="0" layoutInCell="1" allowOverlap="1" wp14:anchorId="1EB2FD87" wp14:editId="4554DA4A">
                    <wp:simplePos x="0" y="0"/>
                    <wp:positionH relativeFrom="column">
                      <wp:posOffset>2197100</wp:posOffset>
                    </wp:positionH>
                    <wp:positionV relativeFrom="paragraph">
                      <wp:posOffset>7924800</wp:posOffset>
                    </wp:positionV>
                    <wp:extent cx="1625600" cy="368300"/>
                    <wp:effectExtent l="0" t="0" r="12700" b="12700"/>
                    <wp:wrapNone/>
                    <wp:docPr id="738124391" name="Text Box 1"/>
                    <wp:cNvGraphicFramePr/>
                    <a:graphic xmlns:a="http://schemas.openxmlformats.org/drawingml/2006/main">
                      <a:graphicData uri="http://schemas.microsoft.com/office/word/2010/wordprocessingShape">
                        <wps:wsp>
                          <wps:cNvSpPr txBox="1"/>
                          <wps:spPr>
                            <a:xfrm>
                              <a:off x="0" y="0"/>
                              <a:ext cx="1625600" cy="368300"/>
                            </a:xfrm>
                            <a:prstGeom prst="rect">
                              <a:avLst/>
                            </a:prstGeom>
                            <a:solidFill>
                              <a:schemeClr val="lt1"/>
                            </a:solidFill>
                            <a:ln w="6350">
                              <a:solidFill>
                                <a:prstClr val="black"/>
                              </a:solidFill>
                            </a:ln>
                          </wps:spPr>
                          <wps:txbx>
                            <w:txbxContent>
                              <w:p w14:paraId="24EDD568" w14:textId="4F3F5201" w:rsidR="003B14E6" w:rsidRDefault="003B14E6">
                                <w:r>
                                  <w:t>Word count:</w:t>
                                </w:r>
                                <w:r w:rsidR="00BD675F">
                                  <w:t xml:space="preserve"> 1822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B2FD87" id="_x0000_t202" coordsize="21600,21600" o:spt="202" path="m,l,21600r21600,l21600,xe">
                    <v:stroke joinstyle="miter"/>
                    <v:path gradientshapeok="t" o:connecttype="rect"/>
                  </v:shapetype>
                  <v:shape id="Text Box 1" o:spid="_x0000_s1026" type="#_x0000_t202" style="position:absolute;margin-left:173pt;margin-top:624pt;width:128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XI+NQIAAHw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" fillcolor="white [3201]" strokeweight=".5pt">
                    <v:textbox>
                      <w:txbxContent>
                        <w:p w14:paraId="24EDD568" w14:textId="4F3F5201" w:rsidR="003B14E6" w:rsidRDefault="003B14E6">
                          <w:r>
                            <w:t>Word count:</w:t>
                          </w:r>
                          <w:r w:rsidR="00BD675F">
                            <w:t xml:space="preserve"> 1822</w:t>
                          </w:r>
                        </w:p>
                      </w:txbxContent>
                    </v:textbox>
                  </v:shape>
                </w:pict>
              </mc:Fallback>
            </mc:AlternateContent>
          </w:r>
          <w:r w:rsidR="00BD1F5D" w:rsidRPr="00BD1F5D">
            <w:rPr>
              <w:rFonts w:ascii="Arial" w:eastAsiaTheme="majorEastAsia" w:hAnsi="Arial" w:cs="Arial"/>
              <w:noProof/>
              <w:spacing w:val="-10"/>
              <w:kern w:val="28"/>
              <w:sz w:val="48"/>
              <w:szCs w:val="48"/>
            </w:rPr>
            <mc:AlternateContent>
              <mc:Choice Requires="wps">
                <w:drawing>
                  <wp:anchor distT="0" distB="0" distL="114300" distR="114300" simplePos="0" relativeHeight="251659264" behindDoc="0" locked="0" layoutInCell="1" allowOverlap="1" wp14:anchorId="5E3277AB" wp14:editId="4C812BF1">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666"/>
                                  <w:gridCol w:w="2535"/>
                                </w:tblGrid>
                                <w:tr w:rsidR="00BD1F5D" w14:paraId="087F2384" w14:textId="77777777">
                                  <w:trPr>
                                    <w:jc w:val="center"/>
                                  </w:trPr>
                                  <w:tc>
                                    <w:tcPr>
                                      <w:tcW w:w="2568" w:type="pct"/>
                                      <w:vAlign w:val="center"/>
                                    </w:tcPr>
                                    <w:p w14:paraId="4391CBA2" w14:textId="04A2F184" w:rsidR="00BD1F5D" w:rsidRDefault="00BD1F5D">
                                      <w:pPr>
                                        <w:jc w:val="right"/>
                                      </w:pP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3DEED3" w14:textId="6113A4F9" w:rsidR="00BD1F5D" w:rsidRDefault="00340DFE">
                                          <w:pPr>
                                            <w:pStyle w:val="NoSpacing"/>
                                            <w:spacing w:line="312" w:lineRule="auto"/>
                                            <w:jc w:val="right"/>
                                            <w:rPr>
                                              <w:caps/>
                                              <w:color w:val="191919" w:themeColor="text1" w:themeTint="E6"/>
                                              <w:sz w:val="72"/>
                                              <w:szCs w:val="72"/>
                                            </w:rPr>
                                          </w:pPr>
                                          <w:r w:rsidRPr="00340DFE">
                                            <w:rPr>
                                              <w:caps/>
                                              <w:color w:val="191919" w:themeColor="text1" w:themeTint="E6"/>
                                              <w:sz w:val="40"/>
                                              <w:szCs w:val="40"/>
                                            </w:rPr>
                                            <w:t>Corporate social responsibility in promoting sustainability</w:t>
                                          </w:r>
                                          <w:r w:rsidR="003B14E6">
                                            <w:rPr>
                                              <w:caps/>
                                              <w:color w:val="191919" w:themeColor="text1" w:themeTint="E6"/>
                                              <w:sz w:val="40"/>
                                              <w:szCs w:val="40"/>
                                            </w:rPr>
                                            <w:t>,</w:t>
                                          </w:r>
                                          <w:r w:rsidRPr="00340DFE">
                                            <w:rPr>
                                              <w:caps/>
                                              <w:color w:val="191919" w:themeColor="text1" w:themeTint="E6"/>
                                              <w:sz w:val="40"/>
                                              <w:szCs w:val="40"/>
                                            </w:rPr>
                                            <w:t xml:space="preserve"> Hilton hotel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0000DA" w14:textId="64550D83" w:rsidR="00BD1F5D" w:rsidRDefault="003B14E6">
                                          <w:pPr>
                                            <w:jc w:val="right"/>
                                            <w:rPr>
                                              <w:sz w:val="24"/>
                                              <w:szCs w:val="24"/>
                                            </w:rPr>
                                          </w:pPr>
                                          <w:r>
                                            <w:rPr>
                                              <w:color w:val="000000" w:themeColor="text1"/>
                                              <w:sz w:val="24"/>
                                              <w:szCs w:val="24"/>
                                            </w:rPr>
                                            <w:t>Essay</w:t>
                                          </w:r>
                                        </w:p>
                                      </w:sdtContent>
                                    </w:sdt>
                                  </w:tc>
                                  <w:tc>
                                    <w:tcPr>
                                      <w:tcW w:w="2432" w:type="pct"/>
                                      <w:vAlign w:val="center"/>
                                    </w:tcPr>
                                    <w:p w14:paraId="752D69C2" w14:textId="18EEAF71" w:rsidR="00BD1F5D" w:rsidRDefault="00BD1F5D">
                                      <w:pPr>
                                        <w:pStyle w:val="NoSpacing"/>
                                        <w:rPr>
                                          <w:caps/>
                                          <w:color w:val="E97132" w:themeColor="accent2"/>
                                          <w:sz w:val="26"/>
                                          <w:szCs w:val="26"/>
                                        </w:rPr>
                                      </w:pPr>
                                    </w:p>
                                    <w:p w14:paraId="6A3F2B04" w14:textId="164A43B8" w:rsidR="00BD1F5D" w:rsidRDefault="00BD1F5D">
                                      <w:pPr>
                                        <w:rPr>
                                          <w:color w:val="000000" w:themeColor="text1"/>
                                        </w:rPr>
                                      </w:pPr>
                                    </w:p>
                                    <w:sdt>
                                      <w:sdtPr>
                                        <w:rPr>
                                          <w:color w:val="E97132"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46215E4" w14:textId="70D7635F" w:rsidR="00BD1F5D" w:rsidRPr="001C6903" w:rsidRDefault="00BD1F5D">
                                          <w:pPr>
                                            <w:pStyle w:val="NoSpacing"/>
                                            <w:rPr>
                                              <w:color w:val="E97132" w:themeColor="accent2"/>
                                              <w:sz w:val="40"/>
                                              <w:szCs w:val="40"/>
                                            </w:rPr>
                                          </w:pPr>
                                          <w:r w:rsidRPr="001C6903">
                                            <w:rPr>
                                              <w:color w:val="E97132" w:themeColor="accent2"/>
                                              <w:sz w:val="40"/>
                                              <w:szCs w:val="40"/>
                                            </w:rPr>
                                            <w:t xml:space="preserve">   </w:t>
                                          </w:r>
                                        </w:p>
                                      </w:sdtContent>
                                    </w:sdt>
                                    <w:p w14:paraId="3CE4E3F2" w14:textId="77777777" w:rsidR="00135C0D" w:rsidRPr="001C6903" w:rsidRDefault="00135C0D" w:rsidP="00135C0D">
                                      <w:pPr>
                                        <w:pStyle w:val="NoSpacing"/>
                                        <w:rPr>
                                          <w:color w:val="E97132" w:themeColor="accent2"/>
                                          <w:sz w:val="36"/>
                                          <w:szCs w:val="36"/>
                                        </w:rPr>
                                      </w:pPr>
                                      <w:r w:rsidRPr="001C6903">
                                        <w:rPr>
                                          <w:color w:val="E97132" w:themeColor="accent2"/>
                                          <w:sz w:val="36"/>
                                          <w:szCs w:val="36"/>
                                        </w:rPr>
                                        <w:t>MELANIA KOLOZSI 2206485</w:t>
                                      </w:r>
                                    </w:p>
                                    <w:p w14:paraId="34097E33" w14:textId="77777777" w:rsidR="00135C0D" w:rsidRDefault="00135C0D" w:rsidP="00135C0D">
                                      <w:pPr>
                                        <w:pStyle w:val="NoSpacing"/>
                                      </w:pPr>
                                    </w:p>
                                    <w:p w14:paraId="5C615451" w14:textId="7AC8402E" w:rsidR="00135C0D" w:rsidRPr="009A15AA" w:rsidRDefault="009A15AA" w:rsidP="00135C0D">
                                      <w:pPr>
                                        <w:pStyle w:val="NoSpacing"/>
                                      </w:pPr>
                                      <w:r w:rsidRPr="001C6903">
                                        <w:rPr>
                                          <w:color w:val="156082" w:themeColor="accent1"/>
                                          <w:sz w:val="32"/>
                                          <w:szCs w:val="32"/>
                                        </w:rPr>
                                        <w:t xml:space="preserve">Sustainable </w:t>
                                      </w:r>
                                      <w:r w:rsidR="001C6903" w:rsidRPr="001C6903">
                                        <w:rPr>
                                          <w:color w:val="156082" w:themeColor="accent1"/>
                                          <w:sz w:val="32"/>
                                          <w:szCs w:val="32"/>
                                        </w:rPr>
                                        <w:t xml:space="preserve">hospitality and Tourism Management </w:t>
                                      </w:r>
                                      <w:r w:rsidR="00135C0D" w:rsidRPr="00135C0D">
                                        <w:rPr>
                                          <w:color w:val="156082" w:themeColor="accent1"/>
                                          <w:sz w:val="28"/>
                                          <w:szCs w:val="28"/>
                                        </w:rPr>
                                        <w:t>BMIH500</w:t>
                                      </w:r>
                                      <w:r>
                                        <w:rPr>
                                          <w:color w:val="156082" w:themeColor="accent1"/>
                                          <w:sz w:val="28"/>
                                          <w:szCs w:val="28"/>
                                        </w:rPr>
                                        <w:t>6</w:t>
                                      </w:r>
                                      <w:r w:rsidR="00135C0D" w:rsidRPr="00135C0D">
                                        <w:rPr>
                                          <w:color w:val="156082" w:themeColor="accent1"/>
                                          <w:sz w:val="28"/>
                                          <w:szCs w:val="28"/>
                                        </w:rPr>
                                        <w:t xml:space="preserve">                                   Lecturer: Julia Ault</w:t>
                                      </w:r>
                                    </w:p>
                                    <w:p w14:paraId="11EE92B7" w14:textId="2A4F4372" w:rsidR="00BD1F5D" w:rsidRDefault="00BD1F5D">
                                      <w:pPr>
                                        <w:pStyle w:val="NoSpacing"/>
                                      </w:pPr>
                                    </w:p>
                                  </w:tc>
                                </w:tr>
                              </w:tbl>
                              <w:p w14:paraId="108238CD" w14:textId="77777777" w:rsidR="00BD1F5D" w:rsidRDefault="00BD1F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E3277AB"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666"/>
                            <w:gridCol w:w="2535"/>
                          </w:tblGrid>
                          <w:tr w:rsidR="00BD1F5D" w14:paraId="087F2384" w14:textId="77777777">
                            <w:trPr>
                              <w:jc w:val="center"/>
                            </w:trPr>
                            <w:tc>
                              <w:tcPr>
                                <w:tcW w:w="2568" w:type="pct"/>
                                <w:vAlign w:val="center"/>
                              </w:tcPr>
                              <w:p w14:paraId="4391CBA2" w14:textId="04A2F184" w:rsidR="00BD1F5D" w:rsidRDefault="00BD1F5D">
                                <w:pPr>
                                  <w:jc w:val="right"/>
                                </w:pP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3DEED3" w14:textId="6113A4F9" w:rsidR="00BD1F5D" w:rsidRDefault="00340DFE">
                                    <w:pPr>
                                      <w:pStyle w:val="NoSpacing"/>
                                      <w:spacing w:line="312" w:lineRule="auto"/>
                                      <w:jc w:val="right"/>
                                      <w:rPr>
                                        <w:caps/>
                                        <w:color w:val="191919" w:themeColor="text1" w:themeTint="E6"/>
                                        <w:sz w:val="72"/>
                                        <w:szCs w:val="72"/>
                                      </w:rPr>
                                    </w:pPr>
                                    <w:r w:rsidRPr="00340DFE">
                                      <w:rPr>
                                        <w:caps/>
                                        <w:color w:val="191919" w:themeColor="text1" w:themeTint="E6"/>
                                        <w:sz w:val="40"/>
                                        <w:szCs w:val="40"/>
                                      </w:rPr>
                                      <w:t>Corporate social responsibility in promoting sustainability</w:t>
                                    </w:r>
                                    <w:r w:rsidR="003B14E6">
                                      <w:rPr>
                                        <w:caps/>
                                        <w:color w:val="191919" w:themeColor="text1" w:themeTint="E6"/>
                                        <w:sz w:val="40"/>
                                        <w:szCs w:val="40"/>
                                      </w:rPr>
                                      <w:t>,</w:t>
                                    </w:r>
                                    <w:r w:rsidRPr="00340DFE">
                                      <w:rPr>
                                        <w:caps/>
                                        <w:color w:val="191919" w:themeColor="text1" w:themeTint="E6"/>
                                        <w:sz w:val="40"/>
                                        <w:szCs w:val="40"/>
                                      </w:rPr>
                                      <w:t xml:space="preserve"> Hilton hotel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0000DA" w14:textId="64550D83" w:rsidR="00BD1F5D" w:rsidRDefault="003B14E6">
                                    <w:pPr>
                                      <w:jc w:val="right"/>
                                      <w:rPr>
                                        <w:sz w:val="24"/>
                                        <w:szCs w:val="24"/>
                                      </w:rPr>
                                    </w:pPr>
                                    <w:r>
                                      <w:rPr>
                                        <w:color w:val="000000" w:themeColor="text1"/>
                                        <w:sz w:val="24"/>
                                        <w:szCs w:val="24"/>
                                      </w:rPr>
                                      <w:t>Essay</w:t>
                                    </w:r>
                                  </w:p>
                                </w:sdtContent>
                              </w:sdt>
                            </w:tc>
                            <w:tc>
                              <w:tcPr>
                                <w:tcW w:w="2432" w:type="pct"/>
                                <w:vAlign w:val="center"/>
                              </w:tcPr>
                              <w:p w14:paraId="752D69C2" w14:textId="18EEAF71" w:rsidR="00BD1F5D" w:rsidRDefault="00BD1F5D">
                                <w:pPr>
                                  <w:pStyle w:val="NoSpacing"/>
                                  <w:rPr>
                                    <w:caps/>
                                    <w:color w:val="E97132" w:themeColor="accent2"/>
                                    <w:sz w:val="26"/>
                                    <w:szCs w:val="26"/>
                                  </w:rPr>
                                </w:pPr>
                              </w:p>
                              <w:p w14:paraId="6A3F2B04" w14:textId="164A43B8" w:rsidR="00BD1F5D" w:rsidRDefault="00BD1F5D">
                                <w:pPr>
                                  <w:rPr>
                                    <w:color w:val="000000" w:themeColor="text1"/>
                                  </w:rPr>
                                </w:pPr>
                              </w:p>
                              <w:sdt>
                                <w:sdtPr>
                                  <w:rPr>
                                    <w:color w:val="E97132"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46215E4" w14:textId="70D7635F" w:rsidR="00BD1F5D" w:rsidRPr="001C6903" w:rsidRDefault="00BD1F5D">
                                    <w:pPr>
                                      <w:pStyle w:val="NoSpacing"/>
                                      <w:rPr>
                                        <w:color w:val="E97132" w:themeColor="accent2"/>
                                        <w:sz w:val="40"/>
                                        <w:szCs w:val="40"/>
                                      </w:rPr>
                                    </w:pPr>
                                    <w:r w:rsidRPr="001C6903">
                                      <w:rPr>
                                        <w:color w:val="E97132" w:themeColor="accent2"/>
                                        <w:sz w:val="40"/>
                                        <w:szCs w:val="40"/>
                                      </w:rPr>
                                      <w:t xml:space="preserve">   </w:t>
                                    </w:r>
                                  </w:p>
                                </w:sdtContent>
                              </w:sdt>
                              <w:p w14:paraId="3CE4E3F2" w14:textId="77777777" w:rsidR="00135C0D" w:rsidRPr="001C6903" w:rsidRDefault="00135C0D" w:rsidP="00135C0D">
                                <w:pPr>
                                  <w:pStyle w:val="NoSpacing"/>
                                  <w:rPr>
                                    <w:color w:val="E97132" w:themeColor="accent2"/>
                                    <w:sz w:val="36"/>
                                    <w:szCs w:val="36"/>
                                  </w:rPr>
                                </w:pPr>
                                <w:r w:rsidRPr="001C6903">
                                  <w:rPr>
                                    <w:color w:val="E97132" w:themeColor="accent2"/>
                                    <w:sz w:val="36"/>
                                    <w:szCs w:val="36"/>
                                  </w:rPr>
                                  <w:t>MELANIA KOLOZSI 2206485</w:t>
                                </w:r>
                              </w:p>
                              <w:p w14:paraId="34097E33" w14:textId="77777777" w:rsidR="00135C0D" w:rsidRDefault="00135C0D" w:rsidP="00135C0D">
                                <w:pPr>
                                  <w:pStyle w:val="NoSpacing"/>
                                </w:pPr>
                              </w:p>
                              <w:p w14:paraId="5C615451" w14:textId="7AC8402E" w:rsidR="00135C0D" w:rsidRPr="009A15AA" w:rsidRDefault="009A15AA" w:rsidP="00135C0D">
                                <w:pPr>
                                  <w:pStyle w:val="NoSpacing"/>
                                </w:pPr>
                                <w:r w:rsidRPr="001C6903">
                                  <w:rPr>
                                    <w:color w:val="156082" w:themeColor="accent1"/>
                                    <w:sz w:val="32"/>
                                    <w:szCs w:val="32"/>
                                  </w:rPr>
                                  <w:t xml:space="preserve">Sustainable </w:t>
                                </w:r>
                                <w:r w:rsidR="001C6903" w:rsidRPr="001C6903">
                                  <w:rPr>
                                    <w:color w:val="156082" w:themeColor="accent1"/>
                                    <w:sz w:val="32"/>
                                    <w:szCs w:val="32"/>
                                  </w:rPr>
                                  <w:t xml:space="preserve">hospitality and Tourism Management </w:t>
                                </w:r>
                                <w:r w:rsidR="00135C0D" w:rsidRPr="00135C0D">
                                  <w:rPr>
                                    <w:color w:val="156082" w:themeColor="accent1"/>
                                    <w:sz w:val="28"/>
                                    <w:szCs w:val="28"/>
                                  </w:rPr>
                                  <w:t>BMIH500</w:t>
                                </w:r>
                                <w:r>
                                  <w:rPr>
                                    <w:color w:val="156082" w:themeColor="accent1"/>
                                    <w:sz w:val="28"/>
                                    <w:szCs w:val="28"/>
                                  </w:rPr>
                                  <w:t>6</w:t>
                                </w:r>
                                <w:r w:rsidR="00135C0D" w:rsidRPr="00135C0D">
                                  <w:rPr>
                                    <w:color w:val="156082" w:themeColor="accent1"/>
                                    <w:sz w:val="28"/>
                                    <w:szCs w:val="28"/>
                                  </w:rPr>
                                  <w:t xml:space="preserve">                                   Lecturer: Julia Ault</w:t>
                                </w:r>
                              </w:p>
                              <w:p w14:paraId="11EE92B7" w14:textId="2A4F4372" w:rsidR="00BD1F5D" w:rsidRDefault="00BD1F5D">
                                <w:pPr>
                                  <w:pStyle w:val="NoSpacing"/>
                                </w:pPr>
                              </w:p>
                            </w:tc>
                          </w:tr>
                        </w:tbl>
                        <w:p w14:paraId="108238CD" w14:textId="77777777" w:rsidR="00BD1F5D" w:rsidRDefault="00BD1F5D"/>
                      </w:txbxContent>
                    </v:textbox>
                    <w10:wrap anchorx="page" anchory="page"/>
                  </v:shape>
                </w:pict>
              </mc:Fallback>
            </mc:AlternateContent>
          </w:r>
          <w:r w:rsidR="00BD1F5D">
            <w:rPr>
              <w:rFonts w:ascii="Arial" w:hAnsi="Arial" w:cs="Arial"/>
              <w:sz w:val="48"/>
              <w:szCs w:val="48"/>
            </w:rPr>
            <w:br w:type="page"/>
          </w:r>
        </w:p>
      </w:sdtContent>
    </w:sdt>
    <w:p w14:paraId="04D5C795" w14:textId="77777777" w:rsidR="00DD1249" w:rsidRDefault="00DD1249" w:rsidP="009168DD">
      <w:pPr>
        <w:pStyle w:val="Title"/>
        <w:jc w:val="center"/>
        <w:rPr>
          <w:rFonts w:ascii="Arial" w:hAnsi="Arial" w:cs="Arial"/>
          <w:sz w:val="48"/>
          <w:szCs w:val="48"/>
        </w:rPr>
      </w:pPr>
    </w:p>
    <w:p w14:paraId="3E8C2903" w14:textId="0C8855C0" w:rsidR="00F57AE4" w:rsidRPr="009168DD" w:rsidRDefault="007E6A09" w:rsidP="009168DD">
      <w:pPr>
        <w:pStyle w:val="Title"/>
        <w:jc w:val="center"/>
        <w:rPr>
          <w:rFonts w:ascii="Arial" w:hAnsi="Arial" w:cs="Arial"/>
          <w:sz w:val="48"/>
          <w:szCs w:val="48"/>
        </w:rPr>
      </w:pPr>
      <w:r w:rsidRPr="009168DD">
        <w:rPr>
          <w:rFonts w:ascii="Arial" w:hAnsi="Arial" w:cs="Arial"/>
          <w:sz w:val="48"/>
          <w:szCs w:val="48"/>
        </w:rPr>
        <w:t xml:space="preserve">Corporate social responsibility in promoting sustainability in Hilton </w:t>
      </w:r>
      <w:r w:rsidR="007F4C5A">
        <w:rPr>
          <w:rFonts w:ascii="Arial" w:hAnsi="Arial" w:cs="Arial"/>
          <w:sz w:val="48"/>
          <w:szCs w:val="48"/>
        </w:rPr>
        <w:t>H</w:t>
      </w:r>
      <w:r w:rsidRPr="009168DD">
        <w:rPr>
          <w:rFonts w:ascii="Arial" w:hAnsi="Arial" w:cs="Arial"/>
          <w:sz w:val="48"/>
          <w:szCs w:val="48"/>
        </w:rPr>
        <w:t>otel</w:t>
      </w:r>
    </w:p>
    <w:p w14:paraId="159000C9" w14:textId="77777777" w:rsidR="00F57AE4" w:rsidRDefault="00F57AE4" w:rsidP="00F57AE4"/>
    <w:p w14:paraId="47A21675" w14:textId="77777777" w:rsidR="00F57AE4" w:rsidRDefault="00F57AE4" w:rsidP="00F57AE4"/>
    <w:p w14:paraId="522A1354" w14:textId="396CE679" w:rsidR="00862F09" w:rsidRPr="009168DD" w:rsidRDefault="00664955" w:rsidP="009168DD">
      <w:pPr>
        <w:spacing w:after="240" w:line="480" w:lineRule="auto"/>
        <w:jc w:val="both"/>
        <w:rPr>
          <w:rFonts w:ascii="Arial" w:eastAsia="Times New Roman" w:hAnsi="Arial" w:cs="Arial"/>
          <w:sz w:val="24"/>
          <w:szCs w:val="24"/>
          <w:lang w:eastAsia="en-GB"/>
        </w:rPr>
      </w:pPr>
      <w:r w:rsidRPr="00664955">
        <w:rPr>
          <w:rFonts w:ascii="Arial" w:eastAsia="Times New Roman" w:hAnsi="Arial" w:cs="Arial"/>
          <w:sz w:val="24"/>
          <w:szCs w:val="24"/>
          <w:lang w:eastAsia="en-GB"/>
        </w:rPr>
        <w:t>The history of Corporate Social Responsibility (CSR) reveals its deep-rooted concerns for societal issues, tracing back several centuries and evolving significantly from the 1930s as businesses started being scrutinised for their social impacts</w:t>
      </w:r>
      <w:r w:rsidR="000062F3" w:rsidRPr="009168DD">
        <w:rPr>
          <w:rFonts w:ascii="Arial" w:eastAsia="Times New Roman" w:hAnsi="Arial" w:cs="Arial"/>
          <w:sz w:val="24"/>
          <w:szCs w:val="24"/>
          <w:lang w:eastAsia="en-GB"/>
        </w:rPr>
        <w:t xml:space="preserve"> (May and Steve, 2023)</w:t>
      </w:r>
      <w:r w:rsidRPr="00664955">
        <w:rPr>
          <w:rFonts w:ascii="Arial" w:eastAsia="Times New Roman" w:hAnsi="Arial" w:cs="Arial"/>
          <w:sz w:val="24"/>
          <w:szCs w:val="24"/>
          <w:lang w:eastAsia="en-GB"/>
        </w:rPr>
        <w:t>. Early concepts of CSR emerged during the Victorian era through philanthropy, addressing social ills and later, protecting employees' welfare and community development in the 19th and early 20th centuries (Phillips, Schrempf-Stirling</w:t>
      </w:r>
      <w:r w:rsidR="0007116F" w:rsidRPr="009168DD">
        <w:rPr>
          <w:rFonts w:ascii="Arial" w:eastAsia="Times New Roman" w:hAnsi="Arial" w:cs="Arial"/>
          <w:sz w:val="24"/>
          <w:szCs w:val="24"/>
          <w:lang w:eastAsia="en-GB"/>
        </w:rPr>
        <w:t>, 2019</w:t>
      </w:r>
      <w:r w:rsidRPr="00664955">
        <w:rPr>
          <w:rFonts w:ascii="Arial" w:eastAsia="Times New Roman" w:hAnsi="Arial" w:cs="Arial"/>
          <w:sz w:val="24"/>
          <w:szCs w:val="24"/>
          <w:lang w:eastAsia="en-GB"/>
        </w:rPr>
        <w:t xml:space="preserve">). </w:t>
      </w:r>
      <w:r w:rsidR="007F4C5A">
        <w:rPr>
          <w:rFonts w:ascii="Arial" w:eastAsia="Times New Roman" w:hAnsi="Arial" w:cs="Arial"/>
          <w:sz w:val="24"/>
          <w:szCs w:val="24"/>
          <w:lang w:eastAsia="en-GB"/>
        </w:rPr>
        <w:t>Furthermore,</w:t>
      </w:r>
      <w:r w:rsidR="00B02E1D">
        <w:rPr>
          <w:rFonts w:ascii="Arial" w:eastAsia="Times New Roman" w:hAnsi="Arial" w:cs="Arial"/>
          <w:sz w:val="24"/>
          <w:szCs w:val="24"/>
          <w:lang w:eastAsia="en-GB"/>
        </w:rPr>
        <w:t xml:space="preserve"> is discussed by Carroll et al (201</w:t>
      </w:r>
      <w:r w:rsidR="00FA69B5">
        <w:rPr>
          <w:rFonts w:ascii="Arial" w:eastAsia="Times New Roman" w:hAnsi="Arial" w:cs="Arial"/>
          <w:sz w:val="24"/>
          <w:szCs w:val="24"/>
          <w:lang w:eastAsia="en-GB"/>
        </w:rPr>
        <w:t>2</w:t>
      </w:r>
      <w:r w:rsidR="00721B93">
        <w:rPr>
          <w:rFonts w:ascii="Arial" w:eastAsia="Times New Roman" w:hAnsi="Arial" w:cs="Arial"/>
          <w:sz w:val="24"/>
          <w:szCs w:val="24"/>
          <w:lang w:eastAsia="en-GB"/>
        </w:rPr>
        <w:t xml:space="preserve">) </w:t>
      </w:r>
      <w:r w:rsidRPr="00664955">
        <w:rPr>
          <w:rFonts w:ascii="Arial" w:eastAsia="Times New Roman" w:hAnsi="Arial" w:cs="Arial"/>
          <w:sz w:val="24"/>
          <w:szCs w:val="24"/>
          <w:lang w:eastAsia="en-GB"/>
        </w:rPr>
        <w:t xml:space="preserve">The mid-twentieth century, particularly after World War II, was a watershed moment when formal definitions and academic discussions on CSR began, led by influential thinkers such as Bowen (1978), who is widely regarded as the "Father of Corporate Social Responsibility" for his seminal work on the subject. </w:t>
      </w:r>
      <w:r w:rsidR="00FA69B5">
        <w:rPr>
          <w:rFonts w:ascii="Arial" w:eastAsia="Times New Roman" w:hAnsi="Arial" w:cs="Arial"/>
          <w:sz w:val="24"/>
          <w:szCs w:val="24"/>
          <w:lang w:eastAsia="en-GB"/>
        </w:rPr>
        <w:t xml:space="preserve">Carroll (2016) </w:t>
      </w:r>
      <w:r w:rsidRPr="00664955">
        <w:rPr>
          <w:rFonts w:ascii="Arial" w:eastAsia="Times New Roman" w:hAnsi="Arial" w:cs="Arial"/>
          <w:sz w:val="24"/>
          <w:szCs w:val="24"/>
          <w:lang w:eastAsia="en-GB"/>
        </w:rPr>
        <w:t>CSR evolved over the decades, impacted by rising social consciousness and the emergence of environmental concerns, eventually leading to the operationalization of CSR in business operations and the incorporation of legislative frameworks in the 1970s (</w:t>
      </w:r>
      <w:proofErr w:type="spellStart"/>
      <w:r w:rsidRPr="00664955">
        <w:rPr>
          <w:rFonts w:ascii="Arial" w:eastAsia="Times New Roman" w:hAnsi="Arial" w:cs="Arial"/>
          <w:sz w:val="24"/>
          <w:szCs w:val="24"/>
          <w:lang w:eastAsia="en-GB"/>
        </w:rPr>
        <w:t>Kaittani</w:t>
      </w:r>
      <w:proofErr w:type="spellEnd"/>
      <w:r w:rsidRPr="00664955">
        <w:rPr>
          <w:rFonts w:ascii="Arial" w:eastAsia="Times New Roman" w:hAnsi="Arial" w:cs="Arial"/>
          <w:sz w:val="24"/>
          <w:szCs w:val="24"/>
          <w:lang w:eastAsia="en-GB"/>
        </w:rPr>
        <w:t xml:space="preserve">, 2023). </w:t>
      </w:r>
      <w:r w:rsidR="00F43F75">
        <w:rPr>
          <w:rFonts w:ascii="Arial" w:eastAsia="Times New Roman" w:hAnsi="Arial" w:cs="Arial"/>
          <w:sz w:val="24"/>
          <w:szCs w:val="24"/>
          <w:lang w:eastAsia="en-GB"/>
        </w:rPr>
        <w:t>The CSR covers environmental</w:t>
      </w:r>
      <w:r w:rsidR="009157A2">
        <w:rPr>
          <w:rFonts w:ascii="Arial" w:eastAsia="Times New Roman" w:hAnsi="Arial" w:cs="Arial"/>
          <w:sz w:val="24"/>
          <w:szCs w:val="24"/>
          <w:lang w:eastAsia="en-GB"/>
        </w:rPr>
        <w:t>,</w:t>
      </w:r>
      <w:r w:rsidR="00F43F75">
        <w:rPr>
          <w:rFonts w:ascii="Arial" w:eastAsia="Times New Roman" w:hAnsi="Arial" w:cs="Arial"/>
          <w:sz w:val="24"/>
          <w:szCs w:val="24"/>
          <w:lang w:eastAsia="en-GB"/>
        </w:rPr>
        <w:t xml:space="preserve"> </w:t>
      </w:r>
      <w:proofErr w:type="gramStart"/>
      <w:r w:rsidR="00F43F75">
        <w:rPr>
          <w:rFonts w:ascii="Arial" w:eastAsia="Times New Roman" w:hAnsi="Arial" w:cs="Arial"/>
          <w:sz w:val="24"/>
          <w:szCs w:val="24"/>
          <w:lang w:eastAsia="en-GB"/>
        </w:rPr>
        <w:t>social</w:t>
      </w:r>
      <w:proofErr w:type="gramEnd"/>
      <w:r w:rsidR="00F43F75">
        <w:rPr>
          <w:rFonts w:ascii="Arial" w:eastAsia="Times New Roman" w:hAnsi="Arial" w:cs="Arial"/>
          <w:sz w:val="24"/>
          <w:szCs w:val="24"/>
          <w:lang w:eastAsia="en-GB"/>
        </w:rPr>
        <w:t xml:space="preserve"> </w:t>
      </w:r>
      <w:r w:rsidR="007F4C5A">
        <w:rPr>
          <w:rFonts w:ascii="Arial" w:eastAsia="Times New Roman" w:hAnsi="Arial" w:cs="Arial"/>
          <w:sz w:val="24"/>
          <w:szCs w:val="24"/>
          <w:lang w:eastAsia="en-GB"/>
        </w:rPr>
        <w:t>and</w:t>
      </w:r>
      <w:r w:rsidR="00F43F75">
        <w:rPr>
          <w:rFonts w:ascii="Arial" w:eastAsia="Times New Roman" w:hAnsi="Arial" w:cs="Arial"/>
          <w:sz w:val="24"/>
          <w:szCs w:val="24"/>
          <w:lang w:eastAsia="en-GB"/>
        </w:rPr>
        <w:t xml:space="preserve"> </w:t>
      </w:r>
      <w:r w:rsidR="007F4C5A">
        <w:rPr>
          <w:rFonts w:ascii="Arial" w:eastAsia="Times New Roman" w:hAnsi="Arial" w:cs="Arial"/>
          <w:sz w:val="24"/>
          <w:szCs w:val="24"/>
          <w:lang w:eastAsia="en-GB"/>
        </w:rPr>
        <w:t>economic</w:t>
      </w:r>
      <w:r w:rsidR="00F43F75">
        <w:rPr>
          <w:rFonts w:ascii="Arial" w:eastAsia="Times New Roman" w:hAnsi="Arial" w:cs="Arial"/>
          <w:sz w:val="24"/>
          <w:szCs w:val="24"/>
          <w:lang w:eastAsia="en-GB"/>
        </w:rPr>
        <w:t xml:space="preserve"> </w:t>
      </w:r>
      <w:r w:rsidR="009157A2">
        <w:rPr>
          <w:rFonts w:ascii="Arial" w:eastAsia="Times New Roman" w:hAnsi="Arial" w:cs="Arial"/>
          <w:sz w:val="24"/>
          <w:szCs w:val="24"/>
          <w:lang w:eastAsia="en-GB"/>
        </w:rPr>
        <w:t xml:space="preserve">impact therefore the tourism </w:t>
      </w:r>
      <w:r w:rsidR="00B244A0">
        <w:rPr>
          <w:rFonts w:ascii="Arial" w:eastAsia="Times New Roman" w:hAnsi="Arial" w:cs="Arial"/>
          <w:sz w:val="24"/>
          <w:szCs w:val="24"/>
          <w:lang w:eastAsia="en-GB"/>
        </w:rPr>
        <w:t xml:space="preserve">industry must comply to create a sustainable plan for these areas to minimise negative </w:t>
      </w:r>
      <w:r w:rsidR="00FB5E28">
        <w:rPr>
          <w:rFonts w:ascii="Arial" w:eastAsia="Times New Roman" w:hAnsi="Arial" w:cs="Arial"/>
          <w:sz w:val="24"/>
          <w:szCs w:val="24"/>
          <w:lang w:eastAsia="en-GB"/>
        </w:rPr>
        <w:t xml:space="preserve">prints, therefore </w:t>
      </w:r>
      <w:r w:rsidR="00862F09" w:rsidRPr="009168DD">
        <w:rPr>
          <w:rFonts w:ascii="Arial" w:eastAsia="Times New Roman" w:hAnsi="Arial" w:cs="Arial"/>
          <w:sz w:val="24"/>
          <w:szCs w:val="24"/>
          <w:lang w:eastAsia="en-GB"/>
        </w:rPr>
        <w:t>Hilton</w:t>
      </w:r>
      <w:r w:rsidR="00FB5E28">
        <w:rPr>
          <w:rFonts w:ascii="Arial" w:eastAsia="Times New Roman" w:hAnsi="Arial" w:cs="Arial"/>
          <w:sz w:val="24"/>
          <w:szCs w:val="24"/>
          <w:lang w:eastAsia="en-GB"/>
        </w:rPr>
        <w:t xml:space="preserve"> (</w:t>
      </w:r>
      <w:r w:rsidR="00862F09" w:rsidRPr="009168DD">
        <w:rPr>
          <w:rFonts w:ascii="Arial" w:eastAsia="Times New Roman" w:hAnsi="Arial" w:cs="Arial"/>
          <w:sz w:val="24"/>
          <w:szCs w:val="24"/>
          <w:lang w:eastAsia="en-GB"/>
        </w:rPr>
        <w:t xml:space="preserve">2022) </w:t>
      </w:r>
      <w:r w:rsidR="00FB5E28">
        <w:rPr>
          <w:rFonts w:ascii="Arial" w:eastAsia="Times New Roman" w:hAnsi="Arial" w:cs="Arial"/>
          <w:sz w:val="24"/>
          <w:szCs w:val="24"/>
          <w:lang w:eastAsia="en-GB"/>
        </w:rPr>
        <w:t xml:space="preserve">communicates </w:t>
      </w:r>
      <w:r w:rsidR="007F4C5A">
        <w:rPr>
          <w:rFonts w:ascii="Arial" w:eastAsia="Times New Roman" w:hAnsi="Arial" w:cs="Arial"/>
          <w:sz w:val="24"/>
          <w:szCs w:val="24"/>
          <w:lang w:eastAsia="en-GB"/>
        </w:rPr>
        <w:t>their</w:t>
      </w:r>
      <w:r w:rsidR="007F4C5A" w:rsidRPr="009168DD">
        <w:rPr>
          <w:rFonts w:ascii="Arial" w:eastAsia="Times New Roman" w:hAnsi="Arial" w:cs="Arial"/>
          <w:sz w:val="24"/>
          <w:szCs w:val="24"/>
          <w:lang w:eastAsia="en-GB"/>
        </w:rPr>
        <w:t xml:space="preserve"> dedication</w:t>
      </w:r>
      <w:r w:rsidR="00862F09" w:rsidRPr="009168DD">
        <w:rPr>
          <w:rFonts w:ascii="Arial" w:eastAsia="Times New Roman" w:hAnsi="Arial" w:cs="Arial"/>
          <w:sz w:val="24"/>
          <w:szCs w:val="24"/>
          <w:lang w:eastAsia="en-GB"/>
        </w:rPr>
        <w:t xml:space="preserve"> to sustainability and corporate responsibility within the global travel and tourism sector</w:t>
      </w:r>
      <w:r w:rsidR="009F0FEE">
        <w:rPr>
          <w:rFonts w:ascii="Arial" w:eastAsia="Times New Roman" w:hAnsi="Arial" w:cs="Arial"/>
          <w:sz w:val="24"/>
          <w:szCs w:val="24"/>
          <w:lang w:eastAsia="en-GB"/>
        </w:rPr>
        <w:t>, where</w:t>
      </w:r>
      <w:r w:rsidR="00862F09" w:rsidRPr="009168DD">
        <w:rPr>
          <w:rFonts w:ascii="Arial" w:eastAsia="Times New Roman" w:hAnsi="Arial" w:cs="Arial"/>
          <w:sz w:val="24"/>
          <w:szCs w:val="24"/>
          <w:lang w:eastAsia="en-GB"/>
        </w:rPr>
        <w:t xml:space="preserve"> Hilton is driving the hospitality industry towards a net-zero carbon future, with ambitious targets to significantly reduce greenhouse gas emissions by 2030. These include a 75% </w:t>
      </w:r>
      <w:r w:rsidR="00862F09" w:rsidRPr="009168DD">
        <w:rPr>
          <w:rFonts w:ascii="Arial" w:eastAsia="Times New Roman" w:hAnsi="Arial" w:cs="Arial"/>
          <w:sz w:val="24"/>
          <w:szCs w:val="24"/>
          <w:lang w:eastAsia="en-GB"/>
        </w:rPr>
        <w:lastRenderedPageBreak/>
        <w:t>reduction in emissions intensity from managed properties and 56% from franchised properties</w:t>
      </w:r>
      <w:r w:rsidR="00A106EA" w:rsidRPr="009168DD">
        <w:rPr>
          <w:rFonts w:ascii="Arial" w:eastAsia="Times New Roman" w:hAnsi="Arial" w:cs="Arial"/>
          <w:sz w:val="24"/>
          <w:szCs w:val="24"/>
          <w:lang w:eastAsia="en-GB"/>
        </w:rPr>
        <w:t>,</w:t>
      </w:r>
      <w:r w:rsidR="00862F09" w:rsidRPr="009168DD">
        <w:rPr>
          <w:rFonts w:ascii="Arial" w:eastAsia="Times New Roman" w:hAnsi="Arial" w:cs="Arial"/>
          <w:sz w:val="24"/>
          <w:szCs w:val="24"/>
          <w:lang w:eastAsia="en-GB"/>
        </w:rPr>
        <w:t xml:space="preserve"> </w:t>
      </w:r>
      <w:r w:rsidR="00A106EA" w:rsidRPr="009168DD">
        <w:rPr>
          <w:rFonts w:ascii="Arial" w:eastAsia="Times New Roman" w:hAnsi="Arial" w:cs="Arial"/>
          <w:sz w:val="24"/>
          <w:szCs w:val="24"/>
          <w:lang w:eastAsia="en-GB"/>
        </w:rPr>
        <w:t>t</w:t>
      </w:r>
      <w:r w:rsidR="00862F09" w:rsidRPr="009168DD">
        <w:rPr>
          <w:rFonts w:ascii="Arial" w:eastAsia="Times New Roman" w:hAnsi="Arial" w:cs="Arial"/>
          <w:sz w:val="24"/>
          <w:szCs w:val="24"/>
          <w:lang w:eastAsia="en-GB"/>
        </w:rPr>
        <w:t>hey are also committed to halving their water use and landfill waste</w:t>
      </w:r>
      <w:r w:rsidR="00A106EA" w:rsidRPr="009168DD">
        <w:rPr>
          <w:rFonts w:ascii="Arial" w:eastAsia="Times New Roman" w:hAnsi="Arial" w:cs="Arial"/>
          <w:sz w:val="24"/>
          <w:szCs w:val="24"/>
          <w:lang w:eastAsia="en-GB"/>
        </w:rPr>
        <w:t>.</w:t>
      </w:r>
    </w:p>
    <w:p w14:paraId="7B07E438" w14:textId="77777777" w:rsidR="00862F09" w:rsidRPr="009168DD" w:rsidRDefault="00862F09" w:rsidP="009168DD">
      <w:pPr>
        <w:spacing w:after="240" w:line="480" w:lineRule="auto"/>
        <w:jc w:val="both"/>
        <w:rPr>
          <w:rFonts w:ascii="Arial" w:eastAsia="Times New Roman" w:hAnsi="Arial" w:cs="Arial"/>
          <w:sz w:val="24"/>
          <w:szCs w:val="24"/>
          <w:lang w:eastAsia="en-GB"/>
        </w:rPr>
      </w:pPr>
    </w:p>
    <w:p w14:paraId="23FAEA93" w14:textId="77777777" w:rsidR="00862F09" w:rsidRPr="009168DD" w:rsidRDefault="00862F09" w:rsidP="009168DD">
      <w:pPr>
        <w:spacing w:after="240" w:line="480" w:lineRule="auto"/>
        <w:jc w:val="both"/>
        <w:rPr>
          <w:rFonts w:ascii="Arial" w:eastAsia="Times New Roman" w:hAnsi="Arial" w:cs="Arial"/>
          <w:sz w:val="24"/>
          <w:szCs w:val="24"/>
          <w:lang w:eastAsia="en-GB"/>
        </w:rPr>
      </w:pPr>
    </w:p>
    <w:p w14:paraId="7155D385" w14:textId="4E09AA80" w:rsidR="00762211" w:rsidRDefault="00664955" w:rsidP="009168DD">
      <w:pPr>
        <w:spacing w:after="240" w:line="480" w:lineRule="auto"/>
        <w:jc w:val="both"/>
        <w:rPr>
          <w:rFonts w:ascii="Arial" w:eastAsia="Times New Roman" w:hAnsi="Arial" w:cs="Arial"/>
          <w:sz w:val="24"/>
          <w:szCs w:val="24"/>
          <w:lang w:eastAsia="en-GB"/>
        </w:rPr>
      </w:pPr>
      <w:r w:rsidRPr="00664955">
        <w:rPr>
          <w:rFonts w:ascii="Arial" w:eastAsia="Times New Roman" w:hAnsi="Arial" w:cs="Arial"/>
          <w:sz w:val="24"/>
          <w:szCs w:val="24"/>
          <w:lang w:eastAsia="en-GB"/>
        </w:rPr>
        <w:t>In response to increased environmental and social activism, authorities like as the Environmental Protection Agency</w:t>
      </w:r>
      <w:r w:rsidR="009F0FEE">
        <w:rPr>
          <w:rFonts w:ascii="Arial" w:eastAsia="Times New Roman" w:hAnsi="Arial" w:cs="Arial"/>
          <w:sz w:val="24"/>
          <w:szCs w:val="24"/>
          <w:lang w:eastAsia="en-GB"/>
        </w:rPr>
        <w:t xml:space="preserve"> (2024),</w:t>
      </w:r>
      <w:r w:rsidRPr="00664955">
        <w:rPr>
          <w:rFonts w:ascii="Arial" w:eastAsia="Times New Roman" w:hAnsi="Arial" w:cs="Arial"/>
          <w:sz w:val="24"/>
          <w:szCs w:val="24"/>
          <w:lang w:eastAsia="en-GB"/>
        </w:rPr>
        <w:t xml:space="preserve"> (EPA) were established during this time, furthering the integration of CSR into corporate governance. CSR became strategically significant in the context of globalisation, as multinational firms faced diverse and complicated contexts, resulting in the global institutionalisation of CSR activities. This age also witnessed the birth of strategic CSR, which aimed to promote shared values by connecting social efforts with fundamental corporate strategy and addressing the interests of stakeholders other than shareholders. (Antonaras and Dekoulou. 2019). The ongoing evolution of CSR reflects altering paradigms and public expectations, emphasising its importance in modern corporate operations and possible adaptation to future problems and global trends. </w:t>
      </w:r>
    </w:p>
    <w:p w14:paraId="769B6289" w14:textId="03EE8B69" w:rsidR="0057794D" w:rsidRPr="009168DD" w:rsidRDefault="00664955" w:rsidP="009168DD">
      <w:pPr>
        <w:spacing w:after="240" w:line="480" w:lineRule="auto"/>
        <w:jc w:val="both"/>
        <w:rPr>
          <w:rFonts w:ascii="Arial" w:eastAsia="Times New Roman" w:hAnsi="Arial" w:cs="Arial"/>
          <w:sz w:val="24"/>
          <w:szCs w:val="24"/>
          <w:lang w:eastAsia="en-GB"/>
        </w:rPr>
      </w:pPr>
      <w:r w:rsidRPr="00664955">
        <w:rPr>
          <w:rFonts w:ascii="Arial" w:eastAsia="Times New Roman" w:hAnsi="Arial" w:cs="Arial"/>
          <w:sz w:val="24"/>
          <w:szCs w:val="24"/>
          <w:lang w:eastAsia="en-GB"/>
        </w:rPr>
        <w:br/>
      </w:r>
      <w:r w:rsidR="00762211" w:rsidRPr="00762211">
        <w:rPr>
          <w:rFonts w:ascii="Arial" w:eastAsia="Times New Roman" w:hAnsi="Arial" w:cs="Arial"/>
          <w:sz w:val="24"/>
          <w:szCs w:val="24"/>
          <w:lang w:eastAsia="en-GB"/>
        </w:rPr>
        <w:t>The concept of Corporate Social Responsibility (CSR) has become integral to the operations of hotel brands globally, transcending traditional practices to encompass a broad range of initiatives that enhance both community well-being and corporate reputation. Amidst the challenges of the pandemic, the hospitality industry has exemplified its commitment to CSR through various impactful actions.</w:t>
      </w:r>
      <w:r w:rsidR="00762211">
        <w:rPr>
          <w:rFonts w:ascii="Arial" w:eastAsia="Times New Roman" w:hAnsi="Arial" w:cs="Arial"/>
          <w:sz w:val="24"/>
          <w:szCs w:val="24"/>
          <w:lang w:eastAsia="en-GB"/>
        </w:rPr>
        <w:t xml:space="preserve"> </w:t>
      </w:r>
      <w:r w:rsidR="00E6134E" w:rsidRPr="00E6134E">
        <w:rPr>
          <w:rFonts w:ascii="Arial" w:eastAsia="Times New Roman" w:hAnsi="Arial" w:cs="Arial"/>
          <w:sz w:val="24"/>
          <w:szCs w:val="24"/>
          <w:lang w:eastAsia="en-GB"/>
        </w:rPr>
        <w:t xml:space="preserve">Li </w:t>
      </w:r>
      <w:r w:rsidR="0041715F">
        <w:rPr>
          <w:rFonts w:ascii="Arial" w:eastAsia="Times New Roman" w:hAnsi="Arial" w:cs="Arial"/>
          <w:sz w:val="24"/>
          <w:szCs w:val="24"/>
          <w:lang w:eastAsia="en-GB"/>
        </w:rPr>
        <w:t>(</w:t>
      </w:r>
      <w:r w:rsidR="00E6134E" w:rsidRPr="00E6134E">
        <w:rPr>
          <w:rFonts w:ascii="Arial" w:eastAsia="Times New Roman" w:hAnsi="Arial" w:cs="Arial"/>
          <w:sz w:val="24"/>
          <w:szCs w:val="24"/>
          <w:lang w:eastAsia="en-GB"/>
        </w:rPr>
        <w:t>2020)</w:t>
      </w:r>
      <w:r w:rsidR="00E6134E">
        <w:rPr>
          <w:rFonts w:ascii="Arial" w:eastAsia="Times New Roman" w:hAnsi="Arial" w:cs="Arial"/>
          <w:sz w:val="24"/>
          <w:szCs w:val="24"/>
          <w:lang w:eastAsia="en-GB"/>
        </w:rPr>
        <w:t xml:space="preserve"> </w:t>
      </w:r>
      <w:r w:rsidRPr="00664955">
        <w:rPr>
          <w:rFonts w:ascii="Arial" w:eastAsia="Times New Roman" w:hAnsi="Arial" w:cs="Arial"/>
          <w:sz w:val="24"/>
          <w:szCs w:val="24"/>
          <w:lang w:eastAsia="en-GB"/>
        </w:rPr>
        <w:t>In a highly competitive sector, hotels are constantly seeking for methods to differentiate themselves</w:t>
      </w:r>
      <w:r w:rsidR="0041715F">
        <w:rPr>
          <w:rFonts w:ascii="Arial" w:eastAsia="Times New Roman" w:hAnsi="Arial" w:cs="Arial"/>
          <w:sz w:val="24"/>
          <w:szCs w:val="24"/>
          <w:lang w:eastAsia="en-GB"/>
        </w:rPr>
        <w:t xml:space="preserve">, </w:t>
      </w:r>
      <w:r w:rsidRPr="00664955">
        <w:rPr>
          <w:rFonts w:ascii="Arial" w:eastAsia="Times New Roman" w:hAnsi="Arial" w:cs="Arial"/>
          <w:sz w:val="24"/>
          <w:szCs w:val="24"/>
          <w:lang w:eastAsia="en-GB"/>
        </w:rPr>
        <w:t xml:space="preserve">CSR is becoming an increasingly important aspect in this difference, and hotels that fail to implement successful CSR strategies risk falling behind, as </w:t>
      </w:r>
      <w:r w:rsidRPr="00664955">
        <w:rPr>
          <w:rFonts w:ascii="Arial" w:eastAsia="Times New Roman" w:hAnsi="Arial" w:cs="Arial"/>
          <w:sz w:val="24"/>
          <w:szCs w:val="24"/>
          <w:lang w:eastAsia="en-GB"/>
        </w:rPr>
        <w:lastRenderedPageBreak/>
        <w:t>competitors who embrace sustainability are likely to be preferred by both new and returning guests (Chen et al., 2022). Furthermore, many corporate clients increasingly want their business travel hotels to satisfy specified sustainability standards, making CSR an important factor in recruiting business travellers (Agag and Colmekcioglu, 2020).</w:t>
      </w:r>
      <w:r w:rsidRPr="00664955">
        <w:rPr>
          <w:rFonts w:ascii="Arial" w:eastAsia="Times New Roman" w:hAnsi="Arial" w:cs="Arial"/>
          <w:sz w:val="24"/>
          <w:szCs w:val="24"/>
          <w:lang w:eastAsia="en-GB"/>
        </w:rPr>
        <w:br/>
        <w:t xml:space="preserve">Another key element in implementing CSR in hotel operations is legal compliance, as governments throughout the world tighten environmental legislation and set greater expectations for corporate behaviour (Li et al., 2020). Hotels that are proactive in their CSR practices are better positioned to comply with these regulations, avoiding penalties and potential legal issues (Gentinetta and Etemad-Sajadi, 2023). Anticipating future regulations can also give hotels a competitive advantage by preparing them for when new policies become mandatory. </w:t>
      </w:r>
    </w:p>
    <w:p w14:paraId="37A71ED8" w14:textId="2378E20C" w:rsidR="001D7DDE" w:rsidRPr="001D7DDE" w:rsidRDefault="001D7DDE" w:rsidP="009168DD">
      <w:pPr>
        <w:spacing w:line="480" w:lineRule="auto"/>
        <w:jc w:val="both"/>
        <w:rPr>
          <w:rFonts w:ascii="Arial" w:eastAsia="Times New Roman" w:hAnsi="Arial" w:cs="Arial"/>
          <w:sz w:val="24"/>
          <w:szCs w:val="24"/>
          <w:lang w:eastAsia="en-GB"/>
        </w:rPr>
      </w:pPr>
      <w:r w:rsidRPr="001D7DDE">
        <w:rPr>
          <w:rFonts w:ascii="Arial" w:eastAsia="Times New Roman" w:hAnsi="Arial" w:cs="Arial"/>
          <w:sz w:val="24"/>
          <w:szCs w:val="24"/>
          <w:lang w:eastAsia="en-GB"/>
        </w:rPr>
        <w:t xml:space="preserve">Hilton (2024) A comprehensive and ambitious approach to environmental stewardship and sustainability, aligning operations with global climate targets and industry-leading techniques to reduce environmental impact. Hilton's commitment to achieving a net-zero carbon future is central to its operating strategy. The introduction of the </w:t>
      </w:r>
      <w:r w:rsidR="0001196C" w:rsidRPr="001D7DDE">
        <w:rPr>
          <w:rFonts w:ascii="Arial" w:eastAsia="Times New Roman" w:hAnsi="Arial" w:cs="Arial"/>
          <w:sz w:val="24"/>
          <w:szCs w:val="24"/>
          <w:lang w:eastAsia="en-GB"/>
        </w:rPr>
        <w:t>Light Stay</w:t>
      </w:r>
      <w:r w:rsidRPr="001D7DDE">
        <w:rPr>
          <w:rFonts w:ascii="Arial" w:eastAsia="Times New Roman" w:hAnsi="Arial" w:cs="Arial"/>
          <w:sz w:val="24"/>
          <w:szCs w:val="24"/>
          <w:lang w:eastAsia="en-GB"/>
        </w:rPr>
        <w:t xml:space="preserve"> system in 2009 marked the start of an organised strategy to measuring, reporting, and improving environmental performance across Hilton's properties. This initiative not only demonstrates Hilton's long-standing commitment to sustainability, but also places the company as a leader in climate action in the hospitality sector. By establishing science-based targets for decreasing greenhouse gas emissions in compliance with the Paris Agreement</w:t>
      </w:r>
      <w:r w:rsidR="00D21CFC" w:rsidRPr="009168DD">
        <w:rPr>
          <w:rFonts w:ascii="Arial" w:eastAsia="Times New Roman" w:hAnsi="Arial" w:cs="Arial"/>
          <w:sz w:val="24"/>
          <w:szCs w:val="24"/>
          <w:lang w:eastAsia="en-GB"/>
        </w:rPr>
        <w:t xml:space="preserve"> by UNFCCC (2023)</w:t>
      </w:r>
      <w:r w:rsidRPr="001D7DDE">
        <w:rPr>
          <w:rFonts w:ascii="Arial" w:eastAsia="Times New Roman" w:hAnsi="Arial" w:cs="Arial"/>
          <w:sz w:val="24"/>
          <w:szCs w:val="24"/>
          <w:lang w:eastAsia="en-GB"/>
        </w:rPr>
        <w:t>, Hilton not only follows international climate standards but also sets a standard for the industry. The launch of Hotel Marcel New Haven, the first net-zero carbon emissions hotel in the United States, marks a historic milestone</w:t>
      </w:r>
      <w:r w:rsidR="00CA3B64" w:rsidRPr="009168DD">
        <w:rPr>
          <w:rFonts w:ascii="Arial" w:eastAsia="Times New Roman" w:hAnsi="Arial" w:cs="Arial"/>
          <w:sz w:val="24"/>
          <w:szCs w:val="24"/>
          <w:lang w:eastAsia="en-GB"/>
        </w:rPr>
        <w:t>,</w:t>
      </w:r>
      <w:r w:rsidRPr="001D7DDE">
        <w:rPr>
          <w:rFonts w:ascii="Arial" w:eastAsia="Times New Roman" w:hAnsi="Arial" w:cs="Arial"/>
          <w:sz w:val="24"/>
          <w:szCs w:val="24"/>
          <w:lang w:eastAsia="en-GB"/>
        </w:rPr>
        <w:t xml:space="preserve"> showcases Hilton's pioneering efforts to create sustainable infrastructure. </w:t>
      </w:r>
      <w:r w:rsidRPr="001D7DDE">
        <w:rPr>
          <w:rFonts w:ascii="Arial" w:eastAsia="Times New Roman" w:hAnsi="Arial" w:cs="Arial"/>
          <w:sz w:val="24"/>
          <w:szCs w:val="24"/>
          <w:lang w:eastAsia="en-GB"/>
        </w:rPr>
        <w:lastRenderedPageBreak/>
        <w:t>Hilton is working to reach its objective of reducing Scope 1 and 2 carbon intensity by 61% by 2030 by prioritising energy efficiency and the integration of renewable power sources</w:t>
      </w:r>
      <w:r w:rsidR="0039049B" w:rsidRPr="009168DD">
        <w:rPr>
          <w:rFonts w:ascii="Arial" w:eastAsia="Times New Roman" w:hAnsi="Arial" w:cs="Arial"/>
          <w:sz w:val="24"/>
          <w:szCs w:val="24"/>
          <w:lang w:eastAsia="en-GB"/>
        </w:rPr>
        <w:t xml:space="preserve"> (IEA, 2020)</w:t>
      </w:r>
      <w:r w:rsidRPr="001D7DDE">
        <w:rPr>
          <w:rFonts w:ascii="Arial" w:eastAsia="Times New Roman" w:hAnsi="Arial" w:cs="Arial"/>
          <w:sz w:val="24"/>
          <w:szCs w:val="24"/>
          <w:lang w:eastAsia="en-GB"/>
        </w:rPr>
        <w:t xml:space="preserve">. These efforts immediately contribute to lower operational costs and environmental effect, demonstrating a viable paradigm of sustainability in hospitality. </w:t>
      </w:r>
    </w:p>
    <w:p w14:paraId="1ED66A08" w14:textId="318B4A8A" w:rsidR="00B57844" w:rsidRPr="00B57844" w:rsidRDefault="00B57844" w:rsidP="009168DD">
      <w:pPr>
        <w:spacing w:line="480" w:lineRule="auto"/>
        <w:jc w:val="both"/>
        <w:rPr>
          <w:rFonts w:ascii="Arial" w:eastAsia="Times New Roman" w:hAnsi="Arial" w:cs="Arial"/>
          <w:sz w:val="24"/>
          <w:szCs w:val="24"/>
          <w:lang w:eastAsia="en-GB"/>
        </w:rPr>
      </w:pPr>
      <w:r w:rsidRPr="00B57844">
        <w:rPr>
          <w:rFonts w:ascii="Arial" w:eastAsia="Times New Roman" w:hAnsi="Arial" w:cs="Arial"/>
          <w:sz w:val="24"/>
          <w:szCs w:val="24"/>
          <w:lang w:eastAsia="en-GB"/>
        </w:rPr>
        <w:t>Hilton's 2022 Environmental, Social, and Governance (ESG) Report emphasises the company's overall commitment to sustainability, social responsibility, and governance. The report adheres to Global Reporting Initiative</w:t>
      </w:r>
      <w:r w:rsidR="00C4011F" w:rsidRPr="009168DD">
        <w:rPr>
          <w:rFonts w:ascii="Arial" w:eastAsia="Times New Roman" w:hAnsi="Arial" w:cs="Arial"/>
          <w:sz w:val="24"/>
          <w:szCs w:val="24"/>
          <w:lang w:eastAsia="en-GB"/>
        </w:rPr>
        <w:t xml:space="preserve"> (Greenly 2024)</w:t>
      </w:r>
      <w:r w:rsidRPr="00B57844">
        <w:rPr>
          <w:rFonts w:ascii="Arial" w:eastAsia="Times New Roman" w:hAnsi="Arial" w:cs="Arial"/>
          <w:sz w:val="24"/>
          <w:szCs w:val="24"/>
          <w:lang w:eastAsia="en-GB"/>
        </w:rPr>
        <w:t xml:space="preserve"> guidelines and contains suggestions from the Sustainability Accounting Standards Board and the Taskforce on Climate-related Financial Disclosures. Hilton's social programmes aim to promote inclusive growth and cultural enrichment in communities worldwide. This includes creating a culture that benefits team members, business partners, and local communities by promoting career possibilities, community resilience, and ethical sourcing. </w:t>
      </w:r>
      <w:r w:rsidRPr="00B57844">
        <w:rPr>
          <w:rFonts w:ascii="Arial" w:eastAsia="Times New Roman" w:hAnsi="Arial" w:cs="Arial"/>
          <w:sz w:val="24"/>
          <w:szCs w:val="24"/>
          <w:lang w:eastAsia="en-GB"/>
        </w:rPr>
        <w:br/>
        <w:t xml:space="preserve">Hilton's commitment to social impact is demonstrated by creating millions of job opportunities by 2030 and improving communities through the Hilton Global Foundation. The report emphasises Hilton's commitment to human rights and diversity, as well as equity and inclusion, with the goal of making a good social effect and providing an inclusive workplace for all stakeholders. This underscores Hilton's overall objective of integrating company operations with community-focused projects, demonstrating a comprehensive approach to corporate social </w:t>
      </w:r>
      <w:r w:rsidR="0001196C" w:rsidRPr="00B57844">
        <w:rPr>
          <w:rFonts w:ascii="Arial" w:eastAsia="Times New Roman" w:hAnsi="Arial" w:cs="Arial"/>
          <w:sz w:val="24"/>
          <w:szCs w:val="24"/>
          <w:lang w:eastAsia="en-GB"/>
        </w:rPr>
        <w:t>responsibility. Hilton’s</w:t>
      </w:r>
      <w:r w:rsidRPr="00B57844">
        <w:rPr>
          <w:rFonts w:ascii="Arial" w:eastAsia="Times New Roman" w:hAnsi="Arial" w:cs="Arial"/>
          <w:sz w:val="24"/>
          <w:szCs w:val="24"/>
          <w:lang w:eastAsia="en-GB"/>
        </w:rPr>
        <w:t xml:space="preserve"> aggressive water stewardship and waste reduction measures demonstrate its comprehensive approach to sustainability. Hilton's commitment to reducing water consumption intensity by 50% by 2030 and implementing community water projects demonstrates how important it is to preserve natural resources and support the </w:t>
      </w:r>
      <w:r w:rsidRPr="00B57844">
        <w:rPr>
          <w:rFonts w:ascii="Arial" w:eastAsia="Times New Roman" w:hAnsi="Arial" w:cs="Arial"/>
          <w:sz w:val="24"/>
          <w:szCs w:val="24"/>
          <w:lang w:eastAsia="en-GB"/>
        </w:rPr>
        <w:lastRenderedPageBreak/>
        <w:t>communities in which it operates. Furthermore, the goal to reduce waste by 50% by the same year through programmes such as recycling, food upcycling, and donations demonstrates a shift towards a circular economy, which is critical for lowering the hospitality industry's footprint and improving environmental resilience. Overall, Hilton's environmental policy is comprehensive, tackling several facets of sustainability, such as emissions, waste, and water consumption, which not only helps to conserve and preserve the environment but also increases the company's competitiveness in the increasingly eco-conscious tourism industry. Hilton's initiatives set a standard for the industry, demonstrating that environmental stewardship can coexist with revenue and customer happiness</w:t>
      </w:r>
      <w:r w:rsidR="00B44108" w:rsidRPr="009168DD">
        <w:rPr>
          <w:rFonts w:ascii="Arial" w:eastAsia="Times New Roman" w:hAnsi="Arial" w:cs="Arial"/>
          <w:sz w:val="24"/>
          <w:szCs w:val="24"/>
          <w:lang w:eastAsia="en-GB"/>
        </w:rPr>
        <w:t>,</w:t>
      </w:r>
      <w:r w:rsidRPr="00B57844">
        <w:rPr>
          <w:rFonts w:ascii="Arial" w:eastAsia="Times New Roman" w:hAnsi="Arial" w:cs="Arial"/>
          <w:sz w:val="24"/>
          <w:szCs w:val="24"/>
          <w:lang w:eastAsia="en-GB"/>
        </w:rPr>
        <w:t xml:space="preserve"> </w:t>
      </w:r>
      <w:r w:rsidR="0001196C" w:rsidRPr="00B57844">
        <w:rPr>
          <w:rFonts w:ascii="Arial" w:eastAsia="Times New Roman" w:hAnsi="Arial" w:cs="Arial"/>
          <w:sz w:val="24"/>
          <w:szCs w:val="24"/>
          <w:lang w:eastAsia="en-GB"/>
        </w:rPr>
        <w:t>this</w:t>
      </w:r>
      <w:r w:rsidRPr="00B57844">
        <w:rPr>
          <w:rFonts w:ascii="Arial" w:eastAsia="Times New Roman" w:hAnsi="Arial" w:cs="Arial"/>
          <w:sz w:val="24"/>
          <w:szCs w:val="24"/>
          <w:lang w:eastAsia="en-GB"/>
        </w:rPr>
        <w:t xml:space="preserve"> integrated approach to environmental and corporate responsibility is expected to impact industry norms and encourage other companies to follow suit, resulting in a more sustainable future for the global hospitality industry. The corporation has made significant investments in sustainable energy, including a 1.5-megawatt solar array at Grand Wailea. Other initiatives include geothermal power generation and extensive energy efficiency modifications throughout their portfolio. Hilton engages in high-profile sustainability initiatives, including as the U.S. Department of Energy's Better Climate Challenge</w:t>
      </w:r>
      <w:r w:rsidR="00266AD4" w:rsidRPr="009168DD">
        <w:rPr>
          <w:rFonts w:ascii="Arial" w:eastAsia="Times New Roman" w:hAnsi="Arial" w:cs="Arial"/>
          <w:sz w:val="24"/>
          <w:szCs w:val="24"/>
          <w:lang w:eastAsia="en-GB"/>
        </w:rPr>
        <w:t xml:space="preserve"> (Energy Gov, 2024)</w:t>
      </w:r>
      <w:r w:rsidRPr="00B57844">
        <w:rPr>
          <w:rFonts w:ascii="Arial" w:eastAsia="Times New Roman" w:hAnsi="Arial" w:cs="Arial"/>
          <w:sz w:val="24"/>
          <w:szCs w:val="24"/>
          <w:lang w:eastAsia="en-GB"/>
        </w:rPr>
        <w:t>, and follows the SBTi's rigorous, science-based emission reduction targets. Hilton is dedicated to developing an inclusive workforce, with the goal of reaching 50% gender diversity and significant ethnic diversity in leadership roles by 2030</w:t>
      </w:r>
      <w:r w:rsidR="00E61ECB" w:rsidRPr="009168DD">
        <w:rPr>
          <w:rFonts w:ascii="Arial" w:eastAsia="Times New Roman" w:hAnsi="Arial" w:cs="Arial"/>
          <w:sz w:val="24"/>
          <w:szCs w:val="24"/>
          <w:lang w:eastAsia="en-GB"/>
        </w:rPr>
        <w:t xml:space="preserve"> (Hilton, 2022b)</w:t>
      </w:r>
      <w:r w:rsidRPr="00B57844">
        <w:rPr>
          <w:rFonts w:ascii="Arial" w:eastAsia="Times New Roman" w:hAnsi="Arial" w:cs="Arial"/>
          <w:sz w:val="24"/>
          <w:szCs w:val="24"/>
          <w:lang w:eastAsia="en-GB"/>
        </w:rPr>
        <w:t xml:space="preserve">. </w:t>
      </w:r>
      <w:r w:rsidR="00B77A7E" w:rsidRPr="009168DD">
        <w:rPr>
          <w:rFonts w:ascii="Arial" w:eastAsia="Times New Roman" w:hAnsi="Arial" w:cs="Arial"/>
          <w:sz w:val="24"/>
          <w:szCs w:val="24"/>
          <w:lang w:eastAsia="en-GB"/>
        </w:rPr>
        <w:t>C</w:t>
      </w:r>
      <w:r w:rsidRPr="00B57844">
        <w:rPr>
          <w:rFonts w:ascii="Arial" w:eastAsia="Times New Roman" w:hAnsi="Arial" w:cs="Arial"/>
          <w:sz w:val="24"/>
          <w:szCs w:val="24"/>
          <w:lang w:eastAsia="en-GB"/>
        </w:rPr>
        <w:t>ommunity engagement, emphasising sustainability, human rights, and economic empowerment</w:t>
      </w:r>
      <w:r w:rsidR="00B77A7E" w:rsidRPr="009168DD">
        <w:rPr>
          <w:rFonts w:ascii="Arial" w:eastAsia="Times New Roman" w:hAnsi="Arial" w:cs="Arial"/>
          <w:sz w:val="24"/>
          <w:szCs w:val="24"/>
          <w:lang w:eastAsia="en-GB"/>
        </w:rPr>
        <w:t xml:space="preserve"> is an important factor in today</w:t>
      </w:r>
      <w:r w:rsidR="0041715F">
        <w:rPr>
          <w:rFonts w:ascii="Arial" w:eastAsia="Times New Roman" w:hAnsi="Arial" w:cs="Arial"/>
          <w:sz w:val="24"/>
          <w:szCs w:val="24"/>
          <w:lang w:eastAsia="en-GB"/>
        </w:rPr>
        <w:t>’</w:t>
      </w:r>
      <w:r w:rsidR="00B77A7E" w:rsidRPr="009168DD">
        <w:rPr>
          <w:rFonts w:ascii="Arial" w:eastAsia="Times New Roman" w:hAnsi="Arial" w:cs="Arial"/>
          <w:sz w:val="24"/>
          <w:szCs w:val="24"/>
          <w:lang w:eastAsia="en-GB"/>
        </w:rPr>
        <w:t xml:space="preserve">s </w:t>
      </w:r>
      <w:r w:rsidR="00AD23A1" w:rsidRPr="009168DD">
        <w:rPr>
          <w:rFonts w:ascii="Arial" w:eastAsia="Times New Roman" w:hAnsi="Arial" w:cs="Arial"/>
          <w:sz w:val="24"/>
          <w:szCs w:val="24"/>
          <w:lang w:eastAsia="en-GB"/>
        </w:rPr>
        <w:t>workfor</w:t>
      </w:r>
      <w:r w:rsidR="0041715F">
        <w:rPr>
          <w:rFonts w:ascii="Arial" w:eastAsia="Times New Roman" w:hAnsi="Arial" w:cs="Arial"/>
          <w:sz w:val="24"/>
          <w:szCs w:val="24"/>
          <w:lang w:eastAsia="en-GB"/>
        </w:rPr>
        <w:t>c</w:t>
      </w:r>
      <w:r w:rsidR="00AD23A1" w:rsidRPr="009168DD">
        <w:rPr>
          <w:rFonts w:ascii="Arial" w:eastAsia="Times New Roman" w:hAnsi="Arial" w:cs="Arial"/>
          <w:sz w:val="24"/>
          <w:szCs w:val="24"/>
          <w:lang w:eastAsia="en-GB"/>
        </w:rPr>
        <w:t xml:space="preserve">e perspective (Ohmer et al., 2022) therefore in </w:t>
      </w:r>
      <w:r w:rsidR="002277A9" w:rsidRPr="009168DD">
        <w:rPr>
          <w:rFonts w:ascii="Arial" w:eastAsia="Times New Roman" w:hAnsi="Arial" w:cs="Arial"/>
          <w:sz w:val="24"/>
          <w:szCs w:val="24"/>
          <w:lang w:eastAsia="en-GB"/>
        </w:rPr>
        <w:t>Hiltons</w:t>
      </w:r>
      <w:r w:rsidR="00AD23A1" w:rsidRPr="009168DD">
        <w:rPr>
          <w:rFonts w:ascii="Arial" w:eastAsia="Times New Roman" w:hAnsi="Arial" w:cs="Arial"/>
          <w:sz w:val="24"/>
          <w:szCs w:val="24"/>
          <w:lang w:eastAsia="en-GB"/>
        </w:rPr>
        <w:t xml:space="preserve"> </w:t>
      </w:r>
      <w:r w:rsidR="002277A9" w:rsidRPr="009168DD">
        <w:rPr>
          <w:rFonts w:ascii="Arial" w:eastAsia="Times New Roman" w:hAnsi="Arial" w:cs="Arial"/>
          <w:sz w:val="24"/>
          <w:szCs w:val="24"/>
          <w:lang w:eastAsia="en-GB"/>
        </w:rPr>
        <w:t>reports</w:t>
      </w:r>
      <w:r w:rsidR="00AD23A1" w:rsidRPr="009168DD">
        <w:rPr>
          <w:rFonts w:ascii="Arial" w:eastAsia="Times New Roman" w:hAnsi="Arial" w:cs="Arial"/>
          <w:sz w:val="24"/>
          <w:szCs w:val="24"/>
          <w:lang w:eastAsia="en-GB"/>
        </w:rPr>
        <w:t xml:space="preserve"> the organisation it is advertising aggressively </w:t>
      </w:r>
      <w:r w:rsidR="002277A9" w:rsidRPr="009168DD">
        <w:rPr>
          <w:rFonts w:ascii="Arial" w:eastAsia="Times New Roman" w:hAnsi="Arial" w:cs="Arial"/>
          <w:sz w:val="24"/>
          <w:szCs w:val="24"/>
          <w:lang w:eastAsia="en-GB"/>
        </w:rPr>
        <w:t>these aspects</w:t>
      </w:r>
      <w:r w:rsidRPr="00B57844">
        <w:rPr>
          <w:rFonts w:ascii="Arial" w:eastAsia="Times New Roman" w:hAnsi="Arial" w:cs="Arial"/>
          <w:sz w:val="24"/>
          <w:szCs w:val="24"/>
          <w:lang w:eastAsia="en-GB"/>
        </w:rPr>
        <w:t xml:space="preserve">. The study describes Hilton's governance model, which is based on comprehensive ESG policies </w:t>
      </w:r>
      <w:r w:rsidR="0021101D" w:rsidRPr="009168DD">
        <w:rPr>
          <w:rFonts w:ascii="Arial" w:eastAsia="Times New Roman" w:hAnsi="Arial" w:cs="Arial"/>
          <w:sz w:val="24"/>
          <w:szCs w:val="24"/>
          <w:lang w:eastAsia="en-GB"/>
        </w:rPr>
        <w:t xml:space="preserve">(Reed, 2022) </w:t>
      </w:r>
      <w:r w:rsidRPr="00B57844">
        <w:rPr>
          <w:rFonts w:ascii="Arial" w:eastAsia="Times New Roman" w:hAnsi="Arial" w:cs="Arial"/>
          <w:sz w:val="24"/>
          <w:szCs w:val="24"/>
          <w:lang w:eastAsia="en-GB"/>
        </w:rPr>
        <w:t xml:space="preserve">and proactive public relations tactics to support their sustainable </w:t>
      </w:r>
      <w:r w:rsidRPr="00B57844">
        <w:rPr>
          <w:rFonts w:ascii="Arial" w:eastAsia="Times New Roman" w:hAnsi="Arial" w:cs="Arial"/>
          <w:sz w:val="24"/>
          <w:szCs w:val="24"/>
          <w:lang w:eastAsia="en-GB"/>
        </w:rPr>
        <w:lastRenderedPageBreak/>
        <w:t>goals. Hilton's programmes include community support through disaster relief, human rights activism, and local economic development, demonstrating their dedication to social responsibility and ethical corporate practices.</w:t>
      </w:r>
    </w:p>
    <w:p w14:paraId="23DF3ECF" w14:textId="084607BB" w:rsidR="004F0931" w:rsidRDefault="00171610" w:rsidP="009168DD">
      <w:pPr>
        <w:spacing w:after="240" w:line="480" w:lineRule="auto"/>
        <w:jc w:val="both"/>
        <w:rPr>
          <w:rFonts w:ascii="Arial" w:eastAsia="Times New Roman" w:hAnsi="Arial" w:cs="Arial"/>
          <w:sz w:val="24"/>
          <w:szCs w:val="24"/>
          <w:lang w:eastAsia="en-GB"/>
        </w:rPr>
      </w:pPr>
      <w:r w:rsidRPr="00171610">
        <w:rPr>
          <w:rFonts w:ascii="Arial" w:eastAsia="Times New Roman" w:hAnsi="Arial" w:cs="Arial"/>
          <w:sz w:val="24"/>
          <w:szCs w:val="24"/>
          <w:lang w:eastAsia="en-GB"/>
        </w:rPr>
        <w:t xml:space="preserve">Furthermore, Hilton communicates transparently through its website and discusses its role in sustainable CSR by informing about its commitment to generating positive social effect in the global communities it serves. This commitment is centred on generating inclusive growth possibilities and defending human rights </w:t>
      </w:r>
      <w:r w:rsidR="00D659A4" w:rsidRPr="009168DD">
        <w:rPr>
          <w:rFonts w:ascii="Arial" w:eastAsia="Times New Roman" w:hAnsi="Arial" w:cs="Arial"/>
          <w:sz w:val="24"/>
          <w:szCs w:val="24"/>
          <w:lang w:eastAsia="en-GB"/>
        </w:rPr>
        <w:t xml:space="preserve">(Regilme, 2019) </w:t>
      </w:r>
      <w:r w:rsidRPr="00171610">
        <w:rPr>
          <w:rFonts w:ascii="Arial" w:eastAsia="Times New Roman" w:hAnsi="Arial" w:cs="Arial"/>
          <w:sz w:val="24"/>
          <w:szCs w:val="24"/>
          <w:lang w:eastAsia="en-GB"/>
        </w:rPr>
        <w:t>within these communities, as well as establishing 5 million career chances by 2030 to ensure that both team members and community inhabitants succeed</w:t>
      </w:r>
      <w:r w:rsidR="00332D99">
        <w:rPr>
          <w:rFonts w:ascii="Arial" w:eastAsia="Times New Roman" w:hAnsi="Arial" w:cs="Arial"/>
          <w:sz w:val="24"/>
          <w:szCs w:val="24"/>
          <w:lang w:eastAsia="en-GB"/>
        </w:rPr>
        <w:t xml:space="preserve">, </w:t>
      </w:r>
      <w:r w:rsidR="00332D99" w:rsidRPr="00171610">
        <w:rPr>
          <w:rFonts w:ascii="Arial" w:eastAsia="Times New Roman" w:hAnsi="Arial" w:cs="Arial"/>
          <w:sz w:val="24"/>
          <w:szCs w:val="24"/>
          <w:lang w:eastAsia="en-GB"/>
        </w:rPr>
        <w:t>Fortune magazine has also ranked Hilton as the best place to work in the world for 2023</w:t>
      </w:r>
      <w:r w:rsidRPr="00171610">
        <w:rPr>
          <w:rFonts w:ascii="Arial" w:eastAsia="Times New Roman" w:hAnsi="Arial" w:cs="Arial"/>
          <w:sz w:val="24"/>
          <w:szCs w:val="24"/>
          <w:lang w:eastAsia="en-GB"/>
        </w:rPr>
        <w:t xml:space="preserve">. This dedication extends to providing comprehensive learning and development programmes that promote personal and professional progress. Hilton uses its vast global presence to help local economies and improve community resilience in its markets, which includes volunteering, food donations, and disaster relief initiatives. The Hilton Global Foundation makes major contributions to local development, such as providing water access in communities in Tanzania. </w:t>
      </w:r>
      <w:r w:rsidR="00AB413A" w:rsidRPr="009168DD">
        <w:rPr>
          <w:rFonts w:ascii="Arial" w:eastAsia="Times New Roman" w:hAnsi="Arial" w:cs="Arial"/>
          <w:sz w:val="24"/>
          <w:szCs w:val="24"/>
          <w:lang w:eastAsia="en-GB"/>
        </w:rPr>
        <w:t>Hilton (2022</w:t>
      </w:r>
      <w:r w:rsidR="00BE7990">
        <w:rPr>
          <w:rFonts w:ascii="Arial" w:eastAsia="Times New Roman" w:hAnsi="Arial" w:cs="Arial"/>
          <w:sz w:val="24"/>
          <w:szCs w:val="24"/>
          <w:lang w:eastAsia="en-GB"/>
        </w:rPr>
        <w:t>b)</w:t>
      </w:r>
      <w:r w:rsidRPr="00171610">
        <w:rPr>
          <w:rFonts w:ascii="Arial" w:eastAsia="Times New Roman" w:hAnsi="Arial" w:cs="Arial"/>
          <w:sz w:val="24"/>
          <w:szCs w:val="24"/>
          <w:lang w:eastAsia="en-GB"/>
        </w:rPr>
        <w:t xml:space="preserve"> responsible sourcing by partnering with local and diverse suppliers, which not only supports local economies but also ensures that products used in Hilton hotels are sustainably sourced, enhancing the overall guest experience while maintaining a commitment to environmental and social responsibility. With operations in 123 countries, Hilton recognises the significant impact its supply chain practices have on economic, environmental, and social aspects. The company is committed to maintaining a culture of integrity, which includes strong procedures to avoid any sort of abuse or exploitation linked with its activities. </w:t>
      </w:r>
      <w:r w:rsidRPr="00171610">
        <w:rPr>
          <w:rFonts w:ascii="Arial" w:eastAsia="Times New Roman" w:hAnsi="Arial" w:cs="Arial"/>
          <w:sz w:val="24"/>
          <w:szCs w:val="24"/>
          <w:lang w:eastAsia="en-GB"/>
        </w:rPr>
        <w:br/>
        <w:t xml:space="preserve">Hilton's activities aim not just to expand its operating footprint, but also to maintain its </w:t>
      </w:r>
      <w:r w:rsidRPr="00171610">
        <w:rPr>
          <w:rFonts w:ascii="Arial" w:eastAsia="Times New Roman" w:hAnsi="Arial" w:cs="Arial"/>
          <w:sz w:val="24"/>
          <w:szCs w:val="24"/>
          <w:lang w:eastAsia="en-GB"/>
        </w:rPr>
        <w:lastRenderedPageBreak/>
        <w:t>positive role in enabling sustainable community development and promoting a more inclusive and equitable society.</w:t>
      </w:r>
    </w:p>
    <w:p w14:paraId="62B0C6AC" w14:textId="77777777" w:rsidR="009C0A5C" w:rsidRPr="009168DD" w:rsidRDefault="009C0A5C" w:rsidP="009168DD">
      <w:pPr>
        <w:spacing w:after="240" w:line="480" w:lineRule="auto"/>
        <w:jc w:val="both"/>
        <w:rPr>
          <w:rFonts w:ascii="Arial" w:eastAsia="Times New Roman" w:hAnsi="Arial" w:cs="Arial"/>
          <w:sz w:val="24"/>
          <w:szCs w:val="24"/>
          <w:lang w:eastAsia="en-GB"/>
        </w:rPr>
      </w:pPr>
    </w:p>
    <w:p w14:paraId="57B3B530" w14:textId="5D231AC9" w:rsidR="002D6CDF" w:rsidRPr="009168DD" w:rsidRDefault="002D6CDF" w:rsidP="009168DD">
      <w:pPr>
        <w:spacing w:after="240" w:line="480" w:lineRule="auto"/>
        <w:jc w:val="both"/>
        <w:rPr>
          <w:rFonts w:ascii="Arial" w:eastAsia="Times New Roman" w:hAnsi="Arial" w:cs="Arial"/>
          <w:sz w:val="24"/>
          <w:szCs w:val="24"/>
          <w:lang w:eastAsia="en-GB"/>
        </w:rPr>
      </w:pPr>
    </w:p>
    <w:p w14:paraId="3E68485C" w14:textId="77777777" w:rsidR="00CA1CB9" w:rsidRPr="009168DD" w:rsidRDefault="00CA1CB9" w:rsidP="009168DD">
      <w:pPr>
        <w:spacing w:after="240" w:line="480" w:lineRule="auto"/>
        <w:jc w:val="both"/>
        <w:rPr>
          <w:rFonts w:ascii="Arial" w:eastAsia="Times New Roman" w:hAnsi="Arial" w:cs="Arial"/>
          <w:sz w:val="24"/>
          <w:szCs w:val="24"/>
          <w:lang w:eastAsia="en-GB"/>
        </w:rPr>
      </w:pPr>
    </w:p>
    <w:p w14:paraId="2B937A6E" w14:textId="6AA227AA" w:rsidR="00F11F03" w:rsidRDefault="00F11F03" w:rsidP="009168DD">
      <w:pPr>
        <w:spacing w:after="240" w:line="480" w:lineRule="auto"/>
        <w:jc w:val="both"/>
        <w:rPr>
          <w:rFonts w:ascii="Times New Roman" w:eastAsia="Times New Roman" w:hAnsi="Times New Roman" w:cs="Times New Roman"/>
          <w:sz w:val="24"/>
          <w:szCs w:val="24"/>
          <w:lang w:eastAsia="en-GB"/>
        </w:rPr>
      </w:pPr>
      <w:r w:rsidRPr="009168DD">
        <w:rPr>
          <w:rFonts w:ascii="Arial" w:eastAsia="Times New Roman" w:hAnsi="Arial" w:cs="Arial"/>
          <w:sz w:val="24"/>
          <w:szCs w:val="24"/>
          <w:lang w:eastAsia="en-GB"/>
        </w:rPr>
        <w:t xml:space="preserve">The concept of Corporate Social Responsibility has experienced a substantial metamorphosis, transitioning from early philanthropic endeavours to becoming an essential component of contemporary business strategy. This development highlights the growing significance of corporate social responsibility in tackling societal concerns while simultaneously improving corporate reputations and relationships with stakeholders. The historical context sheds light on how corporate social </w:t>
      </w:r>
      <w:proofErr w:type="gramStart"/>
      <w:r w:rsidRPr="009168DD">
        <w:rPr>
          <w:rFonts w:ascii="Arial" w:eastAsia="Times New Roman" w:hAnsi="Arial" w:cs="Arial"/>
          <w:sz w:val="24"/>
          <w:szCs w:val="24"/>
          <w:lang w:eastAsia="en-GB"/>
        </w:rPr>
        <w:t>responsibility  has</w:t>
      </w:r>
      <w:proofErr w:type="gramEnd"/>
      <w:r w:rsidRPr="009168DD">
        <w:rPr>
          <w:rFonts w:ascii="Arial" w:eastAsia="Times New Roman" w:hAnsi="Arial" w:cs="Arial"/>
          <w:sz w:val="24"/>
          <w:szCs w:val="24"/>
          <w:lang w:eastAsia="en-GB"/>
        </w:rPr>
        <w:t xml:space="preserve"> expanded beyond charitable giving to become a strategic focus driven by shifting public expectations, concerns about the environment, and statutory requirements. The Corporate Social </w:t>
      </w:r>
      <w:r w:rsidR="0001196C" w:rsidRPr="009168DD">
        <w:rPr>
          <w:rFonts w:ascii="Arial" w:eastAsia="Times New Roman" w:hAnsi="Arial" w:cs="Arial"/>
          <w:sz w:val="24"/>
          <w:szCs w:val="24"/>
          <w:lang w:eastAsia="en-GB"/>
        </w:rPr>
        <w:t>Responsibility efforts</w:t>
      </w:r>
      <w:r w:rsidRPr="009168DD">
        <w:rPr>
          <w:rFonts w:ascii="Arial" w:eastAsia="Times New Roman" w:hAnsi="Arial" w:cs="Arial"/>
          <w:sz w:val="24"/>
          <w:szCs w:val="24"/>
          <w:lang w:eastAsia="en-GB"/>
        </w:rPr>
        <w:t xml:space="preserve"> reflect this change, particularly in the hospitality industry. This highlights how corporate social responsibility may integrate business operations with broader societal aims, as demonstrated by the company's dedication to environmental sustainability, social impact, and ethical governance. When it comes to corporate social responsibility, Hilton's commitment to reaching net-zero carbon emissions, helping local communities, and fostering inclusive growth exemplifies a complete strategy, which positions the company as a leader in the industry. </w:t>
      </w:r>
      <w:proofErr w:type="gramStart"/>
      <w:r w:rsidRPr="009168DD">
        <w:rPr>
          <w:rFonts w:ascii="Arial" w:eastAsia="Times New Roman" w:hAnsi="Arial" w:cs="Arial"/>
          <w:sz w:val="24"/>
          <w:szCs w:val="24"/>
          <w:lang w:eastAsia="en-GB"/>
        </w:rPr>
        <w:t>In order to</w:t>
      </w:r>
      <w:proofErr w:type="gramEnd"/>
      <w:r w:rsidRPr="009168DD">
        <w:rPr>
          <w:rFonts w:ascii="Arial" w:eastAsia="Times New Roman" w:hAnsi="Arial" w:cs="Arial"/>
          <w:sz w:val="24"/>
          <w:szCs w:val="24"/>
          <w:lang w:eastAsia="en-GB"/>
        </w:rPr>
        <w:t xml:space="preserve"> navigate global trends and solve future difficulties, corporate social responsibility is always evolving, which indicates its strategic relevance. CSR is not only about complying with regulations or maintaining a positive public image for businesses; it is also about producing shared value for stakeholders and society. As global </w:t>
      </w:r>
      <w:r w:rsidRPr="009168DD">
        <w:rPr>
          <w:rFonts w:ascii="Arial" w:eastAsia="Times New Roman" w:hAnsi="Arial" w:cs="Arial"/>
          <w:sz w:val="24"/>
          <w:szCs w:val="24"/>
          <w:lang w:eastAsia="en-GB"/>
        </w:rPr>
        <w:lastRenderedPageBreak/>
        <w:t>expectations continue to shift, corporate social responsibility will continue to be an essential component of the success of businesses, as it will contribute to the cause of sustainable development and encourage constructive societal change</w:t>
      </w:r>
      <w:r>
        <w:rPr>
          <w:rFonts w:ascii="Times New Roman" w:eastAsia="Times New Roman" w:hAnsi="Times New Roman" w:cs="Times New Roman"/>
          <w:sz w:val="24"/>
          <w:szCs w:val="24"/>
          <w:lang w:eastAsia="en-GB"/>
        </w:rPr>
        <w:t>.</w:t>
      </w:r>
    </w:p>
    <w:p w14:paraId="473CA6A8" w14:textId="1F08B1A3" w:rsidR="00CA1CB9" w:rsidRDefault="00CA1CB9" w:rsidP="00CA1CB9">
      <w:pPr>
        <w:spacing w:after="240" w:line="240" w:lineRule="auto"/>
        <w:rPr>
          <w:rFonts w:ascii="Times New Roman" w:eastAsia="Times New Roman" w:hAnsi="Times New Roman" w:cs="Times New Roman"/>
          <w:sz w:val="24"/>
          <w:szCs w:val="24"/>
          <w:lang w:eastAsia="en-GB"/>
        </w:rPr>
      </w:pPr>
    </w:p>
    <w:p w14:paraId="7346EE4E" w14:textId="450D2207" w:rsidR="00171610" w:rsidRPr="00171610" w:rsidRDefault="00171610" w:rsidP="00171610">
      <w:pPr>
        <w:spacing w:after="240" w:line="240" w:lineRule="auto"/>
        <w:rPr>
          <w:rFonts w:ascii="Times New Roman" w:eastAsia="Times New Roman" w:hAnsi="Times New Roman" w:cs="Times New Roman"/>
          <w:sz w:val="24"/>
          <w:szCs w:val="24"/>
          <w:lang w:eastAsia="en-GB"/>
        </w:rPr>
      </w:pPr>
      <w:r w:rsidRPr="00171610">
        <w:rPr>
          <w:rFonts w:ascii="Times New Roman" w:eastAsia="Times New Roman" w:hAnsi="Times New Roman" w:cs="Times New Roman"/>
          <w:sz w:val="24"/>
          <w:szCs w:val="24"/>
          <w:lang w:eastAsia="en-GB"/>
        </w:rPr>
        <w:br/>
      </w:r>
      <w:r w:rsidRPr="00171610">
        <w:rPr>
          <w:rFonts w:ascii="Times New Roman" w:eastAsia="Times New Roman" w:hAnsi="Times New Roman" w:cs="Times New Roman"/>
          <w:sz w:val="24"/>
          <w:szCs w:val="24"/>
          <w:lang w:eastAsia="en-GB"/>
        </w:rPr>
        <w:br/>
      </w:r>
    </w:p>
    <w:p w14:paraId="723864A4" w14:textId="77777777" w:rsidR="0057794D" w:rsidRPr="007007D9" w:rsidRDefault="0057794D" w:rsidP="0057794D">
      <w:pPr>
        <w:rPr>
          <w:rFonts w:ascii="Times New Roman" w:eastAsia="Times New Roman" w:hAnsi="Times New Roman" w:cs="Times New Roman"/>
          <w:sz w:val="24"/>
          <w:szCs w:val="24"/>
          <w:lang w:eastAsia="en-GB"/>
        </w:rPr>
      </w:pPr>
    </w:p>
    <w:p w14:paraId="3C8BDE0E" w14:textId="77777777" w:rsidR="007007D9" w:rsidRPr="007007D9" w:rsidRDefault="007007D9" w:rsidP="007007D9">
      <w:pPr>
        <w:rPr>
          <w:rFonts w:ascii="Times New Roman" w:eastAsia="Times New Roman" w:hAnsi="Times New Roman" w:cs="Times New Roman"/>
          <w:sz w:val="24"/>
          <w:szCs w:val="24"/>
          <w:lang w:eastAsia="en-GB"/>
        </w:rPr>
      </w:pPr>
    </w:p>
    <w:p w14:paraId="39CF9DAA" w14:textId="77777777" w:rsidR="00102114" w:rsidRDefault="00102114" w:rsidP="007E6A09">
      <w:pPr>
        <w:jc w:val="center"/>
      </w:pPr>
    </w:p>
    <w:p w14:paraId="15AD83E5" w14:textId="77777777" w:rsidR="00E06E26" w:rsidRDefault="00E06E26">
      <w:r>
        <w:br w:type="page"/>
      </w:r>
    </w:p>
    <w:p w14:paraId="0BC1C312" w14:textId="36A5E777" w:rsidR="007846E2" w:rsidRPr="00E06E26" w:rsidRDefault="00102114" w:rsidP="00E06E26">
      <w:pPr>
        <w:rPr>
          <w:rFonts w:ascii="Arial" w:hAnsi="Arial" w:cs="Arial"/>
          <w:sz w:val="28"/>
          <w:szCs w:val="28"/>
        </w:rPr>
      </w:pPr>
      <w:r w:rsidRPr="00E06E26">
        <w:rPr>
          <w:rFonts w:ascii="Arial" w:hAnsi="Arial" w:cs="Arial"/>
          <w:sz w:val="28"/>
          <w:szCs w:val="28"/>
        </w:rPr>
        <w:lastRenderedPageBreak/>
        <w:t xml:space="preserve">References </w:t>
      </w:r>
    </w:p>
    <w:p w14:paraId="236552D2" w14:textId="0C529450" w:rsidR="007846E2" w:rsidRPr="00E06E26" w:rsidRDefault="007846E2" w:rsidP="00E06E26">
      <w:pPr>
        <w:spacing w:line="360" w:lineRule="auto"/>
        <w:jc w:val="both"/>
        <w:rPr>
          <w:rFonts w:ascii="Arial" w:eastAsia="Times New Roman" w:hAnsi="Arial" w:cs="Arial"/>
          <w:sz w:val="24"/>
          <w:szCs w:val="24"/>
          <w:lang w:eastAsia="en-GB"/>
        </w:rPr>
      </w:pPr>
      <w:proofErr w:type="spellStart"/>
      <w:r w:rsidRPr="00E06E26">
        <w:rPr>
          <w:rFonts w:ascii="Arial" w:eastAsia="Times New Roman" w:hAnsi="Arial" w:cs="Arial"/>
          <w:sz w:val="24"/>
          <w:szCs w:val="24"/>
          <w:lang w:eastAsia="en-GB"/>
        </w:rPr>
        <w:t>Acquier</w:t>
      </w:r>
      <w:proofErr w:type="spellEnd"/>
      <w:r w:rsidRPr="00E06E26">
        <w:rPr>
          <w:rFonts w:ascii="Arial" w:eastAsia="Times New Roman" w:hAnsi="Arial" w:cs="Arial"/>
          <w:sz w:val="24"/>
          <w:szCs w:val="24"/>
          <w:lang w:eastAsia="en-GB"/>
        </w:rPr>
        <w:t xml:space="preserve">, A., Gond, J. and </w:t>
      </w:r>
      <w:proofErr w:type="spellStart"/>
      <w:r w:rsidRPr="00E06E26">
        <w:rPr>
          <w:rFonts w:ascii="Arial" w:eastAsia="Times New Roman" w:hAnsi="Arial" w:cs="Arial"/>
          <w:sz w:val="24"/>
          <w:szCs w:val="24"/>
          <w:lang w:eastAsia="en-GB"/>
        </w:rPr>
        <w:t>Pasquero</w:t>
      </w:r>
      <w:proofErr w:type="spellEnd"/>
      <w:r w:rsidRPr="00E06E26">
        <w:rPr>
          <w:rFonts w:ascii="Arial" w:eastAsia="Times New Roman" w:hAnsi="Arial" w:cs="Arial"/>
          <w:sz w:val="24"/>
          <w:szCs w:val="24"/>
          <w:lang w:eastAsia="en-GB"/>
        </w:rPr>
        <w:t xml:space="preserve">, J. (2011) </w:t>
      </w:r>
      <w:r w:rsidRPr="0038707F">
        <w:rPr>
          <w:rFonts w:ascii="Arial" w:eastAsia="Times New Roman" w:hAnsi="Arial" w:cs="Arial"/>
          <w:i/>
          <w:iCs/>
          <w:sz w:val="24"/>
          <w:szCs w:val="24"/>
          <w:lang w:eastAsia="en-GB"/>
        </w:rPr>
        <w:t>Rediscovering Howard R. Bowen’s Legacy: The Unachieved Agenda and Continuing Relevance of Social Responsibilities of the Businessman.</w:t>
      </w:r>
      <w:r w:rsidRPr="00E06E26">
        <w:rPr>
          <w:rFonts w:ascii="Arial" w:eastAsia="Times New Roman" w:hAnsi="Arial" w:cs="Arial"/>
          <w:sz w:val="24"/>
          <w:szCs w:val="24"/>
          <w:lang w:eastAsia="en-GB"/>
        </w:rPr>
        <w:t xml:space="preserve"> Business &amp; </w:t>
      </w:r>
      <w:proofErr w:type="spellStart"/>
      <w:r w:rsidRPr="00E06E26">
        <w:rPr>
          <w:rFonts w:ascii="Arial" w:eastAsia="Times New Roman" w:hAnsi="Arial" w:cs="Arial"/>
          <w:sz w:val="24"/>
          <w:szCs w:val="24"/>
          <w:lang w:eastAsia="en-GB"/>
        </w:rPr>
        <w:t>SocietyBUS</w:t>
      </w:r>
      <w:proofErr w:type="spellEnd"/>
      <w:r w:rsidRPr="00E06E26">
        <w:rPr>
          <w:rFonts w:ascii="Arial" w:eastAsia="Times New Roman" w:hAnsi="Arial" w:cs="Arial"/>
          <w:sz w:val="24"/>
          <w:szCs w:val="24"/>
          <w:lang w:eastAsia="en-GB"/>
        </w:rPr>
        <w:t xml:space="preserve"> SOC, 50, pp.607–646.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://doi.org/10.1177/0007650311419251</w:t>
      </w:r>
      <w:proofErr w:type="gramEnd"/>
      <w:r w:rsidR="0038707F">
        <w:rPr>
          <w:rFonts w:ascii="Arial" w:eastAsia="Times New Roman" w:hAnsi="Arial" w:cs="Arial"/>
          <w:sz w:val="24"/>
          <w:szCs w:val="24"/>
          <w:lang w:eastAsia="en-GB"/>
        </w:rPr>
        <w:t xml:space="preserve"> (Accessed on: 3</w:t>
      </w:r>
      <w:r w:rsidR="0038707F" w:rsidRPr="0038707F">
        <w:rPr>
          <w:rFonts w:ascii="Arial" w:eastAsia="Times New Roman" w:hAnsi="Arial" w:cs="Arial"/>
          <w:sz w:val="24"/>
          <w:szCs w:val="24"/>
          <w:vertAlign w:val="superscript"/>
          <w:lang w:eastAsia="en-GB"/>
        </w:rPr>
        <w:t>rd</w:t>
      </w:r>
      <w:r w:rsidR="0038707F">
        <w:rPr>
          <w:rFonts w:ascii="Arial" w:eastAsia="Times New Roman" w:hAnsi="Arial" w:cs="Arial"/>
          <w:sz w:val="24"/>
          <w:szCs w:val="24"/>
          <w:lang w:eastAsia="en-GB"/>
        </w:rPr>
        <w:t xml:space="preserve"> May 2024).</w:t>
      </w:r>
    </w:p>
    <w:p w14:paraId="01270E7F" w14:textId="660535CB"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Agag, G. and Colmekcioglu, N. (2020) </w:t>
      </w:r>
      <w:r w:rsidR="0038707F">
        <w:rPr>
          <w:rFonts w:ascii="Arial" w:eastAsia="Times New Roman" w:hAnsi="Arial" w:cs="Arial"/>
          <w:sz w:val="24"/>
          <w:szCs w:val="24"/>
          <w:lang w:eastAsia="en-GB"/>
        </w:rPr>
        <w:t>‘</w:t>
      </w:r>
      <w:r w:rsidRPr="0038707F">
        <w:rPr>
          <w:rFonts w:ascii="Arial" w:eastAsia="Times New Roman" w:hAnsi="Arial" w:cs="Arial"/>
          <w:i/>
          <w:iCs/>
          <w:sz w:val="24"/>
          <w:szCs w:val="24"/>
          <w:lang w:eastAsia="en-GB"/>
        </w:rPr>
        <w:t xml:space="preserve">Understanding guests’ </w:t>
      </w:r>
      <w:proofErr w:type="spellStart"/>
      <w:r w:rsidRPr="0038707F">
        <w:rPr>
          <w:rFonts w:ascii="Arial" w:eastAsia="Times New Roman" w:hAnsi="Arial" w:cs="Arial"/>
          <w:i/>
          <w:iCs/>
          <w:sz w:val="24"/>
          <w:szCs w:val="24"/>
          <w:lang w:eastAsia="en-GB"/>
        </w:rPr>
        <w:t>behavior</w:t>
      </w:r>
      <w:proofErr w:type="spellEnd"/>
      <w:r w:rsidRPr="0038707F">
        <w:rPr>
          <w:rFonts w:ascii="Arial" w:eastAsia="Times New Roman" w:hAnsi="Arial" w:cs="Arial"/>
          <w:i/>
          <w:iCs/>
          <w:sz w:val="24"/>
          <w:szCs w:val="24"/>
          <w:lang w:eastAsia="en-GB"/>
        </w:rPr>
        <w:t xml:space="preserve"> to visit green hotels: The role of ethical ideology and religiosity</w:t>
      </w:r>
      <w:r w:rsidR="0038707F">
        <w:rPr>
          <w:rFonts w:ascii="Arial" w:eastAsia="Times New Roman" w:hAnsi="Arial" w:cs="Arial"/>
          <w:i/>
          <w:iCs/>
          <w:sz w:val="24"/>
          <w:szCs w:val="24"/>
          <w:lang w:eastAsia="en-GB"/>
        </w:rPr>
        <w:t>’</w:t>
      </w:r>
      <w:r w:rsidRPr="0038707F">
        <w:rPr>
          <w:rFonts w:ascii="Arial" w:eastAsia="Times New Roman" w:hAnsi="Arial" w:cs="Arial"/>
          <w:i/>
          <w:iCs/>
          <w:sz w:val="24"/>
          <w:szCs w:val="24"/>
          <w:lang w:eastAsia="en-GB"/>
        </w:rPr>
        <w:t>.</w:t>
      </w:r>
      <w:r w:rsidRPr="00E06E26">
        <w:rPr>
          <w:rFonts w:ascii="Arial" w:eastAsia="Times New Roman" w:hAnsi="Arial" w:cs="Arial"/>
          <w:sz w:val="24"/>
          <w:szCs w:val="24"/>
          <w:lang w:eastAsia="en-GB"/>
        </w:rPr>
        <w:t xml:space="preserve"> </w:t>
      </w:r>
      <w:r w:rsidRPr="0038707F">
        <w:rPr>
          <w:rFonts w:ascii="Arial" w:eastAsia="Times New Roman" w:hAnsi="Arial" w:cs="Arial"/>
          <w:i/>
          <w:iCs/>
          <w:sz w:val="24"/>
          <w:szCs w:val="24"/>
          <w:lang w:eastAsia="en-GB"/>
        </w:rPr>
        <w:t>International Journal of Hospitality Management,</w:t>
      </w:r>
      <w:r w:rsidRPr="00E06E26">
        <w:rPr>
          <w:rFonts w:ascii="Arial" w:eastAsia="Times New Roman" w:hAnsi="Arial" w:cs="Arial"/>
          <w:sz w:val="24"/>
          <w:szCs w:val="24"/>
          <w:lang w:eastAsia="en-GB"/>
        </w:rPr>
        <w:t xml:space="preserve"> [online] 91, p.102679.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://doi.org/10.1016/j.ijhm.2020.102679</w:t>
      </w:r>
      <w:proofErr w:type="gramEnd"/>
      <w:r w:rsidRPr="00E06E26">
        <w:rPr>
          <w:rFonts w:ascii="Arial" w:eastAsia="Times New Roman" w:hAnsi="Arial" w:cs="Arial"/>
          <w:sz w:val="24"/>
          <w:szCs w:val="24"/>
          <w:lang w:eastAsia="en-GB"/>
        </w:rPr>
        <w:t>.</w:t>
      </w:r>
    </w:p>
    <w:p w14:paraId="5263C732" w14:textId="77777777" w:rsidR="007846E2" w:rsidRPr="00E06E26" w:rsidRDefault="007846E2" w:rsidP="00E06E26">
      <w:pPr>
        <w:spacing w:line="360" w:lineRule="auto"/>
        <w:jc w:val="both"/>
        <w:rPr>
          <w:rFonts w:ascii="Arial" w:hAnsi="Arial" w:cs="Arial"/>
        </w:rPr>
      </w:pPr>
      <w:r w:rsidRPr="00E06E26">
        <w:rPr>
          <w:rFonts w:ascii="Arial" w:hAnsi="Arial" w:cs="Arial"/>
        </w:rPr>
        <w:t xml:space="preserve">Bowen, H. R. (1978) </w:t>
      </w:r>
      <w:r w:rsidRPr="0038707F">
        <w:rPr>
          <w:rFonts w:ascii="Arial" w:hAnsi="Arial" w:cs="Arial"/>
          <w:i/>
          <w:iCs/>
        </w:rPr>
        <w:t>Social responsibility of the businessman, Twenty years later.</w:t>
      </w:r>
      <w:r w:rsidRPr="00E06E26">
        <w:rPr>
          <w:rFonts w:ascii="Arial" w:hAnsi="Arial" w:cs="Arial"/>
        </w:rPr>
        <w:t xml:space="preserve"> In E. M. Epstein &amp; D. Votaw (Eds.), Rationality, legitimacy, responsibility. The search </w:t>
      </w:r>
      <w:proofErr w:type="gramStart"/>
      <w:r w:rsidRPr="00E06E26">
        <w:rPr>
          <w:rFonts w:ascii="Arial" w:hAnsi="Arial" w:cs="Arial"/>
        </w:rPr>
        <w:t>for  new</w:t>
      </w:r>
      <w:proofErr w:type="gramEnd"/>
      <w:r w:rsidRPr="00E06E26">
        <w:rPr>
          <w:rFonts w:ascii="Arial" w:hAnsi="Arial" w:cs="Arial"/>
        </w:rPr>
        <w:t xml:space="preserve"> directions in business  and society (pp.  116-130). Santa Monica, CA: Goodyear. </w:t>
      </w:r>
    </w:p>
    <w:p w14:paraId="58DDB7AF" w14:textId="70EDA740"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Carroll, A. B., </w:t>
      </w:r>
      <w:proofErr w:type="spellStart"/>
      <w:r w:rsidRPr="00E06E26">
        <w:rPr>
          <w:rFonts w:ascii="Arial" w:eastAsia="Times New Roman" w:hAnsi="Arial" w:cs="Arial"/>
          <w:sz w:val="24"/>
          <w:szCs w:val="24"/>
          <w:lang w:eastAsia="en-GB"/>
        </w:rPr>
        <w:t>Lipartito</w:t>
      </w:r>
      <w:proofErr w:type="spellEnd"/>
      <w:r w:rsidRPr="00E06E26">
        <w:rPr>
          <w:rFonts w:ascii="Arial" w:eastAsia="Times New Roman" w:hAnsi="Arial" w:cs="Arial"/>
          <w:sz w:val="24"/>
          <w:szCs w:val="24"/>
          <w:lang w:eastAsia="en-GB"/>
        </w:rPr>
        <w:t xml:space="preserve">, K. J., Post, J. E., Werhane, P. H., &amp; Goodpaster, K. E. (Eds.). (2012) </w:t>
      </w:r>
      <w:r w:rsidRPr="0038707F">
        <w:rPr>
          <w:rFonts w:ascii="Arial" w:eastAsia="Times New Roman" w:hAnsi="Arial" w:cs="Arial"/>
          <w:i/>
          <w:iCs/>
          <w:sz w:val="24"/>
          <w:szCs w:val="24"/>
          <w:lang w:eastAsia="en-GB"/>
        </w:rPr>
        <w:t>Corporate responsibility: the American Experience.</w:t>
      </w:r>
      <w:r w:rsidRPr="00E06E26">
        <w:rPr>
          <w:rFonts w:ascii="Arial" w:eastAsia="Times New Roman" w:hAnsi="Arial" w:cs="Arial"/>
          <w:sz w:val="24"/>
          <w:szCs w:val="24"/>
          <w:lang w:eastAsia="en-GB"/>
        </w:rPr>
        <w:t xml:space="preserve"> Cambridge: Cambridge University Press.</w:t>
      </w:r>
    </w:p>
    <w:p w14:paraId="4CDC96CE" w14:textId="4581D8EC"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Carroll, A.B. (2016) </w:t>
      </w:r>
      <w:r w:rsidRPr="0038707F">
        <w:rPr>
          <w:rFonts w:ascii="Arial" w:eastAsia="Times New Roman" w:hAnsi="Arial" w:cs="Arial"/>
          <w:i/>
          <w:iCs/>
          <w:sz w:val="24"/>
          <w:szCs w:val="24"/>
          <w:lang w:eastAsia="en-GB"/>
        </w:rPr>
        <w:t>Carroll’s pyramid of CSR: taking another look</w:t>
      </w:r>
      <w:r w:rsidRPr="00E06E26">
        <w:rPr>
          <w:rFonts w:ascii="Arial" w:eastAsia="Times New Roman" w:hAnsi="Arial" w:cs="Arial"/>
          <w:sz w:val="24"/>
          <w:szCs w:val="24"/>
          <w:lang w:eastAsia="en-GB"/>
        </w:rPr>
        <w:t xml:space="preserve">. International Journal of Corporate Social Responsibility, [online] 1(1), p.3.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://doi.org/10.1186/s4099101600046</w:t>
      </w:r>
      <w:proofErr w:type="gramEnd"/>
      <w:r w:rsidR="0038707F">
        <w:rPr>
          <w:rFonts w:ascii="Arial" w:eastAsia="Times New Roman" w:hAnsi="Arial" w:cs="Arial"/>
          <w:sz w:val="24"/>
          <w:szCs w:val="24"/>
          <w:lang w:eastAsia="en-GB"/>
        </w:rPr>
        <w:t xml:space="preserve"> (Accessed on: 2</w:t>
      </w:r>
      <w:r w:rsidR="0038707F">
        <w:rPr>
          <w:rFonts w:ascii="Arial" w:eastAsia="Times New Roman" w:hAnsi="Arial" w:cs="Arial"/>
          <w:sz w:val="24"/>
          <w:szCs w:val="24"/>
          <w:vertAlign w:val="superscript"/>
          <w:lang w:eastAsia="en-GB"/>
        </w:rPr>
        <w:t>n</w:t>
      </w:r>
      <w:r w:rsidR="0038707F" w:rsidRPr="0038707F">
        <w:rPr>
          <w:rFonts w:ascii="Arial" w:eastAsia="Times New Roman" w:hAnsi="Arial" w:cs="Arial"/>
          <w:sz w:val="24"/>
          <w:szCs w:val="24"/>
          <w:vertAlign w:val="superscript"/>
          <w:lang w:eastAsia="en-GB"/>
        </w:rPr>
        <w:t>d</w:t>
      </w:r>
      <w:r w:rsidR="0038707F">
        <w:rPr>
          <w:rFonts w:ascii="Arial" w:eastAsia="Times New Roman" w:hAnsi="Arial" w:cs="Arial"/>
          <w:sz w:val="24"/>
          <w:szCs w:val="24"/>
          <w:lang w:eastAsia="en-GB"/>
        </w:rPr>
        <w:t xml:space="preserve"> May 2024).</w:t>
      </w:r>
    </w:p>
    <w:p w14:paraId="45923BB2" w14:textId="295E6046"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Chen, Q., Hu, M., He, Y., Lin, I. and Mattila, A.S. (2022) </w:t>
      </w:r>
      <w:r w:rsidRPr="0038707F">
        <w:rPr>
          <w:rFonts w:ascii="Arial" w:eastAsia="Times New Roman" w:hAnsi="Arial" w:cs="Arial"/>
          <w:i/>
          <w:iCs/>
          <w:sz w:val="24"/>
          <w:szCs w:val="24"/>
          <w:lang w:eastAsia="en-GB"/>
        </w:rPr>
        <w:t xml:space="preserve">Understanding guests’ evaluation of green hotels: The interplay between willingness to sacrifice for the environment and intent vs. </w:t>
      </w:r>
      <w:proofErr w:type="spellStart"/>
      <w:r w:rsidRPr="0038707F">
        <w:rPr>
          <w:rFonts w:ascii="Arial" w:eastAsia="Times New Roman" w:hAnsi="Arial" w:cs="Arial"/>
          <w:i/>
          <w:iCs/>
          <w:sz w:val="24"/>
          <w:szCs w:val="24"/>
          <w:lang w:eastAsia="en-GB"/>
        </w:rPr>
        <w:t>qualitybased</w:t>
      </w:r>
      <w:proofErr w:type="spellEnd"/>
      <w:r w:rsidRPr="0038707F">
        <w:rPr>
          <w:rFonts w:ascii="Arial" w:eastAsia="Times New Roman" w:hAnsi="Arial" w:cs="Arial"/>
          <w:i/>
          <w:iCs/>
          <w:sz w:val="24"/>
          <w:szCs w:val="24"/>
          <w:lang w:eastAsia="en-GB"/>
        </w:rPr>
        <w:t xml:space="preserve"> market signals</w:t>
      </w:r>
      <w:r w:rsidRPr="00E06E26">
        <w:rPr>
          <w:rFonts w:ascii="Arial" w:eastAsia="Times New Roman" w:hAnsi="Arial" w:cs="Arial"/>
          <w:sz w:val="24"/>
          <w:szCs w:val="24"/>
          <w:lang w:eastAsia="en-GB"/>
        </w:rPr>
        <w:t xml:space="preserve">. </w:t>
      </w:r>
      <w:r w:rsidRPr="0038707F">
        <w:rPr>
          <w:rFonts w:ascii="Arial" w:eastAsia="Times New Roman" w:hAnsi="Arial" w:cs="Arial"/>
          <w:i/>
          <w:iCs/>
          <w:sz w:val="24"/>
          <w:szCs w:val="24"/>
          <w:lang w:eastAsia="en-GB"/>
        </w:rPr>
        <w:t>International Journal of Hospitality Management</w:t>
      </w:r>
      <w:r w:rsidRPr="00E06E26">
        <w:rPr>
          <w:rFonts w:ascii="Arial" w:eastAsia="Times New Roman" w:hAnsi="Arial" w:cs="Arial"/>
          <w:sz w:val="24"/>
          <w:szCs w:val="24"/>
          <w:lang w:eastAsia="en-GB"/>
        </w:rPr>
        <w:t xml:space="preserve">, [online] 104, p.103229.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://doi.org/10.1016/j.ijhm.2022.103229</w:t>
      </w:r>
      <w:proofErr w:type="gramEnd"/>
      <w:r w:rsidR="0038707F">
        <w:rPr>
          <w:rFonts w:ascii="Arial" w:eastAsia="Times New Roman" w:hAnsi="Arial" w:cs="Arial"/>
          <w:sz w:val="24"/>
          <w:szCs w:val="24"/>
          <w:lang w:eastAsia="en-GB"/>
        </w:rPr>
        <w:t xml:space="preserve"> (Accessed on: 3</w:t>
      </w:r>
      <w:r w:rsidR="0038707F" w:rsidRPr="0038707F">
        <w:rPr>
          <w:rFonts w:ascii="Arial" w:eastAsia="Times New Roman" w:hAnsi="Arial" w:cs="Arial"/>
          <w:sz w:val="24"/>
          <w:szCs w:val="24"/>
          <w:vertAlign w:val="superscript"/>
          <w:lang w:eastAsia="en-GB"/>
        </w:rPr>
        <w:t>rd</w:t>
      </w:r>
      <w:r w:rsidR="0038707F">
        <w:rPr>
          <w:rFonts w:ascii="Arial" w:eastAsia="Times New Roman" w:hAnsi="Arial" w:cs="Arial"/>
          <w:sz w:val="24"/>
          <w:szCs w:val="24"/>
          <w:lang w:eastAsia="en-GB"/>
        </w:rPr>
        <w:t xml:space="preserve"> May 2024).</w:t>
      </w:r>
    </w:p>
    <w:p w14:paraId="1608F3DC" w14:textId="5DAC372E"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Energy GOV (2024) </w:t>
      </w:r>
      <w:r w:rsidRPr="0038707F">
        <w:rPr>
          <w:rFonts w:ascii="Arial" w:eastAsia="Times New Roman" w:hAnsi="Arial" w:cs="Arial"/>
          <w:i/>
          <w:iCs/>
          <w:sz w:val="24"/>
          <w:szCs w:val="24"/>
          <w:lang w:eastAsia="en-GB"/>
        </w:rPr>
        <w:t>DOE Unveils Roadmap for the Next Generation of Geothermal Power</w:t>
      </w:r>
      <w:r w:rsidRPr="00E06E26">
        <w:rPr>
          <w:rFonts w:ascii="Arial" w:eastAsia="Times New Roman" w:hAnsi="Arial" w:cs="Arial"/>
          <w:sz w:val="24"/>
          <w:szCs w:val="24"/>
          <w:lang w:eastAsia="en-GB"/>
        </w:rPr>
        <w:t xml:space="preserve">. [online] Energy.gov. Available at: https://www.energy.gov/articles/doe-unveils-roadmap-next-generation-geothermal-power </w:t>
      </w:r>
      <w:r w:rsidR="0038707F">
        <w:rPr>
          <w:rFonts w:ascii="Arial" w:eastAsia="Times New Roman" w:hAnsi="Arial" w:cs="Arial"/>
          <w:sz w:val="24"/>
          <w:szCs w:val="24"/>
          <w:lang w:eastAsia="en-GB"/>
        </w:rPr>
        <w:t>(</w:t>
      </w:r>
      <w:r w:rsidRPr="00E06E26">
        <w:rPr>
          <w:rFonts w:ascii="Arial" w:eastAsia="Times New Roman" w:hAnsi="Arial" w:cs="Arial"/>
          <w:sz w:val="24"/>
          <w:szCs w:val="24"/>
          <w:lang w:eastAsia="en-GB"/>
        </w:rPr>
        <w:t xml:space="preserve">Accessed </w:t>
      </w:r>
      <w:r w:rsidR="0038707F">
        <w:rPr>
          <w:rFonts w:ascii="Arial" w:eastAsia="Times New Roman" w:hAnsi="Arial" w:cs="Arial"/>
          <w:sz w:val="24"/>
          <w:szCs w:val="24"/>
          <w:lang w:eastAsia="en-GB"/>
        </w:rPr>
        <w:t xml:space="preserve">on: </w:t>
      </w:r>
      <w:r w:rsidRPr="00E06E26">
        <w:rPr>
          <w:rFonts w:ascii="Arial" w:eastAsia="Times New Roman" w:hAnsi="Arial" w:cs="Arial"/>
          <w:sz w:val="24"/>
          <w:szCs w:val="24"/>
          <w:lang w:eastAsia="en-GB"/>
        </w:rPr>
        <w:t>3</w:t>
      </w:r>
      <w:r w:rsidR="0038707F" w:rsidRPr="0038707F">
        <w:rPr>
          <w:rFonts w:ascii="Arial" w:eastAsia="Times New Roman" w:hAnsi="Arial" w:cs="Arial"/>
          <w:sz w:val="24"/>
          <w:szCs w:val="24"/>
          <w:vertAlign w:val="superscript"/>
          <w:lang w:eastAsia="en-GB"/>
        </w:rPr>
        <w:t>rd</w:t>
      </w:r>
      <w:r w:rsidR="0038707F">
        <w:rPr>
          <w:rFonts w:ascii="Arial" w:eastAsia="Times New Roman" w:hAnsi="Arial" w:cs="Arial"/>
          <w:sz w:val="24"/>
          <w:szCs w:val="24"/>
          <w:lang w:eastAsia="en-GB"/>
        </w:rPr>
        <w:t xml:space="preserve"> </w:t>
      </w:r>
      <w:r w:rsidRPr="00E06E26">
        <w:rPr>
          <w:rFonts w:ascii="Arial" w:eastAsia="Times New Roman" w:hAnsi="Arial" w:cs="Arial"/>
          <w:sz w:val="24"/>
          <w:szCs w:val="24"/>
          <w:lang w:eastAsia="en-GB"/>
        </w:rPr>
        <w:t>May 2024</w:t>
      </w:r>
      <w:r w:rsidR="0038707F">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707FEA61" w14:textId="7B518747"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Environmental Protection Agency (2024) </w:t>
      </w:r>
      <w:r w:rsidRPr="00B51B74">
        <w:rPr>
          <w:rFonts w:ascii="Arial" w:eastAsia="Times New Roman" w:hAnsi="Arial" w:cs="Arial"/>
          <w:i/>
          <w:iCs/>
          <w:sz w:val="24"/>
          <w:szCs w:val="24"/>
          <w:lang w:eastAsia="en-GB"/>
        </w:rPr>
        <w:t>Our Purpose, Vision, Values and Behaviours</w:t>
      </w:r>
      <w:r w:rsidRPr="00E06E26">
        <w:rPr>
          <w:rFonts w:ascii="Arial" w:eastAsia="Times New Roman" w:hAnsi="Arial" w:cs="Arial"/>
          <w:sz w:val="24"/>
          <w:szCs w:val="24"/>
          <w:lang w:eastAsia="en-GB"/>
        </w:rPr>
        <w:t xml:space="preserve">. [online] www.epa.ie. Available at: https://www.epa.ie/who-we-are/roles--responsibilities/mission--vision/ </w:t>
      </w:r>
      <w:r w:rsidR="00B51B74">
        <w:rPr>
          <w:rFonts w:ascii="Arial" w:eastAsia="Times New Roman" w:hAnsi="Arial" w:cs="Arial"/>
          <w:sz w:val="24"/>
          <w:szCs w:val="24"/>
          <w:lang w:eastAsia="en-GB"/>
        </w:rPr>
        <w:t>(</w:t>
      </w:r>
      <w:r w:rsidRPr="00E06E26">
        <w:rPr>
          <w:rFonts w:ascii="Arial" w:eastAsia="Times New Roman" w:hAnsi="Arial" w:cs="Arial"/>
          <w:sz w:val="24"/>
          <w:szCs w:val="24"/>
          <w:lang w:eastAsia="en-GB"/>
        </w:rPr>
        <w:t xml:space="preserve">Accessed </w:t>
      </w:r>
      <w:r w:rsidR="00B51B74">
        <w:rPr>
          <w:rFonts w:ascii="Arial" w:eastAsia="Times New Roman" w:hAnsi="Arial" w:cs="Arial"/>
          <w:sz w:val="24"/>
          <w:szCs w:val="24"/>
          <w:lang w:eastAsia="en-GB"/>
        </w:rPr>
        <w:t xml:space="preserve">on: </w:t>
      </w:r>
      <w:r w:rsidRPr="00E06E26">
        <w:rPr>
          <w:rFonts w:ascii="Arial" w:eastAsia="Times New Roman" w:hAnsi="Arial" w:cs="Arial"/>
          <w:sz w:val="24"/>
          <w:szCs w:val="24"/>
          <w:lang w:eastAsia="en-GB"/>
        </w:rPr>
        <w:t>3</w:t>
      </w:r>
      <w:r w:rsidR="00B51B74" w:rsidRPr="00B51B74">
        <w:rPr>
          <w:rFonts w:ascii="Arial" w:eastAsia="Times New Roman" w:hAnsi="Arial" w:cs="Arial"/>
          <w:sz w:val="24"/>
          <w:szCs w:val="24"/>
          <w:vertAlign w:val="superscript"/>
          <w:lang w:eastAsia="en-GB"/>
        </w:rPr>
        <w:t>rd</w:t>
      </w:r>
      <w:r w:rsidRPr="00E06E26">
        <w:rPr>
          <w:rFonts w:ascii="Arial" w:eastAsia="Times New Roman" w:hAnsi="Arial" w:cs="Arial"/>
          <w:sz w:val="24"/>
          <w:szCs w:val="24"/>
          <w:lang w:eastAsia="en-GB"/>
        </w:rPr>
        <w:t xml:space="preserve"> May 2024</w:t>
      </w:r>
      <w:r w:rsidR="00B51B74">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764F7290" w14:textId="29D9815B"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Gentinetta, J. and Etemad-Sajadi, R. (2023) </w:t>
      </w:r>
      <w:r w:rsidRPr="00B51B74">
        <w:rPr>
          <w:rFonts w:ascii="Arial" w:eastAsia="Times New Roman" w:hAnsi="Arial" w:cs="Arial"/>
          <w:i/>
          <w:iCs/>
          <w:sz w:val="24"/>
          <w:szCs w:val="24"/>
          <w:lang w:eastAsia="en-GB"/>
        </w:rPr>
        <w:t xml:space="preserve">11 Examples of CSR practices in the hospitality industry. </w:t>
      </w:r>
      <w:r w:rsidRPr="00E06E26">
        <w:rPr>
          <w:rFonts w:ascii="Arial" w:eastAsia="Times New Roman" w:hAnsi="Arial" w:cs="Arial"/>
          <w:sz w:val="24"/>
          <w:szCs w:val="24"/>
          <w:lang w:eastAsia="en-GB"/>
        </w:rPr>
        <w:t xml:space="preserve">[online] hospitalityinsights.ehl.edu. Available at: </w:t>
      </w:r>
      <w:r w:rsidRPr="00E06E26">
        <w:rPr>
          <w:rFonts w:ascii="Arial" w:eastAsia="Times New Roman" w:hAnsi="Arial" w:cs="Arial"/>
          <w:sz w:val="24"/>
          <w:szCs w:val="24"/>
          <w:lang w:eastAsia="en-GB"/>
        </w:rPr>
        <w:lastRenderedPageBreak/>
        <w:t xml:space="preserve">https://hospitalityinsights.ehl.edu/csr-practices-hospitality-industry </w:t>
      </w:r>
      <w:r w:rsidR="00B51B74">
        <w:rPr>
          <w:rFonts w:ascii="Arial" w:eastAsia="Times New Roman" w:hAnsi="Arial" w:cs="Arial"/>
          <w:sz w:val="24"/>
          <w:szCs w:val="24"/>
          <w:lang w:eastAsia="en-GB"/>
        </w:rPr>
        <w:t>(</w:t>
      </w:r>
      <w:r w:rsidRPr="00E06E26">
        <w:rPr>
          <w:rFonts w:ascii="Arial" w:eastAsia="Times New Roman" w:hAnsi="Arial" w:cs="Arial"/>
          <w:sz w:val="24"/>
          <w:szCs w:val="24"/>
          <w:lang w:eastAsia="en-GB"/>
        </w:rPr>
        <w:t xml:space="preserve">Accessed </w:t>
      </w:r>
      <w:r w:rsidR="00B51B74">
        <w:rPr>
          <w:rFonts w:ascii="Arial" w:eastAsia="Times New Roman" w:hAnsi="Arial" w:cs="Arial"/>
          <w:sz w:val="24"/>
          <w:szCs w:val="24"/>
          <w:lang w:eastAsia="en-GB"/>
        </w:rPr>
        <w:t xml:space="preserve">on: </w:t>
      </w:r>
      <w:r w:rsidRPr="00E06E26">
        <w:rPr>
          <w:rFonts w:ascii="Arial" w:eastAsia="Times New Roman" w:hAnsi="Arial" w:cs="Arial"/>
          <w:sz w:val="24"/>
          <w:szCs w:val="24"/>
          <w:lang w:eastAsia="en-GB"/>
        </w:rPr>
        <w:t>3</w:t>
      </w:r>
      <w:r w:rsidR="00B51B74" w:rsidRPr="00B51B74">
        <w:rPr>
          <w:rFonts w:ascii="Arial" w:eastAsia="Times New Roman" w:hAnsi="Arial" w:cs="Arial"/>
          <w:sz w:val="24"/>
          <w:szCs w:val="24"/>
          <w:vertAlign w:val="superscript"/>
          <w:lang w:eastAsia="en-GB"/>
        </w:rPr>
        <w:t>rd</w:t>
      </w:r>
      <w:r w:rsidR="00B51B74">
        <w:rPr>
          <w:rFonts w:ascii="Arial" w:eastAsia="Times New Roman" w:hAnsi="Arial" w:cs="Arial"/>
          <w:sz w:val="24"/>
          <w:szCs w:val="24"/>
          <w:lang w:eastAsia="en-GB"/>
        </w:rPr>
        <w:t xml:space="preserve"> </w:t>
      </w:r>
      <w:r w:rsidRPr="00E06E26">
        <w:rPr>
          <w:rFonts w:ascii="Arial" w:eastAsia="Times New Roman" w:hAnsi="Arial" w:cs="Arial"/>
          <w:sz w:val="24"/>
          <w:szCs w:val="24"/>
          <w:lang w:eastAsia="en-GB"/>
        </w:rPr>
        <w:t>May 2024</w:t>
      </w:r>
      <w:r w:rsidR="00B51B74">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60EAEABB" w14:textId="3775C2F1"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Greenly (2024)</w:t>
      </w:r>
      <w:r w:rsidR="00B51B74">
        <w:rPr>
          <w:rFonts w:ascii="Arial" w:eastAsia="Times New Roman" w:hAnsi="Arial" w:cs="Arial"/>
          <w:sz w:val="24"/>
          <w:szCs w:val="24"/>
          <w:lang w:eastAsia="en-GB"/>
        </w:rPr>
        <w:t xml:space="preserve"> </w:t>
      </w:r>
      <w:r w:rsidRPr="00B51B74">
        <w:rPr>
          <w:rFonts w:ascii="Arial" w:eastAsia="Times New Roman" w:hAnsi="Arial" w:cs="Arial"/>
          <w:i/>
          <w:iCs/>
          <w:sz w:val="24"/>
          <w:szCs w:val="24"/>
          <w:lang w:eastAsia="en-GB"/>
        </w:rPr>
        <w:t>Why Greenly?</w:t>
      </w:r>
      <w:r w:rsidRPr="00E06E26">
        <w:rPr>
          <w:rFonts w:ascii="Arial" w:eastAsia="Times New Roman" w:hAnsi="Arial" w:cs="Arial"/>
          <w:sz w:val="24"/>
          <w:szCs w:val="24"/>
          <w:lang w:eastAsia="en-GB"/>
        </w:rPr>
        <w:t xml:space="preserve"> - Greenly. [online] </w:t>
      </w:r>
      <w:proofErr w:type="spellStart"/>
      <w:proofErr w:type="gramStart"/>
      <w:r w:rsidRPr="00E06E26">
        <w:rPr>
          <w:rFonts w:ascii="Arial" w:eastAsia="Times New Roman" w:hAnsi="Arial" w:cs="Arial"/>
          <w:sz w:val="24"/>
          <w:szCs w:val="24"/>
          <w:lang w:eastAsia="en-GB"/>
        </w:rPr>
        <w:t>greenly.earth</w:t>
      </w:r>
      <w:proofErr w:type="spellEnd"/>
      <w:proofErr w:type="gramEnd"/>
      <w:r w:rsidRPr="00E06E26">
        <w:rPr>
          <w:rFonts w:ascii="Arial" w:eastAsia="Times New Roman" w:hAnsi="Arial" w:cs="Arial"/>
          <w:sz w:val="24"/>
          <w:szCs w:val="24"/>
          <w:lang w:eastAsia="en-GB"/>
        </w:rPr>
        <w:t xml:space="preserve">. Available at: https://greenly.earth/en-gb/why-greenly </w:t>
      </w:r>
      <w:r w:rsidR="00B51B74">
        <w:rPr>
          <w:rFonts w:ascii="Arial" w:eastAsia="Times New Roman" w:hAnsi="Arial" w:cs="Arial"/>
          <w:sz w:val="24"/>
          <w:szCs w:val="24"/>
          <w:lang w:eastAsia="en-GB"/>
        </w:rPr>
        <w:t>(Accessed on: 3</w:t>
      </w:r>
      <w:r w:rsidR="00B51B74" w:rsidRPr="0038707F">
        <w:rPr>
          <w:rFonts w:ascii="Arial" w:eastAsia="Times New Roman" w:hAnsi="Arial" w:cs="Arial"/>
          <w:sz w:val="24"/>
          <w:szCs w:val="24"/>
          <w:vertAlign w:val="superscript"/>
          <w:lang w:eastAsia="en-GB"/>
        </w:rPr>
        <w:t>rd</w:t>
      </w:r>
      <w:r w:rsidR="00B51B74">
        <w:rPr>
          <w:rFonts w:ascii="Arial" w:eastAsia="Times New Roman" w:hAnsi="Arial" w:cs="Arial"/>
          <w:sz w:val="24"/>
          <w:szCs w:val="24"/>
          <w:lang w:eastAsia="en-GB"/>
        </w:rPr>
        <w:t xml:space="preserve"> May 2024).</w:t>
      </w:r>
    </w:p>
    <w:p w14:paraId="2F3C01D8" w14:textId="171F5F3F"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Hilton (2022a) </w:t>
      </w:r>
      <w:r w:rsidRPr="00B51B74">
        <w:rPr>
          <w:rFonts w:ascii="Arial" w:eastAsia="Times New Roman" w:hAnsi="Arial" w:cs="Arial"/>
          <w:i/>
          <w:iCs/>
          <w:sz w:val="24"/>
          <w:szCs w:val="24"/>
          <w:lang w:eastAsia="en-GB"/>
        </w:rPr>
        <w:t>Hilton 2022 Environmental, Social and Governance Report</w:t>
      </w:r>
      <w:r w:rsidRPr="00E06E26">
        <w:rPr>
          <w:rFonts w:ascii="Arial" w:eastAsia="Times New Roman" w:hAnsi="Arial" w:cs="Arial"/>
          <w:sz w:val="24"/>
          <w:szCs w:val="24"/>
          <w:lang w:eastAsia="en-GB"/>
        </w:rPr>
        <w:t xml:space="preserve">. [online] Available at: https://esg.hilton.com/wp-content/uploads/sites/4/2023/04/Hilton-2022-Environmental-Social-and-Governance-Report.pdf </w:t>
      </w:r>
      <w:r w:rsidR="00B51B74">
        <w:rPr>
          <w:rFonts w:ascii="Arial" w:eastAsia="Times New Roman" w:hAnsi="Arial" w:cs="Arial"/>
          <w:sz w:val="24"/>
          <w:szCs w:val="24"/>
          <w:lang w:eastAsia="en-GB"/>
        </w:rPr>
        <w:t>(Accessed on: 1</w:t>
      </w:r>
      <w:r w:rsidR="00B51B74" w:rsidRPr="00B51B74">
        <w:rPr>
          <w:rFonts w:ascii="Arial" w:eastAsia="Times New Roman" w:hAnsi="Arial" w:cs="Arial"/>
          <w:sz w:val="24"/>
          <w:szCs w:val="24"/>
          <w:vertAlign w:val="superscript"/>
          <w:lang w:eastAsia="en-GB"/>
        </w:rPr>
        <w:t>st</w:t>
      </w:r>
      <w:r w:rsidR="00B51B74">
        <w:rPr>
          <w:rFonts w:ascii="Arial" w:eastAsia="Times New Roman" w:hAnsi="Arial" w:cs="Arial"/>
          <w:sz w:val="24"/>
          <w:szCs w:val="24"/>
          <w:lang w:eastAsia="en-GB"/>
        </w:rPr>
        <w:t xml:space="preserve"> May 2024).</w:t>
      </w:r>
    </w:p>
    <w:p w14:paraId="2C1F8340" w14:textId="5B8704DB"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Hilton (2022b) </w:t>
      </w:r>
      <w:r w:rsidRPr="00B51B74">
        <w:rPr>
          <w:rFonts w:ascii="Arial" w:eastAsia="Times New Roman" w:hAnsi="Arial" w:cs="Arial"/>
          <w:i/>
          <w:iCs/>
          <w:sz w:val="24"/>
          <w:szCs w:val="24"/>
          <w:lang w:eastAsia="en-GB"/>
        </w:rPr>
        <w:t>Hilton Diversity &amp; Inclusion.</w:t>
      </w:r>
      <w:r w:rsidRPr="00E06E26">
        <w:rPr>
          <w:rFonts w:ascii="Arial" w:eastAsia="Times New Roman" w:hAnsi="Arial" w:cs="Arial"/>
          <w:sz w:val="24"/>
          <w:szCs w:val="24"/>
          <w:lang w:eastAsia="en-GB"/>
        </w:rPr>
        <w:t xml:space="preserve"> [online] jobs.hilton.com. Available at: https://jobs.hilton.com/diversity </w:t>
      </w:r>
      <w:r w:rsidR="00B51B74">
        <w:rPr>
          <w:rFonts w:ascii="Arial" w:eastAsia="Times New Roman" w:hAnsi="Arial" w:cs="Arial"/>
          <w:sz w:val="24"/>
          <w:szCs w:val="24"/>
          <w:lang w:eastAsia="en-GB"/>
        </w:rPr>
        <w:t>(Accessed on: 1</w:t>
      </w:r>
      <w:r w:rsidR="00B51B74" w:rsidRPr="00B51B74">
        <w:rPr>
          <w:rFonts w:ascii="Arial" w:eastAsia="Times New Roman" w:hAnsi="Arial" w:cs="Arial"/>
          <w:sz w:val="24"/>
          <w:szCs w:val="24"/>
          <w:vertAlign w:val="superscript"/>
          <w:lang w:eastAsia="en-GB"/>
        </w:rPr>
        <w:t>st</w:t>
      </w:r>
      <w:r w:rsidR="00B51B74">
        <w:rPr>
          <w:rFonts w:ascii="Arial" w:eastAsia="Times New Roman" w:hAnsi="Arial" w:cs="Arial"/>
          <w:sz w:val="24"/>
          <w:szCs w:val="24"/>
          <w:lang w:eastAsia="en-GB"/>
        </w:rPr>
        <w:t xml:space="preserve"> May 2024).</w:t>
      </w:r>
    </w:p>
    <w:p w14:paraId="4FFB088A" w14:textId="6B177C3D"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Hilton (2023)</w:t>
      </w:r>
      <w:r w:rsidR="00B51B74">
        <w:rPr>
          <w:rFonts w:ascii="Arial" w:eastAsia="Times New Roman" w:hAnsi="Arial" w:cs="Arial"/>
          <w:sz w:val="24"/>
          <w:szCs w:val="24"/>
          <w:lang w:eastAsia="en-GB"/>
        </w:rPr>
        <w:t xml:space="preserve"> </w:t>
      </w:r>
      <w:r w:rsidRPr="00B51B74">
        <w:rPr>
          <w:rFonts w:ascii="Arial" w:eastAsia="Times New Roman" w:hAnsi="Arial" w:cs="Arial"/>
          <w:i/>
          <w:iCs/>
          <w:sz w:val="24"/>
          <w:szCs w:val="24"/>
          <w:lang w:eastAsia="en-GB"/>
        </w:rPr>
        <w:t>Hilton Named No. 1 Best Place to Work in the World</w:t>
      </w:r>
      <w:r w:rsidRPr="00E06E26">
        <w:rPr>
          <w:rFonts w:ascii="Arial" w:eastAsia="Times New Roman" w:hAnsi="Arial" w:cs="Arial"/>
          <w:sz w:val="24"/>
          <w:szCs w:val="24"/>
          <w:lang w:eastAsia="en-GB"/>
        </w:rPr>
        <w:t xml:space="preserve"> | Hilton News. [online] Stories </w:t>
      </w:r>
      <w:proofErr w:type="gramStart"/>
      <w:r w:rsidRPr="00E06E26">
        <w:rPr>
          <w:rFonts w:ascii="Arial" w:eastAsia="Times New Roman" w:hAnsi="Arial" w:cs="Arial"/>
          <w:sz w:val="24"/>
          <w:szCs w:val="24"/>
          <w:lang w:eastAsia="en-GB"/>
        </w:rPr>
        <w:t>From</w:t>
      </w:r>
      <w:proofErr w:type="gramEnd"/>
      <w:r w:rsidRPr="00E06E26">
        <w:rPr>
          <w:rFonts w:ascii="Arial" w:eastAsia="Times New Roman" w:hAnsi="Arial" w:cs="Arial"/>
          <w:sz w:val="24"/>
          <w:szCs w:val="24"/>
          <w:lang w:eastAsia="en-GB"/>
        </w:rPr>
        <w:t xml:space="preserve"> Hilton. Available at: https://stories.hilton.com/releases/hilton-named-no-1-best-place-to-work-in-the-world </w:t>
      </w:r>
      <w:r w:rsidR="00B51B74">
        <w:rPr>
          <w:rFonts w:ascii="Arial" w:eastAsia="Times New Roman" w:hAnsi="Arial" w:cs="Arial"/>
          <w:sz w:val="24"/>
          <w:szCs w:val="24"/>
          <w:lang w:eastAsia="en-GB"/>
        </w:rPr>
        <w:t>(Accessed on: 1</w:t>
      </w:r>
      <w:r w:rsidR="00B51B74" w:rsidRPr="00B51B74">
        <w:rPr>
          <w:rFonts w:ascii="Arial" w:eastAsia="Times New Roman" w:hAnsi="Arial" w:cs="Arial"/>
          <w:sz w:val="24"/>
          <w:szCs w:val="24"/>
          <w:vertAlign w:val="superscript"/>
          <w:lang w:eastAsia="en-GB"/>
        </w:rPr>
        <w:t>st</w:t>
      </w:r>
      <w:r w:rsidR="00B51B74">
        <w:rPr>
          <w:rFonts w:ascii="Arial" w:eastAsia="Times New Roman" w:hAnsi="Arial" w:cs="Arial"/>
          <w:sz w:val="24"/>
          <w:szCs w:val="24"/>
          <w:lang w:eastAsia="en-GB"/>
        </w:rPr>
        <w:t xml:space="preserve"> May 2024).</w:t>
      </w:r>
    </w:p>
    <w:p w14:paraId="6C836B40" w14:textId="57C015F9"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Hilton (2024) </w:t>
      </w:r>
      <w:r w:rsidRPr="004C25B6">
        <w:rPr>
          <w:rFonts w:ascii="Arial" w:eastAsia="Times New Roman" w:hAnsi="Arial" w:cs="Arial"/>
          <w:i/>
          <w:iCs/>
          <w:sz w:val="24"/>
          <w:szCs w:val="24"/>
          <w:lang w:eastAsia="en-GB"/>
        </w:rPr>
        <w:t>IMPACT REPORT Hilton Global Foundation 2022.</w:t>
      </w:r>
      <w:r w:rsidRPr="00E06E26">
        <w:rPr>
          <w:rFonts w:ascii="Arial" w:eastAsia="Times New Roman" w:hAnsi="Arial" w:cs="Arial"/>
          <w:sz w:val="24"/>
          <w:szCs w:val="24"/>
          <w:lang w:eastAsia="en-GB"/>
        </w:rPr>
        <w:t xml:space="preserve"> [online] Available at: </w:t>
      </w:r>
      <w:hyperlink r:id="rId5" w:history="1">
        <w:r w:rsidR="004C25B6" w:rsidRPr="002A2819">
          <w:rPr>
            <w:rStyle w:val="Hyperlink"/>
            <w:rFonts w:ascii="Arial" w:eastAsia="Times New Roman" w:hAnsi="Arial" w:cs="Arial"/>
            <w:sz w:val="24"/>
            <w:szCs w:val="24"/>
            <w:lang w:eastAsia="en-GB"/>
          </w:rPr>
          <w:t>https://hgf-wp.go-vip.net/wp-content/uploads/2023/11/HGF-Impact.pdf</w:t>
        </w:r>
      </w:hyperlink>
      <w:r w:rsidRPr="00E06E26">
        <w:rPr>
          <w:rFonts w:ascii="Arial" w:eastAsia="Times New Roman" w:hAnsi="Arial" w:cs="Arial"/>
          <w:sz w:val="24"/>
          <w:szCs w:val="24"/>
          <w:lang w:eastAsia="en-GB"/>
        </w:rPr>
        <w:t>.</w:t>
      </w:r>
      <w:r w:rsidR="004C25B6">
        <w:rPr>
          <w:rFonts w:ascii="Arial" w:eastAsia="Times New Roman" w:hAnsi="Arial" w:cs="Arial"/>
          <w:sz w:val="24"/>
          <w:szCs w:val="24"/>
          <w:lang w:eastAsia="en-GB"/>
        </w:rPr>
        <w:t xml:space="preserve"> (Accessed on: </w:t>
      </w:r>
      <w:r w:rsidR="00E60688">
        <w:rPr>
          <w:rFonts w:ascii="Arial" w:eastAsia="Times New Roman" w:hAnsi="Arial" w:cs="Arial"/>
          <w:sz w:val="24"/>
          <w:szCs w:val="24"/>
          <w:lang w:eastAsia="en-GB"/>
        </w:rPr>
        <w:t>29</w:t>
      </w:r>
      <w:r w:rsidR="00E60688" w:rsidRPr="00E60688">
        <w:rPr>
          <w:rFonts w:ascii="Arial" w:eastAsia="Times New Roman" w:hAnsi="Arial" w:cs="Arial"/>
          <w:sz w:val="24"/>
          <w:szCs w:val="24"/>
          <w:vertAlign w:val="superscript"/>
          <w:lang w:eastAsia="en-GB"/>
        </w:rPr>
        <w:t>th</w:t>
      </w:r>
      <w:r w:rsidR="004C25B6">
        <w:rPr>
          <w:rFonts w:ascii="Arial" w:eastAsia="Times New Roman" w:hAnsi="Arial" w:cs="Arial"/>
          <w:sz w:val="24"/>
          <w:szCs w:val="24"/>
          <w:lang w:eastAsia="en-GB"/>
        </w:rPr>
        <w:t xml:space="preserve"> Apr 2024).</w:t>
      </w:r>
    </w:p>
    <w:p w14:paraId="08B65D48" w14:textId="748473F2" w:rsidR="007846E2" w:rsidRPr="00E06E26" w:rsidRDefault="007846E2" w:rsidP="00E06E26">
      <w:pPr>
        <w:spacing w:line="360" w:lineRule="auto"/>
        <w:jc w:val="both"/>
        <w:rPr>
          <w:rFonts w:ascii="Arial" w:hAnsi="Arial" w:cs="Arial"/>
        </w:rPr>
      </w:pPr>
      <w:r w:rsidRPr="00E06E26">
        <w:rPr>
          <w:rFonts w:ascii="Arial" w:hAnsi="Arial" w:cs="Arial"/>
        </w:rPr>
        <w:t xml:space="preserve">IEA (2020) </w:t>
      </w:r>
      <w:r w:rsidRPr="00E60688">
        <w:rPr>
          <w:rFonts w:ascii="Arial" w:hAnsi="Arial" w:cs="Arial"/>
          <w:i/>
          <w:iCs/>
        </w:rPr>
        <w:t>Introduction to System Integration of Renewables</w:t>
      </w:r>
      <w:r w:rsidR="00E60688">
        <w:rPr>
          <w:rFonts w:ascii="Arial" w:hAnsi="Arial" w:cs="Arial"/>
          <w:i/>
          <w:iCs/>
        </w:rPr>
        <w:t>.</w:t>
      </w:r>
      <w:r w:rsidRPr="00E06E26">
        <w:rPr>
          <w:rFonts w:ascii="Arial" w:hAnsi="Arial" w:cs="Arial"/>
        </w:rPr>
        <w:t xml:space="preserve"> IEA, Paris https://www.iea.org/reports/introduction-to-system-integration-of-renewables, Licence: CC BY 4.0</w:t>
      </w:r>
      <w:r w:rsidR="002C0088">
        <w:rPr>
          <w:rFonts w:ascii="Arial" w:hAnsi="Arial" w:cs="Arial"/>
        </w:rPr>
        <w:t xml:space="preserve"> </w:t>
      </w:r>
      <w:hyperlink r:id="rId6" w:history="1">
        <w:r w:rsidR="002C0088">
          <w:rPr>
            <w:rStyle w:val="Hyperlink"/>
          </w:rPr>
          <w:t>Introduction to System Integration of Renewables – Analysis - IEA</w:t>
        </w:r>
      </w:hyperlink>
      <w:r w:rsidR="002C0088">
        <w:t xml:space="preserve"> (Accessed on 30</w:t>
      </w:r>
      <w:r w:rsidR="002C0088" w:rsidRPr="002C0088">
        <w:rPr>
          <w:vertAlign w:val="superscript"/>
        </w:rPr>
        <w:t>th</w:t>
      </w:r>
      <w:r w:rsidR="002C0088">
        <w:t xml:space="preserve"> April 2024).</w:t>
      </w:r>
    </w:p>
    <w:p w14:paraId="57253D57" w14:textId="734E4CB3" w:rsidR="007846E2" w:rsidRPr="00E06E26" w:rsidRDefault="007846E2" w:rsidP="00E06E26">
      <w:pPr>
        <w:spacing w:line="360" w:lineRule="auto"/>
        <w:jc w:val="both"/>
        <w:rPr>
          <w:rFonts w:ascii="Arial" w:eastAsia="Times New Roman" w:hAnsi="Arial" w:cs="Arial"/>
          <w:sz w:val="24"/>
          <w:szCs w:val="24"/>
          <w:lang w:eastAsia="en-GB"/>
        </w:rPr>
      </w:pPr>
      <w:proofErr w:type="spellStart"/>
      <w:r w:rsidRPr="00E06E26">
        <w:rPr>
          <w:rFonts w:ascii="Arial" w:eastAsia="Times New Roman" w:hAnsi="Arial" w:cs="Arial"/>
          <w:sz w:val="24"/>
          <w:szCs w:val="24"/>
          <w:lang w:eastAsia="en-GB"/>
        </w:rPr>
        <w:t>Kaittani</w:t>
      </w:r>
      <w:proofErr w:type="spellEnd"/>
      <w:r w:rsidRPr="00E06E26">
        <w:rPr>
          <w:rFonts w:ascii="Arial" w:eastAsia="Times New Roman" w:hAnsi="Arial" w:cs="Arial"/>
          <w:sz w:val="24"/>
          <w:szCs w:val="24"/>
          <w:lang w:eastAsia="en-GB"/>
        </w:rPr>
        <w:t xml:space="preserve">, N. (2023) </w:t>
      </w:r>
      <w:r w:rsidRPr="002C0088">
        <w:rPr>
          <w:rFonts w:ascii="Arial" w:eastAsia="Times New Roman" w:hAnsi="Arial" w:cs="Arial"/>
          <w:i/>
          <w:iCs/>
          <w:sz w:val="24"/>
          <w:szCs w:val="24"/>
          <w:lang w:eastAsia="en-GB"/>
        </w:rPr>
        <w:t>Corporate Social Responsibility: Where did it Originate From, How has it Evolved and Why is it Important</w:t>
      </w:r>
      <w:proofErr w:type="gramStart"/>
      <w:r w:rsidRPr="002C0088">
        <w:rPr>
          <w:rFonts w:ascii="Arial" w:eastAsia="Times New Roman" w:hAnsi="Arial" w:cs="Arial"/>
          <w:i/>
          <w:iCs/>
          <w:sz w:val="24"/>
          <w:szCs w:val="24"/>
          <w:lang w:eastAsia="en-GB"/>
        </w:rPr>
        <w:t>? :</w:t>
      </w:r>
      <w:proofErr w:type="gramEnd"/>
      <w:r w:rsidRPr="002C0088">
        <w:rPr>
          <w:rFonts w:ascii="Arial" w:eastAsia="Times New Roman" w:hAnsi="Arial" w:cs="Arial"/>
          <w:i/>
          <w:iCs/>
          <w:sz w:val="24"/>
          <w:szCs w:val="24"/>
          <w:lang w:eastAsia="en-GB"/>
        </w:rPr>
        <w:t xml:space="preserve"> a literature review of the history and evolution of CSR.</w:t>
      </w:r>
      <w:r w:rsidRPr="00E06E26">
        <w:rPr>
          <w:rFonts w:ascii="Arial" w:eastAsia="Times New Roman" w:hAnsi="Arial" w:cs="Arial"/>
          <w:sz w:val="24"/>
          <w:szCs w:val="24"/>
          <w:lang w:eastAsia="en-GB"/>
        </w:rPr>
        <w:t xml:space="preserve"> [online] www.theseus.fi. Available at: https://www.theseus.fi/handle/10024/797662 </w:t>
      </w:r>
      <w:r w:rsidR="002C0088">
        <w:rPr>
          <w:rFonts w:ascii="Arial" w:eastAsia="Times New Roman" w:hAnsi="Arial" w:cs="Arial"/>
          <w:sz w:val="24"/>
          <w:szCs w:val="24"/>
          <w:lang w:eastAsia="en-GB"/>
        </w:rPr>
        <w:t>(</w:t>
      </w:r>
      <w:r w:rsidRPr="00E06E26">
        <w:rPr>
          <w:rFonts w:ascii="Arial" w:eastAsia="Times New Roman" w:hAnsi="Arial" w:cs="Arial"/>
          <w:sz w:val="24"/>
          <w:szCs w:val="24"/>
          <w:lang w:eastAsia="en-GB"/>
        </w:rPr>
        <w:t xml:space="preserve">Accessed </w:t>
      </w:r>
      <w:r w:rsidR="002C0088">
        <w:rPr>
          <w:rFonts w:ascii="Arial" w:eastAsia="Times New Roman" w:hAnsi="Arial" w:cs="Arial"/>
          <w:sz w:val="24"/>
          <w:szCs w:val="24"/>
          <w:lang w:eastAsia="en-GB"/>
        </w:rPr>
        <w:t xml:space="preserve">on </w:t>
      </w:r>
      <w:r w:rsidRPr="00E06E26">
        <w:rPr>
          <w:rFonts w:ascii="Arial" w:eastAsia="Times New Roman" w:hAnsi="Arial" w:cs="Arial"/>
          <w:sz w:val="24"/>
          <w:szCs w:val="24"/>
          <w:lang w:eastAsia="en-GB"/>
        </w:rPr>
        <w:t>3</w:t>
      </w:r>
      <w:r w:rsidR="002C0088" w:rsidRPr="002C0088">
        <w:rPr>
          <w:rFonts w:ascii="Arial" w:eastAsia="Times New Roman" w:hAnsi="Arial" w:cs="Arial"/>
          <w:sz w:val="24"/>
          <w:szCs w:val="24"/>
          <w:vertAlign w:val="superscript"/>
          <w:lang w:eastAsia="en-GB"/>
        </w:rPr>
        <w:t>rd</w:t>
      </w:r>
      <w:r w:rsidRPr="00E06E26">
        <w:rPr>
          <w:rFonts w:ascii="Arial" w:eastAsia="Times New Roman" w:hAnsi="Arial" w:cs="Arial"/>
          <w:sz w:val="24"/>
          <w:szCs w:val="24"/>
          <w:lang w:eastAsia="en-GB"/>
        </w:rPr>
        <w:t xml:space="preserve"> May 2024</w:t>
      </w:r>
      <w:r w:rsidR="002C0088">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4AAF168F" w14:textId="37772445"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Li, J., Mao, P., Liu, H., Wei, J., Li, H. and Yuan, J. (2020) </w:t>
      </w:r>
      <w:r w:rsidR="002C0088">
        <w:rPr>
          <w:rFonts w:ascii="Arial" w:eastAsia="Times New Roman" w:hAnsi="Arial" w:cs="Arial"/>
          <w:sz w:val="24"/>
          <w:szCs w:val="24"/>
          <w:lang w:eastAsia="en-GB"/>
        </w:rPr>
        <w:t>‘</w:t>
      </w:r>
      <w:r w:rsidRPr="002C0088">
        <w:rPr>
          <w:rFonts w:ascii="Arial" w:eastAsia="Times New Roman" w:hAnsi="Arial" w:cs="Arial"/>
          <w:i/>
          <w:iCs/>
          <w:sz w:val="24"/>
          <w:szCs w:val="24"/>
          <w:lang w:eastAsia="en-GB"/>
        </w:rPr>
        <w:t xml:space="preserve">Key Factors Influencing </w:t>
      </w:r>
      <w:proofErr w:type="spellStart"/>
      <w:r w:rsidRPr="002C0088">
        <w:rPr>
          <w:rFonts w:ascii="Arial" w:eastAsia="Times New Roman" w:hAnsi="Arial" w:cs="Arial"/>
          <w:i/>
          <w:iCs/>
          <w:sz w:val="24"/>
          <w:szCs w:val="24"/>
          <w:lang w:eastAsia="en-GB"/>
        </w:rPr>
        <w:t>LowCarbon</w:t>
      </w:r>
      <w:proofErr w:type="spellEnd"/>
      <w:r w:rsidRPr="002C0088">
        <w:rPr>
          <w:rFonts w:ascii="Arial" w:eastAsia="Times New Roman" w:hAnsi="Arial" w:cs="Arial"/>
          <w:i/>
          <w:iCs/>
          <w:sz w:val="24"/>
          <w:szCs w:val="24"/>
          <w:lang w:eastAsia="en-GB"/>
        </w:rPr>
        <w:t xml:space="preserve"> </w:t>
      </w:r>
      <w:proofErr w:type="spellStart"/>
      <w:r w:rsidRPr="002C0088">
        <w:rPr>
          <w:rFonts w:ascii="Arial" w:eastAsia="Times New Roman" w:hAnsi="Arial" w:cs="Arial"/>
          <w:i/>
          <w:iCs/>
          <w:sz w:val="24"/>
          <w:szCs w:val="24"/>
          <w:lang w:eastAsia="en-GB"/>
        </w:rPr>
        <w:t>Behaviors</w:t>
      </w:r>
      <w:proofErr w:type="spellEnd"/>
      <w:r w:rsidRPr="002C0088">
        <w:rPr>
          <w:rFonts w:ascii="Arial" w:eastAsia="Times New Roman" w:hAnsi="Arial" w:cs="Arial"/>
          <w:i/>
          <w:iCs/>
          <w:sz w:val="24"/>
          <w:szCs w:val="24"/>
          <w:lang w:eastAsia="en-GB"/>
        </w:rPr>
        <w:t xml:space="preserve"> of Staff in </w:t>
      </w:r>
      <w:proofErr w:type="spellStart"/>
      <w:r w:rsidRPr="002C0088">
        <w:rPr>
          <w:rFonts w:ascii="Arial" w:eastAsia="Times New Roman" w:hAnsi="Arial" w:cs="Arial"/>
          <w:i/>
          <w:iCs/>
          <w:sz w:val="24"/>
          <w:szCs w:val="24"/>
          <w:lang w:eastAsia="en-GB"/>
        </w:rPr>
        <w:t>StarRated</w:t>
      </w:r>
      <w:proofErr w:type="spellEnd"/>
      <w:r w:rsidRPr="002C0088">
        <w:rPr>
          <w:rFonts w:ascii="Arial" w:eastAsia="Times New Roman" w:hAnsi="Arial" w:cs="Arial"/>
          <w:i/>
          <w:iCs/>
          <w:sz w:val="24"/>
          <w:szCs w:val="24"/>
          <w:lang w:eastAsia="en-GB"/>
        </w:rPr>
        <w:t xml:space="preserve"> Hotels—An Empirical Study of Eastern China</w:t>
      </w:r>
      <w:r w:rsidR="002C0088">
        <w:rPr>
          <w:rFonts w:ascii="Arial" w:eastAsia="Times New Roman" w:hAnsi="Arial" w:cs="Arial"/>
          <w:i/>
          <w:iCs/>
          <w:sz w:val="24"/>
          <w:szCs w:val="24"/>
          <w:lang w:eastAsia="en-GB"/>
        </w:rPr>
        <w:t>’</w:t>
      </w:r>
      <w:r w:rsidRPr="002C0088">
        <w:rPr>
          <w:rFonts w:ascii="Arial" w:eastAsia="Times New Roman" w:hAnsi="Arial" w:cs="Arial"/>
          <w:i/>
          <w:iCs/>
          <w:sz w:val="24"/>
          <w:szCs w:val="24"/>
          <w:lang w:eastAsia="en-GB"/>
        </w:rPr>
        <w:t xml:space="preserve">. International Journal of Environmental Research and Public Health, </w:t>
      </w:r>
      <w:r w:rsidRPr="00E06E26">
        <w:rPr>
          <w:rFonts w:ascii="Arial" w:eastAsia="Times New Roman" w:hAnsi="Arial" w:cs="Arial"/>
          <w:sz w:val="24"/>
          <w:szCs w:val="24"/>
          <w:lang w:eastAsia="en-GB"/>
        </w:rPr>
        <w:t xml:space="preserve">17(21).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://doi.org/10.3390/ijerph17218222</w:t>
      </w:r>
      <w:proofErr w:type="gramEnd"/>
      <w:r w:rsidRPr="00E06E26">
        <w:rPr>
          <w:rFonts w:ascii="Arial" w:eastAsia="Times New Roman" w:hAnsi="Arial" w:cs="Arial"/>
          <w:sz w:val="24"/>
          <w:szCs w:val="24"/>
          <w:lang w:eastAsia="en-GB"/>
        </w:rPr>
        <w:t>.</w:t>
      </w:r>
    </w:p>
    <w:p w14:paraId="3A0151A1" w14:textId="4F20E49B"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Li, K. (2020) </w:t>
      </w:r>
      <w:r w:rsidRPr="002C0088">
        <w:rPr>
          <w:rFonts w:ascii="Arial" w:eastAsia="Times New Roman" w:hAnsi="Arial" w:cs="Arial"/>
          <w:i/>
          <w:iCs/>
          <w:sz w:val="24"/>
          <w:szCs w:val="24"/>
          <w:lang w:eastAsia="en-GB"/>
        </w:rPr>
        <w:t xml:space="preserve">Not Just a Trend: 5 Hotels Taking on Social Responsibility. </w:t>
      </w:r>
      <w:r w:rsidRPr="00E06E26">
        <w:rPr>
          <w:rFonts w:ascii="Arial" w:eastAsia="Times New Roman" w:hAnsi="Arial" w:cs="Arial"/>
          <w:sz w:val="24"/>
          <w:szCs w:val="24"/>
          <w:lang w:eastAsia="en-GB"/>
        </w:rPr>
        <w:t xml:space="preserve">[online] blog.thehotelsnetwork.com. Available at: https://blog.thehotelsnetwork.com/hotels-social-responsibility </w:t>
      </w:r>
      <w:r w:rsidR="002C0088">
        <w:rPr>
          <w:rFonts w:ascii="Arial" w:eastAsia="Times New Roman" w:hAnsi="Arial" w:cs="Arial"/>
          <w:sz w:val="24"/>
          <w:szCs w:val="24"/>
          <w:lang w:eastAsia="en-GB"/>
        </w:rPr>
        <w:t>(</w:t>
      </w:r>
      <w:r w:rsidRPr="00E06E26">
        <w:rPr>
          <w:rFonts w:ascii="Arial" w:eastAsia="Times New Roman" w:hAnsi="Arial" w:cs="Arial"/>
          <w:sz w:val="24"/>
          <w:szCs w:val="24"/>
          <w:lang w:eastAsia="en-GB"/>
        </w:rPr>
        <w:t xml:space="preserve">Accessed </w:t>
      </w:r>
      <w:r w:rsidR="002C0088">
        <w:rPr>
          <w:rFonts w:ascii="Arial" w:eastAsia="Times New Roman" w:hAnsi="Arial" w:cs="Arial"/>
          <w:sz w:val="24"/>
          <w:szCs w:val="24"/>
          <w:lang w:eastAsia="en-GB"/>
        </w:rPr>
        <w:t xml:space="preserve">on: </w:t>
      </w:r>
      <w:r w:rsidRPr="00E06E26">
        <w:rPr>
          <w:rFonts w:ascii="Arial" w:eastAsia="Times New Roman" w:hAnsi="Arial" w:cs="Arial"/>
          <w:sz w:val="24"/>
          <w:szCs w:val="24"/>
          <w:lang w:eastAsia="en-GB"/>
        </w:rPr>
        <w:t>3</w:t>
      </w:r>
      <w:r w:rsidR="002C0088" w:rsidRPr="002C0088">
        <w:rPr>
          <w:rFonts w:ascii="Arial" w:eastAsia="Times New Roman" w:hAnsi="Arial" w:cs="Arial"/>
          <w:sz w:val="24"/>
          <w:szCs w:val="24"/>
          <w:vertAlign w:val="superscript"/>
          <w:lang w:eastAsia="en-GB"/>
        </w:rPr>
        <w:t>rd</w:t>
      </w:r>
      <w:r w:rsidRPr="00E06E26">
        <w:rPr>
          <w:rFonts w:ascii="Arial" w:eastAsia="Times New Roman" w:hAnsi="Arial" w:cs="Arial"/>
          <w:sz w:val="24"/>
          <w:szCs w:val="24"/>
          <w:lang w:eastAsia="en-GB"/>
        </w:rPr>
        <w:t xml:space="preserve"> May 2024</w:t>
      </w:r>
      <w:r w:rsidR="002C0088">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6485D533" w14:textId="147A1F8A"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lastRenderedPageBreak/>
        <w:t xml:space="preserve">May, Steve. (Steve K., Cheney, G. and Roper, J. (eds) (2023) </w:t>
      </w:r>
      <w:r w:rsidRPr="00E06E26">
        <w:rPr>
          <w:rFonts w:ascii="Arial" w:eastAsia="Times New Roman" w:hAnsi="Arial" w:cs="Arial"/>
          <w:i/>
          <w:iCs/>
          <w:sz w:val="24"/>
          <w:szCs w:val="24"/>
          <w:lang w:eastAsia="en-GB"/>
        </w:rPr>
        <w:t>The debate over corporate social responsibility</w:t>
      </w:r>
      <w:r w:rsidRPr="00E06E26">
        <w:rPr>
          <w:rFonts w:ascii="Arial" w:eastAsia="Times New Roman" w:hAnsi="Arial" w:cs="Arial"/>
          <w:sz w:val="24"/>
          <w:szCs w:val="24"/>
          <w:lang w:eastAsia="en-GB"/>
        </w:rPr>
        <w:t xml:space="preserve">. New </w:t>
      </w:r>
      <w:proofErr w:type="gramStart"/>
      <w:r w:rsidRPr="00E06E26">
        <w:rPr>
          <w:rFonts w:ascii="Arial" w:eastAsia="Times New Roman" w:hAnsi="Arial" w:cs="Arial"/>
          <w:sz w:val="24"/>
          <w:szCs w:val="24"/>
          <w:lang w:eastAsia="en-GB"/>
        </w:rPr>
        <w:t>York ;</w:t>
      </w:r>
      <w:proofErr w:type="gramEnd"/>
      <w:r w:rsidRPr="00E06E26">
        <w:rPr>
          <w:rFonts w:ascii="Arial" w:eastAsia="Times New Roman" w:hAnsi="Arial" w:cs="Arial"/>
          <w:sz w:val="24"/>
          <w:szCs w:val="24"/>
          <w:lang w:eastAsia="en-GB"/>
        </w:rPr>
        <w:t xml:space="preserve"> Oxford University Press. Available at: </w:t>
      </w:r>
      <w:hyperlink r:id="rId7" w:history="1">
        <w:r w:rsidRPr="00E06E26">
          <w:rPr>
            <w:rStyle w:val="Hyperlink"/>
            <w:rFonts w:ascii="Arial" w:eastAsia="Times New Roman" w:hAnsi="Arial" w:cs="Arial"/>
            <w:sz w:val="24"/>
            <w:szCs w:val="24"/>
            <w:lang w:eastAsia="en-GB"/>
          </w:rPr>
          <w:t>https://doi.org/10.1093/oso/9780195178838.001.0001</w:t>
        </w:r>
      </w:hyperlink>
      <w:r w:rsidR="002C0088">
        <w:rPr>
          <w:rFonts w:ascii="Arial" w:eastAsia="Times New Roman" w:hAnsi="Arial" w:cs="Arial"/>
          <w:sz w:val="24"/>
          <w:szCs w:val="24"/>
          <w:lang w:eastAsia="en-GB"/>
        </w:rPr>
        <w:t xml:space="preserve"> (Accessed on </w:t>
      </w:r>
      <w:r w:rsidR="00174BFB">
        <w:rPr>
          <w:rFonts w:ascii="Arial" w:eastAsia="Times New Roman" w:hAnsi="Arial" w:cs="Arial"/>
          <w:sz w:val="24"/>
          <w:szCs w:val="24"/>
          <w:lang w:eastAsia="en-GB"/>
        </w:rPr>
        <w:t>3</w:t>
      </w:r>
      <w:r w:rsidR="00174BFB" w:rsidRPr="00174BFB">
        <w:rPr>
          <w:rFonts w:ascii="Arial" w:eastAsia="Times New Roman" w:hAnsi="Arial" w:cs="Arial"/>
          <w:sz w:val="24"/>
          <w:szCs w:val="24"/>
          <w:vertAlign w:val="superscript"/>
          <w:lang w:eastAsia="en-GB"/>
        </w:rPr>
        <w:t>rd</w:t>
      </w:r>
      <w:r w:rsidR="00174BFB">
        <w:rPr>
          <w:rFonts w:ascii="Arial" w:eastAsia="Times New Roman" w:hAnsi="Arial" w:cs="Arial"/>
          <w:sz w:val="24"/>
          <w:szCs w:val="24"/>
          <w:lang w:eastAsia="en-GB"/>
        </w:rPr>
        <w:t xml:space="preserve"> May 2024).</w:t>
      </w:r>
    </w:p>
    <w:p w14:paraId="7D50E894" w14:textId="514B5C40"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Ohmer, M.L., Mendenhall, A.N., Mohr Carney, M. and Adams, D. (2022) </w:t>
      </w:r>
      <w:r w:rsidR="00174BFB">
        <w:rPr>
          <w:rFonts w:ascii="Arial" w:eastAsia="Times New Roman" w:hAnsi="Arial" w:cs="Arial"/>
          <w:sz w:val="24"/>
          <w:szCs w:val="24"/>
          <w:lang w:eastAsia="en-GB"/>
        </w:rPr>
        <w:t>‘</w:t>
      </w:r>
      <w:r w:rsidRPr="00174BFB">
        <w:rPr>
          <w:rFonts w:ascii="Arial" w:eastAsia="Times New Roman" w:hAnsi="Arial" w:cs="Arial"/>
          <w:i/>
          <w:iCs/>
          <w:sz w:val="24"/>
          <w:szCs w:val="24"/>
          <w:lang w:eastAsia="en-GB"/>
        </w:rPr>
        <w:t>Community engagement: evolution, challenges and opportunities for change</w:t>
      </w:r>
      <w:r w:rsidR="00174BFB">
        <w:rPr>
          <w:rFonts w:ascii="Arial" w:eastAsia="Times New Roman" w:hAnsi="Arial" w:cs="Arial"/>
          <w:i/>
          <w:iCs/>
          <w:sz w:val="24"/>
          <w:szCs w:val="24"/>
          <w:lang w:eastAsia="en-GB"/>
        </w:rPr>
        <w:t>’</w:t>
      </w:r>
      <w:r w:rsidRPr="00174BFB">
        <w:rPr>
          <w:rFonts w:ascii="Arial" w:eastAsia="Times New Roman" w:hAnsi="Arial" w:cs="Arial"/>
          <w:i/>
          <w:iCs/>
          <w:sz w:val="24"/>
          <w:szCs w:val="24"/>
          <w:lang w:eastAsia="en-GB"/>
        </w:rPr>
        <w:t xml:space="preserve">. Journal of Community Practice, </w:t>
      </w:r>
      <w:r w:rsidRPr="00E06E26">
        <w:rPr>
          <w:rFonts w:ascii="Arial" w:eastAsia="Times New Roman" w:hAnsi="Arial" w:cs="Arial"/>
          <w:sz w:val="24"/>
          <w:szCs w:val="24"/>
          <w:lang w:eastAsia="en-GB"/>
        </w:rPr>
        <w:t xml:space="preserve">[online] 30(4), pp.351–358.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://doi.org/10.1080/10705422.2022.2144061</w:t>
      </w:r>
      <w:proofErr w:type="gramEnd"/>
      <w:r w:rsidR="00174BFB">
        <w:rPr>
          <w:rFonts w:ascii="Arial" w:eastAsia="Times New Roman" w:hAnsi="Arial" w:cs="Arial"/>
          <w:sz w:val="24"/>
          <w:szCs w:val="24"/>
          <w:lang w:eastAsia="en-GB"/>
        </w:rPr>
        <w:t xml:space="preserve"> (Accessed on 3</w:t>
      </w:r>
      <w:r w:rsidR="00174BFB" w:rsidRPr="00174BFB">
        <w:rPr>
          <w:rFonts w:ascii="Arial" w:eastAsia="Times New Roman" w:hAnsi="Arial" w:cs="Arial"/>
          <w:sz w:val="24"/>
          <w:szCs w:val="24"/>
          <w:vertAlign w:val="superscript"/>
          <w:lang w:eastAsia="en-GB"/>
        </w:rPr>
        <w:t>rd</w:t>
      </w:r>
      <w:r w:rsidR="00174BFB">
        <w:rPr>
          <w:rFonts w:ascii="Arial" w:eastAsia="Times New Roman" w:hAnsi="Arial" w:cs="Arial"/>
          <w:sz w:val="24"/>
          <w:szCs w:val="24"/>
          <w:lang w:eastAsia="en-GB"/>
        </w:rPr>
        <w:t xml:space="preserve"> May 2024).</w:t>
      </w:r>
    </w:p>
    <w:p w14:paraId="23F77AEA" w14:textId="3DB75E48"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Phillips, R., Schrempf-Stirling, J. and Stutz, C. (2019) </w:t>
      </w:r>
      <w:r w:rsidRPr="00174BFB">
        <w:rPr>
          <w:rFonts w:ascii="Arial" w:eastAsia="Times New Roman" w:hAnsi="Arial" w:cs="Arial"/>
          <w:i/>
          <w:iCs/>
          <w:sz w:val="24"/>
          <w:szCs w:val="24"/>
          <w:lang w:eastAsia="en-GB"/>
        </w:rPr>
        <w:t>The Past, History, and Corporate Social Responsibility.</w:t>
      </w:r>
      <w:r w:rsidRPr="00E06E26">
        <w:rPr>
          <w:rFonts w:ascii="Arial" w:eastAsia="Times New Roman" w:hAnsi="Arial" w:cs="Arial"/>
          <w:sz w:val="24"/>
          <w:szCs w:val="24"/>
          <w:lang w:eastAsia="en-GB"/>
        </w:rPr>
        <w:t xml:space="preserve"> Journal of Business Ethics, 166(2).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://doi.org/10.1007/s10551-019-04319-0</w:t>
      </w:r>
      <w:proofErr w:type="gramEnd"/>
      <w:r w:rsidR="00174BFB">
        <w:rPr>
          <w:rFonts w:ascii="Arial" w:eastAsia="Times New Roman" w:hAnsi="Arial" w:cs="Arial"/>
          <w:sz w:val="24"/>
          <w:szCs w:val="24"/>
          <w:lang w:eastAsia="en-GB"/>
        </w:rPr>
        <w:t xml:space="preserve"> (Accessed on 2</w:t>
      </w:r>
      <w:r w:rsidR="00174BFB" w:rsidRPr="00174BFB">
        <w:rPr>
          <w:rFonts w:ascii="Arial" w:eastAsia="Times New Roman" w:hAnsi="Arial" w:cs="Arial"/>
          <w:sz w:val="24"/>
          <w:szCs w:val="24"/>
          <w:vertAlign w:val="superscript"/>
          <w:lang w:eastAsia="en-GB"/>
        </w:rPr>
        <w:t>nd</w:t>
      </w:r>
      <w:r w:rsidR="00174BFB">
        <w:rPr>
          <w:rFonts w:ascii="Arial" w:eastAsia="Times New Roman" w:hAnsi="Arial" w:cs="Arial"/>
          <w:sz w:val="24"/>
          <w:szCs w:val="24"/>
          <w:lang w:eastAsia="en-GB"/>
        </w:rPr>
        <w:t xml:space="preserve"> May 2024).</w:t>
      </w:r>
    </w:p>
    <w:p w14:paraId="6833344E" w14:textId="65DF2566"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 xml:space="preserve">Read, C. (2023) </w:t>
      </w:r>
      <w:r w:rsidRPr="00E555EB">
        <w:rPr>
          <w:rFonts w:ascii="Arial" w:eastAsia="Times New Roman" w:hAnsi="Arial" w:cs="Arial"/>
          <w:i/>
          <w:iCs/>
          <w:sz w:val="24"/>
          <w:szCs w:val="24"/>
          <w:lang w:eastAsia="en-GB"/>
        </w:rPr>
        <w:t xml:space="preserve">Understanding Sustainability Principles and ESG Policies. </w:t>
      </w:r>
      <w:r w:rsidRPr="00E06E26">
        <w:rPr>
          <w:rFonts w:ascii="Arial" w:eastAsia="Times New Roman" w:hAnsi="Arial" w:cs="Arial"/>
          <w:sz w:val="24"/>
          <w:szCs w:val="24"/>
          <w:lang w:eastAsia="en-GB"/>
        </w:rPr>
        <w:t xml:space="preserve">Springer eBooks. Springer Nature. </w:t>
      </w:r>
      <w:proofErr w:type="spellStart"/>
      <w:proofErr w:type="gramStart"/>
      <w:r w:rsidRPr="00E06E26">
        <w:rPr>
          <w:rFonts w:ascii="Arial" w:eastAsia="Times New Roman" w:hAnsi="Arial" w:cs="Arial"/>
          <w:sz w:val="24"/>
          <w:szCs w:val="24"/>
          <w:lang w:eastAsia="en-GB"/>
        </w:rPr>
        <w:t>doi:https</w:t>
      </w:r>
      <w:proofErr w:type="spellEnd"/>
      <w:r w:rsidRPr="00E06E26">
        <w:rPr>
          <w:rFonts w:ascii="Arial" w:eastAsia="Times New Roman" w:hAnsi="Arial" w:cs="Arial"/>
          <w:sz w:val="24"/>
          <w:szCs w:val="24"/>
          <w:lang w:eastAsia="en-GB"/>
        </w:rPr>
        <w:t>://doi.org/10.1007/978-3-031-34483-1</w:t>
      </w:r>
      <w:proofErr w:type="gramEnd"/>
      <w:r w:rsidR="00E555EB">
        <w:rPr>
          <w:rFonts w:ascii="Arial" w:eastAsia="Times New Roman" w:hAnsi="Arial" w:cs="Arial"/>
          <w:sz w:val="24"/>
          <w:szCs w:val="24"/>
          <w:lang w:eastAsia="en-GB"/>
        </w:rPr>
        <w:t xml:space="preserve"> (Accessed on 29</w:t>
      </w:r>
      <w:r w:rsidR="00E555EB" w:rsidRPr="00E555EB">
        <w:rPr>
          <w:rFonts w:ascii="Arial" w:eastAsia="Times New Roman" w:hAnsi="Arial" w:cs="Arial"/>
          <w:sz w:val="24"/>
          <w:szCs w:val="24"/>
          <w:vertAlign w:val="superscript"/>
          <w:lang w:eastAsia="en-GB"/>
        </w:rPr>
        <w:t>th</w:t>
      </w:r>
      <w:r w:rsidR="00E555EB">
        <w:rPr>
          <w:rFonts w:ascii="Arial" w:eastAsia="Times New Roman" w:hAnsi="Arial" w:cs="Arial"/>
          <w:sz w:val="24"/>
          <w:szCs w:val="24"/>
          <w:lang w:eastAsia="en-GB"/>
        </w:rPr>
        <w:t xml:space="preserve"> April 2024).</w:t>
      </w:r>
    </w:p>
    <w:p w14:paraId="6B67F00A" w14:textId="5038AF2C" w:rsidR="00CB45AC" w:rsidRPr="00CB45AC" w:rsidRDefault="007846E2" w:rsidP="00E06E26">
      <w:pPr>
        <w:spacing w:line="360" w:lineRule="auto"/>
        <w:jc w:val="both"/>
        <w:rPr>
          <w:rFonts w:ascii="Arial" w:hAnsi="Arial" w:cs="Arial"/>
        </w:rPr>
      </w:pPr>
      <w:r w:rsidRPr="00E06E26">
        <w:rPr>
          <w:rFonts w:ascii="Arial" w:hAnsi="Arial" w:cs="Arial"/>
        </w:rPr>
        <w:t xml:space="preserve">Regilme, S. S. F. (2019) </w:t>
      </w:r>
      <w:r w:rsidRPr="00E555EB">
        <w:rPr>
          <w:rFonts w:ascii="Arial" w:hAnsi="Arial" w:cs="Arial"/>
          <w:i/>
          <w:iCs/>
        </w:rPr>
        <w:t>The global politics of human rights: From human rights to human dignity?</w:t>
      </w:r>
      <w:r w:rsidR="00E555EB">
        <w:rPr>
          <w:rFonts w:ascii="Arial" w:hAnsi="Arial" w:cs="Arial"/>
          <w:i/>
          <w:iCs/>
        </w:rPr>
        <w:t xml:space="preserve"> / </w:t>
      </w:r>
      <w:r w:rsidRPr="00E06E26">
        <w:rPr>
          <w:rFonts w:ascii="Arial" w:hAnsi="Arial" w:cs="Arial"/>
        </w:rPr>
        <w:t xml:space="preserve">International Political Science Review, 40(2), 279-290. </w:t>
      </w:r>
      <w:hyperlink r:id="rId8" w:history="1">
        <w:r w:rsidRPr="00E06E26">
          <w:rPr>
            <w:rStyle w:val="Hyperlink"/>
            <w:rFonts w:ascii="Arial" w:hAnsi="Arial" w:cs="Arial"/>
          </w:rPr>
          <w:t>https://doi.org/10.1177/0192512118757129</w:t>
        </w:r>
      </w:hyperlink>
      <w:r w:rsidR="00CB45AC">
        <w:rPr>
          <w:rFonts w:ascii="Arial" w:hAnsi="Arial" w:cs="Arial"/>
        </w:rPr>
        <w:t xml:space="preserve"> </w:t>
      </w:r>
      <w:r w:rsidR="00CB45AC">
        <w:rPr>
          <w:rFonts w:ascii="Arial" w:eastAsia="Times New Roman" w:hAnsi="Arial" w:cs="Arial"/>
          <w:sz w:val="24"/>
          <w:szCs w:val="24"/>
          <w:lang w:eastAsia="en-GB"/>
        </w:rPr>
        <w:t>(</w:t>
      </w:r>
      <w:r w:rsidR="00E555EB">
        <w:rPr>
          <w:rFonts w:ascii="Arial" w:eastAsia="Times New Roman" w:hAnsi="Arial" w:cs="Arial"/>
          <w:sz w:val="24"/>
          <w:szCs w:val="24"/>
          <w:lang w:eastAsia="en-GB"/>
        </w:rPr>
        <w:t>Accessed on: 1</w:t>
      </w:r>
      <w:r w:rsidR="00E555EB" w:rsidRPr="00E555EB">
        <w:rPr>
          <w:rFonts w:ascii="Arial" w:eastAsia="Times New Roman" w:hAnsi="Arial" w:cs="Arial"/>
          <w:sz w:val="24"/>
          <w:szCs w:val="24"/>
          <w:vertAlign w:val="superscript"/>
          <w:lang w:eastAsia="en-GB"/>
        </w:rPr>
        <w:t>st</w:t>
      </w:r>
      <w:r w:rsidR="00E555EB">
        <w:rPr>
          <w:rFonts w:ascii="Arial" w:eastAsia="Times New Roman" w:hAnsi="Arial" w:cs="Arial"/>
          <w:sz w:val="24"/>
          <w:szCs w:val="24"/>
          <w:lang w:eastAsia="en-GB"/>
        </w:rPr>
        <w:t xml:space="preserve"> May </w:t>
      </w:r>
      <w:r w:rsidR="00CB45AC">
        <w:rPr>
          <w:rFonts w:ascii="Arial" w:eastAsia="Times New Roman" w:hAnsi="Arial" w:cs="Arial"/>
          <w:sz w:val="24"/>
          <w:szCs w:val="24"/>
          <w:lang w:eastAsia="en-GB"/>
        </w:rPr>
        <w:t>2024).</w:t>
      </w:r>
    </w:p>
    <w:p w14:paraId="018760B9" w14:textId="39E7F84D" w:rsidR="007846E2" w:rsidRPr="00E06E26" w:rsidRDefault="007846E2" w:rsidP="00E06E26">
      <w:pPr>
        <w:spacing w:line="360" w:lineRule="auto"/>
        <w:jc w:val="both"/>
        <w:rPr>
          <w:rFonts w:ascii="Arial" w:eastAsia="Times New Roman" w:hAnsi="Arial" w:cs="Arial"/>
          <w:sz w:val="24"/>
          <w:szCs w:val="24"/>
          <w:lang w:eastAsia="en-GB"/>
        </w:rPr>
      </w:pPr>
      <w:r w:rsidRPr="00E06E26">
        <w:rPr>
          <w:rFonts w:ascii="Arial" w:eastAsia="Times New Roman" w:hAnsi="Arial" w:cs="Arial"/>
          <w:sz w:val="24"/>
          <w:szCs w:val="24"/>
          <w:lang w:eastAsia="en-GB"/>
        </w:rPr>
        <w:t>UNFCCC (2023)</w:t>
      </w:r>
      <w:r w:rsidR="00CB45AC">
        <w:rPr>
          <w:rFonts w:ascii="Arial" w:eastAsia="Times New Roman" w:hAnsi="Arial" w:cs="Arial"/>
          <w:sz w:val="24"/>
          <w:szCs w:val="24"/>
          <w:lang w:eastAsia="en-GB"/>
        </w:rPr>
        <w:t xml:space="preserve"> </w:t>
      </w:r>
      <w:r w:rsidRPr="00CB45AC">
        <w:rPr>
          <w:rFonts w:ascii="Arial" w:eastAsia="Times New Roman" w:hAnsi="Arial" w:cs="Arial"/>
          <w:i/>
          <w:iCs/>
          <w:sz w:val="24"/>
          <w:szCs w:val="24"/>
          <w:lang w:eastAsia="en-GB"/>
        </w:rPr>
        <w:t>The Paris Agreement.</w:t>
      </w:r>
      <w:r w:rsidRPr="00E06E26">
        <w:rPr>
          <w:rFonts w:ascii="Arial" w:eastAsia="Times New Roman" w:hAnsi="Arial" w:cs="Arial"/>
          <w:sz w:val="24"/>
          <w:szCs w:val="24"/>
          <w:lang w:eastAsia="en-GB"/>
        </w:rPr>
        <w:t xml:space="preserve"> [online] United Nations Climate Change. Available at: https://unfccc.int/process-and-meetings/the-paris-agreement </w:t>
      </w:r>
      <w:r w:rsidR="00CB45AC">
        <w:rPr>
          <w:rFonts w:ascii="Arial" w:eastAsia="Times New Roman" w:hAnsi="Arial" w:cs="Arial"/>
          <w:sz w:val="24"/>
          <w:szCs w:val="24"/>
          <w:lang w:eastAsia="en-GB"/>
        </w:rPr>
        <w:t>(</w:t>
      </w:r>
      <w:r w:rsidRPr="00E06E26">
        <w:rPr>
          <w:rFonts w:ascii="Arial" w:eastAsia="Times New Roman" w:hAnsi="Arial" w:cs="Arial"/>
          <w:sz w:val="24"/>
          <w:szCs w:val="24"/>
          <w:lang w:eastAsia="en-GB"/>
        </w:rPr>
        <w:t>Accessed</w:t>
      </w:r>
      <w:r w:rsidR="00CB45AC">
        <w:rPr>
          <w:rFonts w:ascii="Arial" w:eastAsia="Times New Roman" w:hAnsi="Arial" w:cs="Arial"/>
          <w:sz w:val="24"/>
          <w:szCs w:val="24"/>
          <w:lang w:eastAsia="en-GB"/>
        </w:rPr>
        <w:t xml:space="preserve"> on:</w:t>
      </w:r>
      <w:r w:rsidRPr="00E06E26">
        <w:rPr>
          <w:rFonts w:ascii="Arial" w:eastAsia="Times New Roman" w:hAnsi="Arial" w:cs="Arial"/>
          <w:sz w:val="24"/>
          <w:szCs w:val="24"/>
          <w:lang w:eastAsia="en-GB"/>
        </w:rPr>
        <w:t xml:space="preserve"> 3</w:t>
      </w:r>
      <w:r w:rsidR="00CB45AC" w:rsidRPr="00CB45AC">
        <w:rPr>
          <w:rFonts w:ascii="Arial" w:eastAsia="Times New Roman" w:hAnsi="Arial" w:cs="Arial"/>
          <w:sz w:val="24"/>
          <w:szCs w:val="24"/>
          <w:vertAlign w:val="superscript"/>
          <w:lang w:eastAsia="en-GB"/>
        </w:rPr>
        <w:t>rd</w:t>
      </w:r>
      <w:r w:rsidRPr="00E06E26">
        <w:rPr>
          <w:rFonts w:ascii="Arial" w:eastAsia="Times New Roman" w:hAnsi="Arial" w:cs="Arial"/>
          <w:sz w:val="24"/>
          <w:szCs w:val="24"/>
          <w:lang w:eastAsia="en-GB"/>
        </w:rPr>
        <w:t xml:space="preserve"> May 2024</w:t>
      </w:r>
      <w:r w:rsidR="00CB45AC">
        <w:rPr>
          <w:rFonts w:ascii="Arial" w:eastAsia="Times New Roman" w:hAnsi="Arial" w:cs="Arial"/>
          <w:sz w:val="24"/>
          <w:szCs w:val="24"/>
          <w:lang w:eastAsia="en-GB"/>
        </w:rPr>
        <w:t>)</w:t>
      </w:r>
      <w:r w:rsidRPr="00E06E26">
        <w:rPr>
          <w:rFonts w:ascii="Arial" w:eastAsia="Times New Roman" w:hAnsi="Arial" w:cs="Arial"/>
          <w:sz w:val="24"/>
          <w:szCs w:val="24"/>
          <w:lang w:eastAsia="en-GB"/>
        </w:rPr>
        <w:t>.</w:t>
      </w:r>
    </w:p>
    <w:p w14:paraId="0B070CBA" w14:textId="77777777" w:rsidR="006450F1" w:rsidRDefault="006450F1" w:rsidP="00102114"/>
    <w:sectPr w:rsidR="006450F1" w:rsidSect="009111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334072"/>
    <w:multiLevelType w:val="hybridMultilevel"/>
    <w:tmpl w:val="111A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7941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09"/>
    <w:rsid w:val="000062F3"/>
    <w:rsid w:val="0001196C"/>
    <w:rsid w:val="0001768D"/>
    <w:rsid w:val="000233E0"/>
    <w:rsid w:val="0007116F"/>
    <w:rsid w:val="00102114"/>
    <w:rsid w:val="00135C0D"/>
    <w:rsid w:val="00171610"/>
    <w:rsid w:val="00174BFB"/>
    <w:rsid w:val="001C6903"/>
    <w:rsid w:val="001D6A16"/>
    <w:rsid w:val="001D7DDE"/>
    <w:rsid w:val="0021101D"/>
    <w:rsid w:val="002277A9"/>
    <w:rsid w:val="0023514A"/>
    <w:rsid w:val="00266AD4"/>
    <w:rsid w:val="002C0088"/>
    <w:rsid w:val="002D6CDF"/>
    <w:rsid w:val="002F374D"/>
    <w:rsid w:val="00332D99"/>
    <w:rsid w:val="00340DFE"/>
    <w:rsid w:val="0038707F"/>
    <w:rsid w:val="0039049B"/>
    <w:rsid w:val="003B14E6"/>
    <w:rsid w:val="0041715F"/>
    <w:rsid w:val="004B15D4"/>
    <w:rsid w:val="004C25B6"/>
    <w:rsid w:val="004F0931"/>
    <w:rsid w:val="0057794D"/>
    <w:rsid w:val="005B40A4"/>
    <w:rsid w:val="005B66E8"/>
    <w:rsid w:val="005C543D"/>
    <w:rsid w:val="005D3EC8"/>
    <w:rsid w:val="006450F1"/>
    <w:rsid w:val="00664955"/>
    <w:rsid w:val="007007D9"/>
    <w:rsid w:val="00721B93"/>
    <w:rsid w:val="00762211"/>
    <w:rsid w:val="007846E2"/>
    <w:rsid w:val="007E6A09"/>
    <w:rsid w:val="007F4C5A"/>
    <w:rsid w:val="00862F09"/>
    <w:rsid w:val="009111C3"/>
    <w:rsid w:val="009157A2"/>
    <w:rsid w:val="009168DD"/>
    <w:rsid w:val="009A15AA"/>
    <w:rsid w:val="009C0A5C"/>
    <w:rsid w:val="009F0FEE"/>
    <w:rsid w:val="00A106EA"/>
    <w:rsid w:val="00A60659"/>
    <w:rsid w:val="00AB413A"/>
    <w:rsid w:val="00AD23A1"/>
    <w:rsid w:val="00B003E4"/>
    <w:rsid w:val="00B02E1D"/>
    <w:rsid w:val="00B244A0"/>
    <w:rsid w:val="00B438D7"/>
    <w:rsid w:val="00B44108"/>
    <w:rsid w:val="00B51B74"/>
    <w:rsid w:val="00B57844"/>
    <w:rsid w:val="00B77A7E"/>
    <w:rsid w:val="00BD1F5D"/>
    <w:rsid w:val="00BD675F"/>
    <w:rsid w:val="00BE7990"/>
    <w:rsid w:val="00C4011F"/>
    <w:rsid w:val="00CA1CB9"/>
    <w:rsid w:val="00CA3B64"/>
    <w:rsid w:val="00CB45AC"/>
    <w:rsid w:val="00D21CFC"/>
    <w:rsid w:val="00D44605"/>
    <w:rsid w:val="00D659A4"/>
    <w:rsid w:val="00DA50F9"/>
    <w:rsid w:val="00DA527E"/>
    <w:rsid w:val="00DB4E7C"/>
    <w:rsid w:val="00DD1249"/>
    <w:rsid w:val="00E06E26"/>
    <w:rsid w:val="00E555EB"/>
    <w:rsid w:val="00E60688"/>
    <w:rsid w:val="00E6134E"/>
    <w:rsid w:val="00E61ECB"/>
    <w:rsid w:val="00F11F03"/>
    <w:rsid w:val="00F43F75"/>
    <w:rsid w:val="00F57AE4"/>
    <w:rsid w:val="00FA69B5"/>
    <w:rsid w:val="00FB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8B263"/>
  <w15:chartTrackingRefBased/>
  <w15:docId w15:val="{B3DE13DD-0895-4DB0-885C-B4A20240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A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A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A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A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A09"/>
    <w:rPr>
      <w:rFonts w:eastAsiaTheme="majorEastAsia" w:cstheme="majorBidi"/>
      <w:color w:val="272727" w:themeColor="text1" w:themeTint="D8"/>
    </w:rPr>
  </w:style>
  <w:style w:type="paragraph" w:styleId="Title">
    <w:name w:val="Title"/>
    <w:basedOn w:val="Normal"/>
    <w:next w:val="Normal"/>
    <w:link w:val="TitleChar"/>
    <w:uiPriority w:val="10"/>
    <w:qFormat/>
    <w:rsid w:val="007E6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A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A09"/>
    <w:pPr>
      <w:spacing w:before="160"/>
      <w:jc w:val="center"/>
    </w:pPr>
    <w:rPr>
      <w:i/>
      <w:iCs/>
      <w:color w:val="404040" w:themeColor="text1" w:themeTint="BF"/>
    </w:rPr>
  </w:style>
  <w:style w:type="character" w:customStyle="1" w:styleId="QuoteChar">
    <w:name w:val="Quote Char"/>
    <w:basedOn w:val="DefaultParagraphFont"/>
    <w:link w:val="Quote"/>
    <w:uiPriority w:val="29"/>
    <w:rsid w:val="007E6A09"/>
    <w:rPr>
      <w:i/>
      <w:iCs/>
      <w:color w:val="404040" w:themeColor="text1" w:themeTint="BF"/>
    </w:rPr>
  </w:style>
  <w:style w:type="paragraph" w:styleId="ListParagraph">
    <w:name w:val="List Paragraph"/>
    <w:basedOn w:val="Normal"/>
    <w:uiPriority w:val="34"/>
    <w:qFormat/>
    <w:rsid w:val="007E6A09"/>
    <w:pPr>
      <w:ind w:left="720"/>
      <w:contextualSpacing/>
    </w:pPr>
  </w:style>
  <w:style w:type="character" w:styleId="IntenseEmphasis">
    <w:name w:val="Intense Emphasis"/>
    <w:basedOn w:val="DefaultParagraphFont"/>
    <w:uiPriority w:val="21"/>
    <w:qFormat/>
    <w:rsid w:val="007E6A09"/>
    <w:rPr>
      <w:i/>
      <w:iCs/>
      <w:color w:val="0F4761" w:themeColor="accent1" w:themeShade="BF"/>
    </w:rPr>
  </w:style>
  <w:style w:type="paragraph" w:styleId="IntenseQuote">
    <w:name w:val="Intense Quote"/>
    <w:basedOn w:val="Normal"/>
    <w:next w:val="Normal"/>
    <w:link w:val="IntenseQuoteChar"/>
    <w:uiPriority w:val="30"/>
    <w:qFormat/>
    <w:rsid w:val="007E6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A09"/>
    <w:rPr>
      <w:i/>
      <w:iCs/>
      <w:color w:val="0F4761" w:themeColor="accent1" w:themeShade="BF"/>
    </w:rPr>
  </w:style>
  <w:style w:type="character" w:styleId="IntenseReference">
    <w:name w:val="Intense Reference"/>
    <w:basedOn w:val="DefaultParagraphFont"/>
    <w:uiPriority w:val="32"/>
    <w:qFormat/>
    <w:rsid w:val="007E6A09"/>
    <w:rPr>
      <w:b/>
      <w:bCs/>
      <w:smallCaps/>
      <w:color w:val="0F4761" w:themeColor="accent1" w:themeShade="BF"/>
      <w:spacing w:val="5"/>
    </w:rPr>
  </w:style>
  <w:style w:type="character" w:styleId="Hyperlink">
    <w:name w:val="Hyperlink"/>
    <w:basedOn w:val="DefaultParagraphFont"/>
    <w:uiPriority w:val="99"/>
    <w:unhideWhenUsed/>
    <w:rsid w:val="009168DD"/>
    <w:rPr>
      <w:color w:val="467886" w:themeColor="hyperlink"/>
      <w:u w:val="single"/>
    </w:rPr>
  </w:style>
  <w:style w:type="character" w:styleId="UnresolvedMention">
    <w:name w:val="Unresolved Mention"/>
    <w:basedOn w:val="DefaultParagraphFont"/>
    <w:uiPriority w:val="99"/>
    <w:semiHidden/>
    <w:unhideWhenUsed/>
    <w:rsid w:val="009168DD"/>
    <w:rPr>
      <w:color w:val="605E5C"/>
      <w:shd w:val="clear" w:color="auto" w:fill="E1DFDD"/>
    </w:rPr>
  </w:style>
  <w:style w:type="paragraph" w:styleId="NoSpacing">
    <w:name w:val="No Spacing"/>
    <w:link w:val="NoSpacingChar"/>
    <w:uiPriority w:val="1"/>
    <w:qFormat/>
    <w:rsid w:val="00BD1F5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D1F5D"/>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94607">
      <w:bodyDiv w:val="1"/>
      <w:marLeft w:val="0"/>
      <w:marRight w:val="0"/>
      <w:marTop w:val="0"/>
      <w:marBottom w:val="0"/>
      <w:divBdr>
        <w:top w:val="none" w:sz="0" w:space="0" w:color="auto"/>
        <w:left w:val="none" w:sz="0" w:space="0" w:color="auto"/>
        <w:bottom w:val="none" w:sz="0" w:space="0" w:color="auto"/>
        <w:right w:val="none" w:sz="0" w:space="0" w:color="auto"/>
      </w:divBdr>
      <w:divsChild>
        <w:div w:id="1014262383">
          <w:marLeft w:val="0"/>
          <w:marRight w:val="0"/>
          <w:marTop w:val="0"/>
          <w:marBottom w:val="0"/>
          <w:divBdr>
            <w:top w:val="single" w:sz="2" w:space="0" w:color="E3E3E3"/>
            <w:left w:val="single" w:sz="2" w:space="0" w:color="E3E3E3"/>
            <w:bottom w:val="single" w:sz="2" w:space="0" w:color="E3E3E3"/>
            <w:right w:val="single" w:sz="2" w:space="0" w:color="E3E3E3"/>
          </w:divBdr>
          <w:divsChild>
            <w:div w:id="532772767">
              <w:marLeft w:val="0"/>
              <w:marRight w:val="0"/>
              <w:marTop w:val="0"/>
              <w:marBottom w:val="0"/>
              <w:divBdr>
                <w:top w:val="single" w:sz="2" w:space="0" w:color="E3E3E3"/>
                <w:left w:val="single" w:sz="2" w:space="0" w:color="E3E3E3"/>
                <w:bottom w:val="single" w:sz="2" w:space="0" w:color="E3E3E3"/>
                <w:right w:val="single" w:sz="2" w:space="0" w:color="E3E3E3"/>
              </w:divBdr>
              <w:divsChild>
                <w:div w:id="532890533">
                  <w:marLeft w:val="0"/>
                  <w:marRight w:val="0"/>
                  <w:marTop w:val="0"/>
                  <w:marBottom w:val="0"/>
                  <w:divBdr>
                    <w:top w:val="single" w:sz="2" w:space="0" w:color="E3E3E3"/>
                    <w:left w:val="single" w:sz="2" w:space="0" w:color="E3E3E3"/>
                    <w:bottom w:val="single" w:sz="2" w:space="0" w:color="E3E3E3"/>
                    <w:right w:val="single" w:sz="2" w:space="0" w:color="E3E3E3"/>
                  </w:divBdr>
                  <w:divsChild>
                    <w:div w:id="678317039">
                      <w:marLeft w:val="0"/>
                      <w:marRight w:val="0"/>
                      <w:marTop w:val="0"/>
                      <w:marBottom w:val="0"/>
                      <w:divBdr>
                        <w:top w:val="single" w:sz="2" w:space="0" w:color="E3E3E3"/>
                        <w:left w:val="single" w:sz="2" w:space="0" w:color="E3E3E3"/>
                        <w:bottom w:val="single" w:sz="2" w:space="0" w:color="E3E3E3"/>
                        <w:right w:val="single" w:sz="2" w:space="0" w:color="E3E3E3"/>
                      </w:divBdr>
                      <w:divsChild>
                        <w:div w:id="1202282053">
                          <w:marLeft w:val="0"/>
                          <w:marRight w:val="0"/>
                          <w:marTop w:val="0"/>
                          <w:marBottom w:val="0"/>
                          <w:divBdr>
                            <w:top w:val="single" w:sz="2" w:space="0" w:color="E3E3E3"/>
                            <w:left w:val="single" w:sz="2" w:space="0" w:color="E3E3E3"/>
                            <w:bottom w:val="single" w:sz="2" w:space="0" w:color="E3E3E3"/>
                            <w:right w:val="single" w:sz="2" w:space="0" w:color="E3E3E3"/>
                          </w:divBdr>
                          <w:divsChild>
                            <w:div w:id="1497307149">
                              <w:marLeft w:val="0"/>
                              <w:marRight w:val="0"/>
                              <w:marTop w:val="0"/>
                              <w:marBottom w:val="0"/>
                              <w:divBdr>
                                <w:top w:val="single" w:sz="2" w:space="0" w:color="E3E3E3"/>
                                <w:left w:val="single" w:sz="2" w:space="0" w:color="E3E3E3"/>
                                <w:bottom w:val="single" w:sz="2" w:space="0" w:color="E3E3E3"/>
                                <w:right w:val="single" w:sz="2" w:space="0" w:color="E3E3E3"/>
                              </w:divBdr>
                              <w:divsChild>
                                <w:div w:id="434592279">
                                  <w:marLeft w:val="0"/>
                                  <w:marRight w:val="0"/>
                                  <w:marTop w:val="100"/>
                                  <w:marBottom w:val="100"/>
                                  <w:divBdr>
                                    <w:top w:val="single" w:sz="2" w:space="0" w:color="E3E3E3"/>
                                    <w:left w:val="single" w:sz="2" w:space="0" w:color="E3E3E3"/>
                                    <w:bottom w:val="single" w:sz="2" w:space="0" w:color="E3E3E3"/>
                                    <w:right w:val="single" w:sz="2" w:space="0" w:color="E3E3E3"/>
                                  </w:divBdr>
                                  <w:divsChild>
                                    <w:div w:id="1176312848">
                                      <w:marLeft w:val="0"/>
                                      <w:marRight w:val="0"/>
                                      <w:marTop w:val="0"/>
                                      <w:marBottom w:val="0"/>
                                      <w:divBdr>
                                        <w:top w:val="single" w:sz="2" w:space="0" w:color="E3E3E3"/>
                                        <w:left w:val="single" w:sz="2" w:space="0" w:color="E3E3E3"/>
                                        <w:bottom w:val="single" w:sz="2" w:space="0" w:color="E3E3E3"/>
                                        <w:right w:val="single" w:sz="2" w:space="0" w:color="E3E3E3"/>
                                      </w:divBdr>
                                      <w:divsChild>
                                        <w:div w:id="440880522">
                                          <w:marLeft w:val="0"/>
                                          <w:marRight w:val="0"/>
                                          <w:marTop w:val="0"/>
                                          <w:marBottom w:val="0"/>
                                          <w:divBdr>
                                            <w:top w:val="single" w:sz="2" w:space="0" w:color="E3E3E3"/>
                                            <w:left w:val="single" w:sz="2" w:space="0" w:color="E3E3E3"/>
                                            <w:bottom w:val="single" w:sz="2" w:space="0" w:color="E3E3E3"/>
                                            <w:right w:val="single" w:sz="2" w:space="0" w:color="E3E3E3"/>
                                          </w:divBdr>
                                          <w:divsChild>
                                            <w:div w:id="679310999">
                                              <w:marLeft w:val="0"/>
                                              <w:marRight w:val="0"/>
                                              <w:marTop w:val="0"/>
                                              <w:marBottom w:val="0"/>
                                              <w:divBdr>
                                                <w:top w:val="single" w:sz="2" w:space="0" w:color="E3E3E3"/>
                                                <w:left w:val="single" w:sz="2" w:space="0" w:color="E3E3E3"/>
                                                <w:bottom w:val="single" w:sz="2" w:space="0" w:color="E3E3E3"/>
                                                <w:right w:val="single" w:sz="2" w:space="0" w:color="E3E3E3"/>
                                              </w:divBdr>
                                              <w:divsChild>
                                                <w:div w:id="1659385881">
                                                  <w:marLeft w:val="0"/>
                                                  <w:marRight w:val="0"/>
                                                  <w:marTop w:val="0"/>
                                                  <w:marBottom w:val="0"/>
                                                  <w:divBdr>
                                                    <w:top w:val="single" w:sz="2" w:space="0" w:color="E3E3E3"/>
                                                    <w:left w:val="single" w:sz="2" w:space="0" w:color="E3E3E3"/>
                                                    <w:bottom w:val="single" w:sz="2" w:space="0" w:color="E3E3E3"/>
                                                    <w:right w:val="single" w:sz="2" w:space="0" w:color="E3E3E3"/>
                                                  </w:divBdr>
                                                  <w:divsChild>
                                                    <w:div w:id="1371493338">
                                                      <w:marLeft w:val="0"/>
                                                      <w:marRight w:val="0"/>
                                                      <w:marTop w:val="0"/>
                                                      <w:marBottom w:val="0"/>
                                                      <w:divBdr>
                                                        <w:top w:val="single" w:sz="2" w:space="0" w:color="E3E3E3"/>
                                                        <w:left w:val="single" w:sz="2" w:space="0" w:color="E3E3E3"/>
                                                        <w:bottom w:val="single" w:sz="2" w:space="0" w:color="E3E3E3"/>
                                                        <w:right w:val="single" w:sz="2" w:space="0" w:color="E3E3E3"/>
                                                      </w:divBdr>
                                                      <w:divsChild>
                                                        <w:div w:id="181556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67355594">
          <w:marLeft w:val="0"/>
          <w:marRight w:val="0"/>
          <w:marTop w:val="0"/>
          <w:marBottom w:val="0"/>
          <w:divBdr>
            <w:top w:val="none" w:sz="0" w:space="0" w:color="auto"/>
            <w:left w:val="none" w:sz="0" w:space="0" w:color="auto"/>
            <w:bottom w:val="none" w:sz="0" w:space="0" w:color="auto"/>
            <w:right w:val="none" w:sz="0" w:space="0" w:color="auto"/>
          </w:divBdr>
          <w:divsChild>
            <w:div w:id="1057169693">
              <w:marLeft w:val="0"/>
              <w:marRight w:val="0"/>
              <w:marTop w:val="100"/>
              <w:marBottom w:val="100"/>
              <w:divBdr>
                <w:top w:val="single" w:sz="2" w:space="0" w:color="E3E3E3"/>
                <w:left w:val="single" w:sz="2" w:space="0" w:color="E3E3E3"/>
                <w:bottom w:val="single" w:sz="2" w:space="0" w:color="E3E3E3"/>
                <w:right w:val="single" w:sz="2" w:space="0" w:color="E3E3E3"/>
              </w:divBdr>
              <w:divsChild>
                <w:div w:id="89088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2797311">
      <w:bodyDiv w:val="1"/>
      <w:marLeft w:val="0"/>
      <w:marRight w:val="0"/>
      <w:marTop w:val="0"/>
      <w:marBottom w:val="0"/>
      <w:divBdr>
        <w:top w:val="none" w:sz="0" w:space="0" w:color="auto"/>
        <w:left w:val="none" w:sz="0" w:space="0" w:color="auto"/>
        <w:bottom w:val="none" w:sz="0" w:space="0" w:color="auto"/>
        <w:right w:val="none" w:sz="0" w:space="0" w:color="auto"/>
      </w:divBdr>
    </w:div>
    <w:div w:id="119301639">
      <w:bodyDiv w:val="1"/>
      <w:marLeft w:val="0"/>
      <w:marRight w:val="0"/>
      <w:marTop w:val="0"/>
      <w:marBottom w:val="0"/>
      <w:divBdr>
        <w:top w:val="none" w:sz="0" w:space="0" w:color="auto"/>
        <w:left w:val="none" w:sz="0" w:space="0" w:color="auto"/>
        <w:bottom w:val="none" w:sz="0" w:space="0" w:color="auto"/>
        <w:right w:val="none" w:sz="0" w:space="0" w:color="auto"/>
      </w:divBdr>
      <w:divsChild>
        <w:div w:id="1967198690">
          <w:marLeft w:val="0"/>
          <w:marRight w:val="0"/>
          <w:marTop w:val="0"/>
          <w:marBottom w:val="0"/>
          <w:divBdr>
            <w:top w:val="none" w:sz="0" w:space="0" w:color="auto"/>
            <w:left w:val="none" w:sz="0" w:space="0" w:color="auto"/>
            <w:bottom w:val="none" w:sz="0" w:space="0" w:color="auto"/>
            <w:right w:val="none" w:sz="0" w:space="0" w:color="auto"/>
          </w:divBdr>
        </w:div>
      </w:divsChild>
    </w:div>
    <w:div w:id="304162330">
      <w:bodyDiv w:val="1"/>
      <w:marLeft w:val="0"/>
      <w:marRight w:val="0"/>
      <w:marTop w:val="0"/>
      <w:marBottom w:val="0"/>
      <w:divBdr>
        <w:top w:val="none" w:sz="0" w:space="0" w:color="auto"/>
        <w:left w:val="none" w:sz="0" w:space="0" w:color="auto"/>
        <w:bottom w:val="none" w:sz="0" w:space="0" w:color="auto"/>
        <w:right w:val="none" w:sz="0" w:space="0" w:color="auto"/>
      </w:divBdr>
    </w:div>
    <w:div w:id="307251157">
      <w:bodyDiv w:val="1"/>
      <w:marLeft w:val="0"/>
      <w:marRight w:val="0"/>
      <w:marTop w:val="0"/>
      <w:marBottom w:val="0"/>
      <w:divBdr>
        <w:top w:val="none" w:sz="0" w:space="0" w:color="auto"/>
        <w:left w:val="none" w:sz="0" w:space="0" w:color="auto"/>
        <w:bottom w:val="none" w:sz="0" w:space="0" w:color="auto"/>
        <w:right w:val="none" w:sz="0" w:space="0" w:color="auto"/>
      </w:divBdr>
    </w:div>
    <w:div w:id="318965947">
      <w:bodyDiv w:val="1"/>
      <w:marLeft w:val="0"/>
      <w:marRight w:val="0"/>
      <w:marTop w:val="0"/>
      <w:marBottom w:val="0"/>
      <w:divBdr>
        <w:top w:val="none" w:sz="0" w:space="0" w:color="auto"/>
        <w:left w:val="none" w:sz="0" w:space="0" w:color="auto"/>
        <w:bottom w:val="none" w:sz="0" w:space="0" w:color="auto"/>
        <w:right w:val="none" w:sz="0" w:space="0" w:color="auto"/>
      </w:divBdr>
    </w:div>
    <w:div w:id="473178956">
      <w:bodyDiv w:val="1"/>
      <w:marLeft w:val="0"/>
      <w:marRight w:val="0"/>
      <w:marTop w:val="0"/>
      <w:marBottom w:val="0"/>
      <w:divBdr>
        <w:top w:val="none" w:sz="0" w:space="0" w:color="auto"/>
        <w:left w:val="none" w:sz="0" w:space="0" w:color="auto"/>
        <w:bottom w:val="none" w:sz="0" w:space="0" w:color="auto"/>
        <w:right w:val="none" w:sz="0" w:space="0" w:color="auto"/>
      </w:divBdr>
    </w:div>
    <w:div w:id="634454935">
      <w:bodyDiv w:val="1"/>
      <w:marLeft w:val="0"/>
      <w:marRight w:val="0"/>
      <w:marTop w:val="0"/>
      <w:marBottom w:val="0"/>
      <w:divBdr>
        <w:top w:val="none" w:sz="0" w:space="0" w:color="auto"/>
        <w:left w:val="none" w:sz="0" w:space="0" w:color="auto"/>
        <w:bottom w:val="none" w:sz="0" w:space="0" w:color="auto"/>
        <w:right w:val="none" w:sz="0" w:space="0" w:color="auto"/>
      </w:divBdr>
    </w:div>
    <w:div w:id="941687266">
      <w:bodyDiv w:val="1"/>
      <w:marLeft w:val="0"/>
      <w:marRight w:val="0"/>
      <w:marTop w:val="0"/>
      <w:marBottom w:val="0"/>
      <w:divBdr>
        <w:top w:val="none" w:sz="0" w:space="0" w:color="auto"/>
        <w:left w:val="none" w:sz="0" w:space="0" w:color="auto"/>
        <w:bottom w:val="none" w:sz="0" w:space="0" w:color="auto"/>
        <w:right w:val="none" w:sz="0" w:space="0" w:color="auto"/>
      </w:divBdr>
    </w:div>
    <w:div w:id="971011871">
      <w:bodyDiv w:val="1"/>
      <w:marLeft w:val="0"/>
      <w:marRight w:val="0"/>
      <w:marTop w:val="0"/>
      <w:marBottom w:val="0"/>
      <w:divBdr>
        <w:top w:val="none" w:sz="0" w:space="0" w:color="auto"/>
        <w:left w:val="none" w:sz="0" w:space="0" w:color="auto"/>
        <w:bottom w:val="none" w:sz="0" w:space="0" w:color="auto"/>
        <w:right w:val="none" w:sz="0" w:space="0" w:color="auto"/>
      </w:divBdr>
    </w:div>
    <w:div w:id="975599368">
      <w:bodyDiv w:val="1"/>
      <w:marLeft w:val="0"/>
      <w:marRight w:val="0"/>
      <w:marTop w:val="0"/>
      <w:marBottom w:val="0"/>
      <w:divBdr>
        <w:top w:val="none" w:sz="0" w:space="0" w:color="auto"/>
        <w:left w:val="none" w:sz="0" w:space="0" w:color="auto"/>
        <w:bottom w:val="none" w:sz="0" w:space="0" w:color="auto"/>
        <w:right w:val="none" w:sz="0" w:space="0" w:color="auto"/>
      </w:divBdr>
    </w:div>
    <w:div w:id="1011759735">
      <w:bodyDiv w:val="1"/>
      <w:marLeft w:val="0"/>
      <w:marRight w:val="0"/>
      <w:marTop w:val="0"/>
      <w:marBottom w:val="0"/>
      <w:divBdr>
        <w:top w:val="none" w:sz="0" w:space="0" w:color="auto"/>
        <w:left w:val="none" w:sz="0" w:space="0" w:color="auto"/>
        <w:bottom w:val="none" w:sz="0" w:space="0" w:color="auto"/>
        <w:right w:val="none" w:sz="0" w:space="0" w:color="auto"/>
      </w:divBdr>
    </w:div>
    <w:div w:id="1048727760">
      <w:bodyDiv w:val="1"/>
      <w:marLeft w:val="0"/>
      <w:marRight w:val="0"/>
      <w:marTop w:val="0"/>
      <w:marBottom w:val="0"/>
      <w:divBdr>
        <w:top w:val="none" w:sz="0" w:space="0" w:color="auto"/>
        <w:left w:val="none" w:sz="0" w:space="0" w:color="auto"/>
        <w:bottom w:val="none" w:sz="0" w:space="0" w:color="auto"/>
        <w:right w:val="none" w:sz="0" w:space="0" w:color="auto"/>
      </w:divBdr>
    </w:div>
    <w:div w:id="1063482050">
      <w:bodyDiv w:val="1"/>
      <w:marLeft w:val="0"/>
      <w:marRight w:val="0"/>
      <w:marTop w:val="0"/>
      <w:marBottom w:val="0"/>
      <w:divBdr>
        <w:top w:val="none" w:sz="0" w:space="0" w:color="auto"/>
        <w:left w:val="none" w:sz="0" w:space="0" w:color="auto"/>
        <w:bottom w:val="none" w:sz="0" w:space="0" w:color="auto"/>
        <w:right w:val="none" w:sz="0" w:space="0" w:color="auto"/>
      </w:divBdr>
    </w:div>
    <w:div w:id="1280142507">
      <w:bodyDiv w:val="1"/>
      <w:marLeft w:val="0"/>
      <w:marRight w:val="0"/>
      <w:marTop w:val="0"/>
      <w:marBottom w:val="0"/>
      <w:divBdr>
        <w:top w:val="none" w:sz="0" w:space="0" w:color="auto"/>
        <w:left w:val="none" w:sz="0" w:space="0" w:color="auto"/>
        <w:bottom w:val="none" w:sz="0" w:space="0" w:color="auto"/>
        <w:right w:val="none" w:sz="0" w:space="0" w:color="auto"/>
      </w:divBdr>
    </w:div>
    <w:div w:id="1299261758">
      <w:bodyDiv w:val="1"/>
      <w:marLeft w:val="0"/>
      <w:marRight w:val="0"/>
      <w:marTop w:val="0"/>
      <w:marBottom w:val="0"/>
      <w:divBdr>
        <w:top w:val="none" w:sz="0" w:space="0" w:color="auto"/>
        <w:left w:val="none" w:sz="0" w:space="0" w:color="auto"/>
        <w:bottom w:val="none" w:sz="0" w:space="0" w:color="auto"/>
        <w:right w:val="none" w:sz="0" w:space="0" w:color="auto"/>
      </w:divBdr>
    </w:div>
    <w:div w:id="1327901620">
      <w:bodyDiv w:val="1"/>
      <w:marLeft w:val="0"/>
      <w:marRight w:val="0"/>
      <w:marTop w:val="0"/>
      <w:marBottom w:val="0"/>
      <w:divBdr>
        <w:top w:val="none" w:sz="0" w:space="0" w:color="auto"/>
        <w:left w:val="none" w:sz="0" w:space="0" w:color="auto"/>
        <w:bottom w:val="none" w:sz="0" w:space="0" w:color="auto"/>
        <w:right w:val="none" w:sz="0" w:space="0" w:color="auto"/>
      </w:divBdr>
    </w:div>
    <w:div w:id="1336304707">
      <w:bodyDiv w:val="1"/>
      <w:marLeft w:val="0"/>
      <w:marRight w:val="0"/>
      <w:marTop w:val="0"/>
      <w:marBottom w:val="0"/>
      <w:divBdr>
        <w:top w:val="none" w:sz="0" w:space="0" w:color="auto"/>
        <w:left w:val="none" w:sz="0" w:space="0" w:color="auto"/>
        <w:bottom w:val="none" w:sz="0" w:space="0" w:color="auto"/>
        <w:right w:val="none" w:sz="0" w:space="0" w:color="auto"/>
      </w:divBdr>
    </w:div>
    <w:div w:id="1417289059">
      <w:bodyDiv w:val="1"/>
      <w:marLeft w:val="0"/>
      <w:marRight w:val="0"/>
      <w:marTop w:val="0"/>
      <w:marBottom w:val="0"/>
      <w:divBdr>
        <w:top w:val="none" w:sz="0" w:space="0" w:color="auto"/>
        <w:left w:val="none" w:sz="0" w:space="0" w:color="auto"/>
        <w:bottom w:val="none" w:sz="0" w:space="0" w:color="auto"/>
        <w:right w:val="none" w:sz="0" w:space="0" w:color="auto"/>
      </w:divBdr>
    </w:div>
    <w:div w:id="1552956697">
      <w:bodyDiv w:val="1"/>
      <w:marLeft w:val="0"/>
      <w:marRight w:val="0"/>
      <w:marTop w:val="0"/>
      <w:marBottom w:val="0"/>
      <w:divBdr>
        <w:top w:val="none" w:sz="0" w:space="0" w:color="auto"/>
        <w:left w:val="none" w:sz="0" w:space="0" w:color="auto"/>
        <w:bottom w:val="none" w:sz="0" w:space="0" w:color="auto"/>
        <w:right w:val="none" w:sz="0" w:space="0" w:color="auto"/>
      </w:divBdr>
    </w:div>
    <w:div w:id="1707755256">
      <w:bodyDiv w:val="1"/>
      <w:marLeft w:val="0"/>
      <w:marRight w:val="0"/>
      <w:marTop w:val="0"/>
      <w:marBottom w:val="0"/>
      <w:divBdr>
        <w:top w:val="none" w:sz="0" w:space="0" w:color="auto"/>
        <w:left w:val="none" w:sz="0" w:space="0" w:color="auto"/>
        <w:bottom w:val="none" w:sz="0" w:space="0" w:color="auto"/>
        <w:right w:val="none" w:sz="0" w:space="0" w:color="auto"/>
      </w:divBdr>
    </w:div>
    <w:div w:id="1768040030">
      <w:bodyDiv w:val="1"/>
      <w:marLeft w:val="0"/>
      <w:marRight w:val="0"/>
      <w:marTop w:val="0"/>
      <w:marBottom w:val="0"/>
      <w:divBdr>
        <w:top w:val="none" w:sz="0" w:space="0" w:color="auto"/>
        <w:left w:val="none" w:sz="0" w:space="0" w:color="auto"/>
        <w:bottom w:val="none" w:sz="0" w:space="0" w:color="auto"/>
        <w:right w:val="none" w:sz="0" w:space="0" w:color="auto"/>
      </w:divBdr>
    </w:div>
    <w:div w:id="1773087175">
      <w:bodyDiv w:val="1"/>
      <w:marLeft w:val="0"/>
      <w:marRight w:val="0"/>
      <w:marTop w:val="0"/>
      <w:marBottom w:val="0"/>
      <w:divBdr>
        <w:top w:val="none" w:sz="0" w:space="0" w:color="auto"/>
        <w:left w:val="none" w:sz="0" w:space="0" w:color="auto"/>
        <w:bottom w:val="none" w:sz="0" w:space="0" w:color="auto"/>
        <w:right w:val="none" w:sz="0" w:space="0" w:color="auto"/>
      </w:divBdr>
    </w:div>
    <w:div w:id="1957253215">
      <w:bodyDiv w:val="1"/>
      <w:marLeft w:val="0"/>
      <w:marRight w:val="0"/>
      <w:marTop w:val="0"/>
      <w:marBottom w:val="0"/>
      <w:divBdr>
        <w:top w:val="none" w:sz="0" w:space="0" w:color="auto"/>
        <w:left w:val="none" w:sz="0" w:space="0" w:color="auto"/>
        <w:bottom w:val="none" w:sz="0" w:space="0" w:color="auto"/>
        <w:right w:val="none" w:sz="0" w:space="0" w:color="auto"/>
      </w:divBdr>
    </w:div>
    <w:div w:id="1986426138">
      <w:bodyDiv w:val="1"/>
      <w:marLeft w:val="0"/>
      <w:marRight w:val="0"/>
      <w:marTop w:val="0"/>
      <w:marBottom w:val="0"/>
      <w:divBdr>
        <w:top w:val="none" w:sz="0" w:space="0" w:color="auto"/>
        <w:left w:val="none" w:sz="0" w:space="0" w:color="auto"/>
        <w:bottom w:val="none" w:sz="0" w:space="0" w:color="auto"/>
        <w:right w:val="none" w:sz="0" w:space="0" w:color="auto"/>
      </w:divBdr>
    </w:div>
    <w:div w:id="2066023973">
      <w:bodyDiv w:val="1"/>
      <w:marLeft w:val="0"/>
      <w:marRight w:val="0"/>
      <w:marTop w:val="0"/>
      <w:marBottom w:val="0"/>
      <w:divBdr>
        <w:top w:val="none" w:sz="0" w:space="0" w:color="auto"/>
        <w:left w:val="none" w:sz="0" w:space="0" w:color="auto"/>
        <w:bottom w:val="none" w:sz="0" w:space="0" w:color="auto"/>
        <w:right w:val="none" w:sz="0" w:space="0" w:color="auto"/>
      </w:divBdr>
    </w:div>
    <w:div w:id="2071339829">
      <w:bodyDiv w:val="1"/>
      <w:marLeft w:val="0"/>
      <w:marRight w:val="0"/>
      <w:marTop w:val="0"/>
      <w:marBottom w:val="0"/>
      <w:divBdr>
        <w:top w:val="none" w:sz="0" w:space="0" w:color="auto"/>
        <w:left w:val="none" w:sz="0" w:space="0" w:color="auto"/>
        <w:bottom w:val="none" w:sz="0" w:space="0" w:color="auto"/>
        <w:right w:val="none" w:sz="0" w:space="0" w:color="auto"/>
      </w:divBdr>
    </w:div>
    <w:div w:id="2085685307">
      <w:bodyDiv w:val="1"/>
      <w:marLeft w:val="0"/>
      <w:marRight w:val="0"/>
      <w:marTop w:val="0"/>
      <w:marBottom w:val="0"/>
      <w:divBdr>
        <w:top w:val="none" w:sz="0" w:space="0" w:color="auto"/>
        <w:left w:val="none" w:sz="0" w:space="0" w:color="auto"/>
        <w:bottom w:val="none" w:sz="0" w:space="0" w:color="auto"/>
        <w:right w:val="none" w:sz="0" w:space="0" w:color="auto"/>
      </w:divBdr>
      <w:divsChild>
        <w:div w:id="619650503">
          <w:marLeft w:val="0"/>
          <w:marRight w:val="0"/>
          <w:marTop w:val="0"/>
          <w:marBottom w:val="0"/>
          <w:divBdr>
            <w:top w:val="none" w:sz="0" w:space="0" w:color="auto"/>
            <w:left w:val="none" w:sz="0" w:space="0" w:color="auto"/>
            <w:bottom w:val="none" w:sz="0" w:space="0" w:color="auto"/>
            <w:right w:val="none" w:sz="0" w:space="0" w:color="auto"/>
          </w:divBdr>
          <w:divsChild>
            <w:div w:id="1923491336">
              <w:marLeft w:val="0"/>
              <w:marRight w:val="0"/>
              <w:marTop w:val="0"/>
              <w:marBottom w:val="0"/>
              <w:divBdr>
                <w:top w:val="none" w:sz="0" w:space="0" w:color="auto"/>
                <w:left w:val="none" w:sz="0" w:space="0" w:color="auto"/>
                <w:bottom w:val="none" w:sz="0" w:space="0" w:color="auto"/>
                <w:right w:val="none" w:sz="0" w:space="0" w:color="auto"/>
              </w:divBdr>
              <w:divsChild>
                <w:div w:id="1953323110">
                  <w:marLeft w:val="0"/>
                  <w:marRight w:val="0"/>
                  <w:marTop w:val="0"/>
                  <w:marBottom w:val="0"/>
                  <w:divBdr>
                    <w:top w:val="none" w:sz="0" w:space="0" w:color="auto"/>
                    <w:left w:val="none" w:sz="0" w:space="0" w:color="auto"/>
                    <w:bottom w:val="none" w:sz="0" w:space="0" w:color="auto"/>
                    <w:right w:val="none" w:sz="0" w:space="0" w:color="auto"/>
                  </w:divBdr>
                  <w:divsChild>
                    <w:div w:id="384914307">
                      <w:marLeft w:val="0"/>
                      <w:marRight w:val="0"/>
                      <w:marTop w:val="0"/>
                      <w:marBottom w:val="0"/>
                      <w:divBdr>
                        <w:top w:val="none" w:sz="0" w:space="0" w:color="auto"/>
                        <w:left w:val="none" w:sz="0" w:space="0" w:color="auto"/>
                        <w:bottom w:val="none" w:sz="0" w:space="0" w:color="auto"/>
                        <w:right w:val="none" w:sz="0" w:space="0" w:color="auto"/>
                      </w:divBdr>
                      <w:divsChild>
                        <w:div w:id="11675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19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92512118757129" TargetMode="External"/><Relationship Id="rId3" Type="http://schemas.openxmlformats.org/officeDocument/2006/relationships/settings" Target="settings.xml"/><Relationship Id="rId7" Type="http://schemas.openxmlformats.org/officeDocument/2006/relationships/hyperlink" Target="https://doi.org/10.1093/oso/9780195178838.001.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ea.org/reports/introduction-to-system-integration-of-renewables" TargetMode="External"/><Relationship Id="rId5" Type="http://schemas.openxmlformats.org/officeDocument/2006/relationships/hyperlink" Target="https://hgf-wp.go-vip.net/wp-content/uploads/2023/11/HGF-Impact.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7248BD-680B-4236-AF2A-9A80BC46A8FA}">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261</TotalTime>
  <Pages>12</Pages>
  <Words>2892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Corporate social responsibility in promoting sustainability, Hilton hotel</vt:lpstr>
    </vt:vector>
  </TitlesOfParts>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 in promoting sustainability, Hilton hotel</dc:title>
  <dc:subject>Essay</dc:subject>
  <dc:creator>   </dc:creator>
  <cp:keywords/>
  <dc:description/>
  <cp:lastModifiedBy>   </cp:lastModifiedBy>
  <cp:revision>69</cp:revision>
  <dcterms:created xsi:type="dcterms:W3CDTF">2024-05-03T08:21:00Z</dcterms:created>
  <dcterms:modified xsi:type="dcterms:W3CDTF">2024-05-13T09:37:00Z</dcterms:modified>
</cp:coreProperties>
</file>