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A7F37" w14:textId="717C6E3E" w:rsidR="00A9256D" w:rsidRDefault="00A9256D" w:rsidP="00A9256D">
      <w:pPr>
        <w:spacing w:line="360" w:lineRule="auto"/>
        <w:jc w:val="center"/>
        <w:rPr>
          <w:u w:val="single"/>
        </w:rPr>
      </w:pPr>
      <w:r>
        <w:rPr>
          <w:u w:val="single"/>
        </w:rPr>
        <w:t>Leadership and management for systems of quality</w:t>
      </w:r>
    </w:p>
    <w:p w14:paraId="4D9E461F" w14:textId="0D7558EA" w:rsidR="00A9256D" w:rsidRPr="00A9256D" w:rsidRDefault="00A9256D" w:rsidP="00A9256D">
      <w:pPr>
        <w:spacing w:line="360" w:lineRule="auto"/>
      </w:pPr>
    </w:p>
    <w:p w14:paraId="1C855E37" w14:textId="434C1B41" w:rsidR="00B647A7" w:rsidRDefault="00A9256D" w:rsidP="00A9256D">
      <w:pPr>
        <w:spacing w:line="360" w:lineRule="auto"/>
      </w:pPr>
      <w:r>
        <w:t xml:space="preserve">Quality in </w:t>
      </w:r>
      <w:r w:rsidR="00B647A7">
        <w:t>an</w:t>
      </w:r>
      <w:r>
        <w:t xml:space="preserve"> </w:t>
      </w:r>
      <w:r w:rsidR="00B647A7">
        <w:t xml:space="preserve">Early </w:t>
      </w:r>
      <w:r w:rsidR="007F1FAB">
        <w:t>year’s</w:t>
      </w:r>
      <w:r w:rsidR="00B647A7">
        <w:t xml:space="preserve"> childcare </w:t>
      </w:r>
      <w:r>
        <w:t>setting plays a crucial role in the development of the children in which attend. California department of education (2000) state quality within a childcare setting is defined as a standard of superiority. Quality childcare should strive past the national minimum standards, in which Welsh Government (2016) states are the lowest degree for registration</w:t>
      </w:r>
      <w:r w:rsidR="009C2B31">
        <w:t xml:space="preserve">, to classify as high quality early years childcare should go beyond exceeding the minimum standards, A provision in which continuously reflects upon their current quality to be able to improve to provide outstanding experiences for their children. </w:t>
      </w:r>
    </w:p>
    <w:p w14:paraId="74F86423" w14:textId="0D4D40E8" w:rsidR="00A9256D" w:rsidRDefault="00A9256D" w:rsidP="00A9256D">
      <w:pPr>
        <w:spacing w:line="360" w:lineRule="auto"/>
      </w:pPr>
      <w:r>
        <w:t xml:space="preserve">To be able to provide quality childcare, the basic standards should be exceeded. </w:t>
      </w:r>
      <w:r w:rsidR="009C2B31" w:rsidRPr="009C2B31">
        <w:t>Superior quality is something that needs to flourish through each component of a service</w:t>
      </w:r>
      <w:r w:rsidR="009C2B31">
        <w:t xml:space="preserve"> (Welsh Government, 2016). </w:t>
      </w:r>
      <w:r>
        <w:t xml:space="preserve"> The importance of quality within childcare settings is pivotal, as GOV.UK (2011) state w</w:t>
      </w:r>
      <w:r w:rsidRPr="00A9256D">
        <w:t>hen a child is just 22 months old, their development score can be used to accurately predict how well they are going to perform educationally when they reach the age of 26 years old.</w:t>
      </w:r>
      <w:r>
        <w:t xml:space="preserve"> This highlights the importance of the early years of a child, therefore ensuring they receive the highest quality care possible is a target for all settings.</w:t>
      </w:r>
    </w:p>
    <w:p w14:paraId="0AEAAF51" w14:textId="68545DFC" w:rsidR="00A9256D" w:rsidRDefault="00A9256D" w:rsidP="00A9256D">
      <w:pPr>
        <w:spacing w:line="360" w:lineRule="auto"/>
      </w:pPr>
    </w:p>
    <w:p w14:paraId="694FEA57" w14:textId="1BAAD610" w:rsidR="00A9256D" w:rsidRDefault="00A9256D" w:rsidP="00A9256D">
      <w:pPr>
        <w:spacing w:line="360" w:lineRule="auto"/>
      </w:pPr>
      <w:r>
        <w:t xml:space="preserve">Early years Wales (2023) provides a quality assurance scheme named ‘Quality for all’. </w:t>
      </w:r>
      <w:r w:rsidRPr="00A9256D">
        <w:t xml:space="preserve">Early Years Wales </w:t>
      </w:r>
      <w:r>
        <w:t>states</w:t>
      </w:r>
      <w:r w:rsidRPr="00A9256D">
        <w:t xml:space="preserve"> tha</w:t>
      </w:r>
      <w:r>
        <w:t xml:space="preserve">t to enable the delivery of high-quality childcare, regulatory standards should rigorously be met while striving for continuous reflection and evaluation of practice. </w:t>
      </w:r>
    </w:p>
    <w:p w14:paraId="4B718852" w14:textId="4BCC01FD" w:rsidR="00A9256D" w:rsidRDefault="00A9256D" w:rsidP="00A9256D">
      <w:pPr>
        <w:spacing w:line="360" w:lineRule="auto"/>
      </w:pPr>
      <w:r>
        <w:t xml:space="preserve">To enhance the level of quality within childcare settings Early years Wales support them with the QfA assessment tool. </w:t>
      </w:r>
    </w:p>
    <w:p w14:paraId="4158FC06" w14:textId="0DC938C4" w:rsidR="00A9256D" w:rsidRDefault="00A9256D" w:rsidP="00A9256D">
      <w:pPr>
        <w:spacing w:line="360" w:lineRule="auto"/>
      </w:pPr>
    </w:p>
    <w:p w14:paraId="7B936EB9" w14:textId="680AE6AE" w:rsidR="00A9256D" w:rsidRDefault="00A9256D" w:rsidP="00A9256D">
      <w:pPr>
        <w:spacing w:line="360" w:lineRule="auto"/>
      </w:pPr>
      <w:r>
        <w:t xml:space="preserve">NDNA (2024) </w:t>
      </w:r>
      <w:r w:rsidR="00B647A7">
        <w:t xml:space="preserve">also </w:t>
      </w:r>
      <w:r>
        <w:t xml:space="preserve">launched ‘Quality counts’ as an early years quality improvement scheme. ‘Quality counts’ is a </w:t>
      </w:r>
      <w:r w:rsidRPr="00A9256D">
        <w:t>continuous improvement structure that guides the entire staff team on a learning path, with an emphasis on assessing the quality of care they provide for children.</w:t>
      </w:r>
    </w:p>
    <w:p w14:paraId="6D7D3175" w14:textId="76DF5661" w:rsidR="00A9256D" w:rsidRDefault="00A9256D" w:rsidP="00A9256D">
      <w:pPr>
        <w:spacing w:line="360" w:lineRule="auto"/>
      </w:pPr>
    </w:p>
    <w:p w14:paraId="68FA3213" w14:textId="40A5D840" w:rsidR="00A9256D" w:rsidRDefault="00A9256D" w:rsidP="00A9256D">
      <w:pPr>
        <w:spacing w:line="360" w:lineRule="auto"/>
      </w:pPr>
      <w:r>
        <w:t xml:space="preserve">Although </w:t>
      </w:r>
      <w:r w:rsidR="00B647A7">
        <w:t>there are a</w:t>
      </w:r>
      <w:r>
        <w:t xml:space="preserve"> widened range of aspects involved in the assessment </w:t>
      </w:r>
      <w:r w:rsidR="00B647A7">
        <w:t xml:space="preserve">through </w:t>
      </w:r>
      <w:r>
        <w:t>t</w:t>
      </w:r>
      <w:r>
        <w:t xml:space="preserve">he ‘quality for all’ scheme by Early years Wales (2023) </w:t>
      </w:r>
      <w:r>
        <w:t>as it is d</w:t>
      </w:r>
      <w:r>
        <w:t xml:space="preserve">esigned to enhance all areas of quality within settings. </w:t>
      </w:r>
      <w:r w:rsidR="00B647A7">
        <w:t>Similarly,</w:t>
      </w:r>
      <w:r>
        <w:t xml:space="preserve"> to NDNA (2024) ‘quality counts</w:t>
      </w:r>
      <w:r w:rsidR="00B647A7">
        <w:t xml:space="preserve">’, </w:t>
      </w:r>
      <w:r>
        <w:t>Section 1 of the Q</w:t>
      </w:r>
      <w:r w:rsidR="00B647A7">
        <w:t xml:space="preserve">uality for </w:t>
      </w:r>
      <w:r>
        <w:t>A</w:t>
      </w:r>
      <w:r w:rsidR="00B647A7">
        <w:t>ll</w:t>
      </w:r>
      <w:r>
        <w:t xml:space="preserve"> assessment tool </w:t>
      </w:r>
      <w:r w:rsidR="00B647A7">
        <w:t xml:space="preserve">used by Early years Wales (2023) </w:t>
      </w:r>
      <w:r>
        <w:t>is combined within ‘ownership, leadership, management and organisation</w:t>
      </w:r>
      <w:r w:rsidR="00B647A7">
        <w:t xml:space="preserve">’ focusing within staff enhancement towards </w:t>
      </w:r>
      <w:r w:rsidR="00B647A7">
        <w:lastRenderedPageBreak/>
        <w:t>quality</w:t>
      </w:r>
      <w:r>
        <w:t>. Sims and Waniganayake, (2015, p.1) state t</w:t>
      </w:r>
      <w:r w:rsidRPr="00A9256D">
        <w:t>he calibre of the staff is one of the key variables determining service quality.</w:t>
      </w:r>
      <w:r>
        <w:t xml:space="preserve"> </w:t>
      </w:r>
    </w:p>
    <w:p w14:paraId="7101B142" w14:textId="77777777" w:rsidR="00A9256D" w:rsidRDefault="00A9256D" w:rsidP="00A9256D">
      <w:pPr>
        <w:spacing w:line="360" w:lineRule="auto"/>
      </w:pPr>
    </w:p>
    <w:p w14:paraId="4D7F2346" w14:textId="4BDB0821" w:rsidR="00A9256D" w:rsidRDefault="00A9256D" w:rsidP="00A9256D">
      <w:pPr>
        <w:spacing w:line="360" w:lineRule="auto"/>
        <w:rPr>
          <w:rFonts w:cstheme="minorHAnsi"/>
        </w:rPr>
      </w:pPr>
      <w:r>
        <w:t xml:space="preserve">An advantage of the ‘quality counts’ scheme is the focus within staff improvement. NDNA (2024) strives to improve staff quality by identifying weaknesses within practice through reflection while developing further through professional development. The importance of professional development for staff within childcare settings is highlighted by </w:t>
      </w:r>
      <w:r w:rsidRPr="00A9256D">
        <w:rPr>
          <w:rFonts w:cstheme="minorHAnsi"/>
          <w:shd w:val="clear" w:color="auto" w:fill="FFFFFF"/>
        </w:rPr>
        <w:t xml:space="preserve">Welsh Government (2017) </w:t>
      </w:r>
      <w:r w:rsidRPr="00A9256D">
        <w:rPr>
          <w:rFonts w:cstheme="minorHAnsi"/>
          <w:shd w:val="clear" w:color="auto" w:fill="FFFFFF"/>
        </w:rPr>
        <w:t xml:space="preserve">which state </w:t>
      </w:r>
      <w:r w:rsidRPr="00A9256D">
        <w:rPr>
          <w:rFonts w:cstheme="minorHAnsi"/>
          <w:shd w:val="clear" w:color="auto" w:fill="FFFFFF"/>
        </w:rPr>
        <w:t>Practitioners require to have access to qualifications and courses that align with best practices.</w:t>
      </w:r>
      <w:r w:rsidRPr="00A9256D">
        <w:rPr>
          <w:rFonts w:cstheme="minorHAnsi"/>
          <w:shd w:val="clear" w:color="auto" w:fill="FFFFFF"/>
        </w:rPr>
        <w:t xml:space="preserve"> </w:t>
      </w:r>
      <w:r w:rsidR="00B647A7" w:rsidRPr="00A9256D">
        <w:rPr>
          <w:rFonts w:cstheme="minorHAnsi"/>
          <w:shd w:val="clear" w:color="auto" w:fill="FFFFFF"/>
        </w:rPr>
        <w:t>Similarly,</w:t>
      </w:r>
      <w:r w:rsidRPr="00A9256D">
        <w:rPr>
          <w:rFonts w:cstheme="minorHAnsi"/>
          <w:shd w:val="clear" w:color="auto" w:fill="FFFFFF"/>
        </w:rPr>
        <w:t xml:space="preserve"> G</w:t>
      </w:r>
      <w:r w:rsidRPr="00A9256D">
        <w:rPr>
          <w:rFonts w:cstheme="minorHAnsi"/>
        </w:rPr>
        <w:t>uskey (</w:t>
      </w:r>
      <w:r w:rsidRPr="00E2393F">
        <w:rPr>
          <w:rFonts w:cstheme="minorHAnsi"/>
        </w:rPr>
        <w:t>2000)</w:t>
      </w:r>
      <w:r>
        <w:rPr>
          <w:rFonts w:cstheme="minorHAnsi"/>
        </w:rPr>
        <w:t xml:space="preserve"> suggests f</w:t>
      </w:r>
      <w:r w:rsidRPr="00E2393F">
        <w:rPr>
          <w:rFonts w:cstheme="minorHAnsi"/>
        </w:rPr>
        <w:t>or all children to be educated to a high quality, learning must be an ongoing endeavour for almost everyone involved in the education of the children. Leaders in education and policy makers have come to see the importance of ongoing professional development</w:t>
      </w:r>
      <w:r>
        <w:rPr>
          <w:rFonts w:cstheme="minorHAnsi"/>
        </w:rPr>
        <w:t xml:space="preserve">. </w:t>
      </w:r>
    </w:p>
    <w:p w14:paraId="3BAF640B" w14:textId="77777777" w:rsidR="00A9256D" w:rsidRDefault="00A9256D" w:rsidP="00A9256D">
      <w:pPr>
        <w:spacing w:line="360" w:lineRule="auto"/>
        <w:rPr>
          <w:rFonts w:cstheme="minorHAnsi"/>
        </w:rPr>
      </w:pPr>
    </w:p>
    <w:p w14:paraId="32D894B7" w14:textId="57429823" w:rsidR="00A9256D" w:rsidRDefault="00A9256D" w:rsidP="00A9256D">
      <w:pPr>
        <w:spacing w:line="360" w:lineRule="auto"/>
        <w:rPr>
          <w:rFonts w:cstheme="minorHAnsi"/>
        </w:rPr>
      </w:pPr>
      <w:r>
        <w:rPr>
          <w:rFonts w:cstheme="minorHAnsi"/>
        </w:rPr>
        <w:t xml:space="preserve">NDNA (2024) assess staff within childcare settings by reflecting upon the impact their practice has on the children- </w:t>
      </w:r>
      <w:r>
        <w:rPr>
          <w:rFonts w:cstheme="minorHAnsi"/>
        </w:rPr>
        <w:t>the current ratio for day nursery’s</w:t>
      </w:r>
      <w:r>
        <w:rPr>
          <w:rFonts w:cstheme="minorHAnsi"/>
        </w:rPr>
        <w:t xml:space="preserve"> is one adult to three children under 2 years states Pembrokeshire County Council (no date). </w:t>
      </w:r>
      <w:r w:rsidRPr="00A9256D">
        <w:rPr>
          <w:rFonts w:cstheme="minorHAnsi"/>
        </w:rPr>
        <w:t>Higher staff-to-child ratios are thought to enhance outcomes for children by providing more chances for one-on-one interactions and instructional guidance</w:t>
      </w:r>
      <w:r w:rsidRPr="00A9256D">
        <w:rPr>
          <w:rFonts w:cstheme="minorHAnsi"/>
        </w:rPr>
        <w:t xml:space="preserve"> </w:t>
      </w:r>
      <w:r>
        <w:rPr>
          <w:rFonts w:cstheme="minorHAnsi"/>
        </w:rPr>
        <w:t xml:space="preserve">states Perlman </w:t>
      </w:r>
      <w:r w:rsidRPr="00A9256D">
        <w:rPr>
          <w:rFonts w:cstheme="minorHAnsi"/>
          <w:i/>
          <w:iCs/>
        </w:rPr>
        <w:t>et a</w:t>
      </w:r>
      <w:r>
        <w:rPr>
          <w:rFonts w:cstheme="minorHAnsi"/>
        </w:rPr>
        <w:t xml:space="preserve">l. (2017). </w:t>
      </w:r>
      <w:r>
        <w:rPr>
          <w:rFonts w:cstheme="minorHAnsi"/>
        </w:rPr>
        <w:t>This significantly improves the quality of learning in which the children are able to receive.</w:t>
      </w:r>
      <w:r w:rsidR="00CF30B7">
        <w:rPr>
          <w:rFonts w:cstheme="minorHAnsi"/>
        </w:rPr>
        <w:t xml:space="preserve"> Berris and Miler (2011) state </w:t>
      </w:r>
      <w:r w:rsidR="00CF30B7" w:rsidRPr="00CF30B7">
        <w:rPr>
          <w:rFonts w:cstheme="minorHAnsi"/>
        </w:rPr>
        <w:t xml:space="preserve">the physical environments are crucial to a child's growth, even though the staff's calibre </w:t>
      </w:r>
      <w:r w:rsidR="00CF30B7">
        <w:rPr>
          <w:rFonts w:cstheme="minorHAnsi"/>
        </w:rPr>
        <w:t xml:space="preserve">is </w:t>
      </w:r>
      <w:r w:rsidR="00CF30B7" w:rsidRPr="00CF30B7">
        <w:rPr>
          <w:rFonts w:cstheme="minorHAnsi"/>
        </w:rPr>
        <w:t>most important</w:t>
      </w:r>
      <w:r w:rsidR="00CF30B7">
        <w:rPr>
          <w:rFonts w:cstheme="minorHAnsi"/>
        </w:rPr>
        <w:t xml:space="preserve"> highlighting the significance of staff impact on the quality of education and support given to children within a setting. </w:t>
      </w:r>
    </w:p>
    <w:p w14:paraId="371E9DD7" w14:textId="2C9A24B0" w:rsidR="00B647A7" w:rsidRDefault="00B647A7" w:rsidP="00A9256D">
      <w:pPr>
        <w:spacing w:line="360" w:lineRule="auto"/>
        <w:rPr>
          <w:rFonts w:cstheme="minorHAnsi"/>
        </w:rPr>
      </w:pPr>
    </w:p>
    <w:p w14:paraId="416B7530" w14:textId="00639949" w:rsidR="00B647A7" w:rsidRDefault="00B647A7" w:rsidP="00A9256D">
      <w:pPr>
        <w:spacing w:line="360" w:lineRule="auto"/>
        <w:rPr>
          <w:rFonts w:cstheme="minorHAnsi"/>
        </w:rPr>
      </w:pPr>
      <w:r>
        <w:rPr>
          <w:rFonts w:cstheme="minorHAnsi"/>
        </w:rPr>
        <w:t xml:space="preserve">Children’s health and well-being is included within section 2 of Early years (2023)  </w:t>
      </w:r>
    </w:p>
    <w:p w14:paraId="7C4EF7B4" w14:textId="183EE458" w:rsidR="0040325F" w:rsidRDefault="00B647A7" w:rsidP="00A9256D">
      <w:pPr>
        <w:spacing w:line="360" w:lineRule="auto"/>
      </w:pPr>
      <w:r>
        <w:t>Q</w:t>
      </w:r>
      <w:r>
        <w:t>uality for All</w:t>
      </w:r>
      <w:r>
        <w:t xml:space="preserve"> assessment tool</w:t>
      </w:r>
      <w:r>
        <w:t xml:space="preserve">. The quality of health and well-being across a lifespan are often determined within early childhood development, states Rose et al. (2016 p.134). As well as young children’s health and well-being can be significantly improved when early and appropriate interventions that address risk factors are put into place. By Early years (2023) ensuring the quality of the health and well-being support being offered to the children, it will create a positive impact through the children, </w:t>
      </w:r>
      <w:r w:rsidR="0040325F">
        <w:t>parents,</w:t>
      </w:r>
      <w:r>
        <w:t xml:space="preserve"> and staff members.  </w:t>
      </w:r>
      <w:r w:rsidR="00A94FF6">
        <w:t xml:space="preserve">As NHS (2024) state </w:t>
      </w:r>
      <w:r w:rsidR="0040325F" w:rsidRPr="00A94FF6">
        <w:t>from</w:t>
      </w:r>
      <w:r w:rsidR="00A94FF6" w:rsidRPr="00A94FF6">
        <w:t xml:space="preserve"> an early age, it is of the utmost significance to teach children the importance of thinking about their own mental health and well-being</w:t>
      </w:r>
      <w:r w:rsidR="0040325F">
        <w:t>.</w:t>
      </w:r>
    </w:p>
    <w:p w14:paraId="3FCACA07" w14:textId="77777777" w:rsidR="0040325F" w:rsidRDefault="0040325F" w:rsidP="00A9256D">
      <w:pPr>
        <w:spacing w:line="360" w:lineRule="auto"/>
      </w:pPr>
    </w:p>
    <w:p w14:paraId="531B873E" w14:textId="62FE93EA" w:rsidR="0040325F" w:rsidRDefault="0040325F" w:rsidP="00A9256D">
      <w:pPr>
        <w:spacing w:line="360" w:lineRule="auto"/>
      </w:pPr>
      <w:r>
        <w:t>Similarly, NCNA (2024) quality counts states d</w:t>
      </w:r>
      <w:r w:rsidRPr="0040325F">
        <w:t>edicated professionals build warm, trustworthy relationships with children, making them feel safe.</w:t>
      </w:r>
      <w:r>
        <w:t xml:space="preserve"> This is an advantage as a focus within the scheme is at the centre of the child.</w:t>
      </w:r>
      <w:r w:rsidR="001E5858">
        <w:t xml:space="preserve"> By ensuring children feel safe and secure within their setting, they build trusted connections with the staff member, ensuring they feel comfortable to access the provision quality is improved.</w:t>
      </w:r>
    </w:p>
    <w:p w14:paraId="51B9334E" w14:textId="77777777" w:rsidR="00A94FF6" w:rsidRDefault="00A94FF6" w:rsidP="00A9256D">
      <w:pPr>
        <w:spacing w:line="360" w:lineRule="auto"/>
      </w:pPr>
    </w:p>
    <w:p w14:paraId="4A0F2441" w14:textId="30619E34" w:rsidR="00B066EE" w:rsidRDefault="00CF30B7" w:rsidP="00CF30B7">
      <w:pPr>
        <w:spacing w:line="360" w:lineRule="auto"/>
      </w:pPr>
      <w:r>
        <w:t xml:space="preserve">Section 3 within </w:t>
      </w:r>
      <w:r>
        <w:t xml:space="preserve">the </w:t>
      </w:r>
      <w:r>
        <w:t>Early years Wales (2023)</w:t>
      </w:r>
      <w:r>
        <w:t xml:space="preserve"> Quality for All assessment tool is focused within the operational practice and learning provision within a childcare setting.  Berris and Miller (2011) state t</w:t>
      </w:r>
      <w:r w:rsidRPr="00CF30B7">
        <w:t>he physical environment is viewed as a crucial component in a child's cognitive, social, and physical development, together with the quality of the teacher and the programme.</w:t>
      </w:r>
      <w:r>
        <w:t xml:space="preserve"> </w:t>
      </w:r>
      <w:r w:rsidR="001E5858">
        <w:t xml:space="preserve">Ensuring the provision in which children access it suitable and created to a high level of quality is crucial to a setting’s overall quality, children’s learning during early years thrives when the correct level of excellent environment is accessible to them. </w:t>
      </w:r>
      <w:r w:rsidR="007F1FAB" w:rsidRPr="007F1FAB">
        <w:t xml:space="preserve">Children must have the freedom to choose where and what they want to learn.  It is essential to have access to the outdoors for </w:t>
      </w:r>
      <w:r w:rsidR="007F1FAB" w:rsidRPr="007F1FAB">
        <w:t>most</w:t>
      </w:r>
      <w:r w:rsidR="007F1FAB" w:rsidRPr="007F1FAB">
        <w:t xml:space="preserve"> of the day.  When children have the freedom to choose and pursue their interests, their motivation levels rise</w:t>
      </w:r>
      <w:r w:rsidR="007F1FAB">
        <w:t>, states Eaton (2023). With their motivational levels risen, and their interests engaged, young children will seem more engaged within the learning environment- improving their mood while in the setting.</w:t>
      </w:r>
    </w:p>
    <w:p w14:paraId="7F00129B" w14:textId="77777777" w:rsidR="00B066EE" w:rsidRDefault="00B066EE" w:rsidP="00CF30B7">
      <w:pPr>
        <w:spacing w:line="360" w:lineRule="auto"/>
      </w:pPr>
    </w:p>
    <w:p w14:paraId="5405724D" w14:textId="7EB5FFDF" w:rsidR="00CF30B7" w:rsidRDefault="00CF30B7" w:rsidP="00CF30B7">
      <w:pPr>
        <w:spacing w:line="360" w:lineRule="auto"/>
      </w:pPr>
      <w:r>
        <w:t xml:space="preserve">Although in contrast NDNA </w:t>
      </w:r>
      <w:r w:rsidR="001E5858">
        <w:t xml:space="preserve">(2024) </w:t>
      </w:r>
      <w:r w:rsidR="00B066EE">
        <w:t xml:space="preserve">do not solely focus on the environment within a setting, this could be viewed as a disadvantage towards the quality counts scheme. Due to the high volume of research towards the positive effects environment has in early childhood, not </w:t>
      </w:r>
      <w:r w:rsidR="009C2B31">
        <w:t>thoroughly</w:t>
      </w:r>
      <w:r w:rsidR="00B066EE">
        <w:t xml:space="preserve"> </w:t>
      </w:r>
      <w:r w:rsidR="001E5858">
        <w:t xml:space="preserve">ensuring the quality of the environment is exceeding the minimum standards can put children at a disadvantage of not having the fullest potential of experiences from the environment in their setting. As in the Reggio Emilia approach, Loriz Malaguzzi </w:t>
      </w:r>
      <w:r w:rsidR="001E5858" w:rsidRPr="001E5858">
        <w:t>underlined that creating a meaningful learning environment is a key component of learning</w:t>
      </w:r>
      <w:r w:rsidR="001E5858">
        <w:t xml:space="preserve"> states NAEYC (2015) as well as suggesting when t</w:t>
      </w:r>
      <w:r w:rsidR="001E5858" w:rsidRPr="001E5858">
        <w:t xml:space="preserve">he </w:t>
      </w:r>
      <w:r w:rsidR="001E5858">
        <w:t xml:space="preserve">environment is described as the </w:t>
      </w:r>
      <w:r w:rsidR="001E5858" w:rsidRPr="001E5858">
        <w:t xml:space="preserve">third teacher </w:t>
      </w:r>
      <w:r w:rsidR="001E5858">
        <w:t xml:space="preserve">it </w:t>
      </w:r>
      <w:r w:rsidR="001E5858" w:rsidRPr="001E5858">
        <w:t>provides a flexible setting that is mindful of the need for teachers and children to co-create learning.</w:t>
      </w:r>
    </w:p>
    <w:p w14:paraId="7901E1EF" w14:textId="58459358" w:rsidR="001E5858" w:rsidRDefault="001E5858" w:rsidP="00CF30B7">
      <w:pPr>
        <w:spacing w:line="360" w:lineRule="auto"/>
      </w:pPr>
    </w:p>
    <w:p w14:paraId="50BF8A85" w14:textId="5F31F8EA" w:rsidR="007F1FAB" w:rsidRDefault="009C2B31" w:rsidP="00CF30B7">
      <w:pPr>
        <w:spacing w:line="360" w:lineRule="auto"/>
      </w:pPr>
      <w:r>
        <w:lastRenderedPageBreak/>
        <w:t>However,</w:t>
      </w:r>
      <w:r w:rsidR="001E5858">
        <w:t xml:space="preserve"> NDNA (2024) quality counts does focus on Play and learning within a childcare setting.</w:t>
      </w:r>
      <w:r>
        <w:t xml:space="preserve"> They state that </w:t>
      </w:r>
      <w:r w:rsidRPr="001E5858">
        <w:t>in</w:t>
      </w:r>
      <w:r w:rsidR="001E5858" w:rsidRPr="001E5858">
        <w:t xml:space="preserve"> an atmosphere that is safe, well-resourced, and entertaining, children play, explore, and learn how to take risks.</w:t>
      </w:r>
      <w:r>
        <w:t xml:space="preserve"> Play is a crucial role in early child development, as Nidrect (no date) suggests. </w:t>
      </w:r>
      <w:r w:rsidRPr="009C2B31">
        <w:t>In childcare settings, incorporating play into daily routines is essential for supporting children's holistic development. It creates a nurturing environment where children can learn, grow, and thrive both individually and socially. Play is not just a form of entertainment for children; it's a fundamental aspect of their learning and development.</w:t>
      </w:r>
      <w:r>
        <w:t xml:space="preserve"> The quality of a setting in which thrives for children to learn through play, when measuring the development of the children and the progress which they are making, would be at a greater scale of excellence than a setting in which does not encourage children’s play- regarding the positive impact it has on their development. </w:t>
      </w:r>
    </w:p>
    <w:p w14:paraId="256F08AF" w14:textId="77777777" w:rsidR="009C2B31" w:rsidRDefault="009C2B31" w:rsidP="00A9256D">
      <w:pPr>
        <w:spacing w:line="360" w:lineRule="auto"/>
      </w:pPr>
    </w:p>
    <w:p w14:paraId="5AB1A235" w14:textId="77777777" w:rsidR="009C2B31" w:rsidRDefault="009C2B31" w:rsidP="00A9256D">
      <w:pPr>
        <w:spacing w:line="360" w:lineRule="auto"/>
      </w:pPr>
      <w:r>
        <w:t xml:space="preserve">To conclude, Early years Wales (2023) Quality for all and NDNA (2024) Quality counts, are both schemes have a great number of advantages to supporting childcare settings in ensuring they reach an excellent level of quality., </w:t>
      </w:r>
    </w:p>
    <w:p w14:paraId="21FD1916" w14:textId="66283A73" w:rsidR="00A9256D" w:rsidRDefault="00B647A7" w:rsidP="00A9256D">
      <w:pPr>
        <w:spacing w:line="360" w:lineRule="auto"/>
      </w:pPr>
      <w:r>
        <w:t xml:space="preserve">Early years (2023) state </w:t>
      </w:r>
      <w:r w:rsidRPr="00B647A7">
        <w:t>A quality mark will demonstrate to parents and sponsors that you strive for higher standards than those needed to register for CIW</w:t>
      </w:r>
      <w:r>
        <w:t>, this ensures that settings are meeting the national minimum standards and exceeding them by providing above average quality care.</w:t>
      </w:r>
      <w:r w:rsidR="009C2B31">
        <w:t xml:space="preserve"> As Welsh Government (2016) state to provide high quality care within a setting, the schemes provide aspects in which cover each component of service throughout childcare. The aim within the schemes is to ensure high quality is being provided, in doing so they target weaknesses in suggestion for improvement. </w:t>
      </w:r>
    </w:p>
    <w:p w14:paraId="70EDC140" w14:textId="716A2967" w:rsidR="00CF30B7" w:rsidRDefault="00CF30B7" w:rsidP="00A9256D">
      <w:pPr>
        <w:spacing w:line="360" w:lineRule="auto"/>
      </w:pPr>
    </w:p>
    <w:p w14:paraId="4EE96423" w14:textId="6AB36895" w:rsidR="00B647A7" w:rsidRDefault="00B647A7" w:rsidP="00A9256D">
      <w:pPr>
        <w:spacing w:line="360" w:lineRule="auto"/>
      </w:pPr>
    </w:p>
    <w:p w14:paraId="3D009C46" w14:textId="5B77EC57" w:rsidR="00A9256D" w:rsidRDefault="00A9256D" w:rsidP="00A9256D">
      <w:pPr>
        <w:spacing w:line="360" w:lineRule="auto"/>
      </w:pPr>
    </w:p>
    <w:p w14:paraId="22B2A750" w14:textId="3AC97C82" w:rsidR="00A9256D" w:rsidRDefault="00A9256D" w:rsidP="00A9256D">
      <w:pPr>
        <w:spacing w:line="360" w:lineRule="auto"/>
      </w:pPr>
    </w:p>
    <w:p w14:paraId="5EBA55E6" w14:textId="2D7E4E1E" w:rsidR="00A9256D" w:rsidRDefault="00A9256D" w:rsidP="00A9256D">
      <w:pPr>
        <w:spacing w:line="360" w:lineRule="auto"/>
      </w:pPr>
    </w:p>
    <w:p w14:paraId="6187AE83" w14:textId="2D3EBAB9" w:rsidR="00A9256D" w:rsidRDefault="00A9256D" w:rsidP="00A9256D"/>
    <w:p w14:paraId="5A8E0A98" w14:textId="16395CB0" w:rsidR="00A9256D" w:rsidRDefault="00A9256D" w:rsidP="00A9256D"/>
    <w:p w14:paraId="31A57BE5" w14:textId="348EBD42" w:rsidR="00A9256D" w:rsidRDefault="00A9256D" w:rsidP="00A9256D"/>
    <w:p w14:paraId="62FF683D" w14:textId="7B4ECF23" w:rsidR="00A9256D" w:rsidRDefault="00A9256D" w:rsidP="00A9256D"/>
    <w:p w14:paraId="196D6FE6" w14:textId="166A798A" w:rsidR="00A9256D" w:rsidRDefault="00A9256D" w:rsidP="00A9256D"/>
    <w:p w14:paraId="0DC55257" w14:textId="65F497B7" w:rsidR="00A9256D" w:rsidRDefault="00A9256D" w:rsidP="00A9256D"/>
    <w:p w14:paraId="736D2596" w14:textId="3D47F117" w:rsidR="00A9256D" w:rsidRDefault="00A9256D" w:rsidP="00A9256D"/>
    <w:p w14:paraId="0BF8D41A" w14:textId="63EDADA1" w:rsidR="00A9256D" w:rsidRDefault="00A9256D" w:rsidP="00A9256D"/>
    <w:p w14:paraId="302ADE91" w14:textId="77A93BC9" w:rsidR="00A9256D" w:rsidRDefault="00A9256D" w:rsidP="00A9256D"/>
    <w:p w14:paraId="3267896D" w14:textId="490FFABB" w:rsidR="00A9256D" w:rsidRDefault="00A9256D" w:rsidP="00A9256D"/>
    <w:p w14:paraId="0512B380" w14:textId="397CE7A1" w:rsidR="00A9256D" w:rsidRDefault="00A9256D" w:rsidP="00A9256D"/>
    <w:p w14:paraId="07CED2D3" w14:textId="247A9922" w:rsidR="00A9256D" w:rsidRDefault="00A9256D" w:rsidP="00A9256D"/>
    <w:p w14:paraId="0E5174D6" w14:textId="65FBF428" w:rsidR="00A9256D" w:rsidRDefault="00A9256D" w:rsidP="00A9256D"/>
    <w:p w14:paraId="0DD28823" w14:textId="60BD65E1" w:rsidR="00A9256D" w:rsidRDefault="00A9256D" w:rsidP="00A9256D"/>
    <w:p w14:paraId="5CFA474C" w14:textId="088E114B" w:rsidR="00A9256D" w:rsidRDefault="00A9256D" w:rsidP="00A9256D"/>
    <w:p w14:paraId="4D3A2630" w14:textId="4AD7E544" w:rsidR="00A9256D" w:rsidRDefault="00A9256D" w:rsidP="00A9256D"/>
    <w:p w14:paraId="65F85C1B" w14:textId="7071872C" w:rsidR="00A9256D" w:rsidRDefault="00A9256D" w:rsidP="00A9256D">
      <w:pPr>
        <w:spacing w:line="360" w:lineRule="auto"/>
      </w:pPr>
      <w:r>
        <w:t xml:space="preserve">Reference list: </w:t>
      </w:r>
    </w:p>
    <w:p w14:paraId="61D9E41C" w14:textId="566BECC3" w:rsidR="009C2B31" w:rsidRPr="009C2B31" w:rsidRDefault="009C2B31" w:rsidP="009C2B31">
      <w:pPr>
        <w:pStyle w:val="NormalWeb"/>
        <w:spacing w:line="360" w:lineRule="auto"/>
        <w:rPr>
          <w:rFonts w:asciiTheme="minorHAnsi" w:hAnsiTheme="minorHAnsi" w:cstheme="minorHAnsi"/>
        </w:rPr>
      </w:pPr>
      <w:r>
        <w:rPr>
          <w:rFonts w:asciiTheme="minorHAnsi" w:hAnsiTheme="minorHAnsi" w:cstheme="minorHAnsi"/>
        </w:rPr>
        <w:t>B</w:t>
      </w:r>
      <w:r w:rsidRPr="009C2B31">
        <w:rPr>
          <w:rFonts w:asciiTheme="minorHAnsi" w:hAnsiTheme="minorHAnsi" w:cstheme="minorHAnsi"/>
        </w:rPr>
        <w:t xml:space="preserve">erris, R &amp; Miller, E. (2011). </w:t>
      </w:r>
      <w:r w:rsidRPr="009C2B31">
        <w:rPr>
          <w:rFonts w:asciiTheme="minorHAnsi" w:hAnsiTheme="minorHAnsi" w:cstheme="minorHAnsi"/>
        </w:rPr>
        <w:t>‘</w:t>
      </w:r>
      <w:r w:rsidRPr="009C2B31">
        <w:rPr>
          <w:rFonts w:asciiTheme="minorHAnsi" w:hAnsiTheme="minorHAnsi" w:cstheme="minorHAnsi"/>
        </w:rPr>
        <w:t xml:space="preserve">How design of the physical environment impacts early learning: Educators and </w:t>
      </w:r>
      <w:r w:rsidR="007F1FAB" w:rsidRPr="009C2B31">
        <w:rPr>
          <w:rFonts w:asciiTheme="minorHAnsi" w:hAnsiTheme="minorHAnsi" w:cstheme="minorHAnsi"/>
        </w:rPr>
        <w:t>parents’</w:t>
      </w:r>
      <w:r w:rsidRPr="009C2B31">
        <w:rPr>
          <w:rFonts w:asciiTheme="minorHAnsi" w:hAnsiTheme="minorHAnsi" w:cstheme="minorHAnsi"/>
        </w:rPr>
        <w:t xml:space="preserve"> perspectives.</w:t>
      </w:r>
      <w:r w:rsidRPr="009C2B31">
        <w:rPr>
          <w:rFonts w:asciiTheme="minorHAnsi" w:hAnsiTheme="minorHAnsi" w:cstheme="minorHAnsi"/>
        </w:rPr>
        <w:t>’</w:t>
      </w:r>
      <w:r w:rsidRPr="009C2B31">
        <w:rPr>
          <w:rFonts w:asciiTheme="minorHAnsi" w:hAnsiTheme="minorHAnsi" w:cstheme="minorHAnsi"/>
        </w:rPr>
        <w:t xml:space="preserve"> </w:t>
      </w:r>
      <w:r w:rsidRPr="009C2B31">
        <w:rPr>
          <w:rFonts w:asciiTheme="minorHAnsi" w:hAnsiTheme="minorHAnsi" w:cstheme="minorHAnsi"/>
          <w:i/>
          <w:iCs/>
        </w:rPr>
        <w:t>Australasian Journal of Early Childhood</w:t>
      </w:r>
      <w:r w:rsidRPr="009C2B31">
        <w:rPr>
          <w:rFonts w:asciiTheme="minorHAnsi" w:hAnsiTheme="minorHAnsi" w:cstheme="minorHAnsi"/>
          <w:i/>
          <w:iCs/>
        </w:rPr>
        <w:t xml:space="preserve">. </w:t>
      </w:r>
      <w:r w:rsidRPr="009C2B31">
        <w:rPr>
          <w:rFonts w:asciiTheme="minorHAnsi" w:hAnsiTheme="minorHAnsi" w:cstheme="minorHAnsi"/>
        </w:rPr>
        <w:t xml:space="preserve">P.1. Available at: </w:t>
      </w:r>
      <w:hyperlink r:id="rId6" w:history="1">
        <w:r w:rsidRPr="009C2B31">
          <w:rPr>
            <w:rStyle w:val="Hyperlink"/>
            <w:rFonts w:asciiTheme="minorHAnsi" w:hAnsiTheme="minorHAnsi" w:cstheme="minorHAnsi"/>
          </w:rPr>
          <w:t>https://eprints.qut.edu.au/46928/2/46928.pdf</w:t>
        </w:r>
      </w:hyperlink>
      <w:r w:rsidRPr="009C2B31">
        <w:rPr>
          <w:rFonts w:asciiTheme="minorHAnsi" w:hAnsiTheme="minorHAnsi" w:cstheme="minorHAnsi"/>
        </w:rPr>
        <w:t xml:space="preserve"> (accessed:18 April 2024)</w:t>
      </w:r>
    </w:p>
    <w:p w14:paraId="7F10E434" w14:textId="545E7785" w:rsidR="009C2B31" w:rsidRPr="00A9256D" w:rsidRDefault="009C2B31" w:rsidP="009C2B31">
      <w:pPr>
        <w:spacing w:line="360" w:lineRule="auto"/>
        <w:rPr>
          <w:rFonts w:cstheme="minorHAnsi"/>
        </w:rPr>
      </w:pPr>
      <w:r w:rsidRPr="00A9256D">
        <w:rPr>
          <w:rFonts w:cstheme="minorHAnsi"/>
        </w:rPr>
        <w:t xml:space="preserve">California Department of education (2000) </w:t>
      </w:r>
      <w:r w:rsidRPr="00A9256D">
        <w:rPr>
          <w:rFonts w:cstheme="minorHAnsi"/>
          <w:i/>
          <w:iCs/>
        </w:rPr>
        <w:t xml:space="preserve">Defining quality </w:t>
      </w:r>
      <w:r w:rsidR="007F1FAB" w:rsidRPr="00A9256D">
        <w:rPr>
          <w:rFonts w:cstheme="minorHAnsi"/>
          <w:i/>
          <w:iCs/>
        </w:rPr>
        <w:t>childcare</w:t>
      </w:r>
      <w:r w:rsidRPr="00A9256D">
        <w:rPr>
          <w:rFonts w:cstheme="minorHAnsi"/>
          <w:i/>
          <w:iCs/>
        </w:rPr>
        <w:t xml:space="preserve">. </w:t>
      </w:r>
      <w:r w:rsidRPr="00A9256D">
        <w:rPr>
          <w:rFonts w:cstheme="minorHAnsi"/>
        </w:rPr>
        <w:t xml:space="preserve">Available at: </w:t>
      </w:r>
      <w:hyperlink r:id="rId7" w:history="1">
        <w:r w:rsidRPr="00A9256D">
          <w:rPr>
            <w:rStyle w:val="Hyperlink"/>
            <w:rFonts w:cstheme="minorHAnsi"/>
          </w:rPr>
          <w:t>https://www.cde.ca.gov/sp/cd/re/caqdefinecare.asp#:~:text=Well%2C%20quality%20is%20defined%20as,will%20mentally%20and%20physically%20thrive</w:t>
        </w:r>
      </w:hyperlink>
      <w:r w:rsidRPr="00A9256D">
        <w:rPr>
          <w:rFonts w:cstheme="minorHAnsi"/>
        </w:rPr>
        <w:t>.</w:t>
      </w:r>
      <w:r w:rsidRPr="00A9256D">
        <w:rPr>
          <w:rFonts w:cstheme="minorHAnsi"/>
        </w:rPr>
        <w:t xml:space="preserve"> (Accessed: 15 April 2024) </w:t>
      </w:r>
    </w:p>
    <w:p w14:paraId="460F9D85" w14:textId="7802E698" w:rsidR="009C2B31" w:rsidRDefault="009C2B31" w:rsidP="009C2B31">
      <w:pPr>
        <w:spacing w:line="360" w:lineRule="auto"/>
      </w:pPr>
      <w:r>
        <w:t xml:space="preserve">Early years Wales (2023) Early years Wales. Available at: </w:t>
      </w:r>
      <w:hyperlink r:id="rId8" w:history="1">
        <w:r w:rsidRPr="004630D9">
          <w:rPr>
            <w:rStyle w:val="Hyperlink"/>
          </w:rPr>
          <w:t>https://www</w:t>
        </w:r>
        <w:r w:rsidRPr="004630D9">
          <w:rPr>
            <w:rStyle w:val="Hyperlink"/>
          </w:rPr>
          <w:t>.</w:t>
        </w:r>
        <w:r w:rsidRPr="004630D9">
          <w:rPr>
            <w:rStyle w:val="Hyperlink"/>
          </w:rPr>
          <w:t>cwlwm.org.uk/childcare-organisation/early-years-wales</w:t>
        </w:r>
      </w:hyperlink>
      <w:r>
        <w:t xml:space="preserve"> (Accessed: 14 </w:t>
      </w:r>
      <w:r w:rsidR="007F1FAB">
        <w:t>April</w:t>
      </w:r>
      <w:r>
        <w:t xml:space="preserve"> 2024)</w:t>
      </w:r>
    </w:p>
    <w:p w14:paraId="601AD041" w14:textId="0FF3F391" w:rsidR="009C2B31" w:rsidRDefault="009C2B31" w:rsidP="009C2B31">
      <w:pPr>
        <w:spacing w:line="360" w:lineRule="auto"/>
        <w:rPr>
          <w:rFonts w:cstheme="minorHAnsi"/>
        </w:rPr>
      </w:pPr>
      <w:r w:rsidRPr="00A9256D">
        <w:rPr>
          <w:rFonts w:cstheme="minorHAnsi"/>
        </w:rPr>
        <w:t xml:space="preserve">Early years Wales (2023) </w:t>
      </w:r>
      <w:r w:rsidRPr="00A9256D">
        <w:rPr>
          <w:rFonts w:cstheme="minorHAnsi"/>
          <w:i/>
          <w:iCs/>
        </w:rPr>
        <w:t>Quality for all</w:t>
      </w:r>
      <w:r w:rsidRPr="00A9256D">
        <w:rPr>
          <w:rFonts w:cstheme="minorHAnsi"/>
        </w:rPr>
        <w:t xml:space="preserve">. Available at: </w:t>
      </w:r>
      <w:hyperlink r:id="rId9" w:history="1">
        <w:r w:rsidRPr="00A9256D">
          <w:rPr>
            <w:rStyle w:val="Hyperlink"/>
            <w:rFonts w:cstheme="minorHAnsi"/>
          </w:rPr>
          <w:t>https://www.earlyyears.wales/en/quality-for-all</w:t>
        </w:r>
      </w:hyperlink>
      <w:r w:rsidRPr="00A9256D">
        <w:rPr>
          <w:rFonts w:cstheme="minorHAnsi"/>
        </w:rPr>
        <w:t xml:space="preserve"> (Accessed: 10 April 2024) </w:t>
      </w:r>
    </w:p>
    <w:p w14:paraId="1CD3C184" w14:textId="1F65E7CC" w:rsidR="007F1FAB" w:rsidRDefault="007F1FAB" w:rsidP="009C2B31">
      <w:pPr>
        <w:spacing w:line="360" w:lineRule="auto"/>
        <w:rPr>
          <w:rFonts w:cstheme="minorHAnsi"/>
        </w:rPr>
      </w:pPr>
      <w:r>
        <w:rPr>
          <w:rFonts w:cstheme="minorHAnsi"/>
        </w:rPr>
        <w:t xml:space="preserve">Eaton, C (2023) </w:t>
      </w:r>
      <w:r w:rsidRPr="007F1FAB">
        <w:rPr>
          <w:rFonts w:cstheme="minorHAnsi"/>
          <w:i/>
          <w:iCs/>
        </w:rPr>
        <w:t>Enabling environments and their impact on children’s learning.</w:t>
      </w:r>
      <w:r>
        <w:rPr>
          <w:rFonts w:cstheme="minorHAnsi"/>
        </w:rPr>
        <w:t xml:space="preserve"> Available at: </w:t>
      </w:r>
      <w:hyperlink r:id="rId10" w:history="1">
        <w:r w:rsidRPr="004630D9">
          <w:rPr>
            <w:rStyle w:val="Hyperlink"/>
            <w:rFonts w:cstheme="minorHAnsi"/>
          </w:rPr>
          <w:t>https://early-education.org.uk/enabling-environments-and-their-impact-on-childrens-learning/</w:t>
        </w:r>
      </w:hyperlink>
      <w:r>
        <w:rPr>
          <w:rFonts w:cstheme="minorHAnsi"/>
        </w:rPr>
        <w:t xml:space="preserve"> (Accessed: 20 April 2024)</w:t>
      </w:r>
    </w:p>
    <w:p w14:paraId="7FB43EC0" w14:textId="11704337" w:rsidR="009C2B31" w:rsidRPr="00A9256D" w:rsidRDefault="009C2B31" w:rsidP="009C2B31">
      <w:pPr>
        <w:pStyle w:val="paragraph"/>
        <w:shd w:val="clear" w:color="auto" w:fill="FFFFFF"/>
        <w:spacing w:before="0" w:beforeAutospacing="0" w:after="0" w:afterAutospacing="0" w:line="360" w:lineRule="auto"/>
        <w:textAlignment w:val="baseline"/>
        <w:rPr>
          <w:rStyle w:val="eop"/>
          <w:rFonts w:asciiTheme="minorHAnsi" w:eastAsiaTheme="majorEastAsia" w:hAnsiTheme="minorHAnsi" w:cstheme="minorHAnsi"/>
          <w:color w:val="000000"/>
        </w:rPr>
      </w:pPr>
      <w:r w:rsidRPr="00A9256D">
        <w:rPr>
          <w:rStyle w:val="normaltextrun"/>
          <w:rFonts w:asciiTheme="minorHAnsi" w:eastAsiaTheme="majorEastAsia" w:hAnsiTheme="minorHAnsi" w:cstheme="minorHAnsi"/>
          <w:color w:val="000000"/>
        </w:rPr>
        <w:t>Guskey, T.R. (2000). </w:t>
      </w:r>
      <w:r w:rsidRPr="00A9256D">
        <w:rPr>
          <w:rStyle w:val="normaltextrun"/>
          <w:rFonts w:asciiTheme="minorHAnsi" w:eastAsiaTheme="majorEastAsia" w:hAnsiTheme="minorHAnsi" w:cstheme="minorHAnsi"/>
          <w:i/>
          <w:iCs/>
          <w:color w:val="000000"/>
        </w:rPr>
        <w:t>Evaluating professional development</w:t>
      </w:r>
      <w:r w:rsidRPr="00A9256D">
        <w:rPr>
          <w:rStyle w:val="normaltextrun"/>
          <w:rFonts w:asciiTheme="minorHAnsi" w:eastAsiaTheme="majorEastAsia" w:hAnsiTheme="minorHAnsi" w:cstheme="minorHAnsi"/>
          <w:color w:val="000000"/>
        </w:rPr>
        <w:t>. Thousand Oaks: Corwin Press.</w:t>
      </w:r>
      <w:r w:rsidRPr="00A9256D">
        <w:rPr>
          <w:rStyle w:val="eop"/>
          <w:rFonts w:asciiTheme="minorHAnsi" w:eastAsiaTheme="majorEastAsia" w:hAnsiTheme="minorHAnsi" w:cstheme="minorHAnsi"/>
          <w:color w:val="000000"/>
        </w:rPr>
        <w:t> </w:t>
      </w:r>
    </w:p>
    <w:p w14:paraId="40D85698" w14:textId="3E84445D" w:rsidR="009C2B31" w:rsidRPr="001E5858" w:rsidRDefault="009C2B31" w:rsidP="009C2B31">
      <w:pPr>
        <w:spacing w:line="360" w:lineRule="auto"/>
      </w:pPr>
      <w:r>
        <w:t xml:space="preserve">NAEYC (2015) </w:t>
      </w:r>
      <w:r w:rsidRPr="009C2B31">
        <w:rPr>
          <w:rFonts w:cstheme="minorHAnsi"/>
          <w:i/>
          <w:iCs/>
          <w:shd w:val="clear" w:color="auto" w:fill="FFFFFF"/>
        </w:rPr>
        <w:t>Inspired by Reggio Emilia: Emergent Curriculum in Relationship-Driven Learning Environments</w:t>
      </w:r>
      <w:r w:rsidRPr="009C2B31">
        <w:rPr>
          <w:rFonts w:cstheme="minorHAnsi"/>
          <w:i/>
          <w:iCs/>
          <w:shd w:val="clear" w:color="auto" w:fill="FFFFFF"/>
        </w:rPr>
        <w:t>.</w:t>
      </w:r>
      <w:r>
        <w:rPr>
          <w:rFonts w:cstheme="minorHAnsi"/>
          <w:i/>
          <w:iCs/>
          <w:shd w:val="clear" w:color="auto" w:fill="FFFFFF"/>
        </w:rPr>
        <w:t xml:space="preserve"> </w:t>
      </w:r>
      <w:r>
        <w:rPr>
          <w:rFonts w:cstheme="minorHAnsi"/>
          <w:shd w:val="clear" w:color="auto" w:fill="FFFFFF"/>
        </w:rPr>
        <w:t xml:space="preserve">Available at: </w:t>
      </w:r>
      <w:hyperlink r:id="rId11" w:history="1">
        <w:r w:rsidRPr="004630D9">
          <w:rPr>
            <w:rStyle w:val="Hyperlink"/>
            <w:rFonts w:cstheme="minorHAnsi"/>
            <w:shd w:val="clear" w:color="auto" w:fill="FFFFFF"/>
          </w:rPr>
          <w:t>https://www.naeyc.org/resources/pubs/yc/nov2015/emergent-curriculum#:~:text=The%20third%20teacher%20is%20the,and%20environment%20that%20ignites%20learning</w:t>
        </w:r>
      </w:hyperlink>
      <w:r w:rsidRPr="001E5858">
        <w:rPr>
          <w:rFonts w:cstheme="minorHAnsi"/>
          <w:shd w:val="clear" w:color="auto" w:fill="FFFFFF"/>
        </w:rPr>
        <w:t>.</w:t>
      </w:r>
      <w:r>
        <w:rPr>
          <w:rFonts w:cstheme="minorHAnsi"/>
          <w:shd w:val="clear" w:color="auto" w:fill="FFFFFF"/>
        </w:rPr>
        <w:t xml:space="preserve"> (Accessed: 17 </w:t>
      </w:r>
      <w:r w:rsidR="007F1FAB">
        <w:rPr>
          <w:rFonts w:cstheme="minorHAnsi"/>
          <w:shd w:val="clear" w:color="auto" w:fill="FFFFFF"/>
        </w:rPr>
        <w:t>April</w:t>
      </w:r>
      <w:r>
        <w:rPr>
          <w:rFonts w:cstheme="minorHAnsi"/>
          <w:shd w:val="clear" w:color="auto" w:fill="FFFFFF"/>
        </w:rPr>
        <w:t xml:space="preserve"> 2024)</w:t>
      </w:r>
    </w:p>
    <w:p w14:paraId="467ECF06" w14:textId="77777777" w:rsidR="009C2B31" w:rsidRDefault="009C2B31" w:rsidP="009C2B31">
      <w:pPr>
        <w:spacing w:line="360" w:lineRule="auto"/>
      </w:pPr>
      <w:r>
        <w:t xml:space="preserve">NDNA (2024) </w:t>
      </w:r>
      <w:r w:rsidRPr="00A9256D">
        <w:rPr>
          <w:i/>
          <w:iCs/>
        </w:rPr>
        <w:t>Quality Counts</w:t>
      </w:r>
      <w:r>
        <w:t xml:space="preserve">. Available at: </w:t>
      </w:r>
      <w:hyperlink r:id="rId12" w:history="1">
        <w:r w:rsidRPr="004630D9">
          <w:rPr>
            <w:rStyle w:val="Hyperlink"/>
          </w:rPr>
          <w:t>https://qualitycounts.org.uk/#cycle</w:t>
        </w:r>
      </w:hyperlink>
      <w:r>
        <w:t xml:space="preserve"> (Accessed: 16 April 2024) </w:t>
      </w:r>
    </w:p>
    <w:p w14:paraId="09D8EFCD" w14:textId="77777777" w:rsidR="009C2B31" w:rsidRPr="0040325F" w:rsidRDefault="009C2B31" w:rsidP="009C2B31">
      <w:pPr>
        <w:spacing w:line="360" w:lineRule="auto"/>
        <w:rPr>
          <w:i/>
          <w:iCs/>
        </w:rPr>
      </w:pPr>
      <w:r>
        <w:lastRenderedPageBreak/>
        <w:t xml:space="preserve">NHS (2024) </w:t>
      </w:r>
      <w:r w:rsidRPr="0040325F">
        <w:rPr>
          <w:i/>
          <w:iCs/>
        </w:rPr>
        <w:t>Looking after a child or young persons mental health.</w:t>
      </w:r>
      <w:r>
        <w:t xml:space="preserve"> Available at: </w:t>
      </w:r>
      <w:hyperlink r:id="rId13" w:history="1">
        <w:r w:rsidRPr="004630D9">
          <w:rPr>
            <w:rStyle w:val="Hyperlink"/>
          </w:rPr>
          <w:t>https://www.nhs.uk/every-mind-matters/supporting-others/childrens-mental-health/</w:t>
        </w:r>
      </w:hyperlink>
      <w:r>
        <w:t xml:space="preserve"> (Accessed:16 April 2024)</w:t>
      </w:r>
    </w:p>
    <w:p w14:paraId="62743E0C" w14:textId="77777777" w:rsidR="009C2B31" w:rsidRPr="00A9256D" w:rsidRDefault="009C2B31" w:rsidP="009C2B31">
      <w:pPr>
        <w:spacing w:line="360" w:lineRule="auto"/>
      </w:pPr>
      <w:r>
        <w:t xml:space="preserve">Nidirect (no date) How play helps children’s development. Available at: </w:t>
      </w:r>
      <w:hyperlink r:id="rId14" w:history="1">
        <w:r w:rsidRPr="004630D9">
          <w:rPr>
            <w:rStyle w:val="Hyperlink"/>
          </w:rPr>
          <w:t>https://www.nidirect.gov.uk/articles/how-play-helps-childrens-development#:~:text=Play%20improves%20the%20cognitive%2C%20physical,confidence</w:t>
        </w:r>
      </w:hyperlink>
      <w:r>
        <w:t xml:space="preserve"> (Accessed: 20 April 2024)</w:t>
      </w:r>
    </w:p>
    <w:p w14:paraId="207D4381" w14:textId="77777777" w:rsidR="009C2B31" w:rsidRDefault="009C2B31" w:rsidP="009C2B31">
      <w:pPr>
        <w:spacing w:line="360" w:lineRule="auto"/>
      </w:pPr>
      <w:r>
        <w:t xml:space="preserve">Pembrokeshire County Council (no date) </w:t>
      </w:r>
      <w:r w:rsidRPr="00A9256D">
        <w:rPr>
          <w:i/>
          <w:iCs/>
        </w:rPr>
        <w:t xml:space="preserve">Thinking of setting up a day nursery? </w:t>
      </w:r>
      <w:r>
        <w:t xml:space="preserve">Available at: </w:t>
      </w:r>
      <w:hyperlink r:id="rId15" w:history="1">
        <w:r w:rsidRPr="004630D9">
          <w:rPr>
            <w:rStyle w:val="Hyperlink"/>
          </w:rPr>
          <w:t>https://www.pembrokeshire.gov.uk/thinking-of-starting-a-childcare-business/thinking-of-setting-up-a-day-nursery#:~:text=One%20adult%20to%20three%20children,children%20aged%203%20%2D%207%20years</w:t>
        </w:r>
      </w:hyperlink>
      <w:r>
        <w:t xml:space="preserve"> (Accessed: 17 April 2024) </w:t>
      </w:r>
    </w:p>
    <w:p w14:paraId="009369FC" w14:textId="77777777" w:rsidR="009C2B31" w:rsidRPr="00A9256D" w:rsidRDefault="009C2B31" w:rsidP="009C2B31">
      <w:pPr>
        <w:pStyle w:val="Heading1"/>
        <w:spacing w:before="0" w:beforeAutospacing="0" w:after="135" w:afterAutospacing="0" w:line="360" w:lineRule="auto"/>
        <w:rPr>
          <w:rFonts w:asciiTheme="minorHAnsi" w:hAnsiTheme="minorHAnsi" w:cstheme="minorHAnsi"/>
          <w:b w:val="0"/>
          <w:bCs w:val="0"/>
          <w:color w:val="202020"/>
          <w:sz w:val="24"/>
          <w:szCs w:val="24"/>
        </w:rPr>
      </w:pPr>
      <w:r w:rsidRPr="00A9256D">
        <w:rPr>
          <w:rFonts w:asciiTheme="minorHAnsi" w:hAnsiTheme="minorHAnsi" w:cstheme="minorHAnsi"/>
          <w:b w:val="0"/>
          <w:bCs w:val="0"/>
          <w:sz w:val="24"/>
          <w:szCs w:val="24"/>
        </w:rPr>
        <w:t xml:space="preserve">Perlman, M </w:t>
      </w:r>
      <w:r w:rsidRPr="00A9256D">
        <w:rPr>
          <w:rFonts w:asciiTheme="minorHAnsi" w:hAnsiTheme="minorHAnsi" w:cstheme="minorHAnsi"/>
          <w:b w:val="0"/>
          <w:bCs w:val="0"/>
          <w:i/>
          <w:iCs/>
          <w:sz w:val="24"/>
          <w:szCs w:val="24"/>
        </w:rPr>
        <w:t>et al</w:t>
      </w:r>
      <w:r w:rsidRPr="00A9256D">
        <w:rPr>
          <w:rFonts w:asciiTheme="minorHAnsi" w:hAnsiTheme="minorHAnsi" w:cstheme="minorHAnsi"/>
          <w:b w:val="0"/>
          <w:bCs w:val="0"/>
          <w:sz w:val="24"/>
          <w:szCs w:val="24"/>
        </w:rPr>
        <w:t>. (2017) ‘</w:t>
      </w:r>
      <w:r w:rsidRPr="00A9256D">
        <w:rPr>
          <w:rFonts w:asciiTheme="minorHAnsi" w:hAnsiTheme="minorHAnsi" w:cstheme="minorHAnsi"/>
          <w:b w:val="0"/>
          <w:bCs w:val="0"/>
          <w:color w:val="202020"/>
          <w:sz w:val="24"/>
          <w:szCs w:val="24"/>
        </w:rPr>
        <w:t>Child-Staff Ratios in Early Childhood Education and Care Settings and Child Outcomes: A Systematic Review and Meta-Analysis</w:t>
      </w:r>
      <w:r w:rsidRPr="00A9256D">
        <w:rPr>
          <w:rFonts w:asciiTheme="minorHAnsi" w:hAnsiTheme="minorHAnsi" w:cstheme="minorHAnsi"/>
          <w:b w:val="0"/>
          <w:bCs w:val="0"/>
          <w:color w:val="202020"/>
          <w:sz w:val="24"/>
          <w:szCs w:val="24"/>
        </w:rPr>
        <w:t xml:space="preserve">’ </w:t>
      </w:r>
      <w:r w:rsidRPr="00A9256D">
        <w:rPr>
          <w:rFonts w:asciiTheme="minorHAnsi" w:hAnsiTheme="minorHAnsi" w:cstheme="minorHAnsi"/>
          <w:b w:val="0"/>
          <w:bCs w:val="0"/>
          <w:i/>
          <w:iCs/>
          <w:color w:val="202020"/>
          <w:sz w:val="24"/>
          <w:szCs w:val="24"/>
        </w:rPr>
        <w:t>PLOS ONE.</w:t>
      </w:r>
      <w:r>
        <w:rPr>
          <w:rFonts w:asciiTheme="minorHAnsi" w:hAnsiTheme="minorHAnsi" w:cstheme="minorHAnsi"/>
          <w:b w:val="0"/>
          <w:bCs w:val="0"/>
          <w:color w:val="202020"/>
          <w:sz w:val="24"/>
          <w:szCs w:val="24"/>
        </w:rPr>
        <w:t xml:space="preserve"> Pp. 1. Available at: </w:t>
      </w:r>
      <w:hyperlink r:id="rId16" w:history="1">
        <w:r w:rsidRPr="004630D9">
          <w:rPr>
            <w:rStyle w:val="Hyperlink"/>
            <w:rFonts w:asciiTheme="minorHAnsi" w:hAnsiTheme="minorHAnsi" w:cstheme="minorHAnsi"/>
            <w:b w:val="0"/>
            <w:bCs w:val="0"/>
            <w:sz w:val="24"/>
            <w:szCs w:val="24"/>
          </w:rPr>
          <w:t>https://journals.plos.org/plosone/article?id=10.1371/journal.pone.0170256</w:t>
        </w:r>
      </w:hyperlink>
      <w:r>
        <w:rPr>
          <w:rFonts w:asciiTheme="minorHAnsi" w:hAnsiTheme="minorHAnsi" w:cstheme="minorHAnsi"/>
          <w:b w:val="0"/>
          <w:bCs w:val="0"/>
          <w:color w:val="202020"/>
          <w:sz w:val="24"/>
          <w:szCs w:val="24"/>
        </w:rPr>
        <w:t xml:space="preserve"> (Accessed: 17 April 2024)</w:t>
      </w:r>
    </w:p>
    <w:p w14:paraId="32558BEA" w14:textId="77777777" w:rsidR="009C2B31" w:rsidRDefault="009C2B31" w:rsidP="009C2B31">
      <w:pPr>
        <w:spacing w:line="360" w:lineRule="auto"/>
      </w:pPr>
      <w:r>
        <w:t xml:space="preserve">Rose, J et al. (2016) </w:t>
      </w:r>
      <w:r w:rsidRPr="00B647A7">
        <w:rPr>
          <w:i/>
          <w:iCs/>
        </w:rPr>
        <w:t>Health and Well-being in early childhood</w:t>
      </w:r>
      <w:r>
        <w:t>. London: SAGE publications</w:t>
      </w:r>
    </w:p>
    <w:p w14:paraId="16E55FA9" w14:textId="02ED83F0" w:rsidR="009C2B31" w:rsidRPr="00A9256D" w:rsidRDefault="009C2B31" w:rsidP="009C2B31">
      <w:pPr>
        <w:pStyle w:val="NormalWeb"/>
        <w:spacing w:line="360" w:lineRule="auto"/>
        <w:rPr>
          <w:rFonts w:asciiTheme="minorHAnsi" w:hAnsiTheme="minorHAnsi" w:cstheme="minorHAnsi"/>
        </w:rPr>
      </w:pPr>
      <w:r w:rsidRPr="00A9256D">
        <w:rPr>
          <w:rFonts w:asciiTheme="minorHAnsi" w:hAnsiTheme="minorHAnsi" w:cstheme="minorHAnsi"/>
        </w:rPr>
        <w:t>Sims, M and Waniganayake, M (2015) ‘</w:t>
      </w:r>
      <w:r w:rsidRPr="00A9256D">
        <w:rPr>
          <w:rFonts w:asciiTheme="minorHAnsi" w:hAnsiTheme="minorHAnsi" w:cstheme="minorHAnsi"/>
        </w:rPr>
        <w:t>The Role of Staff in Quality Improvement in Early Childhood</w:t>
      </w:r>
      <w:r w:rsidRPr="00A9256D">
        <w:rPr>
          <w:rFonts w:asciiTheme="minorHAnsi" w:hAnsiTheme="minorHAnsi" w:cstheme="minorHAnsi"/>
        </w:rPr>
        <w:t xml:space="preserve">’ </w:t>
      </w:r>
      <w:r w:rsidR="007F1FAB" w:rsidRPr="00A9256D">
        <w:rPr>
          <w:rFonts w:asciiTheme="minorHAnsi" w:hAnsiTheme="minorHAnsi" w:cstheme="minorHAnsi"/>
          <w:i/>
          <w:iCs/>
        </w:rPr>
        <w:t>Red Fame</w:t>
      </w:r>
      <w:r w:rsidRPr="00A9256D">
        <w:rPr>
          <w:rFonts w:asciiTheme="minorHAnsi" w:hAnsiTheme="minorHAnsi" w:cstheme="minorHAnsi"/>
          <w:i/>
          <w:iCs/>
        </w:rPr>
        <w:t>.</w:t>
      </w:r>
      <w:r w:rsidRPr="00A9256D">
        <w:rPr>
          <w:rFonts w:asciiTheme="minorHAnsi" w:hAnsiTheme="minorHAnsi" w:cstheme="minorHAnsi"/>
        </w:rPr>
        <w:t xml:space="preserve"> PP. 1. Available at: </w:t>
      </w:r>
      <w:hyperlink r:id="rId17" w:history="1">
        <w:r w:rsidRPr="00A9256D">
          <w:rPr>
            <w:rStyle w:val="Hyperlink"/>
            <w:rFonts w:asciiTheme="minorHAnsi" w:hAnsiTheme="minorHAnsi" w:cstheme="minorHAnsi"/>
          </w:rPr>
          <w:t>https://files.eric.ed.gov/fulltext/EJ1071303.pdf</w:t>
        </w:r>
      </w:hyperlink>
      <w:r w:rsidRPr="00A9256D">
        <w:rPr>
          <w:rFonts w:asciiTheme="minorHAnsi" w:hAnsiTheme="minorHAnsi" w:cstheme="minorHAnsi"/>
        </w:rPr>
        <w:t xml:space="preserve"> (Accessed 15 April 2024)</w:t>
      </w:r>
    </w:p>
    <w:p w14:paraId="78939897" w14:textId="77777777" w:rsidR="009C2B31" w:rsidRPr="00A9256D" w:rsidRDefault="009C2B31" w:rsidP="009C2B31">
      <w:pPr>
        <w:spacing w:line="360" w:lineRule="auto"/>
        <w:rPr>
          <w:rFonts w:cstheme="minorHAnsi"/>
        </w:rPr>
      </w:pPr>
      <w:r w:rsidRPr="00A9256D">
        <w:rPr>
          <w:rFonts w:cstheme="minorHAnsi"/>
        </w:rPr>
        <w:t xml:space="preserve">Welsh Government (2016) </w:t>
      </w:r>
      <w:r w:rsidRPr="00A9256D">
        <w:rPr>
          <w:rFonts w:cstheme="minorHAnsi"/>
          <w:i/>
          <w:iCs/>
        </w:rPr>
        <w:t>National Minimum Standards for Regulated Childcare for children up to the age of 12 years</w:t>
      </w:r>
      <w:r w:rsidRPr="00A9256D">
        <w:rPr>
          <w:rFonts w:cstheme="minorHAnsi"/>
        </w:rPr>
        <w:t xml:space="preserve">. Available at: </w:t>
      </w:r>
      <w:hyperlink r:id="rId18" w:history="1">
        <w:r w:rsidRPr="00A9256D">
          <w:rPr>
            <w:rStyle w:val="Hyperlink"/>
            <w:rFonts w:cstheme="minorHAnsi"/>
          </w:rPr>
          <w:t>https://www.careinspectorate.wales/sites/default/files/2018-01/160411regchildcareen.pdf</w:t>
        </w:r>
      </w:hyperlink>
      <w:r w:rsidRPr="00A9256D">
        <w:rPr>
          <w:rFonts w:cstheme="minorHAnsi"/>
        </w:rPr>
        <w:t xml:space="preserve"> (Accessed: 2</w:t>
      </w:r>
      <w:r w:rsidRPr="00A9256D">
        <w:rPr>
          <w:rFonts w:cstheme="minorHAnsi"/>
        </w:rPr>
        <w:t>9 March</w:t>
      </w:r>
      <w:r w:rsidRPr="00A9256D">
        <w:rPr>
          <w:rFonts w:cstheme="minorHAnsi"/>
        </w:rPr>
        <w:t xml:space="preserve"> 2024). </w:t>
      </w:r>
    </w:p>
    <w:p w14:paraId="5151D845" w14:textId="77777777" w:rsidR="009C2B31" w:rsidRPr="00A9256D" w:rsidRDefault="009C2B31" w:rsidP="009C2B31">
      <w:pPr>
        <w:pStyle w:val="NormalWeb"/>
        <w:spacing w:line="360" w:lineRule="auto"/>
        <w:rPr>
          <w:rFonts w:asciiTheme="minorHAnsi" w:hAnsiTheme="minorHAnsi" w:cstheme="minorHAnsi"/>
        </w:rPr>
      </w:pPr>
      <w:r w:rsidRPr="00A9256D">
        <w:rPr>
          <w:rFonts w:asciiTheme="minorHAnsi" w:hAnsiTheme="minorHAnsi" w:cstheme="minorHAnsi"/>
        </w:rPr>
        <w:t xml:space="preserve"> </w:t>
      </w:r>
      <w:r w:rsidRPr="00A9256D">
        <w:rPr>
          <w:rFonts w:asciiTheme="minorHAnsi" w:hAnsiTheme="minorHAnsi" w:cstheme="minorHAnsi"/>
          <w:color w:val="222222"/>
          <w:shd w:val="clear" w:color="auto" w:fill="FFFFFF"/>
        </w:rPr>
        <w:t xml:space="preserve">Welsh Government (2017) </w:t>
      </w:r>
      <w:r w:rsidRPr="00A9256D">
        <w:rPr>
          <w:rFonts w:asciiTheme="minorHAnsi" w:hAnsiTheme="minorHAnsi" w:cstheme="minorHAnsi"/>
          <w:i/>
          <w:iCs/>
          <w:color w:val="222222"/>
          <w:shd w:val="clear" w:color="auto" w:fill="FFFFFF"/>
        </w:rPr>
        <w:t xml:space="preserve">Childcare, Play and Early Years Workforce Plan. </w:t>
      </w:r>
      <w:r w:rsidRPr="00A9256D">
        <w:rPr>
          <w:rFonts w:asciiTheme="minorHAnsi" w:hAnsiTheme="minorHAnsi" w:cstheme="minorHAnsi"/>
          <w:color w:val="222222"/>
          <w:shd w:val="clear" w:color="auto" w:fill="FFFFFF"/>
        </w:rPr>
        <w:t xml:space="preserve">Available at: </w:t>
      </w:r>
      <w:hyperlink r:id="rId19" w:history="1">
        <w:r w:rsidRPr="00A9256D">
          <w:rPr>
            <w:rStyle w:val="Hyperlink"/>
            <w:rFonts w:asciiTheme="minorHAnsi" w:hAnsiTheme="minorHAnsi" w:cstheme="minorHAnsi"/>
            <w:shd w:val="clear" w:color="auto" w:fill="FFFFFF"/>
          </w:rPr>
          <w:t>https://www.gov.wales/sites/default/files/publications/2019-07/early-years-workforce-plan.pdf</w:t>
        </w:r>
      </w:hyperlink>
      <w:r w:rsidRPr="00A9256D">
        <w:rPr>
          <w:rFonts w:asciiTheme="minorHAnsi" w:hAnsiTheme="minorHAnsi" w:cstheme="minorHAnsi"/>
          <w:color w:val="222222"/>
          <w:shd w:val="clear" w:color="auto" w:fill="FFFFFF"/>
        </w:rPr>
        <w:t xml:space="preserve"> (Accessed: </w:t>
      </w:r>
      <w:r w:rsidRPr="00A9256D">
        <w:rPr>
          <w:rFonts w:asciiTheme="minorHAnsi" w:hAnsiTheme="minorHAnsi" w:cstheme="minorHAnsi"/>
          <w:color w:val="222222"/>
          <w:shd w:val="clear" w:color="auto" w:fill="FFFFFF"/>
        </w:rPr>
        <w:t xml:space="preserve">18 </w:t>
      </w:r>
      <w:r w:rsidRPr="00A9256D">
        <w:rPr>
          <w:rFonts w:asciiTheme="minorHAnsi" w:hAnsiTheme="minorHAnsi" w:cstheme="minorHAnsi"/>
          <w:color w:val="222222"/>
          <w:shd w:val="clear" w:color="auto" w:fill="FFFFFF"/>
        </w:rPr>
        <w:t xml:space="preserve">April 2024). </w:t>
      </w:r>
    </w:p>
    <w:sectPr w:rsidR="009C2B31" w:rsidRPr="00A9256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7527D" w14:textId="77777777" w:rsidR="007F41C8" w:rsidRDefault="007F41C8" w:rsidP="00A9256D">
      <w:r>
        <w:separator/>
      </w:r>
    </w:p>
  </w:endnote>
  <w:endnote w:type="continuationSeparator" w:id="0">
    <w:p w14:paraId="7A998FBA" w14:textId="77777777" w:rsidR="007F41C8" w:rsidRDefault="007F41C8" w:rsidP="00A92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21D87" w14:textId="77777777" w:rsidR="007F41C8" w:rsidRDefault="007F41C8" w:rsidP="00A9256D">
      <w:r>
        <w:separator/>
      </w:r>
    </w:p>
  </w:footnote>
  <w:footnote w:type="continuationSeparator" w:id="0">
    <w:p w14:paraId="6ACDC215" w14:textId="77777777" w:rsidR="007F41C8" w:rsidRDefault="007F41C8" w:rsidP="00A925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E6351" w14:textId="6C13D3A4" w:rsidR="00A9256D" w:rsidRDefault="00A9256D">
    <w:pPr>
      <w:pStyle w:val="Header"/>
    </w:pPr>
    <w:r>
      <w:t>Laura Lenihan</w:t>
    </w:r>
    <w:r>
      <w:ptab w:relativeTo="margin" w:alignment="center" w:leader="none"/>
    </w:r>
    <w:r>
      <w:t>2207534</w:t>
    </w:r>
    <w:r>
      <w:ptab w:relativeTo="margin" w:alignment="right" w:leader="none"/>
    </w:r>
    <w:r>
      <w:t>ECEY6011/C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6D"/>
    <w:rsid w:val="000604C9"/>
    <w:rsid w:val="001E5858"/>
    <w:rsid w:val="0040325F"/>
    <w:rsid w:val="007F1FAB"/>
    <w:rsid w:val="007F41C8"/>
    <w:rsid w:val="009C2B31"/>
    <w:rsid w:val="00A9256D"/>
    <w:rsid w:val="00A94FF6"/>
    <w:rsid w:val="00B066EE"/>
    <w:rsid w:val="00B647A7"/>
    <w:rsid w:val="00CF3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04C36C"/>
  <w15:chartTrackingRefBased/>
  <w15:docId w15:val="{81B86FA5-967F-094A-A271-5FE095E05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256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56D"/>
    <w:pPr>
      <w:tabs>
        <w:tab w:val="center" w:pos="4513"/>
        <w:tab w:val="right" w:pos="9026"/>
      </w:tabs>
    </w:pPr>
  </w:style>
  <w:style w:type="character" w:customStyle="1" w:styleId="HeaderChar">
    <w:name w:val="Header Char"/>
    <w:basedOn w:val="DefaultParagraphFont"/>
    <w:link w:val="Header"/>
    <w:uiPriority w:val="99"/>
    <w:rsid w:val="00A9256D"/>
  </w:style>
  <w:style w:type="paragraph" w:styleId="Footer">
    <w:name w:val="footer"/>
    <w:basedOn w:val="Normal"/>
    <w:link w:val="FooterChar"/>
    <w:uiPriority w:val="99"/>
    <w:unhideWhenUsed/>
    <w:rsid w:val="00A9256D"/>
    <w:pPr>
      <w:tabs>
        <w:tab w:val="center" w:pos="4513"/>
        <w:tab w:val="right" w:pos="9026"/>
      </w:tabs>
    </w:pPr>
  </w:style>
  <w:style w:type="character" w:customStyle="1" w:styleId="FooterChar">
    <w:name w:val="Footer Char"/>
    <w:basedOn w:val="DefaultParagraphFont"/>
    <w:link w:val="Footer"/>
    <w:uiPriority w:val="99"/>
    <w:rsid w:val="00A9256D"/>
  </w:style>
  <w:style w:type="character" w:styleId="Hyperlink">
    <w:name w:val="Hyperlink"/>
    <w:basedOn w:val="DefaultParagraphFont"/>
    <w:uiPriority w:val="99"/>
    <w:unhideWhenUsed/>
    <w:rsid w:val="00A9256D"/>
    <w:rPr>
      <w:color w:val="0563C1" w:themeColor="hyperlink"/>
      <w:u w:val="single"/>
    </w:rPr>
  </w:style>
  <w:style w:type="character" w:styleId="UnresolvedMention">
    <w:name w:val="Unresolved Mention"/>
    <w:basedOn w:val="DefaultParagraphFont"/>
    <w:uiPriority w:val="99"/>
    <w:semiHidden/>
    <w:unhideWhenUsed/>
    <w:rsid w:val="00A9256D"/>
    <w:rPr>
      <w:color w:val="605E5C"/>
      <w:shd w:val="clear" w:color="auto" w:fill="E1DFDD"/>
    </w:rPr>
  </w:style>
  <w:style w:type="paragraph" w:styleId="NormalWeb">
    <w:name w:val="Normal (Web)"/>
    <w:basedOn w:val="Normal"/>
    <w:uiPriority w:val="99"/>
    <w:unhideWhenUsed/>
    <w:rsid w:val="00A9256D"/>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A9256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9256D"/>
  </w:style>
  <w:style w:type="character" w:customStyle="1" w:styleId="eop">
    <w:name w:val="eop"/>
    <w:basedOn w:val="DefaultParagraphFont"/>
    <w:rsid w:val="00A9256D"/>
  </w:style>
  <w:style w:type="character" w:customStyle="1" w:styleId="Heading1Char">
    <w:name w:val="Heading 1 Char"/>
    <w:basedOn w:val="DefaultParagraphFont"/>
    <w:link w:val="Heading1"/>
    <w:uiPriority w:val="9"/>
    <w:rsid w:val="00A9256D"/>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647A7"/>
    <w:rPr>
      <w:color w:val="954F72" w:themeColor="followedHyperlink"/>
      <w:u w:val="single"/>
    </w:rPr>
  </w:style>
  <w:style w:type="character" w:customStyle="1" w:styleId="apple-converted-space">
    <w:name w:val="apple-converted-space"/>
    <w:basedOn w:val="DefaultParagraphFont"/>
    <w:rsid w:val="001E5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282424">
      <w:bodyDiv w:val="1"/>
      <w:marLeft w:val="0"/>
      <w:marRight w:val="0"/>
      <w:marTop w:val="0"/>
      <w:marBottom w:val="0"/>
      <w:divBdr>
        <w:top w:val="none" w:sz="0" w:space="0" w:color="auto"/>
        <w:left w:val="none" w:sz="0" w:space="0" w:color="auto"/>
        <w:bottom w:val="none" w:sz="0" w:space="0" w:color="auto"/>
        <w:right w:val="none" w:sz="0" w:space="0" w:color="auto"/>
      </w:divBdr>
    </w:div>
    <w:div w:id="557857514">
      <w:bodyDiv w:val="1"/>
      <w:marLeft w:val="0"/>
      <w:marRight w:val="0"/>
      <w:marTop w:val="0"/>
      <w:marBottom w:val="0"/>
      <w:divBdr>
        <w:top w:val="none" w:sz="0" w:space="0" w:color="auto"/>
        <w:left w:val="none" w:sz="0" w:space="0" w:color="auto"/>
        <w:bottom w:val="none" w:sz="0" w:space="0" w:color="auto"/>
        <w:right w:val="none" w:sz="0" w:space="0" w:color="auto"/>
      </w:divBdr>
      <w:divsChild>
        <w:div w:id="1080519928">
          <w:marLeft w:val="0"/>
          <w:marRight w:val="0"/>
          <w:marTop w:val="0"/>
          <w:marBottom w:val="0"/>
          <w:divBdr>
            <w:top w:val="none" w:sz="0" w:space="0" w:color="auto"/>
            <w:left w:val="none" w:sz="0" w:space="0" w:color="auto"/>
            <w:bottom w:val="none" w:sz="0" w:space="0" w:color="auto"/>
            <w:right w:val="none" w:sz="0" w:space="0" w:color="auto"/>
          </w:divBdr>
          <w:divsChild>
            <w:div w:id="2076928436">
              <w:marLeft w:val="0"/>
              <w:marRight w:val="0"/>
              <w:marTop w:val="0"/>
              <w:marBottom w:val="0"/>
              <w:divBdr>
                <w:top w:val="none" w:sz="0" w:space="0" w:color="auto"/>
                <w:left w:val="none" w:sz="0" w:space="0" w:color="auto"/>
                <w:bottom w:val="none" w:sz="0" w:space="0" w:color="auto"/>
                <w:right w:val="none" w:sz="0" w:space="0" w:color="auto"/>
              </w:divBdr>
              <w:divsChild>
                <w:div w:id="43248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785192">
      <w:bodyDiv w:val="1"/>
      <w:marLeft w:val="0"/>
      <w:marRight w:val="0"/>
      <w:marTop w:val="0"/>
      <w:marBottom w:val="0"/>
      <w:divBdr>
        <w:top w:val="none" w:sz="0" w:space="0" w:color="auto"/>
        <w:left w:val="none" w:sz="0" w:space="0" w:color="auto"/>
        <w:bottom w:val="none" w:sz="0" w:space="0" w:color="auto"/>
        <w:right w:val="none" w:sz="0" w:space="0" w:color="auto"/>
      </w:divBdr>
      <w:divsChild>
        <w:div w:id="1523469697">
          <w:marLeft w:val="0"/>
          <w:marRight w:val="0"/>
          <w:marTop w:val="0"/>
          <w:marBottom w:val="0"/>
          <w:divBdr>
            <w:top w:val="none" w:sz="0" w:space="0" w:color="auto"/>
            <w:left w:val="none" w:sz="0" w:space="0" w:color="auto"/>
            <w:bottom w:val="none" w:sz="0" w:space="0" w:color="auto"/>
            <w:right w:val="none" w:sz="0" w:space="0" w:color="auto"/>
          </w:divBdr>
          <w:divsChild>
            <w:div w:id="799811629">
              <w:marLeft w:val="0"/>
              <w:marRight w:val="0"/>
              <w:marTop w:val="0"/>
              <w:marBottom w:val="0"/>
              <w:divBdr>
                <w:top w:val="none" w:sz="0" w:space="0" w:color="auto"/>
                <w:left w:val="none" w:sz="0" w:space="0" w:color="auto"/>
                <w:bottom w:val="none" w:sz="0" w:space="0" w:color="auto"/>
                <w:right w:val="none" w:sz="0" w:space="0" w:color="auto"/>
              </w:divBdr>
              <w:divsChild>
                <w:div w:id="124618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lwm.org.uk/childcare-organisation/early-years-wales" TargetMode="External"/><Relationship Id="rId13" Type="http://schemas.openxmlformats.org/officeDocument/2006/relationships/hyperlink" Target="https://www.nhs.uk/every-mind-matters/supporting-others/childrens-mental-health/" TargetMode="External"/><Relationship Id="rId18" Type="http://schemas.openxmlformats.org/officeDocument/2006/relationships/hyperlink" Target="https://www.careinspectorate.wales/sites/default/files/2018-01/160411regchildcareen.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de.ca.gov/sp/cd/re/caqdefinecare.asp#:~:text=Well%2C%20quality%20is%20defined%20as,will%20mentally%20and%20physically%20thrive" TargetMode="External"/><Relationship Id="rId12" Type="http://schemas.openxmlformats.org/officeDocument/2006/relationships/hyperlink" Target="https://qualitycounts.org.uk/#cycle" TargetMode="External"/><Relationship Id="rId17" Type="http://schemas.openxmlformats.org/officeDocument/2006/relationships/hyperlink" Target="https://files.eric.ed.gov/fulltext/EJ1071303.pdf" TargetMode="External"/><Relationship Id="rId2" Type="http://schemas.openxmlformats.org/officeDocument/2006/relationships/settings" Target="settings.xml"/><Relationship Id="rId16" Type="http://schemas.openxmlformats.org/officeDocument/2006/relationships/hyperlink" Target="https://journals.plos.org/plosone/article?id=10.1371/journal.pone.0170256"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eprints.qut.edu.au/46928/2/46928.pdf" TargetMode="External"/><Relationship Id="rId11" Type="http://schemas.openxmlformats.org/officeDocument/2006/relationships/hyperlink" Target="https://www.naeyc.org/resources/pubs/yc/nov2015/emergent-curriculum#:~:text=The%20third%20teacher%20is%20the,and%20environment%20that%20ignites%20learning" TargetMode="External"/><Relationship Id="rId5" Type="http://schemas.openxmlformats.org/officeDocument/2006/relationships/endnotes" Target="endnotes.xml"/><Relationship Id="rId15" Type="http://schemas.openxmlformats.org/officeDocument/2006/relationships/hyperlink" Target="https://www.pembrokeshire.gov.uk/thinking-of-starting-a-childcare-business/thinking-of-setting-up-a-day-nursery#:~:text=One%20adult%20to%20three%20children,children%20aged%203%20%2D%207%20years" TargetMode="External"/><Relationship Id="rId10" Type="http://schemas.openxmlformats.org/officeDocument/2006/relationships/hyperlink" Target="https://early-education.org.uk/enabling-environments-and-their-impact-on-childrens-learning/" TargetMode="External"/><Relationship Id="rId19" Type="http://schemas.openxmlformats.org/officeDocument/2006/relationships/hyperlink" Target="https://www.gov.wales/sites/default/files/publications/2019-07/early-years-workforce-plan.pdf" TargetMode="External"/><Relationship Id="rId4" Type="http://schemas.openxmlformats.org/officeDocument/2006/relationships/footnotes" Target="footnotes.xml"/><Relationship Id="rId9" Type="http://schemas.openxmlformats.org/officeDocument/2006/relationships/hyperlink" Target="https://www.earlyyears.wales/en/quality-for-all" TargetMode="External"/><Relationship Id="rId14" Type="http://schemas.openxmlformats.org/officeDocument/2006/relationships/hyperlink" Target="https://www.nidirect.gov.uk/articles/how-play-helps-childrens-development#:~:text=Play%20improves%20the%20cognitive%2C%20physical,confide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6</Pages>
  <Words>1729</Words>
  <Characters>12178</Characters>
  <Application>Microsoft Office Word</Application>
  <DocSecurity>0</DocSecurity>
  <Lines>716</Lines>
  <Paragraphs>91</Paragraphs>
  <ScaleCrop>false</ScaleCrop>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Lenihan (2207534)</dc:creator>
  <cp:keywords/>
  <dc:description/>
  <cp:lastModifiedBy>Laura Lenihan (2207534)</cp:lastModifiedBy>
  <cp:revision>15</cp:revision>
  <dcterms:created xsi:type="dcterms:W3CDTF">2024-04-20T19:17:00Z</dcterms:created>
  <dcterms:modified xsi:type="dcterms:W3CDTF">2024-04-21T17:51:00Z</dcterms:modified>
</cp:coreProperties>
</file>