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AD84C6" w:themeColor="accent1"/>
        </w:rPr>
        <w:id w:val="-1827280567"/>
        <w:docPartObj>
          <w:docPartGallery w:val="Cover Pages"/>
          <w:docPartUnique/>
        </w:docPartObj>
      </w:sdtPr>
      <w:sdtEndP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dtEndPr>
      <w:sdtContent>
        <w:p w14:paraId="4150CE5D" w14:textId="6DA2E7C2" w:rsidR="00FD570A" w:rsidRDefault="00FD570A" w:rsidP="00FD570A">
          <w:pPr>
            <w:pStyle w:val="NoSpacing"/>
            <w:spacing w:before="1540" w:after="240"/>
            <w:jc w:val="center"/>
            <w:rPr>
              <w:color w:val="AD84C6" w:themeColor="accent1"/>
            </w:rPr>
          </w:pPr>
          <w:r>
            <w:rPr>
              <w:noProof/>
              <w:color w:val="AD84C6" w:themeColor="accent1"/>
            </w:rPr>
            <w:drawing>
              <wp:inline distT="0" distB="0" distL="0" distR="0" wp14:anchorId="67BB2A06" wp14:editId="3E2C1648">
                <wp:extent cx="2857500" cy="2857500"/>
                <wp:effectExtent l="0" t="0" r="0" b="0"/>
                <wp:docPr id="16494633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pic:spPr>
                    </pic:pic>
                  </a:graphicData>
                </a:graphic>
              </wp:inline>
            </w:drawing>
          </w:r>
        </w:p>
        <w:p w14:paraId="1E23598A" w14:textId="77777777" w:rsidR="00FD570A" w:rsidRDefault="00FD570A" w:rsidP="00FD570A">
          <w:pPr>
            <w:pStyle w:val="NoSpacing"/>
            <w:rPr>
              <w:color w:val="000000" w:themeColor="text1"/>
            </w:rPr>
          </w:pPr>
        </w:p>
        <w:p w14:paraId="14FAC685" w14:textId="77777777" w:rsidR="00FD570A" w:rsidRDefault="00FD570A" w:rsidP="00FD570A">
          <w:pPr>
            <w:pStyle w:val="NoSpacing"/>
            <w:rPr>
              <w:color w:val="000000" w:themeColor="text1"/>
            </w:rPr>
          </w:pPr>
        </w:p>
        <w:p w14:paraId="23FC7C0F" w14:textId="77777777" w:rsidR="00FD570A" w:rsidRDefault="00FD570A" w:rsidP="00FD570A">
          <w:pPr>
            <w:pStyle w:val="NoSpacing"/>
            <w:rPr>
              <w:color w:val="000000" w:themeColor="text1"/>
            </w:rPr>
          </w:pPr>
        </w:p>
        <w:p w14:paraId="58197051" w14:textId="77777777" w:rsidR="00FD570A" w:rsidRDefault="00FD570A" w:rsidP="00FD570A">
          <w:pPr>
            <w:pStyle w:val="NoSpacing"/>
            <w:rPr>
              <w:color w:val="000000" w:themeColor="text1"/>
            </w:rPr>
          </w:pPr>
        </w:p>
        <w:p w14:paraId="2BC6A25C" w14:textId="77777777" w:rsidR="00FD570A" w:rsidRDefault="00FD570A" w:rsidP="00FD570A">
          <w:pPr>
            <w:pStyle w:val="NoSpacing"/>
            <w:rPr>
              <w:color w:val="000000" w:themeColor="text1"/>
            </w:rPr>
          </w:pPr>
        </w:p>
        <w:p w14:paraId="494ED2FB" w14:textId="77777777" w:rsidR="00FD570A" w:rsidRDefault="00FD570A" w:rsidP="00FD570A">
          <w:pPr>
            <w:pStyle w:val="NoSpacing"/>
            <w:rPr>
              <w:color w:val="000000" w:themeColor="text1"/>
            </w:rPr>
          </w:pPr>
        </w:p>
        <w:p w14:paraId="65A3EFC0" w14:textId="77777777" w:rsidR="00FD570A" w:rsidRDefault="00FD570A" w:rsidP="00FD570A">
          <w:pPr>
            <w:pStyle w:val="NoSpacing"/>
            <w:rPr>
              <w:color w:val="000000" w:themeColor="text1"/>
            </w:rPr>
          </w:pPr>
        </w:p>
        <w:p w14:paraId="0765536E" w14:textId="77777777" w:rsidR="00FD570A" w:rsidRDefault="00FD570A" w:rsidP="00FD570A">
          <w:pPr>
            <w:pStyle w:val="NoSpacing"/>
            <w:rPr>
              <w:color w:val="000000" w:themeColor="text1"/>
            </w:rPr>
          </w:pPr>
        </w:p>
        <w:p w14:paraId="52A0E2B4" w14:textId="77777777" w:rsidR="00FD570A" w:rsidRDefault="00FD570A" w:rsidP="00FD570A">
          <w:pPr>
            <w:pStyle w:val="NoSpacing"/>
            <w:rPr>
              <w:color w:val="000000" w:themeColor="text1"/>
            </w:rPr>
          </w:pPr>
        </w:p>
        <w:p w14:paraId="2A635B91" w14:textId="77777777" w:rsidR="00FD570A" w:rsidRDefault="00FD570A" w:rsidP="00FD570A">
          <w:pPr>
            <w:pStyle w:val="NoSpacing"/>
            <w:rPr>
              <w:color w:val="000000" w:themeColor="text1"/>
            </w:rPr>
          </w:pPr>
        </w:p>
        <w:p w14:paraId="1FB75DAE" w14:textId="77777777" w:rsidR="00FD570A" w:rsidRDefault="00FD570A" w:rsidP="00FD570A">
          <w:pPr>
            <w:pStyle w:val="NoSpacing"/>
            <w:rPr>
              <w:color w:val="000000" w:themeColor="text1"/>
            </w:rPr>
          </w:pPr>
        </w:p>
        <w:p w14:paraId="670AD906" w14:textId="77777777" w:rsidR="00FD570A" w:rsidRDefault="00FD570A" w:rsidP="00FD570A">
          <w:pPr>
            <w:pStyle w:val="NoSpacing"/>
            <w:rPr>
              <w:color w:val="000000" w:themeColor="text1"/>
            </w:rPr>
          </w:pPr>
        </w:p>
        <w:p w14:paraId="4ECC1E5F" w14:textId="77777777" w:rsidR="00FD570A" w:rsidRDefault="00FD570A" w:rsidP="00FD570A">
          <w:pPr>
            <w:pStyle w:val="NoSpacing"/>
            <w:rPr>
              <w:color w:val="000000" w:themeColor="text1"/>
            </w:rPr>
          </w:pPr>
        </w:p>
        <w:p w14:paraId="69E14E69" w14:textId="77777777" w:rsidR="00FD570A" w:rsidRDefault="00FD570A" w:rsidP="00FD570A">
          <w:pPr>
            <w:pStyle w:val="NoSpacing"/>
            <w:rPr>
              <w:color w:val="000000" w:themeColor="text1"/>
            </w:rPr>
          </w:pPr>
        </w:p>
        <w:p w14:paraId="76B1ED9A" w14:textId="572A5E55" w:rsidR="00FD570A" w:rsidRPr="00FD570A" w:rsidRDefault="00FD570A" w:rsidP="00FD570A">
          <w:pPr>
            <w:pStyle w:val="NoSpacing"/>
            <w:rPr>
              <w:color w:val="000000" w:themeColor="text1"/>
              <w:sz w:val="36"/>
              <w:szCs w:val="36"/>
            </w:rPr>
          </w:pPr>
          <w:r w:rsidRPr="00FD570A">
            <w:rPr>
              <w:color w:val="000000" w:themeColor="text1"/>
              <w:sz w:val="36"/>
              <w:szCs w:val="36"/>
            </w:rPr>
            <w:t xml:space="preserve">Name: Maria Nawaz </w:t>
          </w:r>
        </w:p>
        <w:p w14:paraId="12A4CA21" w14:textId="5DCC0392" w:rsidR="00FD570A" w:rsidRPr="00FD570A" w:rsidRDefault="00FD570A" w:rsidP="00FD570A">
          <w:pPr>
            <w:pStyle w:val="NoSpacing"/>
            <w:rPr>
              <w:color w:val="000000" w:themeColor="text1"/>
              <w:sz w:val="36"/>
              <w:szCs w:val="36"/>
            </w:rPr>
          </w:pPr>
          <w:r w:rsidRPr="00FD570A">
            <w:rPr>
              <w:sz w:val="36"/>
              <w:szCs w:val="36"/>
            </w:rPr>
            <w:t>Student Number: 2521133</w:t>
          </w:r>
        </w:p>
        <w:p w14:paraId="2DB50EE3" w14:textId="211E008F" w:rsidR="00FD570A" w:rsidRPr="00FD570A" w:rsidRDefault="00FD570A" w:rsidP="00FD570A">
          <w:pPr>
            <w:pStyle w:val="NoSpacing"/>
            <w:rPr>
              <w:sz w:val="36"/>
              <w:szCs w:val="36"/>
            </w:rPr>
          </w:pPr>
          <w:r w:rsidRPr="00FD570A">
            <w:rPr>
              <w:sz w:val="36"/>
              <w:szCs w:val="36"/>
            </w:rPr>
            <w:t>Module Code: LCHS4003</w:t>
          </w:r>
        </w:p>
        <w:p w14:paraId="528C7D0A" w14:textId="4B2212A5" w:rsidR="00FD570A" w:rsidRPr="00FD570A" w:rsidRDefault="00FD570A" w:rsidP="00FD570A">
          <w:pPr>
            <w:pStyle w:val="NoSpacing"/>
            <w:rPr>
              <w:sz w:val="36"/>
              <w:szCs w:val="36"/>
            </w:rPr>
          </w:pPr>
          <w:r w:rsidRPr="00FD570A">
            <w:rPr>
              <w:sz w:val="36"/>
              <w:szCs w:val="36"/>
            </w:rPr>
            <w:t>Module Title: Introduction to Health and Social Care</w:t>
          </w:r>
        </w:p>
        <w:p w14:paraId="307BF774" w14:textId="08B99BA0" w:rsidR="00FD570A" w:rsidRPr="00FD570A" w:rsidRDefault="00FD570A" w:rsidP="00FD570A">
          <w:pPr>
            <w:pStyle w:val="NoSpacing"/>
            <w:rPr>
              <w:sz w:val="36"/>
              <w:szCs w:val="36"/>
            </w:rPr>
          </w:pPr>
          <w:r w:rsidRPr="00FD570A">
            <w:rPr>
              <w:sz w:val="36"/>
              <w:szCs w:val="36"/>
            </w:rPr>
            <w:t>Lecturer: Dr Helen Parsons</w:t>
          </w:r>
        </w:p>
        <w:p w14:paraId="2DE1F168" w14:textId="77777777" w:rsidR="00FD570A" w:rsidRPr="00FD570A" w:rsidRDefault="00FD570A" w:rsidP="00FD570A"/>
        <w:p w14:paraId="0A1F8E0E" w14:textId="145A2F36" w:rsidR="00FD570A" w:rsidRDefault="002D48FA">
          <w:pP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dtContent>
    </w:sdt>
    <w:p w14:paraId="3C0C3F69" w14:textId="77777777" w:rsidR="00B10B83" w:rsidRDefault="00B10B83"/>
    <w:tbl>
      <w:tblPr>
        <w:tblStyle w:val="TableGrid"/>
        <w:tblpPr w:leftFromText="180" w:rightFromText="180" w:vertAnchor="text" w:horzAnchor="page" w:tblpX="834" w:tblpY="525"/>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4910"/>
      </w:tblGrid>
      <w:tr w:rsidR="00C14D7C" w:rsidRPr="006E5F1C" w14:paraId="63695F10" w14:textId="77777777" w:rsidTr="00491B1E">
        <w:trPr>
          <w:trHeight w:val="7362"/>
        </w:trPr>
        <w:tc>
          <w:tcPr>
            <w:tcW w:w="4910" w:type="dxa"/>
          </w:tcPr>
          <w:p w14:paraId="310F0EDD" w14:textId="77777777" w:rsidR="006E5F1C" w:rsidRPr="009979AB" w:rsidRDefault="006E5F1C" w:rsidP="000950D4">
            <w:pPr>
              <w:jc w:val="center"/>
              <w:rPr>
                <w:b/>
                <w:bCs/>
                <w:color w:val="000000" w:themeColor="text1"/>
                <w:u w:val="single"/>
              </w:rPr>
            </w:pPr>
            <w:r w:rsidRPr="009979AB">
              <w:rPr>
                <w:b/>
                <w:bCs/>
                <w:color w:val="000000" w:themeColor="text1"/>
                <w:u w:val="single"/>
              </w:rPr>
              <w:t>1: EXPLANATION OF THE SERVICE</w:t>
            </w:r>
          </w:p>
          <w:p w14:paraId="0369447C" w14:textId="1AD9D00C" w:rsidR="00C14D7C" w:rsidRPr="006E5F1C" w:rsidRDefault="00C14D7C" w:rsidP="000950D4">
            <w:pPr>
              <w:rPr>
                <w:color w:val="000000" w:themeColor="text1"/>
                <w:sz w:val="22"/>
                <w:szCs w:val="22"/>
              </w:rPr>
            </w:pPr>
            <w:r w:rsidRPr="006E5F1C">
              <w:rPr>
                <w:b/>
                <w:bCs/>
                <w:color w:val="000000" w:themeColor="text1"/>
                <w:sz w:val="22"/>
                <w:szCs w:val="22"/>
              </w:rPr>
              <w:t>Definition:</w:t>
            </w:r>
            <w:r w:rsidRPr="006E5F1C">
              <w:rPr>
                <w:color w:val="000000" w:themeColor="text1"/>
                <w:sz w:val="22"/>
                <w:szCs w:val="22"/>
              </w:rPr>
              <w:t xml:space="preserve"> Community pharmacy services are a fundamental component of primary care within the UK’s National Health Service (NHS). They operate as the most accessible healthcare environment on the high street, providing professional clinical advice and health evaluation without requiring an appointment.</w:t>
            </w:r>
          </w:p>
          <w:p w14:paraId="7874FC5F" w14:textId="77777777" w:rsidR="00C14D7C" w:rsidRPr="006E5F1C" w:rsidRDefault="00C14D7C" w:rsidP="000950D4">
            <w:pPr>
              <w:rPr>
                <w:color w:val="000000" w:themeColor="text1"/>
                <w:sz w:val="22"/>
                <w:szCs w:val="22"/>
              </w:rPr>
            </w:pPr>
            <w:r w:rsidRPr="006E5F1C">
              <w:rPr>
                <w:b/>
                <w:bCs/>
                <w:color w:val="000000" w:themeColor="text1"/>
                <w:sz w:val="22"/>
                <w:szCs w:val="22"/>
              </w:rPr>
              <w:t>Core Scope and Purpose</w:t>
            </w:r>
            <w:r w:rsidRPr="006E5F1C">
              <w:rPr>
                <w:color w:val="000000" w:themeColor="text1"/>
                <w:sz w:val="22"/>
                <w:szCs w:val="22"/>
              </w:rPr>
              <w:t>:</w:t>
            </w:r>
          </w:p>
          <w:p w14:paraId="3B02B29C" w14:textId="77777777" w:rsidR="00C14D7C" w:rsidRPr="006E5F1C" w:rsidRDefault="00C14D7C" w:rsidP="000950D4">
            <w:pPr>
              <w:rPr>
                <w:color w:val="000000" w:themeColor="text1"/>
                <w:sz w:val="22"/>
                <w:szCs w:val="22"/>
              </w:rPr>
            </w:pPr>
            <w:r w:rsidRPr="006E5F1C">
              <w:rPr>
                <w:b/>
                <w:bCs/>
                <w:color w:val="000000" w:themeColor="text1"/>
                <w:sz w:val="22"/>
                <w:szCs w:val="22"/>
              </w:rPr>
              <w:t>Medicines Management</w:t>
            </w:r>
            <w:r w:rsidRPr="006E5F1C">
              <w:rPr>
                <w:color w:val="000000" w:themeColor="text1"/>
                <w:sz w:val="22"/>
                <w:szCs w:val="22"/>
              </w:rPr>
              <w:t>: Ensuring the safe, legal, and clinically appropriate dispensing of prescribed medications to the public.</w:t>
            </w:r>
          </w:p>
          <w:p w14:paraId="718AEC4D" w14:textId="77777777" w:rsidR="00C14D7C" w:rsidRPr="006E5F1C" w:rsidRDefault="00C14D7C" w:rsidP="000950D4">
            <w:pPr>
              <w:rPr>
                <w:color w:val="000000" w:themeColor="text1"/>
                <w:sz w:val="22"/>
                <w:szCs w:val="22"/>
              </w:rPr>
            </w:pPr>
            <w:r w:rsidRPr="006E5F1C">
              <w:rPr>
                <w:color w:val="000000" w:themeColor="text1"/>
                <w:sz w:val="22"/>
                <w:szCs w:val="22"/>
              </w:rPr>
              <w:t xml:space="preserve"> </w:t>
            </w:r>
            <w:r w:rsidRPr="006E5F1C">
              <w:rPr>
                <w:b/>
                <w:bCs/>
                <w:color w:val="000000" w:themeColor="text1"/>
                <w:sz w:val="22"/>
                <w:szCs w:val="22"/>
              </w:rPr>
              <w:t>Public Health Interventions</w:t>
            </w:r>
            <w:r w:rsidRPr="006E5F1C">
              <w:rPr>
                <w:color w:val="000000" w:themeColor="text1"/>
                <w:sz w:val="22"/>
                <w:szCs w:val="22"/>
              </w:rPr>
              <w:t>: Providing essential preventive services such as emergency contraception, smoking cessation support, and national vaccination programs (e.g., Seasonal Flu and COVID-19 jabs).</w:t>
            </w:r>
          </w:p>
          <w:p w14:paraId="5FEEB382" w14:textId="176E19DD" w:rsidR="00491B1E" w:rsidRPr="00491B1E" w:rsidRDefault="00C14D7C" w:rsidP="00491B1E">
            <w:pPr>
              <w:rPr>
                <w:color w:val="000000" w:themeColor="text1"/>
                <w:sz w:val="22"/>
                <w:szCs w:val="22"/>
              </w:rPr>
            </w:pPr>
            <w:r w:rsidRPr="006E5F1C">
              <w:rPr>
                <w:b/>
                <w:bCs/>
                <w:color w:val="000000" w:themeColor="text1"/>
                <w:sz w:val="22"/>
                <w:szCs w:val="22"/>
              </w:rPr>
              <w:t>Inter-professional Partnership Working:</w:t>
            </w:r>
            <w:r w:rsidRPr="006E5F1C">
              <w:rPr>
                <w:color w:val="000000" w:themeColor="text1"/>
                <w:sz w:val="22"/>
                <w:szCs w:val="22"/>
              </w:rPr>
              <w:t xml:space="preserve"> Pharmacies bridge the critical gap between General Practices (GPs), acute hospital discharge teams, and social care providers. Through accurate electronic record-keeping, they ensure seamless continuity of care and medication safety for vulnerable patients.</w:t>
            </w:r>
          </w:p>
        </w:tc>
      </w:tr>
    </w:tbl>
    <w:p w14:paraId="3292E787" w14:textId="48C8EC40" w:rsidR="00902AD7" w:rsidRPr="00902AD7" w:rsidRDefault="00CD777B" w:rsidP="00902AD7">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02AD7">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COMMUNITY PHARMACY SERVICES IN THE UK</w:t>
      </w:r>
    </w:p>
    <w:tbl>
      <w:tblPr>
        <w:tblStyle w:val="TableGrid"/>
        <w:tblpPr w:leftFromText="180" w:rightFromText="180" w:vertAnchor="text" w:horzAnchor="page" w:tblpX="5877" w:tblpY="14"/>
        <w:tblW w:w="5371" w:type="dxa"/>
        <w:tblLook w:val="04A0" w:firstRow="1" w:lastRow="0" w:firstColumn="1" w:lastColumn="0" w:noHBand="0" w:noVBand="1"/>
      </w:tblPr>
      <w:tblGrid>
        <w:gridCol w:w="5371"/>
      </w:tblGrid>
      <w:tr w:rsidR="00C14D7C" w:rsidRPr="006E5F1C" w14:paraId="3AB5DBBC" w14:textId="77777777" w:rsidTr="00B10B83">
        <w:trPr>
          <w:trHeight w:val="6438"/>
        </w:trPr>
        <w:tc>
          <w:tcPr>
            <w:tcW w:w="5371" w:type="dxa"/>
            <w:tcBorders>
              <w:top w:val="dotDash" w:sz="4" w:space="0" w:color="auto"/>
              <w:left w:val="dotDash" w:sz="4" w:space="0" w:color="auto"/>
              <w:bottom w:val="dotDash" w:sz="4" w:space="0" w:color="auto"/>
              <w:right w:val="dotDash" w:sz="4" w:space="0" w:color="auto"/>
            </w:tcBorders>
          </w:tcPr>
          <w:p w14:paraId="66BBF659" w14:textId="268A9A7E" w:rsidR="00C14D7C" w:rsidRPr="009979AB" w:rsidRDefault="009979AB" w:rsidP="00902AD7">
            <w:pPr>
              <w:jc w:val="center"/>
              <w:rPr>
                <w:b/>
                <w:bCs/>
                <w:color w:val="000000" w:themeColor="text1"/>
                <w:u w:val="single"/>
              </w:rPr>
            </w:pPr>
            <w:r w:rsidRPr="009979AB">
              <w:rPr>
                <w:b/>
                <w:bCs/>
                <w:color w:val="000000" w:themeColor="text1"/>
                <w:u w:val="single"/>
              </w:rPr>
              <w:t xml:space="preserve">2: </w:t>
            </w:r>
            <w:r w:rsidR="006E5F1C" w:rsidRPr="009979AB">
              <w:rPr>
                <w:b/>
                <w:bCs/>
                <w:color w:val="000000" w:themeColor="text1"/>
                <w:u w:val="single"/>
              </w:rPr>
              <w:t>A BRIEF HISTORY OF THE SERVICE</w:t>
            </w:r>
          </w:p>
          <w:p w14:paraId="76242F31" w14:textId="23F40498" w:rsidR="006E5F1C" w:rsidRPr="006E5F1C" w:rsidRDefault="006E5F1C" w:rsidP="00902AD7">
            <w:pPr>
              <w:pStyle w:val="NormalWeb"/>
              <w:shd w:val="clear" w:color="auto" w:fill="FFFFFF"/>
              <w:spacing w:before="0" w:beforeAutospacing="0" w:after="0" w:afterAutospacing="0"/>
              <w:rPr>
                <w:rFonts w:ascii="Segoe UI" w:hAnsi="Segoe UI" w:cs="Segoe UI"/>
                <w:b/>
                <w:bCs/>
                <w:color w:val="000000" w:themeColor="text1"/>
                <w:sz w:val="22"/>
                <w:szCs w:val="22"/>
              </w:rPr>
            </w:pPr>
            <w:r w:rsidRPr="006E5F1C">
              <w:rPr>
                <w:rFonts w:ascii="Aptos" w:hAnsi="Aptos" w:cs="Segoe UI"/>
                <w:b/>
                <w:bCs/>
                <w:color w:val="000000" w:themeColor="text1"/>
                <w:sz w:val="22"/>
                <w:szCs w:val="22"/>
                <w:bdr w:val="none" w:sz="0" w:space="0" w:color="auto" w:frame="1"/>
              </w:rPr>
              <w:t xml:space="preserve">Pre-NHS Era (Before 1948): </w:t>
            </w:r>
            <w:r w:rsidRPr="006E5F1C">
              <w:rPr>
                <w:rFonts w:ascii="Aptos" w:hAnsi="Aptos" w:cs="Segoe UI"/>
                <w:color w:val="000000" w:themeColor="text1"/>
                <w:sz w:val="22"/>
                <w:szCs w:val="22"/>
                <w:bdr w:val="none" w:sz="0" w:space="0" w:color="auto" w:frame="1"/>
              </w:rPr>
              <w:t>Before the establishment of nationalized healthcare, pharmacy services were strictly commercial, private enterprises. Patients had to pay out-of-pocket for consultations and remedies, which made essential medicines inaccessible to lower-income communities.</w:t>
            </w:r>
          </w:p>
          <w:p w14:paraId="7DC597E7" w14:textId="65AF5295" w:rsidR="006E5F1C" w:rsidRPr="006E5F1C" w:rsidRDefault="006E5F1C" w:rsidP="00902AD7">
            <w:pPr>
              <w:pStyle w:val="NormalWeb"/>
              <w:shd w:val="clear" w:color="auto" w:fill="FFFFFF"/>
              <w:spacing w:before="0" w:beforeAutospacing="0" w:after="0" w:afterAutospacing="0"/>
              <w:rPr>
                <w:rFonts w:ascii="Segoe UI" w:hAnsi="Segoe UI" w:cs="Segoe UI"/>
                <w:b/>
                <w:bCs/>
                <w:color w:val="000000" w:themeColor="text1"/>
                <w:sz w:val="22"/>
                <w:szCs w:val="22"/>
              </w:rPr>
            </w:pPr>
            <w:r w:rsidRPr="006E5F1C">
              <w:rPr>
                <w:rFonts w:ascii="Aptos" w:hAnsi="Aptos" w:cs="Segoe UI"/>
                <w:b/>
                <w:bCs/>
                <w:color w:val="000000" w:themeColor="text1"/>
                <w:sz w:val="22"/>
                <w:szCs w:val="22"/>
                <w:bdr w:val="none" w:sz="0" w:space="0" w:color="auto" w:frame="1"/>
              </w:rPr>
              <w:t xml:space="preserve">The 1948 Transition: </w:t>
            </w:r>
            <w:r w:rsidRPr="006E5F1C">
              <w:rPr>
                <w:rFonts w:ascii="Aptos" w:hAnsi="Aptos" w:cs="Segoe UI"/>
                <w:color w:val="000000" w:themeColor="text1"/>
                <w:sz w:val="22"/>
                <w:szCs w:val="22"/>
                <w:bdr w:val="none" w:sz="0" w:space="0" w:color="auto" w:frame="1"/>
              </w:rPr>
              <w:t>With the launch of the NHS on July 5, 1948, private-sector pharmacists were contracted into the state-funded system under independent contractor frameworks. This marked a historic shift, introducing free dispensing services across the UK.</w:t>
            </w:r>
          </w:p>
          <w:p w14:paraId="20616711" w14:textId="77777777" w:rsidR="006E5F1C" w:rsidRPr="006E5F1C" w:rsidRDefault="006E5F1C" w:rsidP="00902AD7">
            <w:pPr>
              <w:pStyle w:val="NormalWeb"/>
              <w:shd w:val="clear" w:color="auto" w:fill="FFFFFF"/>
              <w:spacing w:before="0" w:beforeAutospacing="0" w:after="0" w:afterAutospacing="0"/>
              <w:rPr>
                <w:rFonts w:ascii="Segoe UI" w:hAnsi="Segoe UI" w:cs="Segoe UI"/>
                <w:color w:val="000000" w:themeColor="text1"/>
                <w:sz w:val="22"/>
                <w:szCs w:val="22"/>
              </w:rPr>
            </w:pPr>
            <w:r w:rsidRPr="006E5F1C">
              <w:rPr>
                <w:rFonts w:ascii="Aptos" w:hAnsi="Aptos" w:cs="Segoe UI"/>
                <w:color w:val="000000" w:themeColor="text1"/>
                <w:sz w:val="22"/>
                <w:szCs w:val="22"/>
                <w:bdr w:val="none" w:sz="0" w:space="0" w:color="auto" w:frame="1"/>
              </w:rPr>
              <w:t>Evolution from Dispensing to Clinical Care</w:t>
            </w:r>
          </w:p>
          <w:p w14:paraId="53BBAB40" w14:textId="1FB702B3" w:rsidR="006E5F1C" w:rsidRPr="006E5F1C" w:rsidRDefault="006E5F1C" w:rsidP="00902AD7">
            <w:pPr>
              <w:pStyle w:val="NormalWeb"/>
              <w:shd w:val="clear" w:color="auto" w:fill="FFFFFF"/>
              <w:spacing w:before="0" w:beforeAutospacing="0" w:after="0" w:afterAutospacing="0"/>
              <w:ind w:left="600" w:hanging="600"/>
              <w:rPr>
                <w:rFonts w:ascii="Segoe UI" w:hAnsi="Segoe UI" w:cs="Segoe UI"/>
                <w:color w:val="000000" w:themeColor="text1"/>
                <w:sz w:val="22"/>
                <w:szCs w:val="22"/>
              </w:rPr>
            </w:pPr>
            <w:r w:rsidRPr="006E5F1C">
              <w:rPr>
                <w:rFonts w:ascii="Aptos" w:hAnsi="Aptos" w:cs="Segoe UI"/>
                <w:color w:val="000000" w:themeColor="text1"/>
                <w:sz w:val="22"/>
                <w:szCs w:val="22"/>
                <w:bdr w:val="none" w:sz="0" w:space="0" w:color="auto" w:frame="1"/>
              </w:rPr>
              <w:t> </w:t>
            </w:r>
            <w:r w:rsidRPr="006E5F1C">
              <w:rPr>
                <w:rFonts w:ascii="Aptos" w:hAnsi="Aptos" w:cs="Segoe UI"/>
                <w:b/>
                <w:bCs/>
                <w:color w:val="000000" w:themeColor="text1"/>
                <w:sz w:val="22"/>
                <w:szCs w:val="22"/>
                <w:bdr w:val="none" w:sz="0" w:space="0" w:color="auto" w:frame="1"/>
              </w:rPr>
              <w:t>Traditional Role:</w:t>
            </w:r>
            <w:r w:rsidRPr="006E5F1C">
              <w:rPr>
                <w:rFonts w:ascii="Aptos" w:hAnsi="Aptos" w:cs="Segoe UI"/>
                <w:color w:val="000000" w:themeColor="text1"/>
                <w:sz w:val="22"/>
                <w:szCs w:val="22"/>
                <w:bdr w:val="none" w:sz="0" w:space="0" w:color="auto" w:frame="1"/>
              </w:rPr>
              <w:t> In 1948, the pharmacist’s job was mostly technical chemists spent their time compounding formulas and working behind the closed counter.</w:t>
            </w:r>
          </w:p>
          <w:p w14:paraId="739BCA89" w14:textId="51EC4877" w:rsidR="006E5F1C" w:rsidRPr="00491B1E" w:rsidRDefault="006E5F1C" w:rsidP="00491B1E">
            <w:pPr>
              <w:pStyle w:val="NormalWeb"/>
              <w:shd w:val="clear" w:color="auto" w:fill="FFFFFF"/>
              <w:spacing w:before="0" w:beforeAutospacing="0" w:after="0" w:afterAutospacing="0"/>
              <w:ind w:left="600" w:hanging="600"/>
              <w:rPr>
                <w:rFonts w:ascii="Segoe UI" w:hAnsi="Segoe UI" w:cs="Segoe UI"/>
                <w:color w:val="000000" w:themeColor="text1"/>
                <w:sz w:val="22"/>
                <w:szCs w:val="22"/>
              </w:rPr>
            </w:pPr>
            <w:r w:rsidRPr="006E5F1C">
              <w:rPr>
                <w:rFonts w:ascii="Aptos" w:hAnsi="Aptos" w:cs="Segoe UI"/>
                <w:color w:val="000000" w:themeColor="text1"/>
                <w:sz w:val="22"/>
                <w:szCs w:val="22"/>
                <w:bdr w:val="none" w:sz="0" w:space="0" w:color="auto" w:frame="1"/>
              </w:rPr>
              <w:t> </w:t>
            </w:r>
            <w:r w:rsidRPr="006E5F1C">
              <w:rPr>
                <w:rFonts w:ascii="Aptos" w:hAnsi="Aptos" w:cs="Segoe UI"/>
                <w:b/>
                <w:bCs/>
                <w:color w:val="000000" w:themeColor="text1"/>
                <w:sz w:val="22"/>
                <w:szCs w:val="22"/>
                <w:bdr w:val="none" w:sz="0" w:space="0" w:color="auto" w:frame="1"/>
              </w:rPr>
              <w:t>The Clinical Shift (1980s–2000s):</w:t>
            </w:r>
            <w:r w:rsidRPr="006E5F1C">
              <w:rPr>
                <w:rFonts w:ascii="Aptos" w:hAnsi="Aptos" w:cs="Segoe UI"/>
                <w:color w:val="000000" w:themeColor="text1"/>
                <w:sz w:val="22"/>
                <w:szCs w:val="22"/>
                <w:bdr w:val="none" w:sz="0" w:space="0" w:color="auto" w:frame="1"/>
              </w:rPr>
              <w:t xml:space="preserve"> Over the decades, manufacturing moved to pharmaceutical </w:t>
            </w:r>
            <w:r w:rsidR="00491B1E" w:rsidRPr="006E5F1C">
              <w:rPr>
                <w:rFonts w:ascii="Aptos" w:hAnsi="Aptos" w:cs="Segoe UI"/>
                <w:color w:val="000000" w:themeColor="text1"/>
                <w:sz w:val="22"/>
                <w:szCs w:val="22"/>
                <w:bdr w:val="none" w:sz="0" w:space="0" w:color="auto" w:frame="1"/>
              </w:rPr>
              <w:t>factories,</w:t>
            </w:r>
            <w:r w:rsidR="00491B1E">
              <w:rPr>
                <w:rFonts w:ascii="Aptos" w:hAnsi="Aptos" w:cs="Segoe UI"/>
                <w:color w:val="000000" w:themeColor="text1"/>
                <w:sz w:val="22"/>
                <w:szCs w:val="22"/>
                <w:bdr w:val="none" w:sz="0" w:space="0" w:color="auto" w:frame="1"/>
              </w:rPr>
              <w:t xml:space="preserve"> </w:t>
            </w:r>
            <w:r w:rsidR="00491B1E" w:rsidRPr="00491B1E">
              <w:rPr>
                <w:rFonts w:ascii="Aptos" w:hAnsi="Aptos" w:cs="Segoe UI"/>
                <w:color w:val="000000" w:themeColor="text1"/>
                <w:sz w:val="22"/>
                <w:szCs w:val="22"/>
                <w:bdr w:val="none" w:sz="0" w:space="0" w:color="auto" w:frame="1"/>
              </w:rPr>
              <w:t>allowing</w:t>
            </w:r>
            <w:r w:rsidR="00491B1E" w:rsidRPr="00491B1E">
              <w:rPr>
                <w:rFonts w:ascii="Aptos" w:hAnsi="Aptos" w:cs="Segoe UI"/>
                <w:color w:val="000000" w:themeColor="text1"/>
                <w:sz w:val="22"/>
                <w:szCs w:val="22"/>
                <w:bdr w:val="none" w:sz="0" w:space="0" w:color="auto" w:frame="1"/>
              </w:rPr>
              <w:t xml:space="preserve"> pharmacists to take on a greater role in direct patient care and clinical services</w:t>
            </w:r>
            <w:r w:rsidRPr="006E5F1C">
              <w:rPr>
                <w:rFonts w:ascii="Aptos" w:hAnsi="Aptos" w:cs="Segoe UI"/>
                <w:color w:val="000000" w:themeColor="text1"/>
                <w:sz w:val="22"/>
                <w:szCs w:val="22"/>
                <w:bdr w:val="none" w:sz="0" w:space="0" w:color="auto" w:frame="1"/>
              </w:rPr>
              <w:t>. The introduction of the New Medicine Service (NMS) and clinical service contracts officially shifted pharmacy funding to reward health outcomes rather than just prescription volumes.</w:t>
            </w:r>
          </w:p>
        </w:tc>
      </w:tr>
    </w:tbl>
    <w:p w14:paraId="719B2887" w14:textId="77777777" w:rsidR="00CA63EF" w:rsidRPr="00902AD7" w:rsidRDefault="00CA63EF" w:rsidP="00902AD7">
      <w:pPr>
        <w:pStyle w:val="NoSpacing"/>
      </w:pPr>
    </w:p>
    <w:tbl>
      <w:tblPr>
        <w:tblStyle w:val="TableGrid"/>
        <w:tblpPr w:leftFromText="180" w:rightFromText="180" w:vertAnchor="text" w:horzAnchor="page" w:tblpX="846" w:tblpY="150"/>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1"/>
      </w:tblGrid>
      <w:tr w:rsidR="009979AB" w:rsidRPr="00CF6B31" w14:paraId="111F3047" w14:textId="77777777" w:rsidTr="00B10B83">
        <w:trPr>
          <w:trHeight w:val="4101"/>
        </w:trPr>
        <w:tc>
          <w:tcPr>
            <w:tcW w:w="10191" w:type="dxa"/>
          </w:tcPr>
          <w:p w14:paraId="03816AC1" w14:textId="77777777" w:rsidR="009979AB" w:rsidRPr="00CF6B31" w:rsidRDefault="009979AB" w:rsidP="009979AB">
            <w:pPr>
              <w:jc w:val="center"/>
              <w:rPr>
                <w:b/>
                <w:bCs/>
                <w:sz w:val="22"/>
                <w:szCs w:val="22"/>
              </w:rPr>
            </w:pPr>
            <w:r w:rsidRPr="00CF6B31">
              <w:rPr>
                <w:b/>
                <w:bCs/>
                <w:sz w:val="22"/>
                <w:szCs w:val="22"/>
              </w:rPr>
              <w:t>3: CURRENT FUNCTIONING OF THE SERVICE</w:t>
            </w:r>
          </w:p>
          <w:p w14:paraId="56722E9B" w14:textId="77777777" w:rsidR="009979AB" w:rsidRPr="00CF6B31" w:rsidRDefault="009979AB" w:rsidP="009979AB">
            <w:pPr>
              <w:pStyle w:val="NormalWeb"/>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Today, community pharmacies are no longer just "chemists"; they function as urgent care walk-in hubs that optimize primary care capacity.</w:t>
            </w:r>
          </w:p>
          <w:p w14:paraId="7572CEA4" w14:textId="77777777" w:rsidR="009979AB" w:rsidRPr="00CF6B31" w:rsidRDefault="009979AB" w:rsidP="009979AB">
            <w:pPr>
              <w:pStyle w:val="NormalWeb"/>
              <w:shd w:val="clear" w:color="auto" w:fill="FFFFFF"/>
              <w:spacing w:before="0" w:beforeAutospacing="0" w:after="0" w:afterAutospacing="0"/>
              <w:rPr>
                <w:rFonts w:ascii="Segoe UI" w:hAnsi="Segoe UI" w:cs="Segoe UI"/>
                <w:b/>
                <w:bCs/>
                <w:color w:val="242424"/>
                <w:sz w:val="22"/>
                <w:szCs w:val="22"/>
              </w:rPr>
            </w:pPr>
            <w:r w:rsidRPr="00CF6B31">
              <w:rPr>
                <w:rFonts w:ascii="Aptos" w:hAnsi="Aptos" w:cs="Segoe UI"/>
                <w:b/>
                <w:bCs/>
                <w:color w:val="000000"/>
                <w:sz w:val="22"/>
                <w:szCs w:val="22"/>
                <w:bdr w:val="none" w:sz="0" w:space="0" w:color="auto" w:frame="1"/>
              </w:rPr>
              <w:t>1. The "Pharmacy First" Initiative</w:t>
            </w:r>
          </w:p>
          <w:p w14:paraId="219B9348" w14:textId="37C70A0A" w:rsidR="00104F78" w:rsidRPr="00104F78" w:rsidRDefault="006E2AB8" w:rsidP="00104F78">
            <w:pPr>
              <w:rPr>
                <w:rFonts w:ascii="Times New Roman" w:eastAsia="Times New Roman" w:hAnsi="Times New Roman" w:cs="Times New Roman"/>
                <w:kern w:val="0"/>
                <w:sz w:val="22"/>
                <w:szCs w:val="22"/>
                <w:lang w:eastAsia="en-GB"/>
                <w14:ligatures w14:val="none"/>
              </w:rPr>
            </w:pPr>
            <w:r>
              <w:rPr>
                <w:rFonts w:ascii="Aptos" w:hAnsi="Aptos" w:cs="Segoe UI"/>
                <w:noProof/>
                <w:color w:val="000000"/>
                <w:sz w:val="22"/>
                <w:szCs w:val="22"/>
                <w:bdr w:val="none" w:sz="0" w:space="0" w:color="auto" w:frame="1"/>
              </w:rPr>
              <w:drawing>
                <wp:anchor distT="0" distB="0" distL="114300" distR="114300" simplePos="0" relativeHeight="251659264" behindDoc="1" locked="0" layoutInCell="1" allowOverlap="1" wp14:anchorId="723899AE" wp14:editId="1082E322">
                  <wp:simplePos x="0" y="0"/>
                  <wp:positionH relativeFrom="column">
                    <wp:posOffset>4754880</wp:posOffset>
                  </wp:positionH>
                  <wp:positionV relativeFrom="paragraph">
                    <wp:posOffset>237490</wp:posOffset>
                  </wp:positionV>
                  <wp:extent cx="1491615" cy="1546860"/>
                  <wp:effectExtent l="0" t="0" r="0" b="0"/>
                  <wp:wrapTight wrapText="bothSides">
                    <wp:wrapPolygon edited="0">
                      <wp:start x="0" y="0"/>
                      <wp:lineTo x="0" y="21281"/>
                      <wp:lineTo x="21241" y="21281"/>
                      <wp:lineTo x="21241" y="0"/>
                      <wp:lineTo x="0" y="0"/>
                    </wp:wrapPolygon>
                  </wp:wrapTight>
                  <wp:docPr id="1195324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1615" cy="1546860"/>
                          </a:xfrm>
                          <a:prstGeom prst="rect">
                            <a:avLst/>
                          </a:prstGeom>
                          <a:noFill/>
                        </pic:spPr>
                      </pic:pic>
                    </a:graphicData>
                  </a:graphic>
                  <wp14:sizeRelH relativeFrom="margin">
                    <wp14:pctWidth>0</wp14:pctWidth>
                  </wp14:sizeRelH>
                  <wp14:sizeRelV relativeFrom="margin">
                    <wp14:pctHeight>0</wp14:pctHeight>
                  </wp14:sizeRelV>
                </wp:anchor>
              </w:drawing>
            </w:r>
            <w:r w:rsidR="009979AB" w:rsidRPr="00CF6B31">
              <w:rPr>
                <w:rFonts w:ascii="Aptos" w:hAnsi="Aptos" w:cs="Segoe UI"/>
                <w:b/>
                <w:bCs/>
                <w:color w:val="000000"/>
                <w:sz w:val="22"/>
                <w:szCs w:val="22"/>
                <w:bdr w:val="none" w:sz="0" w:space="0" w:color="auto" w:frame="1"/>
              </w:rPr>
              <w:t xml:space="preserve"> </w:t>
            </w:r>
            <w:r w:rsidR="00104F78" w:rsidRPr="00104F78">
              <w:rPr>
                <w:rFonts w:ascii="Aptos" w:hAnsi="Aptos" w:cs="Segoe UI"/>
                <w:color w:val="000000"/>
                <w:sz w:val="22"/>
                <w:szCs w:val="22"/>
                <w:bdr w:val="none" w:sz="0" w:space="0" w:color="auto" w:frame="1"/>
              </w:rPr>
              <w:t>D</w:t>
            </w:r>
            <w:r w:rsidR="00104F78" w:rsidRPr="00104F78">
              <w:rPr>
                <w:rFonts w:ascii="Aptos" w:eastAsia="Times New Roman" w:hAnsi="Aptos" w:cs="Times New Roman"/>
                <w:color w:val="000000"/>
                <w:kern w:val="0"/>
                <w:sz w:val="22"/>
                <w:szCs w:val="22"/>
                <w:lang w:eastAsia="en-GB"/>
                <w14:ligatures w14:val="none"/>
              </w:rPr>
              <w:t>esigned</w:t>
            </w:r>
            <w:r w:rsidR="00104F78" w:rsidRPr="00104F78">
              <w:rPr>
                <w:rFonts w:ascii="Aptos" w:eastAsia="Times New Roman" w:hAnsi="Aptos" w:cs="Times New Roman"/>
                <w:color w:val="000000"/>
                <w:kern w:val="0"/>
                <w:sz w:val="22"/>
                <w:szCs w:val="22"/>
                <w:lang w:eastAsia="en-GB"/>
                <w14:ligatures w14:val="none"/>
              </w:rPr>
              <w:t xml:space="preserve"> to alleviate pressure on general practices, the Pharmacy First scheme empowers community pharmacists to evaluate, diagnose, and directly provide prescription-only medications via Patient Group Directions (PGDs) for seven routine conditions:</w:t>
            </w:r>
          </w:p>
          <w:p w14:paraId="506E5DB7" w14:textId="32C410C1" w:rsidR="009979AB" w:rsidRPr="00104F78" w:rsidRDefault="00104F78" w:rsidP="009979AB">
            <w:pPr>
              <w:pStyle w:val="NormalWeb"/>
              <w:shd w:val="clear" w:color="auto" w:fill="FFFFFF"/>
              <w:spacing w:before="0" w:beforeAutospacing="0" w:after="0" w:afterAutospacing="0"/>
              <w:rPr>
                <w:rFonts w:ascii="Segoe UI" w:hAnsi="Segoe UI" w:cs="Segoe UI"/>
                <w:color w:val="242424"/>
                <w:sz w:val="22"/>
                <w:szCs w:val="22"/>
              </w:rPr>
            </w:pPr>
            <w:r w:rsidRPr="00104F78">
              <w:rPr>
                <w:rFonts w:ascii="Aptos" w:hAnsi="Aptos" w:cs="Segoe UI"/>
                <w:b/>
                <w:bCs/>
                <w:color w:val="000000"/>
                <w:sz w:val="22"/>
                <w:szCs w:val="22"/>
                <w:bdr w:val="none" w:sz="0" w:space="0" w:color="auto" w:frame="1"/>
              </w:rPr>
              <w:t>Conditions</w:t>
            </w:r>
            <w:r w:rsidR="009979AB" w:rsidRPr="00104F78">
              <w:rPr>
                <w:rFonts w:ascii="Aptos" w:hAnsi="Aptos" w:cs="Segoe UI"/>
                <w:color w:val="000000"/>
                <w:sz w:val="22"/>
                <w:szCs w:val="22"/>
                <w:bdr w:val="none" w:sz="0" w:space="0" w:color="auto" w:frame="1"/>
              </w:rPr>
              <w:t>:</w:t>
            </w:r>
          </w:p>
          <w:p w14:paraId="350E244D" w14:textId="059A281D" w:rsidR="009979AB" w:rsidRPr="00CF6B31" w:rsidRDefault="009979AB" w:rsidP="009979AB">
            <w:pPr>
              <w:pStyle w:val="NormalWeb"/>
              <w:numPr>
                <w:ilvl w:val="0"/>
                <w:numId w:val="1"/>
              </w:numPr>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Sinusitis</w:t>
            </w:r>
          </w:p>
          <w:p w14:paraId="7A936A3F" w14:textId="5038A7C3" w:rsidR="009979AB" w:rsidRPr="00CF6B31" w:rsidRDefault="009979AB" w:rsidP="009979AB">
            <w:pPr>
              <w:pStyle w:val="NormalWeb"/>
              <w:numPr>
                <w:ilvl w:val="0"/>
                <w:numId w:val="1"/>
              </w:numPr>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Sore throat</w:t>
            </w:r>
          </w:p>
          <w:p w14:paraId="045FEFA5" w14:textId="5ABD9681" w:rsidR="009979AB" w:rsidRPr="00CF6B31" w:rsidRDefault="009979AB" w:rsidP="00104F78">
            <w:pPr>
              <w:pStyle w:val="NormalWeb"/>
              <w:numPr>
                <w:ilvl w:val="0"/>
                <w:numId w:val="1"/>
              </w:numPr>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Acute otitis media</w:t>
            </w:r>
            <w:r w:rsidR="00104F78">
              <w:rPr>
                <w:rFonts w:ascii="Aptos" w:hAnsi="Aptos" w:cs="Segoe UI"/>
                <w:color w:val="000000"/>
                <w:sz w:val="22"/>
                <w:szCs w:val="22"/>
                <w:bdr w:val="none" w:sz="0" w:space="0" w:color="auto" w:frame="1"/>
              </w:rPr>
              <w:t xml:space="preserve"> (earache)</w:t>
            </w:r>
            <w:r w:rsidR="006E2AB8">
              <w:rPr>
                <w:rFonts w:ascii="Aptos" w:hAnsi="Aptos" w:cs="Segoe UI"/>
                <w:color w:val="000000"/>
                <w:sz w:val="22"/>
                <w:szCs w:val="22"/>
                <w:bdr w:val="none" w:sz="0" w:space="0" w:color="auto" w:frame="1"/>
              </w:rPr>
              <w:t xml:space="preserve">                                            </w:t>
            </w:r>
          </w:p>
          <w:p w14:paraId="6F79510C" w14:textId="13C955BE" w:rsidR="009979AB" w:rsidRPr="00CF6B31" w:rsidRDefault="009979AB" w:rsidP="009979AB">
            <w:pPr>
              <w:pStyle w:val="NormalWeb"/>
              <w:numPr>
                <w:ilvl w:val="0"/>
                <w:numId w:val="1"/>
              </w:numPr>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Infected insect bites</w:t>
            </w:r>
          </w:p>
          <w:p w14:paraId="1C273DD6" w14:textId="2A1DE558" w:rsidR="009979AB" w:rsidRPr="00CF6B31" w:rsidRDefault="009979AB" w:rsidP="009979AB">
            <w:pPr>
              <w:pStyle w:val="NormalWeb"/>
              <w:numPr>
                <w:ilvl w:val="0"/>
                <w:numId w:val="1"/>
              </w:numPr>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Impetigo</w:t>
            </w:r>
          </w:p>
          <w:p w14:paraId="287BF39D" w14:textId="57F42441" w:rsidR="009979AB" w:rsidRPr="00CF6B31" w:rsidRDefault="009979AB" w:rsidP="009979AB">
            <w:pPr>
              <w:pStyle w:val="NormalWeb"/>
              <w:numPr>
                <w:ilvl w:val="0"/>
                <w:numId w:val="1"/>
              </w:numPr>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Shingles</w:t>
            </w:r>
          </w:p>
          <w:p w14:paraId="363DA2B4" w14:textId="07B86FA5" w:rsidR="009979AB" w:rsidRPr="00CF6B31" w:rsidRDefault="009979AB" w:rsidP="009979AB">
            <w:pPr>
              <w:pStyle w:val="NormalWeb"/>
              <w:numPr>
                <w:ilvl w:val="0"/>
                <w:numId w:val="1"/>
              </w:numPr>
              <w:shd w:val="clear" w:color="auto" w:fill="FFFFFF"/>
              <w:spacing w:before="0" w:beforeAutospacing="0" w:after="0" w:afterAutospacing="0"/>
              <w:rPr>
                <w:rFonts w:ascii="Segoe UI" w:hAnsi="Segoe UI" w:cs="Segoe UI"/>
                <w:color w:val="242424"/>
                <w:sz w:val="22"/>
                <w:szCs w:val="22"/>
              </w:rPr>
            </w:pPr>
            <w:r w:rsidRPr="00CF6B31">
              <w:rPr>
                <w:rFonts w:ascii="Aptos" w:hAnsi="Aptos" w:cs="Segoe UI"/>
                <w:color w:val="000000"/>
                <w:sz w:val="22"/>
                <w:szCs w:val="22"/>
                <w:bdr w:val="none" w:sz="0" w:space="0" w:color="auto" w:frame="1"/>
              </w:rPr>
              <w:t xml:space="preserve">Uncomplicated </w:t>
            </w:r>
            <w:r w:rsidR="00104F78">
              <w:rPr>
                <w:rFonts w:ascii="Aptos" w:hAnsi="Aptos" w:cs="Segoe UI"/>
                <w:color w:val="000000"/>
                <w:sz w:val="22"/>
                <w:szCs w:val="22"/>
                <w:bdr w:val="none" w:sz="0" w:space="0" w:color="auto" w:frame="1"/>
              </w:rPr>
              <w:t>female UTIs</w:t>
            </w:r>
          </w:p>
          <w:p w14:paraId="7597B6F8" w14:textId="0CED0B9C" w:rsidR="009979AB" w:rsidRPr="00CF6B31" w:rsidRDefault="009979AB" w:rsidP="009979AB">
            <w:pPr>
              <w:pStyle w:val="NormalWeb"/>
              <w:shd w:val="clear" w:color="auto" w:fill="FFFFFF"/>
              <w:spacing w:before="0" w:beforeAutospacing="0" w:after="0" w:afterAutospacing="0"/>
              <w:rPr>
                <w:rFonts w:ascii="Segoe UI" w:hAnsi="Segoe UI" w:cs="Segoe UI"/>
                <w:b/>
                <w:bCs/>
                <w:color w:val="242424"/>
                <w:sz w:val="22"/>
                <w:szCs w:val="22"/>
              </w:rPr>
            </w:pPr>
            <w:r w:rsidRPr="00CF6B31">
              <w:rPr>
                <w:rFonts w:ascii="Aptos" w:hAnsi="Aptos" w:cs="Segoe UI"/>
                <w:b/>
                <w:bCs/>
                <w:color w:val="000000"/>
                <w:sz w:val="22"/>
                <w:szCs w:val="22"/>
                <w:bdr w:val="none" w:sz="0" w:space="0" w:color="auto" w:frame="1"/>
              </w:rPr>
              <w:t>2. Autonomous Prescribing &amp; Digital Infrastructure</w:t>
            </w:r>
          </w:p>
          <w:p w14:paraId="5853314B" w14:textId="77777777" w:rsidR="009979AB" w:rsidRDefault="009979AB" w:rsidP="009979AB">
            <w:pPr>
              <w:pStyle w:val="NormalWeb"/>
              <w:shd w:val="clear" w:color="auto" w:fill="FFFFFF"/>
              <w:spacing w:before="0" w:beforeAutospacing="0" w:after="0" w:afterAutospacing="0"/>
              <w:rPr>
                <w:rFonts w:ascii="Aptos" w:hAnsi="Aptos" w:cs="Segoe UI"/>
                <w:color w:val="000000"/>
                <w:sz w:val="22"/>
                <w:szCs w:val="22"/>
                <w:bdr w:val="none" w:sz="0" w:space="0" w:color="auto" w:frame="1"/>
              </w:rPr>
            </w:pPr>
            <w:r w:rsidRPr="00CF6B31">
              <w:rPr>
                <w:rFonts w:ascii="Aptos" w:hAnsi="Aptos" w:cs="Segoe UI"/>
                <w:color w:val="000000"/>
                <w:sz w:val="22"/>
                <w:szCs w:val="22"/>
                <w:bdr w:val="none" w:sz="0" w:space="0" w:color="auto" w:frame="1"/>
              </w:rPr>
              <w:lastRenderedPageBreak/>
              <w:t>Modern pharmacists utilize the Electronic Prescription Service (EPS) and have direct access to Summary Care Records (SCR) to securely update patient histories. Furthermore, newly qualified pharmacists register with Independent Prescriber status, enabling them to safely prescribe medications autonomously without a GP's sign-off.</w:t>
            </w:r>
          </w:p>
          <w:p w14:paraId="08AE799B" w14:textId="4CFD31D8" w:rsidR="00CF6B31" w:rsidRDefault="00CF6B31" w:rsidP="006E2AB8">
            <w:pPr>
              <w:pStyle w:val="NormalWeb"/>
              <w:shd w:val="clear" w:color="auto" w:fill="FFFFFF"/>
              <w:spacing w:before="0" w:beforeAutospacing="0" w:after="0" w:afterAutospacing="0"/>
              <w:jc w:val="center"/>
              <w:rPr>
                <w:rFonts w:ascii="Aptos" w:hAnsi="Aptos" w:cs="Segoe UI"/>
                <w:b/>
                <w:bCs/>
                <w:color w:val="000000"/>
                <w:sz w:val="22"/>
                <w:szCs w:val="22"/>
                <w:bdr w:val="none" w:sz="0" w:space="0" w:color="auto" w:frame="1"/>
              </w:rPr>
            </w:pPr>
            <w:r w:rsidRPr="00CF6B31">
              <w:rPr>
                <w:rFonts w:ascii="Aptos" w:hAnsi="Aptos" w:cs="Segoe UI"/>
                <w:b/>
                <w:bCs/>
                <w:color w:val="000000"/>
                <w:sz w:val="22"/>
                <w:szCs w:val="22"/>
                <w:bdr w:val="none" w:sz="0" w:space="0" w:color="auto" w:frame="1"/>
              </w:rPr>
              <w:t>CONTEMPORARY CHALLENGES (Two Major Challenges)</w:t>
            </w:r>
          </w:p>
          <w:p w14:paraId="1F755D62" w14:textId="33139397" w:rsidR="00CF6B31" w:rsidRPr="00CF6B31" w:rsidRDefault="00CF6B31" w:rsidP="00CF6B31">
            <w:pPr>
              <w:rPr>
                <w:rFonts w:ascii="Times New Roman" w:eastAsia="Times New Roman" w:hAnsi="Times New Roman" w:cs="Times New Roman"/>
                <w:b/>
                <w:bCs/>
                <w:kern w:val="0"/>
                <w:lang w:eastAsia="en-GB"/>
                <w14:ligatures w14:val="none"/>
              </w:rPr>
            </w:pPr>
            <w:r w:rsidRPr="00CF6B31">
              <w:rPr>
                <w:rFonts w:ascii="Aptos" w:eastAsia="Times New Roman" w:hAnsi="Aptos" w:cs="Times New Roman"/>
                <w:b/>
                <w:bCs/>
                <w:color w:val="000000"/>
                <w:kern w:val="0"/>
                <w:sz w:val="23"/>
                <w:szCs w:val="23"/>
                <w:lang w:eastAsia="en-GB"/>
                <w14:ligatures w14:val="none"/>
              </w:rPr>
              <w:t>Challenge 1: Severe Medicine Shortages &amp; Supply Chain Disruptions</w:t>
            </w:r>
          </w:p>
          <w:p w14:paraId="5C0FFB9C" w14:textId="0D6577B8" w:rsidR="00CF6B31" w:rsidRPr="00CF6B31" w:rsidRDefault="00CF6B31" w:rsidP="00CF6B31">
            <w:pPr>
              <w:pStyle w:val="NormalWeb"/>
              <w:shd w:val="clear" w:color="auto" w:fill="FFFFFF"/>
              <w:spacing w:before="0" w:beforeAutospacing="0" w:after="0" w:afterAutospacing="0"/>
              <w:ind w:left="600" w:hanging="600"/>
              <w:rPr>
                <w:rFonts w:ascii="Segoe UI" w:hAnsi="Segoe UI" w:cs="Segoe UI"/>
                <w:color w:val="242424"/>
                <w:sz w:val="22"/>
                <w:szCs w:val="22"/>
              </w:rPr>
            </w:pPr>
            <w:r w:rsidRPr="00CF6B31">
              <w:rPr>
                <w:rFonts w:ascii="Aptos" w:hAnsi="Aptos" w:cs="Segoe UI"/>
                <w:b/>
                <w:bCs/>
                <w:color w:val="000000"/>
                <w:sz w:val="22"/>
                <w:szCs w:val="22"/>
                <w:bdr w:val="none" w:sz="0" w:space="0" w:color="auto" w:frame="1"/>
              </w:rPr>
              <w:t>The Issue:</w:t>
            </w:r>
            <w:r w:rsidRPr="00CF6B31">
              <w:rPr>
                <w:rFonts w:ascii="Aptos" w:hAnsi="Aptos" w:cs="Segoe UI"/>
                <w:color w:val="000000"/>
                <w:sz w:val="22"/>
                <w:szCs w:val="22"/>
                <w:bdr w:val="none" w:sz="0" w:space="0" w:color="auto" w:frame="1"/>
              </w:rPr>
              <w:t> Global manufacturing bottlenecks, geopolitical instability, and regulatory frictions following Brexit have caused severe shortages of everyday medications (such as HRT, antibiotics, and ADHD treatments).</w:t>
            </w:r>
          </w:p>
          <w:p w14:paraId="6C3489A7" w14:textId="77777777" w:rsidR="00CF6B31" w:rsidRPr="00CF6B31" w:rsidRDefault="00CF6B31" w:rsidP="00CF6B31">
            <w:pPr>
              <w:pStyle w:val="NormalWeb"/>
              <w:shd w:val="clear" w:color="auto" w:fill="FFFFFF"/>
              <w:spacing w:before="0" w:beforeAutospacing="0" w:after="0" w:afterAutospacing="0"/>
              <w:ind w:left="600" w:hanging="600"/>
              <w:rPr>
                <w:rFonts w:ascii="Segoe UI" w:hAnsi="Segoe UI" w:cs="Segoe UI"/>
                <w:color w:val="242424"/>
                <w:sz w:val="22"/>
                <w:szCs w:val="22"/>
              </w:rPr>
            </w:pPr>
            <w:r w:rsidRPr="00CF6B31">
              <w:rPr>
                <w:rFonts w:ascii="Aptos" w:hAnsi="Aptos" w:cs="Segoe UI"/>
                <w:color w:val="000000"/>
                <w:sz w:val="22"/>
                <w:szCs w:val="22"/>
                <w:bdr w:val="none" w:sz="0" w:space="0" w:color="auto" w:frame="1"/>
              </w:rPr>
              <w:t> </w:t>
            </w:r>
            <w:r w:rsidRPr="00CF6B31">
              <w:rPr>
                <w:rFonts w:ascii="Aptos" w:hAnsi="Aptos" w:cs="Segoe UI"/>
                <w:b/>
                <w:bCs/>
                <w:color w:val="000000"/>
                <w:sz w:val="22"/>
                <w:szCs w:val="22"/>
                <w:bdr w:val="none" w:sz="0" w:space="0" w:color="auto" w:frame="1"/>
              </w:rPr>
              <w:t>Impact on Health &amp; Social Care:</w:t>
            </w:r>
            <w:r w:rsidRPr="00CF6B31">
              <w:rPr>
                <w:rFonts w:ascii="Aptos" w:hAnsi="Aptos" w:cs="Segoe UI"/>
                <w:color w:val="000000"/>
                <w:sz w:val="22"/>
                <w:szCs w:val="22"/>
                <w:bdr w:val="none" w:sz="0" w:space="0" w:color="auto" w:frame="1"/>
              </w:rPr>
              <w:t xml:space="preserve"> Pharmacists spend hours </w:t>
            </w:r>
            <w:proofErr w:type="gramStart"/>
            <w:r w:rsidRPr="00CF6B31">
              <w:rPr>
                <w:rFonts w:ascii="Aptos" w:hAnsi="Aptos" w:cs="Segoe UI"/>
                <w:color w:val="000000"/>
                <w:sz w:val="22"/>
                <w:szCs w:val="22"/>
                <w:bdr w:val="none" w:sz="0" w:space="0" w:color="auto" w:frame="1"/>
              </w:rPr>
              <w:t>every day</w:t>
            </w:r>
            <w:proofErr w:type="gramEnd"/>
            <w:r w:rsidRPr="00CF6B31">
              <w:rPr>
                <w:rFonts w:ascii="Aptos" w:hAnsi="Aptos" w:cs="Segoe UI"/>
                <w:color w:val="000000"/>
                <w:sz w:val="22"/>
                <w:szCs w:val="22"/>
                <w:bdr w:val="none" w:sz="0" w:space="0" w:color="auto" w:frame="1"/>
              </w:rPr>
              <w:t xml:space="preserve"> sourcing alternative medications. This administrative strain causes significant delays in patient care and increases stress and anxiety for patients and staff alike.</w:t>
            </w:r>
          </w:p>
          <w:p w14:paraId="3691C0C8" w14:textId="77777777" w:rsidR="00CF6B31" w:rsidRPr="00CF6B31" w:rsidRDefault="00CF6B31" w:rsidP="00CF6B31">
            <w:pPr>
              <w:pStyle w:val="NormalWeb"/>
              <w:shd w:val="clear" w:color="auto" w:fill="FFFFFF"/>
              <w:spacing w:before="0" w:beforeAutospacing="0" w:after="0" w:afterAutospacing="0"/>
              <w:rPr>
                <w:rFonts w:ascii="Segoe UI" w:hAnsi="Segoe UI" w:cs="Segoe UI"/>
                <w:b/>
                <w:bCs/>
                <w:color w:val="242424"/>
                <w:sz w:val="22"/>
                <w:szCs w:val="22"/>
              </w:rPr>
            </w:pPr>
            <w:r w:rsidRPr="00CF6B31">
              <w:rPr>
                <w:rFonts w:ascii="Aptos" w:hAnsi="Aptos" w:cs="Segoe UI"/>
                <w:b/>
                <w:bCs/>
                <w:color w:val="000000"/>
                <w:sz w:val="22"/>
                <w:szCs w:val="22"/>
                <w:bdr w:val="none" w:sz="0" w:space="0" w:color="auto" w:frame="1"/>
              </w:rPr>
              <w:t>Challenge 2: Workforce Burnout &amp; Funding Pressures</w:t>
            </w:r>
          </w:p>
          <w:p w14:paraId="109D8EE7" w14:textId="77777777" w:rsidR="00CF6B31" w:rsidRPr="00CF6B31" w:rsidRDefault="00CF6B31" w:rsidP="00CF6B31">
            <w:pPr>
              <w:pStyle w:val="NormalWeb"/>
              <w:shd w:val="clear" w:color="auto" w:fill="FFFFFF"/>
              <w:spacing w:before="0" w:beforeAutospacing="0" w:after="0" w:afterAutospacing="0"/>
              <w:ind w:left="600" w:hanging="600"/>
              <w:rPr>
                <w:rFonts w:ascii="Segoe UI" w:hAnsi="Segoe UI" w:cs="Segoe UI"/>
                <w:color w:val="242424"/>
                <w:sz w:val="22"/>
                <w:szCs w:val="22"/>
              </w:rPr>
            </w:pPr>
            <w:r w:rsidRPr="00CF6B31">
              <w:rPr>
                <w:rFonts w:ascii="Aptos" w:hAnsi="Aptos" w:cs="Segoe UI"/>
                <w:color w:val="000000"/>
                <w:sz w:val="22"/>
                <w:szCs w:val="22"/>
                <w:bdr w:val="none" w:sz="0" w:space="0" w:color="auto" w:frame="1"/>
              </w:rPr>
              <w:t> </w:t>
            </w:r>
            <w:r w:rsidRPr="00CF6B31">
              <w:rPr>
                <w:rFonts w:ascii="Aptos" w:hAnsi="Aptos" w:cs="Segoe UI"/>
                <w:b/>
                <w:bCs/>
                <w:color w:val="000000"/>
                <w:sz w:val="22"/>
                <w:szCs w:val="22"/>
                <w:bdr w:val="none" w:sz="0" w:space="0" w:color="auto" w:frame="1"/>
              </w:rPr>
              <w:t>The Issue:</w:t>
            </w:r>
            <w:r w:rsidRPr="00CF6B31">
              <w:rPr>
                <w:rFonts w:ascii="Aptos" w:hAnsi="Aptos" w:cs="Segoe UI"/>
                <w:color w:val="000000"/>
                <w:sz w:val="22"/>
                <w:szCs w:val="22"/>
                <w:bdr w:val="none" w:sz="0" w:space="0" w:color="auto" w:frame="1"/>
              </w:rPr>
              <w:t> The rapid expansion of clinical services (like Pharmacy First) has been implemented during a period of rising operational costs and real-terms funding cuts.</w:t>
            </w:r>
          </w:p>
          <w:p w14:paraId="5BF996E8" w14:textId="6F9E8C3B" w:rsidR="00CA63EF" w:rsidRPr="006E2AB8" w:rsidRDefault="00CF6B31" w:rsidP="006E2AB8">
            <w:pPr>
              <w:pStyle w:val="NormalWeb"/>
              <w:shd w:val="clear" w:color="auto" w:fill="FFFFFF"/>
              <w:spacing w:before="0" w:beforeAutospacing="0" w:after="0" w:afterAutospacing="0"/>
              <w:ind w:left="600" w:hanging="600"/>
              <w:rPr>
                <w:rFonts w:ascii="Segoe UI" w:hAnsi="Segoe UI" w:cs="Segoe UI"/>
                <w:color w:val="242424"/>
                <w:sz w:val="22"/>
                <w:szCs w:val="22"/>
              </w:rPr>
            </w:pPr>
            <w:r w:rsidRPr="00CF6B31">
              <w:rPr>
                <w:rFonts w:ascii="Aptos" w:hAnsi="Aptos" w:cs="Segoe UI"/>
                <w:color w:val="000000"/>
                <w:sz w:val="22"/>
                <w:szCs w:val="22"/>
                <w:bdr w:val="none" w:sz="0" w:space="0" w:color="auto" w:frame="1"/>
              </w:rPr>
              <w:t> </w:t>
            </w:r>
            <w:r w:rsidRPr="00CF6B31">
              <w:rPr>
                <w:rFonts w:ascii="Aptos" w:hAnsi="Aptos" w:cs="Segoe UI"/>
                <w:b/>
                <w:bCs/>
                <w:color w:val="000000"/>
                <w:sz w:val="22"/>
                <w:szCs w:val="22"/>
                <w:bdr w:val="none" w:sz="0" w:space="0" w:color="auto" w:frame="1"/>
              </w:rPr>
              <w:t>Impact on Health &amp; Social Care:</w:t>
            </w:r>
            <w:r w:rsidRPr="00CF6B31">
              <w:rPr>
                <w:rFonts w:ascii="Aptos" w:hAnsi="Aptos" w:cs="Segoe UI"/>
                <w:color w:val="000000"/>
                <w:sz w:val="22"/>
                <w:szCs w:val="22"/>
                <w:bdr w:val="none" w:sz="0" w:space="0" w:color="auto" w:frame="1"/>
              </w:rPr>
              <w:t> Pharmacy teams face extreme workloads without protected learning time (PLT) for staff training. This chronic pressure has led to widespread workforce burnout, recruitment crises, and the permanent closure of numerous community pharmacies, leaving some communities without local access.</w:t>
            </w:r>
          </w:p>
        </w:tc>
      </w:tr>
    </w:tbl>
    <w:p w14:paraId="1F50F80F" w14:textId="7A1B666E" w:rsidR="006E2AB8" w:rsidRDefault="00CF6B31" w:rsidP="00CF6B31">
      <w:r>
        <w:rPr>
          <w:noProof/>
        </w:rPr>
        <w:lastRenderedPageBreak/>
        <w:drawing>
          <wp:anchor distT="0" distB="0" distL="114300" distR="114300" simplePos="0" relativeHeight="251652096" behindDoc="0" locked="0" layoutInCell="1" allowOverlap="1" wp14:anchorId="381C42D2" wp14:editId="79D646F1">
            <wp:simplePos x="0" y="0"/>
            <wp:positionH relativeFrom="margin">
              <wp:posOffset>-457200</wp:posOffset>
            </wp:positionH>
            <wp:positionV relativeFrom="paragraph">
              <wp:posOffset>2751455</wp:posOffset>
            </wp:positionV>
            <wp:extent cx="6435725" cy="2162810"/>
            <wp:effectExtent l="0" t="0" r="3175" b="8890"/>
            <wp:wrapSquare wrapText="bothSides"/>
            <wp:docPr id="21311161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35725" cy="2162810"/>
                    </a:xfrm>
                    <a:prstGeom prst="rect">
                      <a:avLst/>
                    </a:prstGeom>
                    <a:noFill/>
                  </pic:spPr>
                </pic:pic>
              </a:graphicData>
            </a:graphic>
            <wp14:sizeRelH relativeFrom="margin">
              <wp14:pctWidth>0</wp14:pctWidth>
            </wp14:sizeRelH>
            <wp14:sizeRelV relativeFrom="margin">
              <wp14:pctHeight>0</wp14:pctHeight>
            </wp14:sizeRelV>
          </wp:anchor>
        </w:drawing>
      </w:r>
      <w:r w:rsidR="006E2AB8">
        <w:t xml:space="preserve">  </w:t>
      </w:r>
    </w:p>
    <w:tbl>
      <w:tblPr>
        <w:tblStyle w:val="TableGrid"/>
        <w:tblW w:w="10207" w:type="dxa"/>
        <w:tblInd w:w="-856" w:type="dxa"/>
        <w:tblLook w:val="04A0" w:firstRow="1" w:lastRow="0" w:firstColumn="1" w:lastColumn="0" w:noHBand="0" w:noVBand="1"/>
      </w:tblPr>
      <w:tblGrid>
        <w:gridCol w:w="10716"/>
      </w:tblGrid>
      <w:tr w:rsidR="006E2AB8" w14:paraId="145BC99C" w14:textId="77777777" w:rsidTr="00B10B83">
        <w:trPr>
          <w:trHeight w:val="2040"/>
        </w:trPr>
        <w:tc>
          <w:tcPr>
            <w:tcW w:w="10207" w:type="dxa"/>
            <w:tcBorders>
              <w:top w:val="dotDash" w:sz="4" w:space="0" w:color="auto"/>
              <w:left w:val="dotDash" w:sz="4" w:space="0" w:color="auto"/>
              <w:bottom w:val="dotDash" w:sz="4" w:space="0" w:color="auto"/>
              <w:right w:val="dotDash" w:sz="4" w:space="0" w:color="auto"/>
            </w:tcBorders>
          </w:tcPr>
          <w:p w14:paraId="25CFFF18" w14:textId="77777777" w:rsidR="006E2AB8" w:rsidRDefault="007228F7" w:rsidP="007228F7">
            <w:pPr>
              <w:jc w:val="center"/>
              <w:rPr>
                <w:b/>
                <w:bCs/>
              </w:rPr>
            </w:pPr>
            <w:r>
              <w:rPr>
                <w:b/>
                <w:bCs/>
              </w:rPr>
              <w:t xml:space="preserve">5: </w:t>
            </w:r>
            <w:r w:rsidRPr="007228F7">
              <w:rPr>
                <w:b/>
                <w:bCs/>
              </w:rPr>
              <w:t>SUMMARY &amp; DATA COMPARISON</w:t>
            </w:r>
          </w:p>
          <w:p w14:paraId="63BABF03" w14:textId="77777777" w:rsidR="007228F7" w:rsidRDefault="007228F7" w:rsidP="007228F7">
            <w:pPr>
              <w:jc w:val="center"/>
              <w:rPr>
                <w:b/>
                <w:bCs/>
              </w:rPr>
            </w:pPr>
          </w:p>
          <w:tbl>
            <w:tblPr>
              <w:tblStyle w:val="TableGrid"/>
              <w:tblW w:w="10490" w:type="dxa"/>
              <w:tblLook w:val="04A0" w:firstRow="1" w:lastRow="0" w:firstColumn="1" w:lastColumn="0" w:noHBand="0" w:noVBand="1"/>
            </w:tblPr>
            <w:tblGrid>
              <w:gridCol w:w="5245"/>
              <w:gridCol w:w="5245"/>
            </w:tblGrid>
            <w:tr w:rsidR="007228F7" w14:paraId="6B1A61E4" w14:textId="77777777" w:rsidTr="000950D4">
              <w:trPr>
                <w:trHeight w:val="150"/>
              </w:trPr>
              <w:tc>
                <w:tcPr>
                  <w:tcW w:w="5245" w:type="dxa"/>
                </w:tcPr>
                <w:p w14:paraId="190EBD01" w14:textId="5537AC54" w:rsidR="007228F7" w:rsidRDefault="007228F7" w:rsidP="000950D4">
                  <w:pPr>
                    <w:rPr>
                      <w:b/>
                      <w:bCs/>
                    </w:rPr>
                  </w:pPr>
                  <w:r w:rsidRPr="007228F7">
                    <w:rPr>
                      <w:b/>
                      <w:bCs/>
                    </w:rPr>
                    <w:t>Modern Challenge</w:t>
                  </w:r>
                </w:p>
              </w:tc>
              <w:tc>
                <w:tcPr>
                  <w:tcW w:w="5245" w:type="dxa"/>
                </w:tcPr>
                <w:p w14:paraId="65759678" w14:textId="45A2AB5E" w:rsidR="007228F7" w:rsidRDefault="007228F7" w:rsidP="007228F7">
                  <w:pPr>
                    <w:jc w:val="center"/>
                    <w:rPr>
                      <w:b/>
                      <w:bCs/>
                    </w:rPr>
                  </w:pPr>
                  <w:r w:rsidRPr="007228F7">
                    <w:rPr>
                      <w:b/>
                      <w:bCs/>
                    </w:rPr>
                    <w:t>Core Systemic Consequence</w:t>
                  </w:r>
                </w:p>
              </w:tc>
            </w:tr>
            <w:tr w:rsidR="007228F7" w14:paraId="73E7EBD8" w14:textId="77777777" w:rsidTr="000950D4">
              <w:trPr>
                <w:trHeight w:val="348"/>
              </w:trPr>
              <w:tc>
                <w:tcPr>
                  <w:tcW w:w="5245" w:type="dxa"/>
                </w:tcPr>
                <w:p w14:paraId="1B461B4F" w14:textId="77777777" w:rsidR="007228F7" w:rsidRPr="007228F7" w:rsidRDefault="007228F7" w:rsidP="007228F7">
                  <w:r w:rsidRPr="007228F7">
                    <w:t>Global Drug Shortages</w:t>
                  </w:r>
                </w:p>
                <w:p w14:paraId="6E2A6209" w14:textId="77777777" w:rsidR="007228F7" w:rsidRPr="007228F7" w:rsidRDefault="007228F7" w:rsidP="007228F7">
                  <w:pPr>
                    <w:jc w:val="center"/>
                  </w:pPr>
                </w:p>
              </w:tc>
              <w:tc>
                <w:tcPr>
                  <w:tcW w:w="5245" w:type="dxa"/>
                </w:tcPr>
                <w:p w14:paraId="6AFFD6FF" w14:textId="14EF5D33" w:rsidR="007228F7" w:rsidRPr="007228F7" w:rsidRDefault="007228F7" w:rsidP="007228F7">
                  <w:r w:rsidRPr="007228F7">
                    <w:t>Delays in treating infections; high administrative burden.</w:t>
                  </w:r>
                </w:p>
              </w:tc>
            </w:tr>
            <w:tr w:rsidR="007228F7" w14:paraId="14B5AD3B" w14:textId="77777777" w:rsidTr="000950D4">
              <w:trPr>
                <w:trHeight w:val="331"/>
              </w:trPr>
              <w:tc>
                <w:tcPr>
                  <w:tcW w:w="5245" w:type="dxa"/>
                </w:tcPr>
                <w:p w14:paraId="234FBD60" w14:textId="53DAF5F2" w:rsidR="007228F7" w:rsidRDefault="007228F7" w:rsidP="000950D4">
                  <w:pPr>
                    <w:rPr>
                      <w:b/>
                      <w:bCs/>
                    </w:rPr>
                  </w:pPr>
                  <w:r w:rsidRPr="007228F7">
                    <w:t>Workforce</w:t>
                  </w:r>
                  <w:r w:rsidRPr="007228F7">
                    <w:rPr>
                      <w:b/>
                      <w:bCs/>
                    </w:rPr>
                    <w:t xml:space="preserve"> </w:t>
                  </w:r>
                  <w:r w:rsidRPr="007228F7">
                    <w:t>Burnout</w:t>
                  </w:r>
                </w:p>
              </w:tc>
              <w:tc>
                <w:tcPr>
                  <w:tcW w:w="5245" w:type="dxa"/>
                </w:tcPr>
                <w:p w14:paraId="67291B34" w14:textId="77777777" w:rsidR="007228F7" w:rsidRDefault="007228F7" w:rsidP="007228F7">
                  <w:r w:rsidRPr="007228F7">
                    <w:t>Staff attrition, recruitment gaps, and local pharmacy closures</w:t>
                  </w:r>
                </w:p>
                <w:p w14:paraId="4520C1C0" w14:textId="7B346244" w:rsidR="000950D4" w:rsidRPr="007228F7" w:rsidRDefault="000950D4" w:rsidP="007228F7"/>
              </w:tc>
            </w:tr>
          </w:tbl>
          <w:p w14:paraId="0FE9B89B" w14:textId="5EAAF820" w:rsidR="007228F7" w:rsidRPr="007228F7" w:rsidRDefault="007228F7" w:rsidP="007228F7">
            <w:pPr>
              <w:jc w:val="center"/>
              <w:rPr>
                <w:b/>
                <w:bCs/>
              </w:rPr>
            </w:pPr>
          </w:p>
        </w:tc>
      </w:tr>
    </w:tbl>
    <w:p w14:paraId="7D1E41A0" w14:textId="73585D5D" w:rsidR="00CD777B" w:rsidRDefault="007228F7" w:rsidP="00CF6B31">
      <w:r>
        <w:t xml:space="preserve">                                                                                          </w:t>
      </w:r>
    </w:p>
    <w:tbl>
      <w:tblPr>
        <w:tblStyle w:val="TableGrid"/>
        <w:tblW w:w="10774" w:type="dxa"/>
        <w:tblInd w:w="-856"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10774"/>
      </w:tblGrid>
      <w:tr w:rsidR="000950D4" w14:paraId="7B090E1A" w14:textId="77777777" w:rsidTr="00B10B83">
        <w:trPr>
          <w:trHeight w:val="2397"/>
        </w:trPr>
        <w:tc>
          <w:tcPr>
            <w:tcW w:w="10774" w:type="dxa"/>
          </w:tcPr>
          <w:p w14:paraId="5DC06AF5" w14:textId="77777777" w:rsidR="000950D4" w:rsidRDefault="000950D4" w:rsidP="000950D4">
            <w:pPr>
              <w:jc w:val="center"/>
              <w:rPr>
                <w:b/>
                <w:bCs/>
              </w:rPr>
            </w:pPr>
            <w:r w:rsidRPr="000950D4">
              <w:rPr>
                <w:b/>
                <w:bCs/>
              </w:rPr>
              <w:t>REFERENCES</w:t>
            </w:r>
          </w:p>
          <w:p w14:paraId="19EB4F1A" w14:textId="2165CD3A" w:rsidR="000950D4" w:rsidRPr="000950D4" w:rsidRDefault="000950D4" w:rsidP="000950D4">
            <w:pPr>
              <w:pStyle w:val="ListParagraph"/>
              <w:numPr>
                <w:ilvl w:val="0"/>
                <w:numId w:val="3"/>
              </w:numPr>
              <w:rPr>
                <w:sz w:val="22"/>
                <w:szCs w:val="22"/>
              </w:rPr>
            </w:pPr>
            <w:r w:rsidRPr="000950D4">
              <w:rPr>
                <w:sz w:val="22"/>
                <w:szCs w:val="22"/>
              </w:rPr>
              <w:t>Healthwatch (2025) One year on: How is Pharmacy First working for patients? London: Healthwatch England.</w:t>
            </w:r>
          </w:p>
          <w:p w14:paraId="734649E5" w14:textId="38C5A4B9" w:rsidR="000950D4" w:rsidRPr="000950D4" w:rsidRDefault="000950D4" w:rsidP="000950D4">
            <w:pPr>
              <w:pStyle w:val="ListParagraph"/>
              <w:numPr>
                <w:ilvl w:val="0"/>
                <w:numId w:val="3"/>
              </w:numPr>
              <w:rPr>
                <w:sz w:val="22"/>
                <w:szCs w:val="22"/>
              </w:rPr>
            </w:pPr>
            <w:r w:rsidRPr="000950D4">
              <w:rPr>
                <w:sz w:val="22"/>
                <w:szCs w:val="22"/>
              </w:rPr>
              <w:t>NHS England (2024) Pharmacy First: Service Specification and Clinical Pathways. London: NHS England.</w:t>
            </w:r>
          </w:p>
          <w:p w14:paraId="6A8DD1E5" w14:textId="282DAFF9" w:rsidR="000950D4" w:rsidRPr="000950D4" w:rsidRDefault="000950D4" w:rsidP="000950D4">
            <w:pPr>
              <w:pStyle w:val="ListParagraph"/>
              <w:numPr>
                <w:ilvl w:val="0"/>
                <w:numId w:val="3"/>
              </w:numPr>
              <w:rPr>
                <w:sz w:val="22"/>
                <w:szCs w:val="22"/>
              </w:rPr>
            </w:pPr>
            <w:r w:rsidRPr="000950D4">
              <w:rPr>
                <w:sz w:val="22"/>
                <w:szCs w:val="22"/>
              </w:rPr>
              <w:t>Paloumpi, E., Ozieranski, P., Watson, M. C. and Jones, M. D. (2023) 'Professional stakeholders’ expectations for the future of community pharmacy practice in England: a qualitative study', BMJ Open, 13(10), p. e075069.</w:t>
            </w:r>
          </w:p>
          <w:p w14:paraId="5DBA3A32" w14:textId="0804B5F3" w:rsidR="000950D4" w:rsidRPr="000950D4" w:rsidRDefault="000950D4" w:rsidP="000950D4">
            <w:pPr>
              <w:pStyle w:val="ListParagraph"/>
              <w:numPr>
                <w:ilvl w:val="0"/>
                <w:numId w:val="3"/>
              </w:numPr>
              <w:rPr>
                <w:sz w:val="22"/>
                <w:szCs w:val="22"/>
              </w:rPr>
            </w:pPr>
            <w:r w:rsidRPr="000950D4">
              <w:rPr>
                <w:sz w:val="22"/>
                <w:szCs w:val="22"/>
              </w:rPr>
              <w:t>Pharmaceutical Journal (2018) NHS70: Major moments in pharmacy 1948–2018. Available at: </w:t>
            </w:r>
            <w:hyperlink r:id="rId13" w:tgtFrame="_blank" w:tooltip="Original URL: https://pharmaceutical-journal.com/. Click or tap if you trust this link." w:history="1">
              <w:r w:rsidRPr="000950D4">
                <w:rPr>
                  <w:rStyle w:val="Hyperlink"/>
                  <w:sz w:val="22"/>
                  <w:szCs w:val="22"/>
                </w:rPr>
                <w:t>https://pharmaceutical-journal.com</w:t>
              </w:r>
            </w:hyperlink>
            <w:r w:rsidRPr="000950D4">
              <w:rPr>
                <w:sz w:val="22"/>
                <w:szCs w:val="22"/>
              </w:rPr>
              <w:t> (Accessed: 18 June 2026).</w:t>
            </w:r>
          </w:p>
          <w:p w14:paraId="79638C44" w14:textId="3CB42FB6" w:rsidR="000950D4" w:rsidRPr="000950D4" w:rsidRDefault="000950D4" w:rsidP="000950D4">
            <w:pPr>
              <w:rPr>
                <w:b/>
                <w:bCs/>
                <w:sz w:val="20"/>
                <w:szCs w:val="20"/>
              </w:rPr>
            </w:pPr>
          </w:p>
        </w:tc>
      </w:tr>
    </w:tbl>
    <w:p w14:paraId="170FC890" w14:textId="09C44C92" w:rsidR="00D573BE" w:rsidRPr="00D573BE" w:rsidRDefault="00D573BE" w:rsidP="00D573BE">
      <w:pPr>
        <w:jc w:val="center"/>
        <w:rPr>
          <w:b/>
          <w:bCs/>
          <w:sz w:val="28"/>
          <w:szCs w:val="28"/>
        </w:rPr>
      </w:pPr>
      <w:r w:rsidRPr="00D573BE">
        <w:rPr>
          <w:b/>
          <w:bCs/>
          <w:sz w:val="28"/>
          <w:szCs w:val="28"/>
        </w:rPr>
        <w:lastRenderedPageBreak/>
        <w:t xml:space="preserve">Task 2: Essay </w:t>
      </w:r>
    </w:p>
    <w:p w14:paraId="4DAE77F0" w14:textId="78D178AF" w:rsidR="00D573BE" w:rsidRDefault="00D573BE" w:rsidP="00D573BE">
      <w:pPr>
        <w:jc w:val="center"/>
        <w:rPr>
          <w:b/>
          <w:bCs/>
          <w:sz w:val="28"/>
          <w:szCs w:val="28"/>
        </w:rPr>
      </w:pPr>
      <w:r w:rsidRPr="00D573BE">
        <w:rPr>
          <w:b/>
          <w:bCs/>
          <w:sz w:val="28"/>
          <w:szCs w:val="28"/>
        </w:rPr>
        <w:t>Community Mental Health Services</w:t>
      </w:r>
    </w:p>
    <w:p w14:paraId="28C22FB5" w14:textId="77777777" w:rsidR="00D573BE" w:rsidRPr="00DF157A" w:rsidRDefault="00D573BE" w:rsidP="00D573BE">
      <w:pPr>
        <w:pStyle w:val="NoSpacing"/>
        <w:rPr>
          <w:rFonts w:asciiTheme="majorHAnsi" w:hAnsiTheme="majorHAnsi"/>
          <w:b/>
          <w:bCs/>
          <w:sz w:val="22"/>
          <w:szCs w:val="22"/>
          <w:lang w:eastAsia="en-GB"/>
        </w:rPr>
      </w:pPr>
      <w:r w:rsidRPr="00DF157A">
        <w:rPr>
          <w:rFonts w:asciiTheme="majorHAnsi" w:hAnsiTheme="majorHAnsi"/>
          <w:b/>
          <w:bCs/>
          <w:sz w:val="22"/>
          <w:szCs w:val="22"/>
          <w:lang w:eastAsia="en-GB"/>
        </w:rPr>
        <w:t>Introduction</w:t>
      </w:r>
    </w:p>
    <w:p w14:paraId="3CACF837" w14:textId="7BB2CA20" w:rsidR="00D573BE"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Community mental health services in the United Kingdom play a pivotal role in treating adults with severe mental illnesses (SMI) as close to home as possible.</w:t>
      </w:r>
      <w:r w:rsidR="00DF157A" w:rsidRPr="00DF157A">
        <w:t xml:space="preserve"> </w:t>
      </w:r>
      <w:r w:rsidR="00DF157A" w:rsidRPr="00DF157A">
        <w:rPr>
          <w:rFonts w:asciiTheme="majorHAnsi" w:hAnsiTheme="majorHAnsi"/>
          <w:sz w:val="22"/>
          <w:szCs w:val="22"/>
          <w:lang w:eastAsia="en-GB"/>
        </w:rPr>
        <w:t>(NHS England, 2019)</w:t>
      </w:r>
      <w:r w:rsidR="00DF157A">
        <w:rPr>
          <w:rFonts w:asciiTheme="majorHAnsi" w:hAnsiTheme="majorHAnsi"/>
          <w:sz w:val="22"/>
          <w:szCs w:val="22"/>
          <w:lang w:eastAsia="en-GB"/>
        </w:rPr>
        <w:t xml:space="preserve">. </w:t>
      </w:r>
      <w:r w:rsidRPr="00DF157A">
        <w:rPr>
          <w:rFonts w:asciiTheme="majorHAnsi" w:hAnsiTheme="majorHAnsi"/>
          <w:sz w:val="22"/>
          <w:szCs w:val="22"/>
          <w:lang w:eastAsia="en-GB"/>
        </w:rPr>
        <w:t xml:space="preserve"> The transition from institutionalised asylum care to integrated community networks represents a profound paradigm shift in health and social care.</w:t>
      </w:r>
      <w:r w:rsidR="00DF157A" w:rsidRPr="00DF157A">
        <w:t xml:space="preserve"> </w:t>
      </w:r>
      <w:r w:rsidR="00DF157A" w:rsidRPr="00DF157A">
        <w:rPr>
          <w:rFonts w:asciiTheme="majorHAnsi" w:hAnsiTheme="majorHAnsi"/>
          <w:sz w:val="22"/>
          <w:szCs w:val="22"/>
          <w:lang w:eastAsia="en-GB"/>
        </w:rPr>
        <w:t>(Burns, 2022)</w:t>
      </w:r>
      <w:r w:rsidR="00DF157A">
        <w:rPr>
          <w:rFonts w:asciiTheme="majorHAnsi" w:hAnsiTheme="majorHAnsi"/>
          <w:sz w:val="22"/>
          <w:szCs w:val="22"/>
          <w:lang w:eastAsia="en-GB"/>
        </w:rPr>
        <w:t>.</w:t>
      </w:r>
      <w:r w:rsidRPr="00DF157A">
        <w:rPr>
          <w:rFonts w:asciiTheme="majorHAnsi" w:hAnsiTheme="majorHAnsi"/>
          <w:sz w:val="22"/>
          <w:szCs w:val="22"/>
          <w:lang w:eastAsia="en-GB"/>
        </w:rPr>
        <w:t xml:space="preserve"> This essay explores the historical trajectory of these services, critically evaluates their current operational landscape, and highlights their profound impact on enhancing service users' quality of life. </w:t>
      </w:r>
    </w:p>
    <w:p w14:paraId="3525A0B0" w14:textId="77777777" w:rsidR="00DF157A" w:rsidRPr="00DF157A" w:rsidRDefault="00DF157A" w:rsidP="00D573BE">
      <w:pPr>
        <w:pStyle w:val="NoSpacing"/>
        <w:rPr>
          <w:rFonts w:asciiTheme="majorHAnsi" w:hAnsiTheme="majorHAnsi"/>
          <w:sz w:val="22"/>
          <w:szCs w:val="22"/>
          <w:lang w:eastAsia="en-GB"/>
        </w:rPr>
      </w:pPr>
    </w:p>
    <w:p w14:paraId="52BB1811" w14:textId="77777777" w:rsidR="00D573BE" w:rsidRPr="00DF157A" w:rsidRDefault="00D573BE" w:rsidP="00D573BE">
      <w:pPr>
        <w:pStyle w:val="NoSpacing"/>
        <w:rPr>
          <w:rFonts w:asciiTheme="majorHAnsi" w:hAnsiTheme="majorHAnsi"/>
          <w:b/>
          <w:bCs/>
          <w:sz w:val="22"/>
          <w:szCs w:val="22"/>
          <w:lang w:eastAsia="en-GB"/>
        </w:rPr>
      </w:pPr>
      <w:r w:rsidRPr="00DF157A">
        <w:rPr>
          <w:rFonts w:asciiTheme="majorHAnsi" w:hAnsiTheme="majorHAnsi"/>
          <w:b/>
          <w:bCs/>
          <w:sz w:val="22"/>
          <w:szCs w:val="22"/>
          <w:lang w:eastAsia="en-GB"/>
        </w:rPr>
        <w:t>Historical Context and Origins</w:t>
      </w:r>
    </w:p>
    <w:p w14:paraId="6B88EB36" w14:textId="7EB464FC" w:rsidR="00DF157A"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Historically, individuals experiencing mental health issues were marginalized and housed in austere Victorian asylums.</w:t>
      </w:r>
      <w:r w:rsidR="00DF157A" w:rsidRPr="00DF157A">
        <w:t xml:space="preserve"> </w:t>
      </w:r>
      <w:r w:rsidR="00DF157A" w:rsidRPr="00DF157A">
        <w:rPr>
          <w:rFonts w:asciiTheme="majorHAnsi" w:hAnsiTheme="majorHAnsi"/>
          <w:sz w:val="22"/>
          <w:szCs w:val="22"/>
          <w:lang w:eastAsia="en-GB"/>
        </w:rPr>
        <w:t>(Burns, 2022)</w:t>
      </w:r>
      <w:r w:rsidR="00DF157A">
        <w:rPr>
          <w:rFonts w:asciiTheme="majorHAnsi" w:hAnsiTheme="majorHAnsi"/>
          <w:sz w:val="22"/>
          <w:szCs w:val="22"/>
          <w:lang w:eastAsia="en-GB"/>
        </w:rPr>
        <w:t>.</w:t>
      </w:r>
      <w:r w:rsidRPr="00DF157A">
        <w:rPr>
          <w:rFonts w:asciiTheme="majorHAnsi" w:hAnsiTheme="majorHAnsi"/>
          <w:sz w:val="22"/>
          <w:szCs w:val="22"/>
          <w:lang w:eastAsia="en-GB"/>
        </w:rPr>
        <w:t xml:space="preserve"> These large institutions, which peaked at over 150,000 inpatients in the mid-1950s, isolated patients from their families and communities. The first real shift toward community care began with the Mental Treatment Act 1930, which permitted voluntary hospital admissions and initiated early outpatient clinics. </w:t>
      </w:r>
      <w:r w:rsidR="00DF157A" w:rsidRPr="00DF157A">
        <w:rPr>
          <w:rFonts w:asciiTheme="majorHAnsi" w:hAnsiTheme="majorHAnsi"/>
          <w:sz w:val="22"/>
          <w:szCs w:val="22"/>
          <w:lang w:eastAsia="en-GB"/>
        </w:rPr>
        <w:t>(Burns, 2022)</w:t>
      </w:r>
      <w:r w:rsidR="00DF157A">
        <w:rPr>
          <w:rFonts w:asciiTheme="majorHAnsi" w:hAnsiTheme="majorHAnsi"/>
          <w:sz w:val="22"/>
          <w:szCs w:val="22"/>
          <w:lang w:eastAsia="en-GB"/>
        </w:rPr>
        <w:t>.</w:t>
      </w:r>
    </w:p>
    <w:p w14:paraId="48794FB9" w14:textId="77777777" w:rsid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However, the modern era of community-based services was truly </w:t>
      </w:r>
      <w:r w:rsidR="00DF157A" w:rsidRPr="00DF157A">
        <w:rPr>
          <w:rFonts w:asciiTheme="majorHAnsi" w:hAnsiTheme="majorHAnsi"/>
          <w:sz w:val="22"/>
          <w:szCs w:val="22"/>
          <w:lang w:eastAsia="en-GB"/>
        </w:rPr>
        <w:t>catalysed</w:t>
      </w:r>
      <w:r w:rsidRPr="00DF157A">
        <w:rPr>
          <w:rFonts w:asciiTheme="majorHAnsi" w:hAnsiTheme="majorHAnsi"/>
          <w:sz w:val="22"/>
          <w:szCs w:val="22"/>
          <w:lang w:eastAsia="en-GB"/>
        </w:rPr>
        <w:t xml:space="preserve"> by the Mental Health Act 1959 and Health Minister Enoch Powell’s landmark 1961 "Water Towers" speech, which explicitly called for the closure of Victorian asylums. The clinical advent of anti-psychotic medications, alongside a growing social awareness of human rights, drove successive governments to legally mandate local authority care, gradually replacing institutional beds with localized support. </w:t>
      </w:r>
    </w:p>
    <w:p w14:paraId="3798036B" w14:textId="699306D0" w:rsidR="00D573BE" w:rsidRDefault="00DF157A"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(Burns, 2022)</w:t>
      </w:r>
    </w:p>
    <w:p w14:paraId="283E0A80" w14:textId="77777777" w:rsidR="00DF157A" w:rsidRPr="00DF157A" w:rsidRDefault="00DF157A" w:rsidP="00D573BE">
      <w:pPr>
        <w:pStyle w:val="NoSpacing"/>
        <w:rPr>
          <w:rFonts w:asciiTheme="majorHAnsi" w:hAnsiTheme="majorHAnsi"/>
          <w:sz w:val="22"/>
          <w:szCs w:val="22"/>
          <w:lang w:eastAsia="en-GB"/>
        </w:rPr>
      </w:pPr>
    </w:p>
    <w:p w14:paraId="5DC7EA6C" w14:textId="77777777" w:rsidR="00D573BE" w:rsidRPr="00DF157A" w:rsidRDefault="00D573BE" w:rsidP="00D573BE">
      <w:pPr>
        <w:pStyle w:val="NoSpacing"/>
        <w:rPr>
          <w:rFonts w:asciiTheme="majorHAnsi" w:hAnsiTheme="majorHAnsi"/>
          <w:b/>
          <w:bCs/>
          <w:sz w:val="22"/>
          <w:szCs w:val="22"/>
          <w:lang w:eastAsia="en-GB"/>
        </w:rPr>
      </w:pPr>
      <w:r w:rsidRPr="00DF157A">
        <w:rPr>
          <w:rFonts w:asciiTheme="majorHAnsi" w:hAnsiTheme="majorHAnsi"/>
          <w:b/>
          <w:bCs/>
          <w:sz w:val="22"/>
          <w:szCs w:val="22"/>
          <w:lang w:eastAsia="en-GB"/>
        </w:rPr>
        <w:t>Critical Evaluation of Modern Functioning</w:t>
      </w:r>
    </w:p>
    <w:p w14:paraId="5979272C" w14:textId="4016020B"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Today, modern services operate under the NHS Community Mental Health Framework, delivering care through Integrated Care Systems (ICSs) and multi-disciplinary Community Mental Health Teams (CMHTs).</w:t>
      </w:r>
      <w:r w:rsidR="00DF157A" w:rsidRPr="00DF157A">
        <w:t xml:space="preserve"> </w:t>
      </w:r>
      <w:r w:rsidR="00DF157A" w:rsidRPr="00DF157A">
        <w:rPr>
          <w:rFonts w:asciiTheme="majorHAnsi" w:hAnsiTheme="majorHAnsi"/>
          <w:sz w:val="22"/>
          <w:szCs w:val="22"/>
          <w:lang w:eastAsia="en-GB"/>
        </w:rPr>
        <w:t>(NHS England, 2019)</w:t>
      </w:r>
      <w:r w:rsidR="00DF157A">
        <w:rPr>
          <w:rFonts w:asciiTheme="majorHAnsi" w:hAnsiTheme="majorHAnsi"/>
          <w:sz w:val="22"/>
          <w:szCs w:val="22"/>
          <w:lang w:eastAsia="en-GB"/>
        </w:rPr>
        <w:t>.</w:t>
      </w:r>
      <w:r w:rsidRPr="00DF157A">
        <w:rPr>
          <w:rFonts w:asciiTheme="majorHAnsi" w:hAnsiTheme="majorHAnsi"/>
          <w:sz w:val="22"/>
          <w:szCs w:val="22"/>
          <w:lang w:eastAsia="en-GB"/>
        </w:rPr>
        <w:t xml:space="preserve"> These teams pool the expertise of social workers, psychiatrists, and occupational therapists to manage conditions like psychosis and severe depression within </w:t>
      </w:r>
      <w:r w:rsidR="00DF157A" w:rsidRPr="00DF157A">
        <w:rPr>
          <w:rFonts w:asciiTheme="majorHAnsi" w:hAnsiTheme="majorHAnsi"/>
          <w:sz w:val="22"/>
          <w:szCs w:val="22"/>
          <w:lang w:eastAsia="en-GB"/>
        </w:rPr>
        <w:t>neighbourhood</w:t>
      </w:r>
      <w:r w:rsidRPr="00DF157A">
        <w:rPr>
          <w:rFonts w:asciiTheme="majorHAnsi" w:hAnsiTheme="majorHAnsi"/>
          <w:sz w:val="22"/>
          <w:szCs w:val="22"/>
          <w:lang w:eastAsia="en-GB"/>
        </w:rPr>
        <w:t xml:space="preserve"> settings. </w:t>
      </w:r>
      <w:r w:rsidR="00DF157A" w:rsidRPr="00DF157A">
        <w:rPr>
          <w:rFonts w:asciiTheme="majorHAnsi" w:hAnsiTheme="majorHAnsi"/>
          <w:sz w:val="22"/>
          <w:szCs w:val="22"/>
          <w:lang w:eastAsia="en-GB"/>
        </w:rPr>
        <w:t>(Rethink Mental Illness, 2024)</w:t>
      </w:r>
    </w:p>
    <w:p w14:paraId="0E0856B4" w14:textId="7EED8EFC" w:rsid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While the framework’s vision of trauma-informed, person-</w:t>
      </w:r>
      <w:r w:rsidR="00DF157A" w:rsidRPr="00DF157A">
        <w:rPr>
          <w:rFonts w:asciiTheme="majorHAnsi" w:hAnsiTheme="majorHAnsi"/>
          <w:sz w:val="22"/>
          <w:szCs w:val="22"/>
          <w:lang w:eastAsia="en-GB"/>
        </w:rPr>
        <w:t>cantered</w:t>
      </w:r>
      <w:r w:rsidRPr="00DF157A">
        <w:rPr>
          <w:rFonts w:asciiTheme="majorHAnsi" w:hAnsiTheme="majorHAnsi"/>
          <w:sz w:val="22"/>
          <w:szCs w:val="22"/>
          <w:lang w:eastAsia="en-GB"/>
        </w:rPr>
        <w:t xml:space="preserve"> care is highly progressive, its contemporary execution faces critical scrutiny. A parliamentary review highlighted that implementation remains highly uneven across the UK. Services struggle with long waiting lists and rigid access thresholds, which frequently mean users only receive attention once they reach a crisis point. </w:t>
      </w:r>
      <w:r w:rsidR="00827455" w:rsidRPr="00827455">
        <w:rPr>
          <w:rFonts w:asciiTheme="majorHAnsi" w:hAnsiTheme="majorHAnsi"/>
          <w:sz w:val="22"/>
          <w:szCs w:val="22"/>
          <w:lang w:eastAsia="en-GB"/>
        </w:rPr>
        <w:t>(Parliament UK, 2025)</w:t>
      </w:r>
      <w:r w:rsidR="00827455">
        <w:rPr>
          <w:rFonts w:asciiTheme="majorHAnsi" w:hAnsiTheme="majorHAnsi"/>
          <w:sz w:val="22"/>
          <w:szCs w:val="22"/>
          <w:lang w:eastAsia="en-GB"/>
        </w:rPr>
        <w:t xml:space="preserve">. </w:t>
      </w:r>
      <w:r w:rsidRPr="00DF157A">
        <w:rPr>
          <w:rFonts w:asciiTheme="majorHAnsi" w:hAnsiTheme="majorHAnsi"/>
          <w:sz w:val="22"/>
          <w:szCs w:val="22"/>
          <w:lang w:eastAsia="en-GB"/>
        </w:rPr>
        <w:t>Furthermore, national data reveals that only 48% of service users rate their experience positively, exposing ongoing shortages in funding and staffing despite recent government investment pledges.</w:t>
      </w:r>
      <w:r w:rsidR="00827455" w:rsidRPr="00827455">
        <w:t xml:space="preserve"> </w:t>
      </w:r>
      <w:r w:rsidR="00827455" w:rsidRPr="00827455">
        <w:rPr>
          <w:rFonts w:asciiTheme="majorHAnsi" w:hAnsiTheme="majorHAnsi"/>
          <w:sz w:val="22"/>
          <w:szCs w:val="22"/>
          <w:lang w:eastAsia="en-GB"/>
        </w:rPr>
        <w:t>(Nuffield Trust, 2024)</w:t>
      </w:r>
      <w:r w:rsidR="00827455">
        <w:rPr>
          <w:rFonts w:asciiTheme="majorHAnsi" w:hAnsiTheme="majorHAnsi"/>
          <w:sz w:val="22"/>
          <w:szCs w:val="22"/>
          <w:lang w:eastAsia="en-GB"/>
        </w:rPr>
        <w:t>.</w:t>
      </w:r>
    </w:p>
    <w:p w14:paraId="17E09914" w14:textId="6F258911"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 </w:t>
      </w:r>
    </w:p>
    <w:p w14:paraId="1E5D62CB" w14:textId="77777777" w:rsidR="00D573BE" w:rsidRPr="00DF157A" w:rsidRDefault="00D573BE" w:rsidP="00D573BE">
      <w:pPr>
        <w:pStyle w:val="NoSpacing"/>
        <w:rPr>
          <w:rFonts w:asciiTheme="majorHAnsi" w:hAnsiTheme="majorHAnsi"/>
          <w:b/>
          <w:bCs/>
          <w:sz w:val="22"/>
          <w:szCs w:val="22"/>
          <w:lang w:eastAsia="en-GB"/>
        </w:rPr>
      </w:pPr>
      <w:r w:rsidRPr="00DF157A">
        <w:rPr>
          <w:rFonts w:asciiTheme="majorHAnsi" w:hAnsiTheme="majorHAnsi"/>
          <w:b/>
          <w:bCs/>
          <w:sz w:val="22"/>
          <w:szCs w:val="22"/>
          <w:lang w:eastAsia="en-GB"/>
        </w:rPr>
        <w:t>Significance in Enhancing Quality of Life</w:t>
      </w:r>
    </w:p>
    <w:p w14:paraId="7FA3C701" w14:textId="53669981"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Despite systemic pressures, community care remains vital for enhancing service users' quality of life</w:t>
      </w:r>
      <w:r w:rsidR="00827455">
        <w:rPr>
          <w:rFonts w:asciiTheme="majorHAnsi" w:hAnsiTheme="majorHAnsi"/>
          <w:sz w:val="22"/>
          <w:szCs w:val="22"/>
          <w:lang w:eastAsia="en-GB"/>
        </w:rPr>
        <w:t xml:space="preserve"> </w:t>
      </w:r>
      <w:r w:rsidR="00827455" w:rsidRPr="00827455">
        <w:rPr>
          <w:rFonts w:asciiTheme="majorHAnsi" w:hAnsiTheme="majorHAnsi"/>
          <w:sz w:val="22"/>
          <w:szCs w:val="22"/>
          <w:lang w:eastAsia="en-GB"/>
        </w:rPr>
        <w:t>(Rethink Mental Illness, 2024)</w:t>
      </w:r>
      <w:r w:rsidRPr="00DF157A">
        <w:rPr>
          <w:rFonts w:asciiTheme="majorHAnsi" w:hAnsiTheme="majorHAnsi"/>
          <w:sz w:val="22"/>
          <w:szCs w:val="22"/>
          <w:lang w:eastAsia="en-GB"/>
        </w:rPr>
        <w:t xml:space="preserve">. Prolonged hospitalization historically stripped individuals of their daily living skills, relationships, and </w:t>
      </w:r>
      <w:r w:rsidR="00827455" w:rsidRPr="00DF157A">
        <w:rPr>
          <w:rFonts w:asciiTheme="majorHAnsi" w:hAnsiTheme="majorHAnsi"/>
          <w:sz w:val="22"/>
          <w:szCs w:val="22"/>
          <w:lang w:eastAsia="en-GB"/>
        </w:rPr>
        <w:t>employment</w:t>
      </w:r>
      <w:r w:rsidR="00827455">
        <w:rPr>
          <w:rFonts w:asciiTheme="majorHAnsi" w:hAnsiTheme="majorHAnsi"/>
          <w:sz w:val="22"/>
          <w:szCs w:val="22"/>
          <w:lang w:eastAsia="en-GB"/>
        </w:rPr>
        <w:t xml:space="preserve"> </w:t>
      </w:r>
      <w:r w:rsidR="00827455" w:rsidRPr="00827455">
        <w:rPr>
          <w:rFonts w:asciiTheme="majorHAnsi" w:hAnsiTheme="majorHAnsi"/>
          <w:sz w:val="22"/>
          <w:szCs w:val="22"/>
          <w:lang w:eastAsia="en-GB"/>
        </w:rPr>
        <w:t>(Burns, 2022)</w:t>
      </w:r>
      <w:r w:rsidRPr="00DF157A">
        <w:rPr>
          <w:rFonts w:asciiTheme="majorHAnsi" w:hAnsiTheme="majorHAnsi"/>
          <w:sz w:val="22"/>
          <w:szCs w:val="22"/>
          <w:lang w:eastAsia="en-GB"/>
        </w:rPr>
        <w:t xml:space="preserve">. Conversely, managing illnesses within the community preserves independence, allowing service users to retain control over their routines and maintain essential support networks. </w:t>
      </w:r>
      <w:r w:rsidR="00827455" w:rsidRPr="00827455">
        <w:rPr>
          <w:rFonts w:asciiTheme="majorHAnsi" w:hAnsiTheme="majorHAnsi"/>
          <w:sz w:val="22"/>
          <w:szCs w:val="22"/>
          <w:lang w:eastAsia="en-GB"/>
        </w:rPr>
        <w:t>(Rethink Mental Illness, 2024)</w:t>
      </w:r>
    </w:p>
    <w:p w14:paraId="49167995" w14:textId="643CF650" w:rsidR="00D573BE"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Modern community provisions utilize holistic interventions such as Individual Placement and Support (IPS), which actively assists individuals with SMI in securing paid employment. Furthermore, because adults with severe mental illness face premature mortality primarily due to preventable physical health issues, CMHTs now coordinate mandatory physical health checks alongside psychological therapies. </w:t>
      </w:r>
      <w:r w:rsidR="00827455" w:rsidRPr="00827455">
        <w:rPr>
          <w:rFonts w:asciiTheme="majorHAnsi" w:hAnsiTheme="majorHAnsi"/>
          <w:sz w:val="22"/>
          <w:szCs w:val="22"/>
          <w:lang w:eastAsia="en-GB"/>
        </w:rPr>
        <w:t>(NHS England, 2024)</w:t>
      </w:r>
      <w:r w:rsidR="00827455">
        <w:rPr>
          <w:rFonts w:asciiTheme="majorHAnsi" w:hAnsiTheme="majorHAnsi"/>
          <w:sz w:val="22"/>
          <w:szCs w:val="22"/>
          <w:lang w:eastAsia="en-GB"/>
        </w:rPr>
        <w:t xml:space="preserve">. </w:t>
      </w:r>
      <w:r w:rsidRPr="00DF157A">
        <w:rPr>
          <w:rFonts w:asciiTheme="majorHAnsi" w:hAnsiTheme="majorHAnsi"/>
          <w:sz w:val="22"/>
          <w:szCs w:val="22"/>
          <w:lang w:eastAsia="en-GB"/>
        </w:rPr>
        <w:t xml:space="preserve">By looking at the "whole person" rather than just treating a psychiatric diagnosis, these services combat social isolation, lower re-admission rates, and promote long-term recovery. </w:t>
      </w:r>
    </w:p>
    <w:p w14:paraId="305D2D04" w14:textId="77777777" w:rsidR="00DF157A" w:rsidRPr="00DF157A" w:rsidRDefault="00DF157A" w:rsidP="00D573BE">
      <w:pPr>
        <w:pStyle w:val="NoSpacing"/>
        <w:rPr>
          <w:rFonts w:asciiTheme="majorHAnsi" w:hAnsiTheme="majorHAnsi"/>
          <w:sz w:val="22"/>
          <w:szCs w:val="22"/>
          <w:lang w:eastAsia="en-GB"/>
        </w:rPr>
      </w:pPr>
    </w:p>
    <w:p w14:paraId="7E432BA8" w14:textId="77777777" w:rsidR="00D573BE" w:rsidRPr="00DF157A" w:rsidRDefault="00D573BE" w:rsidP="00D573BE">
      <w:pPr>
        <w:pStyle w:val="NoSpacing"/>
        <w:rPr>
          <w:rFonts w:asciiTheme="majorHAnsi" w:hAnsiTheme="majorHAnsi"/>
          <w:b/>
          <w:bCs/>
          <w:sz w:val="22"/>
          <w:szCs w:val="22"/>
          <w:lang w:eastAsia="en-GB"/>
        </w:rPr>
      </w:pPr>
      <w:r w:rsidRPr="00DF157A">
        <w:rPr>
          <w:rFonts w:asciiTheme="majorHAnsi" w:hAnsiTheme="majorHAnsi"/>
          <w:b/>
          <w:bCs/>
          <w:sz w:val="22"/>
          <w:szCs w:val="22"/>
          <w:lang w:eastAsia="en-GB"/>
        </w:rPr>
        <w:t>Conclusion</w:t>
      </w:r>
    </w:p>
    <w:p w14:paraId="71EEC6C3" w14:textId="77777777" w:rsidR="00D573BE"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Community mental health services have successfully dismantled the isolated asylum model, shifting focus toward localized, humane treatment. Although modern delivery is frequently challenged by chronic wait times and inconsistent resource allocation, the service remains foundational to social care. Its ability to treat individuals holistically while safeguarding their independence is ultimately irreplaceable in restoring dignity and improving the quality of life for vulnerable citizens. </w:t>
      </w:r>
    </w:p>
    <w:p w14:paraId="6410F488" w14:textId="77777777" w:rsidR="00DF157A" w:rsidRPr="00DF157A" w:rsidRDefault="00DF157A" w:rsidP="00D573BE">
      <w:pPr>
        <w:pStyle w:val="NoSpacing"/>
        <w:rPr>
          <w:rFonts w:asciiTheme="majorHAnsi" w:hAnsiTheme="majorHAnsi"/>
          <w:sz w:val="22"/>
          <w:szCs w:val="22"/>
          <w:lang w:eastAsia="en-GB"/>
        </w:rPr>
      </w:pPr>
    </w:p>
    <w:p w14:paraId="704C150F" w14:textId="3DB9CD5B" w:rsidR="00D573BE" w:rsidRPr="00DF157A" w:rsidRDefault="00D573BE" w:rsidP="00D573BE">
      <w:pPr>
        <w:pStyle w:val="NoSpacing"/>
        <w:rPr>
          <w:rFonts w:asciiTheme="majorHAnsi" w:hAnsiTheme="majorHAnsi"/>
          <w:b/>
          <w:bCs/>
          <w:sz w:val="22"/>
          <w:szCs w:val="22"/>
          <w:lang w:eastAsia="en-GB"/>
        </w:rPr>
      </w:pPr>
      <w:r w:rsidRPr="00DF157A">
        <w:rPr>
          <w:rFonts w:asciiTheme="majorHAnsi" w:hAnsiTheme="majorHAnsi"/>
          <w:b/>
          <w:bCs/>
          <w:sz w:val="22"/>
          <w:szCs w:val="22"/>
          <w:lang w:eastAsia="en-GB"/>
        </w:rPr>
        <w:t xml:space="preserve"> Reference </w:t>
      </w:r>
    </w:p>
    <w:p w14:paraId="31D0C1C8" w14:textId="77777777"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Burns, T. (2022) 'Community-Based Mental Health Care in Britain', </w:t>
      </w:r>
      <w:r w:rsidRPr="00DF157A">
        <w:rPr>
          <w:rFonts w:asciiTheme="majorHAnsi" w:hAnsiTheme="majorHAnsi"/>
          <w:i/>
          <w:iCs/>
          <w:sz w:val="22"/>
          <w:szCs w:val="22"/>
          <w:lang w:eastAsia="en-GB"/>
        </w:rPr>
        <w:t>Consortium Psychiatricum</w:t>
      </w:r>
      <w:r w:rsidRPr="00DF157A">
        <w:rPr>
          <w:rFonts w:asciiTheme="majorHAnsi" w:hAnsiTheme="majorHAnsi"/>
          <w:sz w:val="22"/>
          <w:szCs w:val="22"/>
          <w:lang w:eastAsia="en-GB"/>
        </w:rPr>
        <w:t xml:space="preserve">, 3(1), pp. 63-71. </w:t>
      </w:r>
    </w:p>
    <w:p w14:paraId="30A6EDB3" w14:textId="77777777"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NHS England (2019) </w:t>
      </w:r>
      <w:r w:rsidRPr="00DF157A">
        <w:rPr>
          <w:rFonts w:asciiTheme="majorHAnsi" w:hAnsiTheme="majorHAnsi"/>
          <w:i/>
          <w:iCs/>
          <w:sz w:val="22"/>
          <w:szCs w:val="22"/>
          <w:lang w:eastAsia="en-GB"/>
        </w:rPr>
        <w:t>The Community Mental Health Framework for Adults and Older Adults</w:t>
      </w:r>
      <w:r w:rsidRPr="00DF157A">
        <w:rPr>
          <w:rFonts w:asciiTheme="majorHAnsi" w:hAnsiTheme="majorHAnsi"/>
          <w:sz w:val="22"/>
          <w:szCs w:val="22"/>
          <w:lang w:eastAsia="en-GB"/>
        </w:rPr>
        <w:t xml:space="preserve">. London: NHS England. </w:t>
      </w:r>
    </w:p>
    <w:p w14:paraId="0EF9AFEA" w14:textId="77777777"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NHS England (2024) </w:t>
      </w:r>
      <w:r w:rsidRPr="00DF157A">
        <w:rPr>
          <w:rFonts w:asciiTheme="majorHAnsi" w:hAnsiTheme="majorHAnsi"/>
          <w:i/>
          <w:iCs/>
          <w:sz w:val="22"/>
          <w:szCs w:val="22"/>
          <w:lang w:eastAsia="en-GB"/>
        </w:rPr>
        <w:t>Community Mental Health Services</w:t>
      </w:r>
      <w:r w:rsidRPr="00DF157A">
        <w:rPr>
          <w:rFonts w:asciiTheme="majorHAnsi" w:hAnsiTheme="majorHAnsi"/>
          <w:sz w:val="22"/>
          <w:szCs w:val="22"/>
          <w:lang w:eastAsia="en-GB"/>
        </w:rPr>
        <w:t xml:space="preserve">. Available at: </w:t>
      </w:r>
      <w:hyperlink r:id="rId14" w:tgtFrame="_blank" w:history="1">
        <w:r w:rsidRPr="00DF157A">
          <w:rPr>
            <w:rFonts w:asciiTheme="majorHAnsi" w:hAnsiTheme="majorHAnsi"/>
            <w:color w:val="0000FF"/>
            <w:sz w:val="22"/>
            <w:szCs w:val="22"/>
            <w:u w:val="single"/>
            <w:lang w:eastAsia="en-GB"/>
          </w:rPr>
          <w:t>https://www.england.nhs.uk/mental-health/adults/cmhs/</w:t>
        </w:r>
      </w:hyperlink>
      <w:r w:rsidRPr="00DF157A">
        <w:rPr>
          <w:rFonts w:asciiTheme="majorHAnsi" w:hAnsiTheme="majorHAnsi"/>
          <w:sz w:val="22"/>
          <w:szCs w:val="22"/>
          <w:lang w:eastAsia="en-GB"/>
        </w:rPr>
        <w:t xml:space="preserve"> (Accessed: 18 June 2026).</w:t>
      </w:r>
    </w:p>
    <w:p w14:paraId="1BDE6D37" w14:textId="77777777"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Nuffield Trust (2024) </w:t>
      </w:r>
      <w:r w:rsidRPr="00DF157A">
        <w:rPr>
          <w:rFonts w:asciiTheme="majorHAnsi" w:hAnsiTheme="majorHAnsi"/>
          <w:i/>
          <w:iCs/>
          <w:sz w:val="22"/>
          <w:szCs w:val="22"/>
          <w:lang w:eastAsia="en-GB"/>
        </w:rPr>
        <w:t>Service users' experience of community mental health services</w:t>
      </w:r>
      <w:r w:rsidRPr="00DF157A">
        <w:rPr>
          <w:rFonts w:asciiTheme="majorHAnsi" w:hAnsiTheme="majorHAnsi"/>
          <w:sz w:val="22"/>
          <w:szCs w:val="22"/>
          <w:lang w:eastAsia="en-GB"/>
        </w:rPr>
        <w:t xml:space="preserve">. Available at: </w:t>
      </w:r>
      <w:hyperlink r:id="rId15" w:tgtFrame="_blank" w:history="1">
        <w:r w:rsidRPr="00DF157A">
          <w:rPr>
            <w:rFonts w:asciiTheme="majorHAnsi" w:hAnsiTheme="majorHAnsi"/>
            <w:color w:val="0000FF"/>
            <w:sz w:val="22"/>
            <w:szCs w:val="22"/>
            <w:u w:val="single"/>
            <w:lang w:eastAsia="en-GB"/>
          </w:rPr>
          <w:t>https://www.nuffieldtrust.org.uk/resource/service-users-experience-of-community-mental-health-services</w:t>
        </w:r>
      </w:hyperlink>
      <w:r w:rsidRPr="00DF157A">
        <w:rPr>
          <w:rFonts w:asciiTheme="majorHAnsi" w:hAnsiTheme="majorHAnsi"/>
          <w:sz w:val="22"/>
          <w:szCs w:val="22"/>
          <w:lang w:eastAsia="en-GB"/>
        </w:rPr>
        <w:t xml:space="preserve"> (Accessed: 18 June 2026).</w:t>
      </w:r>
    </w:p>
    <w:p w14:paraId="3F109C37" w14:textId="77777777"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Parliament UK (2025) </w:t>
      </w:r>
      <w:r w:rsidRPr="00DF157A">
        <w:rPr>
          <w:rFonts w:asciiTheme="majorHAnsi" w:hAnsiTheme="majorHAnsi"/>
          <w:i/>
          <w:iCs/>
          <w:sz w:val="22"/>
          <w:szCs w:val="22"/>
          <w:lang w:eastAsia="en-GB"/>
        </w:rPr>
        <w:t>Community Mental Health Services: Health and Social Care Committee Report</w:t>
      </w:r>
      <w:r w:rsidRPr="00DF157A">
        <w:rPr>
          <w:rFonts w:asciiTheme="majorHAnsi" w:hAnsiTheme="majorHAnsi"/>
          <w:sz w:val="22"/>
          <w:szCs w:val="22"/>
          <w:lang w:eastAsia="en-GB"/>
        </w:rPr>
        <w:t xml:space="preserve">. London: House of Commons. </w:t>
      </w:r>
    </w:p>
    <w:p w14:paraId="7B45BD86" w14:textId="77777777" w:rsidR="00D573BE" w:rsidRPr="00DF157A" w:rsidRDefault="00D573BE" w:rsidP="00D573BE">
      <w:pPr>
        <w:pStyle w:val="NoSpacing"/>
        <w:rPr>
          <w:rFonts w:asciiTheme="majorHAnsi" w:hAnsiTheme="majorHAnsi"/>
          <w:sz w:val="22"/>
          <w:szCs w:val="22"/>
          <w:lang w:eastAsia="en-GB"/>
        </w:rPr>
      </w:pPr>
      <w:r w:rsidRPr="00DF157A">
        <w:rPr>
          <w:rFonts w:asciiTheme="majorHAnsi" w:hAnsiTheme="majorHAnsi"/>
          <w:sz w:val="22"/>
          <w:szCs w:val="22"/>
          <w:lang w:eastAsia="en-GB"/>
        </w:rPr>
        <w:t xml:space="preserve">Rethink Mental Illness (2024) </w:t>
      </w:r>
      <w:r w:rsidRPr="00DF157A">
        <w:rPr>
          <w:rFonts w:asciiTheme="majorHAnsi" w:hAnsiTheme="majorHAnsi"/>
          <w:i/>
          <w:iCs/>
          <w:sz w:val="22"/>
          <w:szCs w:val="22"/>
          <w:lang w:eastAsia="en-GB"/>
        </w:rPr>
        <w:t>NHS Mental Health Teams: Community, crisis, and early intervention support</w:t>
      </w:r>
      <w:r w:rsidRPr="00DF157A">
        <w:rPr>
          <w:rFonts w:asciiTheme="majorHAnsi" w:hAnsiTheme="majorHAnsi"/>
          <w:sz w:val="22"/>
          <w:szCs w:val="22"/>
          <w:lang w:eastAsia="en-GB"/>
        </w:rPr>
        <w:t xml:space="preserve">. Available at: </w:t>
      </w:r>
      <w:hyperlink r:id="rId16" w:tgtFrame="_blank" w:history="1">
        <w:r w:rsidRPr="00DF157A">
          <w:rPr>
            <w:rFonts w:asciiTheme="majorHAnsi" w:hAnsiTheme="majorHAnsi"/>
            <w:color w:val="0000FF"/>
            <w:sz w:val="22"/>
            <w:szCs w:val="22"/>
            <w:u w:val="single"/>
            <w:lang w:eastAsia="en-GB"/>
          </w:rPr>
          <w:t>https://www.rethink.org</w:t>
        </w:r>
      </w:hyperlink>
      <w:r w:rsidRPr="00DF157A">
        <w:rPr>
          <w:rFonts w:asciiTheme="majorHAnsi" w:hAnsiTheme="majorHAnsi"/>
          <w:sz w:val="22"/>
          <w:szCs w:val="22"/>
          <w:lang w:eastAsia="en-GB"/>
        </w:rPr>
        <w:t xml:space="preserve"> (Accessed: 18 June 2026).</w:t>
      </w:r>
    </w:p>
    <w:p w14:paraId="1AC9801E" w14:textId="77777777" w:rsidR="00D573BE" w:rsidRPr="00DF157A" w:rsidRDefault="00D573BE" w:rsidP="00D573BE">
      <w:pPr>
        <w:pStyle w:val="NoSpacing"/>
        <w:rPr>
          <w:rFonts w:asciiTheme="majorHAnsi" w:hAnsiTheme="majorHAnsi"/>
          <w:sz w:val="22"/>
          <w:szCs w:val="22"/>
        </w:rPr>
      </w:pPr>
    </w:p>
    <w:p w14:paraId="091B448E" w14:textId="77777777" w:rsidR="00D573BE" w:rsidRPr="00DF157A" w:rsidRDefault="00D573BE" w:rsidP="00D573BE">
      <w:pPr>
        <w:pStyle w:val="NoSpacing"/>
        <w:rPr>
          <w:rFonts w:asciiTheme="majorHAnsi" w:hAnsiTheme="majorHAnsi"/>
          <w:sz w:val="22"/>
          <w:szCs w:val="22"/>
        </w:rPr>
      </w:pPr>
    </w:p>
    <w:p w14:paraId="21A83468" w14:textId="46651250" w:rsidR="000950D4" w:rsidRPr="00DF157A" w:rsidRDefault="00D573BE" w:rsidP="00D573BE">
      <w:pPr>
        <w:pStyle w:val="NoSpacing"/>
        <w:rPr>
          <w:rFonts w:asciiTheme="majorHAnsi" w:hAnsiTheme="majorHAnsi"/>
          <w:sz w:val="22"/>
          <w:szCs w:val="22"/>
        </w:rPr>
      </w:pPr>
      <w:r w:rsidRPr="00DF157A">
        <w:rPr>
          <w:rFonts w:asciiTheme="majorHAnsi" w:hAnsiTheme="majorHAnsi"/>
          <w:sz w:val="22"/>
          <w:szCs w:val="22"/>
        </w:rPr>
        <w:t xml:space="preserve"> </w:t>
      </w:r>
    </w:p>
    <w:sectPr w:rsidR="000950D4" w:rsidRPr="00DF157A" w:rsidSect="00FD570A">
      <w:footerReference w:type="default" r:id="rId17"/>
      <w:pgSz w:w="11906" w:h="16838"/>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F7127" w14:textId="77777777" w:rsidR="002D48FA" w:rsidRDefault="002D48FA" w:rsidP="00902AD7">
      <w:pPr>
        <w:spacing w:after="0" w:line="240" w:lineRule="auto"/>
      </w:pPr>
      <w:r>
        <w:separator/>
      </w:r>
    </w:p>
  </w:endnote>
  <w:endnote w:type="continuationSeparator" w:id="0">
    <w:p w14:paraId="0351530D" w14:textId="77777777" w:rsidR="002D48FA" w:rsidRDefault="002D48FA" w:rsidP="00902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924093"/>
      <w:docPartObj>
        <w:docPartGallery w:val="Page Numbers (Bottom of Page)"/>
        <w:docPartUnique/>
      </w:docPartObj>
    </w:sdtPr>
    <w:sdtEndPr/>
    <w:sdtContent>
      <w:p w14:paraId="786D2FE0" w14:textId="4203E60E" w:rsidR="00594ED6" w:rsidRDefault="00594ED6">
        <w:pPr>
          <w:pStyle w:val="Footer"/>
          <w:jc w:val="right"/>
        </w:pPr>
        <w:r>
          <w:fldChar w:fldCharType="begin"/>
        </w:r>
        <w:r>
          <w:instrText>PAGE   \* MERGEFORMAT</w:instrText>
        </w:r>
        <w:r>
          <w:fldChar w:fldCharType="separate"/>
        </w:r>
        <w:r>
          <w:t>2</w:t>
        </w:r>
        <w:r>
          <w:fldChar w:fldCharType="end"/>
        </w:r>
      </w:p>
    </w:sdtContent>
  </w:sdt>
  <w:p w14:paraId="01B52255" w14:textId="77777777" w:rsidR="00594ED6" w:rsidRDefault="00594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56DCB" w14:textId="77777777" w:rsidR="002D48FA" w:rsidRDefault="002D48FA" w:rsidP="00902AD7">
      <w:pPr>
        <w:spacing w:after="0" w:line="240" w:lineRule="auto"/>
      </w:pPr>
      <w:r>
        <w:separator/>
      </w:r>
    </w:p>
  </w:footnote>
  <w:footnote w:type="continuationSeparator" w:id="0">
    <w:p w14:paraId="1D806B7F" w14:textId="77777777" w:rsidR="002D48FA" w:rsidRDefault="002D48FA" w:rsidP="00902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73B8B"/>
    <w:multiLevelType w:val="hybridMultilevel"/>
    <w:tmpl w:val="0A585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20D33"/>
    <w:multiLevelType w:val="hybridMultilevel"/>
    <w:tmpl w:val="43FA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F3598"/>
    <w:multiLevelType w:val="multilevel"/>
    <w:tmpl w:val="6906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510E76"/>
    <w:multiLevelType w:val="hybridMultilevel"/>
    <w:tmpl w:val="35186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602945">
    <w:abstractNumId w:val="3"/>
  </w:num>
  <w:num w:numId="2" w16cid:durableId="1979602296">
    <w:abstractNumId w:val="1"/>
  </w:num>
  <w:num w:numId="3" w16cid:durableId="103624183">
    <w:abstractNumId w:val="0"/>
  </w:num>
  <w:num w:numId="4" w16cid:durableId="21062684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77B"/>
    <w:rsid w:val="000950D4"/>
    <w:rsid w:val="000B422E"/>
    <w:rsid w:val="00104F78"/>
    <w:rsid w:val="002D48FA"/>
    <w:rsid w:val="00491B1E"/>
    <w:rsid w:val="00565A31"/>
    <w:rsid w:val="00594ED6"/>
    <w:rsid w:val="006E2AB8"/>
    <w:rsid w:val="006E5F1C"/>
    <w:rsid w:val="007228F7"/>
    <w:rsid w:val="00827455"/>
    <w:rsid w:val="00902AD7"/>
    <w:rsid w:val="009979AB"/>
    <w:rsid w:val="00A134E8"/>
    <w:rsid w:val="00B027CF"/>
    <w:rsid w:val="00B10B83"/>
    <w:rsid w:val="00C14D7C"/>
    <w:rsid w:val="00CA63EF"/>
    <w:rsid w:val="00CD777B"/>
    <w:rsid w:val="00CF6B31"/>
    <w:rsid w:val="00D573BE"/>
    <w:rsid w:val="00DF157A"/>
    <w:rsid w:val="00E512EA"/>
    <w:rsid w:val="00FD5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A3C8D"/>
  <w15:chartTrackingRefBased/>
  <w15:docId w15:val="{DF7145BE-4169-4930-8557-B08FE6631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77B"/>
    <w:pPr>
      <w:keepNext/>
      <w:keepLines/>
      <w:spacing w:before="360" w:after="80"/>
      <w:outlineLvl w:val="0"/>
    </w:pPr>
    <w:rPr>
      <w:rFonts w:asciiTheme="majorHAnsi" w:eastAsiaTheme="majorEastAsia" w:hAnsiTheme="majorHAnsi" w:cstheme="majorBidi"/>
      <w:color w:val="864EA8" w:themeColor="accent1" w:themeShade="BF"/>
      <w:sz w:val="40"/>
      <w:szCs w:val="40"/>
    </w:rPr>
  </w:style>
  <w:style w:type="paragraph" w:styleId="Heading2">
    <w:name w:val="heading 2"/>
    <w:basedOn w:val="Normal"/>
    <w:next w:val="Normal"/>
    <w:link w:val="Heading2Char"/>
    <w:uiPriority w:val="9"/>
    <w:semiHidden/>
    <w:unhideWhenUsed/>
    <w:qFormat/>
    <w:rsid w:val="00CD777B"/>
    <w:pPr>
      <w:keepNext/>
      <w:keepLines/>
      <w:spacing w:before="160" w:after="80"/>
      <w:outlineLvl w:val="1"/>
    </w:pPr>
    <w:rPr>
      <w:rFonts w:asciiTheme="majorHAnsi" w:eastAsiaTheme="majorEastAsia" w:hAnsiTheme="majorHAnsi" w:cstheme="majorBidi"/>
      <w:color w:val="864EA8" w:themeColor="accent1" w:themeShade="BF"/>
      <w:sz w:val="32"/>
      <w:szCs w:val="32"/>
    </w:rPr>
  </w:style>
  <w:style w:type="paragraph" w:styleId="Heading3">
    <w:name w:val="heading 3"/>
    <w:basedOn w:val="Normal"/>
    <w:next w:val="Normal"/>
    <w:link w:val="Heading3Char"/>
    <w:uiPriority w:val="9"/>
    <w:semiHidden/>
    <w:unhideWhenUsed/>
    <w:qFormat/>
    <w:rsid w:val="00CD777B"/>
    <w:pPr>
      <w:keepNext/>
      <w:keepLines/>
      <w:spacing w:before="160" w:after="80"/>
      <w:outlineLvl w:val="2"/>
    </w:pPr>
    <w:rPr>
      <w:rFonts w:eastAsiaTheme="majorEastAsia" w:cstheme="majorBidi"/>
      <w:color w:val="864EA8" w:themeColor="accent1" w:themeShade="BF"/>
      <w:sz w:val="28"/>
      <w:szCs w:val="28"/>
    </w:rPr>
  </w:style>
  <w:style w:type="paragraph" w:styleId="Heading4">
    <w:name w:val="heading 4"/>
    <w:basedOn w:val="Normal"/>
    <w:next w:val="Normal"/>
    <w:link w:val="Heading4Char"/>
    <w:uiPriority w:val="9"/>
    <w:semiHidden/>
    <w:unhideWhenUsed/>
    <w:qFormat/>
    <w:rsid w:val="00CD777B"/>
    <w:pPr>
      <w:keepNext/>
      <w:keepLines/>
      <w:spacing w:before="80" w:after="40"/>
      <w:outlineLvl w:val="3"/>
    </w:pPr>
    <w:rPr>
      <w:rFonts w:eastAsiaTheme="majorEastAsia" w:cstheme="majorBidi"/>
      <w:i/>
      <w:iCs/>
      <w:color w:val="864EA8" w:themeColor="accent1" w:themeShade="BF"/>
    </w:rPr>
  </w:style>
  <w:style w:type="paragraph" w:styleId="Heading5">
    <w:name w:val="heading 5"/>
    <w:basedOn w:val="Normal"/>
    <w:next w:val="Normal"/>
    <w:link w:val="Heading5Char"/>
    <w:uiPriority w:val="9"/>
    <w:semiHidden/>
    <w:unhideWhenUsed/>
    <w:qFormat/>
    <w:rsid w:val="00CD777B"/>
    <w:pPr>
      <w:keepNext/>
      <w:keepLines/>
      <w:spacing w:before="80" w:after="40"/>
      <w:outlineLvl w:val="4"/>
    </w:pPr>
    <w:rPr>
      <w:rFonts w:eastAsiaTheme="majorEastAsia" w:cstheme="majorBidi"/>
      <w:color w:val="864EA8" w:themeColor="accent1" w:themeShade="BF"/>
    </w:rPr>
  </w:style>
  <w:style w:type="paragraph" w:styleId="Heading6">
    <w:name w:val="heading 6"/>
    <w:basedOn w:val="Normal"/>
    <w:next w:val="Normal"/>
    <w:link w:val="Heading6Char"/>
    <w:uiPriority w:val="9"/>
    <w:semiHidden/>
    <w:unhideWhenUsed/>
    <w:qFormat/>
    <w:rsid w:val="00CD7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77B"/>
    <w:rPr>
      <w:rFonts w:asciiTheme="majorHAnsi" w:eastAsiaTheme="majorEastAsia" w:hAnsiTheme="majorHAnsi" w:cstheme="majorBidi"/>
      <w:color w:val="864EA8" w:themeColor="accent1" w:themeShade="BF"/>
      <w:sz w:val="40"/>
      <w:szCs w:val="40"/>
    </w:rPr>
  </w:style>
  <w:style w:type="character" w:customStyle="1" w:styleId="Heading2Char">
    <w:name w:val="Heading 2 Char"/>
    <w:basedOn w:val="DefaultParagraphFont"/>
    <w:link w:val="Heading2"/>
    <w:uiPriority w:val="9"/>
    <w:semiHidden/>
    <w:rsid w:val="00CD777B"/>
    <w:rPr>
      <w:rFonts w:asciiTheme="majorHAnsi" w:eastAsiaTheme="majorEastAsia" w:hAnsiTheme="majorHAnsi" w:cstheme="majorBidi"/>
      <w:color w:val="864EA8" w:themeColor="accent1" w:themeShade="BF"/>
      <w:sz w:val="32"/>
      <w:szCs w:val="32"/>
    </w:rPr>
  </w:style>
  <w:style w:type="character" w:customStyle="1" w:styleId="Heading3Char">
    <w:name w:val="Heading 3 Char"/>
    <w:basedOn w:val="DefaultParagraphFont"/>
    <w:link w:val="Heading3"/>
    <w:uiPriority w:val="9"/>
    <w:semiHidden/>
    <w:rsid w:val="00CD777B"/>
    <w:rPr>
      <w:rFonts w:eastAsiaTheme="majorEastAsia" w:cstheme="majorBidi"/>
      <w:color w:val="864EA8" w:themeColor="accent1" w:themeShade="BF"/>
      <w:sz w:val="28"/>
      <w:szCs w:val="28"/>
    </w:rPr>
  </w:style>
  <w:style w:type="character" w:customStyle="1" w:styleId="Heading4Char">
    <w:name w:val="Heading 4 Char"/>
    <w:basedOn w:val="DefaultParagraphFont"/>
    <w:link w:val="Heading4"/>
    <w:uiPriority w:val="9"/>
    <w:semiHidden/>
    <w:rsid w:val="00CD777B"/>
    <w:rPr>
      <w:rFonts w:eastAsiaTheme="majorEastAsia" w:cstheme="majorBidi"/>
      <w:i/>
      <w:iCs/>
      <w:color w:val="864EA8" w:themeColor="accent1" w:themeShade="BF"/>
    </w:rPr>
  </w:style>
  <w:style w:type="character" w:customStyle="1" w:styleId="Heading5Char">
    <w:name w:val="Heading 5 Char"/>
    <w:basedOn w:val="DefaultParagraphFont"/>
    <w:link w:val="Heading5"/>
    <w:uiPriority w:val="9"/>
    <w:semiHidden/>
    <w:rsid w:val="00CD777B"/>
    <w:rPr>
      <w:rFonts w:eastAsiaTheme="majorEastAsia" w:cstheme="majorBidi"/>
      <w:color w:val="864EA8" w:themeColor="accent1" w:themeShade="BF"/>
    </w:rPr>
  </w:style>
  <w:style w:type="character" w:customStyle="1" w:styleId="Heading6Char">
    <w:name w:val="Heading 6 Char"/>
    <w:basedOn w:val="DefaultParagraphFont"/>
    <w:link w:val="Heading6"/>
    <w:uiPriority w:val="9"/>
    <w:semiHidden/>
    <w:rsid w:val="00CD7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77B"/>
    <w:rPr>
      <w:rFonts w:eastAsiaTheme="majorEastAsia" w:cstheme="majorBidi"/>
      <w:color w:val="272727" w:themeColor="text1" w:themeTint="D8"/>
    </w:rPr>
  </w:style>
  <w:style w:type="paragraph" w:styleId="Title">
    <w:name w:val="Title"/>
    <w:basedOn w:val="Normal"/>
    <w:next w:val="Normal"/>
    <w:link w:val="TitleChar"/>
    <w:uiPriority w:val="10"/>
    <w:qFormat/>
    <w:rsid w:val="00CD7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77B"/>
    <w:pPr>
      <w:spacing w:before="160"/>
      <w:jc w:val="center"/>
    </w:pPr>
    <w:rPr>
      <w:i/>
      <w:iCs/>
      <w:color w:val="404040" w:themeColor="text1" w:themeTint="BF"/>
    </w:rPr>
  </w:style>
  <w:style w:type="character" w:customStyle="1" w:styleId="QuoteChar">
    <w:name w:val="Quote Char"/>
    <w:basedOn w:val="DefaultParagraphFont"/>
    <w:link w:val="Quote"/>
    <w:uiPriority w:val="29"/>
    <w:rsid w:val="00CD777B"/>
    <w:rPr>
      <w:i/>
      <w:iCs/>
      <w:color w:val="404040" w:themeColor="text1" w:themeTint="BF"/>
    </w:rPr>
  </w:style>
  <w:style w:type="paragraph" w:styleId="ListParagraph">
    <w:name w:val="List Paragraph"/>
    <w:basedOn w:val="Normal"/>
    <w:uiPriority w:val="34"/>
    <w:qFormat/>
    <w:rsid w:val="00CD777B"/>
    <w:pPr>
      <w:ind w:left="720"/>
      <w:contextualSpacing/>
    </w:pPr>
  </w:style>
  <w:style w:type="character" w:styleId="IntenseEmphasis">
    <w:name w:val="Intense Emphasis"/>
    <w:basedOn w:val="DefaultParagraphFont"/>
    <w:uiPriority w:val="21"/>
    <w:qFormat/>
    <w:rsid w:val="00CD777B"/>
    <w:rPr>
      <w:i/>
      <w:iCs/>
      <w:color w:val="864EA8" w:themeColor="accent1" w:themeShade="BF"/>
    </w:rPr>
  </w:style>
  <w:style w:type="paragraph" w:styleId="IntenseQuote">
    <w:name w:val="Intense Quote"/>
    <w:basedOn w:val="Normal"/>
    <w:next w:val="Normal"/>
    <w:link w:val="IntenseQuoteChar"/>
    <w:uiPriority w:val="30"/>
    <w:qFormat/>
    <w:rsid w:val="00CD777B"/>
    <w:pPr>
      <w:pBdr>
        <w:top w:val="single" w:sz="4" w:space="10" w:color="864EA8" w:themeColor="accent1" w:themeShade="BF"/>
        <w:bottom w:val="single" w:sz="4" w:space="10" w:color="864EA8" w:themeColor="accent1" w:themeShade="BF"/>
      </w:pBdr>
      <w:spacing w:before="360" w:after="360"/>
      <w:ind w:left="864" w:right="864"/>
      <w:jc w:val="center"/>
    </w:pPr>
    <w:rPr>
      <w:i/>
      <w:iCs/>
      <w:color w:val="864EA8" w:themeColor="accent1" w:themeShade="BF"/>
    </w:rPr>
  </w:style>
  <w:style w:type="character" w:customStyle="1" w:styleId="IntenseQuoteChar">
    <w:name w:val="Intense Quote Char"/>
    <w:basedOn w:val="DefaultParagraphFont"/>
    <w:link w:val="IntenseQuote"/>
    <w:uiPriority w:val="30"/>
    <w:rsid w:val="00CD777B"/>
    <w:rPr>
      <w:i/>
      <w:iCs/>
      <w:color w:val="864EA8" w:themeColor="accent1" w:themeShade="BF"/>
    </w:rPr>
  </w:style>
  <w:style w:type="character" w:styleId="IntenseReference">
    <w:name w:val="Intense Reference"/>
    <w:basedOn w:val="DefaultParagraphFont"/>
    <w:uiPriority w:val="32"/>
    <w:qFormat/>
    <w:rsid w:val="00CD777B"/>
    <w:rPr>
      <w:b/>
      <w:bCs/>
      <w:smallCaps/>
      <w:color w:val="864EA8" w:themeColor="accent1" w:themeShade="BF"/>
      <w:spacing w:val="5"/>
    </w:rPr>
  </w:style>
  <w:style w:type="table" w:styleId="TableGrid">
    <w:name w:val="Table Grid"/>
    <w:basedOn w:val="TableNormal"/>
    <w:uiPriority w:val="39"/>
    <w:rsid w:val="00CD7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D777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6E5F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950D4"/>
    <w:rPr>
      <w:color w:val="69A020" w:themeColor="hyperlink"/>
      <w:u w:val="single"/>
    </w:rPr>
  </w:style>
  <w:style w:type="character" w:styleId="UnresolvedMention">
    <w:name w:val="Unresolved Mention"/>
    <w:basedOn w:val="DefaultParagraphFont"/>
    <w:uiPriority w:val="99"/>
    <w:semiHidden/>
    <w:unhideWhenUsed/>
    <w:rsid w:val="000950D4"/>
    <w:rPr>
      <w:color w:val="605E5C"/>
      <w:shd w:val="clear" w:color="auto" w:fill="E1DFDD"/>
    </w:rPr>
  </w:style>
  <w:style w:type="paragraph" w:styleId="Header">
    <w:name w:val="header"/>
    <w:basedOn w:val="Normal"/>
    <w:link w:val="HeaderChar"/>
    <w:uiPriority w:val="99"/>
    <w:unhideWhenUsed/>
    <w:rsid w:val="00902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AD7"/>
  </w:style>
  <w:style w:type="paragraph" w:styleId="Footer">
    <w:name w:val="footer"/>
    <w:basedOn w:val="Normal"/>
    <w:link w:val="FooterChar"/>
    <w:uiPriority w:val="99"/>
    <w:unhideWhenUsed/>
    <w:rsid w:val="00902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AD7"/>
  </w:style>
  <w:style w:type="paragraph" w:styleId="NoSpacing">
    <w:name w:val="No Spacing"/>
    <w:link w:val="NoSpacingChar"/>
    <w:uiPriority w:val="1"/>
    <w:qFormat/>
    <w:rsid w:val="00902AD7"/>
    <w:pPr>
      <w:spacing w:after="0" w:line="240" w:lineRule="auto"/>
    </w:pPr>
  </w:style>
  <w:style w:type="character" w:customStyle="1" w:styleId="NoSpacingChar">
    <w:name w:val="No Spacing Char"/>
    <w:basedOn w:val="DefaultParagraphFont"/>
    <w:link w:val="NoSpacing"/>
    <w:uiPriority w:val="1"/>
    <w:rsid w:val="00FD5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pharmaceutical-journal.com%2F&amp;data=05%7C02%7C2521133%40student.uwtsd.ac.uk%7C683d8863723c4bd6363f08decd593d5e%7C4e0f11f9046e45059cb8db2152311e21%7C0%7C0%7C639173980325902728%7CUnknown%7CTWFpbGZsb3d8eyJFbXB0eU1hcGkiOnRydWUsIlYiOiIwLjAuMDAwMCIsIlAiOiJXaW4zMiIsIkFOIjoiTWFpbCIsIldUIjoyfQ%3D%3D%7C0%7C%7C%7C&amp;sdata=DUDtPNy%2BXjXoi5nRzaPgrPkiRiqadqdMGiYCPNyC7T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ogle.com/search?q=https%3A%2F%2Fwww.rethink.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nuffieldtrust.org.uk/resource/service-users-experience-of-community-mental-health-service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ngland.nhs.uk/mental-health/adults/cmhs/" TargetMode="Externa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84cdc675731f7c56c0d8e0915ff781b">
  <xsd:schema xmlns:xsd="http://www.w3.org/2001/XMLSchema" xmlns:xs="http://www.w3.org/2001/XMLSchema" xmlns:p="http://schemas.microsoft.com/office/2006/metadata/properties" xmlns:ns3="901b7179-a49d-4669-ab88-101a0e80079b" targetNamespace="http://schemas.microsoft.com/office/2006/metadata/properties" ma:root="true" ma:fieldsID="e72a602d25dcb1494f9df5efbc384684"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5D7AB-D554-436A-A234-179415FF0D46}">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E1E4D49B-060E-491E-9EF0-9E31458C6F50}">
  <ds:schemaRefs>
    <ds:schemaRef ds:uri="http://schemas.microsoft.com/sharepoint/v3/contenttype/forms"/>
  </ds:schemaRefs>
</ds:datastoreItem>
</file>

<file path=customXml/itemProps3.xml><?xml version="1.0" encoding="utf-8"?>
<ds:datastoreItem xmlns:ds="http://schemas.openxmlformats.org/officeDocument/2006/customXml" ds:itemID="{0A189602-8417-448B-8F45-F81A56F27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1713</Words>
  <Characters>9769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Nawaz (2521133)</dc:creator>
  <cp:keywords/>
  <dc:description/>
  <cp:lastModifiedBy>Maria Nawaz (2521133)</cp:lastModifiedBy>
  <cp:revision>2</cp:revision>
  <dcterms:created xsi:type="dcterms:W3CDTF">2026-06-21T17:10:00Z</dcterms:created>
  <dcterms:modified xsi:type="dcterms:W3CDTF">2026-06-21T17:10:00Z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