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Pr="00D654C0" w:rsidR="001B1A4E" w:rsidP="545238BC" w:rsidRDefault="00A2126F" w14:paraId="0B76D90C" wp14:textId="7A05CAAC">
      <w:pPr>
        <w:pStyle w:val="Title"/>
        <w:spacing w:after="0"/>
        <w:jc w:val="both"/>
        <w:rPr>
          <w:color w:val="auto"/>
        </w:rPr>
      </w:pPr>
      <w:r w:rsidRPr="545238BC" w:rsidR="00A2126F">
        <w:rPr>
          <w:color w:val="auto"/>
        </w:rPr>
        <w:t xml:space="preserve">Leading and implementing workplace change </w:t>
      </w:r>
      <w:bookmarkStart w:name="_heading=h.30j0zll" w:id="1"/>
      <w:bookmarkEnd w:id="1"/>
    </w:p>
    <w:p xmlns:wp14="http://schemas.microsoft.com/office/word/2010/wordml" w:rsidRPr="00D654C0" w:rsidR="001B1A4E" w:rsidP="545238BC" w:rsidRDefault="00A2126F" w14:paraId="20D9773F" wp14:textId="1996E57F">
      <w:pPr>
        <w:pStyle w:val="Title"/>
        <w:spacing w:after="0"/>
        <w:jc w:val="both"/>
        <w:rPr>
          <w:color w:val="auto"/>
        </w:rPr>
      </w:pPr>
      <w:r w:rsidRPr="545238BC" w:rsidR="00A2126F">
        <w:rPr>
          <w:color w:val="auto"/>
        </w:rPr>
        <w:t>Module c</w:t>
      </w:r>
      <w:bookmarkStart w:name="_GoBack" w:id="2"/>
      <w:bookmarkEnd w:id="2"/>
      <w:r w:rsidRPr="545238BC" w:rsidR="00A2126F">
        <w:rPr>
          <w:color w:val="auto"/>
        </w:rPr>
        <w:t xml:space="preserve">ode: BMSW6103 </w:t>
      </w:r>
      <w:bookmarkStart w:name="_heading=h.1fob9te" w:id="3"/>
      <w:bookmarkEnd w:id="3"/>
    </w:p>
    <w:p xmlns:wp14="http://schemas.microsoft.com/office/word/2010/wordml" w:rsidRPr="00D654C0" w:rsidR="001B1A4E" w:rsidP="545238BC" w:rsidRDefault="00A2126F" w14:paraId="41317E7F" wp14:textId="061DCEB4">
      <w:pPr>
        <w:pStyle w:val="Title"/>
        <w:spacing w:after="0"/>
        <w:jc w:val="both"/>
        <w:rPr>
          <w:color w:val="auto"/>
        </w:rPr>
      </w:pPr>
      <w:r w:rsidRPr="545238BC" w:rsidR="00A2126F">
        <w:rPr>
          <w:color w:val="auto"/>
        </w:rPr>
        <w:t>Assignment Title: Change Management Portfolio</w:t>
      </w:r>
    </w:p>
    <w:p w:rsidR="545238BC" w:rsidP="545238BC" w:rsidRDefault="545238BC" w14:paraId="2D4EE7D4" w14:textId="11B3BDAB">
      <w:pPr>
        <w:pStyle w:val="Normal"/>
        <w:rPr>
          <w:b w:val="1"/>
          <w:bCs w:val="1"/>
          <w:color w:val="auto"/>
          <w:sz w:val="36"/>
          <w:szCs w:val="36"/>
        </w:rPr>
      </w:pPr>
      <w:r w:rsidRPr="545238BC" w:rsidR="545238BC">
        <w:rPr>
          <w:b w:val="1"/>
          <w:bCs w:val="1"/>
          <w:color w:val="auto"/>
          <w:sz w:val="36"/>
          <w:szCs w:val="36"/>
        </w:rPr>
        <w:t>Student: Rashid Ali (1912549)</w:t>
      </w:r>
    </w:p>
    <w:p w:rsidR="545238BC" w:rsidP="545238BC" w:rsidRDefault="545238BC" w14:paraId="7BE75EEE" w14:textId="101E0B8F">
      <w:pPr>
        <w:pStyle w:val="Normal"/>
        <w:rPr>
          <w:b w:val="1"/>
          <w:bCs w:val="1"/>
          <w:color w:val="auto"/>
          <w:sz w:val="36"/>
          <w:szCs w:val="36"/>
        </w:rPr>
      </w:pPr>
      <w:r w:rsidRPr="545238BC" w:rsidR="545238BC">
        <w:rPr>
          <w:b w:val="1"/>
          <w:bCs w:val="1"/>
          <w:color w:val="auto"/>
          <w:sz w:val="36"/>
          <w:szCs w:val="36"/>
        </w:rPr>
        <w:t>Lecturer: Nauman Ali</w:t>
      </w:r>
    </w:p>
    <w:p xmlns:wp14="http://schemas.microsoft.com/office/word/2010/wordml" w:rsidRPr="00D654C0" w:rsidR="001B1A4E" w:rsidRDefault="001B1A4E" w14:paraId="672A6659" wp14:textId="77777777">
      <w:pPr>
        <w:pBdr>
          <w:top w:val="nil"/>
          <w:left w:val="nil"/>
          <w:bottom w:val="nil"/>
          <w:right w:val="nil"/>
          <w:between w:val="nil"/>
        </w:pBdr>
        <w:rPr>
          <w:color w:val="auto"/>
        </w:rPr>
      </w:pPr>
    </w:p>
    <w:p xmlns:wp14="http://schemas.microsoft.com/office/word/2010/wordml" w:rsidRPr="00D654C0" w:rsidR="001B1A4E" w:rsidRDefault="00A2126F" w14:paraId="0A37501D" wp14:textId="77777777">
      <w:pPr>
        <w:pStyle w:val="Heading1"/>
        <w:rPr>
          <w:color w:val="auto"/>
        </w:rPr>
      </w:pPr>
      <w:bookmarkStart w:name="_heading=h.3znysh7" w:colFirst="0" w:colLast="0" w:id="4"/>
      <w:bookmarkEnd w:id="4"/>
      <w:r w:rsidRPr="00D654C0">
        <w:rPr>
          <w:color w:val="auto"/>
        </w:rPr>
        <w:br w:type="page"/>
      </w:r>
    </w:p>
    <w:bookmarkStart w:name="_heading=h.2et92p0" w:colFirst="0" w:colLast="0" w:displacedByCustomXml="next" w:id="5"/>
    <w:bookmarkEnd w:displacedByCustomXml="next" w:id="5"/>
    <w:sdt>
      <w:sdtPr>
        <w:id w:val="1134888626"/>
        <w:docPartObj>
          <w:docPartGallery w:val="Table of Contents"/>
          <w:docPartUnique/>
        </w:docPartObj>
      </w:sdtPr>
      <w:sdtContent>
        <w:p xmlns:wp14="http://schemas.microsoft.com/office/word/2010/wordml" w:rsidRPr="00D654C0" w:rsidR="00335B25" w:rsidP="00335B25" w:rsidRDefault="00335B25" w14:paraId="22E0FC93" wp14:textId="77777777">
          <w:pPr>
            <w:pStyle w:val="TOCHeading"/>
            <w:jc w:val="center"/>
            <w:rPr>
              <w:color w:val="auto"/>
            </w:rPr>
          </w:pPr>
          <w:r w:rsidRPr="545238BC" w:rsidR="00335B25">
            <w:rPr>
              <w:color w:val="auto"/>
              <w:sz w:val="28"/>
              <w:szCs w:val="28"/>
            </w:rPr>
            <w:t>Table of Contents</w:t>
          </w:r>
        </w:p>
        <w:p xmlns:wp14="http://schemas.microsoft.com/office/word/2010/wordml" w:rsidRPr="00D654C0" w:rsidR="00335B25" w:rsidP="545238BC" w:rsidRDefault="00335B25" w14:paraId="75AEBE3D" wp14:textId="51376C33">
          <w:pPr>
            <w:pStyle w:val="TOC1"/>
            <w:tabs>
              <w:tab w:val="right" w:leader="dot" w:pos="9360"/>
            </w:tabs>
            <w:rPr>
              <w:noProof/>
              <w:color w:val="000000" w:themeColor="text1" w:themeTint="FF" w:themeShade="FF"/>
            </w:rPr>
          </w:pPr>
          <w:r>
            <w:fldChar w:fldCharType="begin"/>
          </w:r>
          <w:r>
            <w:instrText xml:space="preserve">TOC \o "1-3" \h \z \u</w:instrText>
          </w:r>
          <w:r>
            <w:fldChar w:fldCharType="separate"/>
          </w:r>
          <w:hyperlink w:anchor="_Toc132301713">
            <w:r w:rsidRPr="545238BC" w:rsidR="545238BC">
              <w:rPr>
                <w:rStyle w:val="Hyperlink"/>
              </w:rPr>
              <w:t>1. Introduction</w:t>
            </w:r>
            <w:r>
              <w:tab/>
            </w:r>
            <w:r>
              <w:fldChar w:fldCharType="begin"/>
            </w:r>
            <w:r>
              <w:instrText xml:space="preserve">PAGEREF _Toc132301713 \h</w:instrText>
            </w:r>
            <w:r>
              <w:fldChar w:fldCharType="separate"/>
            </w:r>
            <w:r w:rsidRPr="545238BC" w:rsidR="545238BC">
              <w:rPr>
                <w:rStyle w:val="Hyperlink"/>
              </w:rPr>
              <w:t>2</w:t>
            </w:r>
            <w:r>
              <w:fldChar w:fldCharType="end"/>
            </w:r>
          </w:hyperlink>
        </w:p>
        <w:p xmlns:wp14="http://schemas.microsoft.com/office/word/2010/wordml" w:rsidRPr="00D654C0" w:rsidR="00335B25" w:rsidP="545238BC" w:rsidRDefault="00C073F1" w14:paraId="441C91D0" wp14:textId="44CBA3F9">
          <w:pPr>
            <w:pStyle w:val="TOC1"/>
            <w:tabs>
              <w:tab w:val="right" w:leader="dot" w:pos="9360"/>
            </w:tabs>
            <w:rPr>
              <w:noProof/>
              <w:color w:val="000000" w:themeColor="text1" w:themeTint="FF" w:themeShade="FF"/>
            </w:rPr>
          </w:pPr>
          <w:hyperlink w:anchor="_Toc2003366262">
            <w:r w:rsidRPr="545238BC" w:rsidR="545238BC">
              <w:rPr>
                <w:rStyle w:val="Hyperlink"/>
              </w:rPr>
              <w:t>2. Question 1. “Critically evaluate the meaning of organisation power and politics and explain how these are manifested in the case”</w:t>
            </w:r>
            <w:r>
              <w:tab/>
            </w:r>
            <w:r>
              <w:fldChar w:fldCharType="begin"/>
            </w:r>
            <w:r>
              <w:instrText xml:space="preserve">PAGEREF _Toc2003366262 \h</w:instrText>
            </w:r>
            <w:r>
              <w:fldChar w:fldCharType="separate"/>
            </w:r>
            <w:r w:rsidRPr="545238BC" w:rsidR="545238BC">
              <w:rPr>
                <w:rStyle w:val="Hyperlink"/>
              </w:rPr>
              <w:t>3</w:t>
            </w:r>
            <w:r>
              <w:fldChar w:fldCharType="end"/>
            </w:r>
          </w:hyperlink>
        </w:p>
        <w:p xmlns:wp14="http://schemas.microsoft.com/office/word/2010/wordml" w:rsidRPr="00D654C0" w:rsidR="00335B25" w:rsidP="545238BC" w:rsidRDefault="00C073F1" w14:paraId="619325A0" wp14:textId="0034BBDA">
          <w:pPr>
            <w:pStyle w:val="TOC1"/>
            <w:tabs>
              <w:tab w:val="right" w:leader="dot" w:pos="9360"/>
            </w:tabs>
            <w:rPr>
              <w:noProof/>
              <w:color w:val="000000" w:themeColor="text1" w:themeTint="FF" w:themeShade="FF"/>
            </w:rPr>
          </w:pPr>
          <w:hyperlink w:anchor="_Toc1430163165">
            <w:r w:rsidRPr="545238BC" w:rsidR="545238BC">
              <w:rPr>
                <w:rStyle w:val="Hyperlink"/>
              </w:rPr>
              <w:t>3. Question 2: “Using two relevant stakeholder analysis model, critically identify the stakeholders and explain how your chosen model are interrelated in the evaluation of critical stakeholders”</w:t>
            </w:r>
            <w:r>
              <w:tab/>
            </w:r>
            <w:r>
              <w:fldChar w:fldCharType="begin"/>
            </w:r>
            <w:r>
              <w:instrText xml:space="preserve">PAGEREF _Toc1430163165 \h</w:instrText>
            </w:r>
            <w:r>
              <w:fldChar w:fldCharType="separate"/>
            </w:r>
            <w:r w:rsidRPr="545238BC" w:rsidR="545238BC">
              <w:rPr>
                <w:rStyle w:val="Hyperlink"/>
              </w:rPr>
              <w:t>5</w:t>
            </w:r>
            <w:r>
              <w:fldChar w:fldCharType="end"/>
            </w:r>
          </w:hyperlink>
        </w:p>
        <w:p xmlns:wp14="http://schemas.microsoft.com/office/word/2010/wordml" w:rsidRPr="00D654C0" w:rsidR="00335B25" w:rsidP="545238BC" w:rsidRDefault="00C073F1" w14:paraId="0C070CE5" wp14:textId="72C6DC08">
          <w:pPr>
            <w:pStyle w:val="TOC1"/>
            <w:tabs>
              <w:tab w:val="right" w:leader="dot" w:pos="9360"/>
            </w:tabs>
            <w:rPr>
              <w:noProof/>
              <w:color w:val="000000" w:themeColor="text1" w:themeTint="FF" w:themeShade="FF"/>
            </w:rPr>
          </w:pPr>
          <w:hyperlink w:anchor="_Toc1289491487">
            <w:r w:rsidRPr="545238BC" w:rsidR="545238BC">
              <w:rPr>
                <w:rStyle w:val="Hyperlink"/>
              </w:rPr>
              <w:t>4. Question 3: “Reflecting on Thomas Kilman’s Conflict resolution model, critically evaluate the different conflict resolution approaches and suggest the appropriate approach for resolving the Conflict”</w:t>
            </w:r>
            <w:r>
              <w:tab/>
            </w:r>
            <w:r>
              <w:fldChar w:fldCharType="begin"/>
            </w:r>
            <w:r>
              <w:instrText xml:space="preserve">PAGEREF _Toc1289491487 \h</w:instrText>
            </w:r>
            <w:r>
              <w:fldChar w:fldCharType="separate"/>
            </w:r>
            <w:r w:rsidRPr="545238BC" w:rsidR="545238BC">
              <w:rPr>
                <w:rStyle w:val="Hyperlink"/>
              </w:rPr>
              <w:t>12</w:t>
            </w:r>
            <w:r>
              <w:fldChar w:fldCharType="end"/>
            </w:r>
          </w:hyperlink>
        </w:p>
        <w:p xmlns:wp14="http://schemas.microsoft.com/office/word/2010/wordml" w:rsidRPr="00D654C0" w:rsidR="00335B25" w:rsidP="545238BC" w:rsidRDefault="00C073F1" w14:paraId="78D94F34" wp14:textId="4BDB462F">
          <w:pPr>
            <w:pStyle w:val="TOC1"/>
            <w:tabs>
              <w:tab w:val="right" w:leader="dot" w:pos="9360"/>
            </w:tabs>
            <w:rPr>
              <w:noProof/>
              <w:color w:val="000000" w:themeColor="text1" w:themeTint="FF" w:themeShade="FF"/>
            </w:rPr>
          </w:pPr>
          <w:hyperlink w:anchor="_Toc2091334053">
            <w:r w:rsidRPr="545238BC" w:rsidR="545238BC">
              <w:rPr>
                <w:rStyle w:val="Hyperlink"/>
              </w:rPr>
              <w:t>References</w:t>
            </w:r>
            <w:r>
              <w:tab/>
            </w:r>
            <w:r>
              <w:fldChar w:fldCharType="begin"/>
            </w:r>
            <w:r>
              <w:instrText xml:space="preserve">PAGEREF _Toc2091334053 \h</w:instrText>
            </w:r>
            <w:r>
              <w:fldChar w:fldCharType="separate"/>
            </w:r>
            <w:r w:rsidRPr="545238BC" w:rsidR="545238BC">
              <w:rPr>
                <w:rStyle w:val="Hyperlink"/>
              </w:rPr>
              <w:t>17</w:t>
            </w:r>
            <w:r>
              <w:fldChar w:fldCharType="end"/>
            </w:r>
          </w:hyperlink>
          <w:r>
            <w:fldChar w:fldCharType="end"/>
          </w:r>
        </w:p>
      </w:sdtContent>
    </w:sdt>
    <w:p xmlns:wp14="http://schemas.microsoft.com/office/word/2010/wordml" w:rsidRPr="00D654C0" w:rsidR="00335B25" w:rsidRDefault="00335B25" w14:paraId="5DAB6C7B" wp14:textId="77777777">
      <w:pPr>
        <w:rPr>
          <w:color w:val="auto"/>
        </w:rPr>
      </w:pPr>
    </w:p>
    <w:p xmlns:wp14="http://schemas.microsoft.com/office/word/2010/wordml" w:rsidRPr="00D654C0" w:rsidR="001B1A4E" w:rsidRDefault="001B1A4E" w14:paraId="02EB378F" wp14:textId="77777777">
      <w:pPr>
        <w:rPr>
          <w:color w:val="auto"/>
        </w:rPr>
      </w:pPr>
    </w:p>
    <w:p xmlns:wp14="http://schemas.microsoft.com/office/word/2010/wordml" w:rsidRPr="00D654C0" w:rsidR="001B1A4E" w:rsidRDefault="001B1A4E" w14:paraId="6A05A809" wp14:textId="77777777">
      <w:pPr>
        <w:rPr>
          <w:color w:val="auto"/>
        </w:rPr>
      </w:pPr>
    </w:p>
    <w:p xmlns:wp14="http://schemas.microsoft.com/office/word/2010/wordml" w:rsidRPr="00D654C0" w:rsidR="001B1A4E" w:rsidRDefault="00A2126F" w14:paraId="5A39BBE3" wp14:textId="77777777">
      <w:pPr>
        <w:rPr>
          <w:b/>
          <w:color w:val="auto"/>
          <w:sz w:val="32"/>
          <w:szCs w:val="32"/>
        </w:rPr>
      </w:pPr>
      <w:r w:rsidRPr="00D654C0">
        <w:rPr>
          <w:color w:val="auto"/>
        </w:rPr>
        <w:br w:type="page"/>
      </w:r>
    </w:p>
    <w:p xmlns:wp14="http://schemas.microsoft.com/office/word/2010/wordml" w:rsidRPr="00D654C0" w:rsidR="001B1A4E" w:rsidP="545238BC" w:rsidRDefault="00A2126F" w14:paraId="32A36C38" wp14:textId="77777777">
      <w:pPr>
        <w:pStyle w:val="Heading1"/>
        <w:rPr>
          <w:rFonts w:ascii="Arial Nova" w:hAnsi="Arial Nova" w:eastAsia="Arial Nova" w:cs="Arial Nova"/>
          <w:color w:val="00B0F0"/>
          <w:sz w:val="24"/>
          <w:szCs w:val="24"/>
          <w:u w:val="single"/>
        </w:rPr>
      </w:pPr>
      <w:bookmarkStart w:name="_heading=h.tyjcwt" w:id="6"/>
      <w:bookmarkEnd w:id="6"/>
      <w:bookmarkStart w:name="_Toc132301713" w:id="1272512725"/>
      <w:r w:rsidRPr="545238BC" w:rsidR="00A2126F">
        <w:rPr>
          <w:rFonts w:ascii="Arial Nova" w:hAnsi="Arial Nova" w:eastAsia="Arial Nova" w:cs="Arial Nova"/>
          <w:color w:val="00B0F0"/>
          <w:sz w:val="24"/>
          <w:szCs w:val="24"/>
          <w:u w:val="single"/>
        </w:rPr>
        <w:t>1. Introduction</w:t>
      </w:r>
      <w:bookmarkEnd w:id="1272512725"/>
    </w:p>
    <w:p xmlns:wp14="http://schemas.microsoft.com/office/word/2010/wordml" w:rsidRPr="00D654C0" w:rsidR="001B1A4E" w:rsidP="545238BC" w:rsidRDefault="00A2126F" w14:paraId="02D34BEB" wp14:textId="6214E269">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This report will discuss about power and politics in an organisation. Here the report will include the debate on power and politics within </w:t>
      </w:r>
      <w:r w:rsidRPr="545238BC" w:rsidR="00A2126F">
        <w:rPr>
          <w:rFonts w:ascii="Arial Nova" w:hAnsi="Arial Nova" w:eastAsia="Arial Nova" w:cs="Arial Nova"/>
          <w:color w:val="auto"/>
          <w:sz w:val="22"/>
          <w:szCs w:val="22"/>
        </w:rPr>
        <w:t>an</w:t>
      </w:r>
      <w:r w:rsidRPr="545238BC" w:rsidR="00A2126F">
        <w:rPr>
          <w:rFonts w:ascii="Arial Nova" w:hAnsi="Arial Nova" w:eastAsia="Arial Nova" w:cs="Arial Nova"/>
          <w:color w:val="auto"/>
          <w:sz w:val="22"/>
          <w:szCs w:val="22"/>
        </w:rPr>
        <w:t xml:space="preserve"> organisation where it will discuss the points and align it with the case study based on the conflict between 114 Crown Post Office and its employees who are members of a Communication Workers Union </w:t>
      </w:r>
      <w:r w:rsidRPr="545238BC" w:rsidR="00A2126F">
        <w:rPr>
          <w:rFonts w:ascii="Arial Nova" w:hAnsi="Arial Nova" w:eastAsia="Arial Nova" w:cs="Arial Nova"/>
          <w:color w:val="auto"/>
          <w:sz w:val="22"/>
          <w:szCs w:val="22"/>
        </w:rPr>
        <w:t>regarding</w:t>
      </w:r>
      <w:r w:rsidRPr="545238BC" w:rsidR="00A2126F">
        <w:rPr>
          <w:rFonts w:ascii="Arial Nova" w:hAnsi="Arial Nova" w:eastAsia="Arial Nova" w:cs="Arial Nova"/>
          <w:color w:val="auto"/>
          <w:sz w:val="22"/>
          <w:szCs w:val="22"/>
        </w:rPr>
        <w:t xml:space="preserve"> pay freeze in 2021-22. An in-depth explanation </w:t>
      </w:r>
      <w:r w:rsidRPr="545238BC" w:rsidR="00A2126F">
        <w:rPr>
          <w:rFonts w:ascii="Arial Nova" w:hAnsi="Arial Nova" w:eastAsia="Arial Nova" w:cs="Arial Nova"/>
          <w:color w:val="auto"/>
          <w:sz w:val="22"/>
          <w:szCs w:val="22"/>
        </w:rPr>
        <w:t>regarding</w:t>
      </w:r>
      <w:r w:rsidRPr="545238BC" w:rsidR="00A2126F">
        <w:rPr>
          <w:rFonts w:ascii="Arial Nova" w:hAnsi="Arial Nova" w:eastAsia="Arial Nova" w:cs="Arial Nova"/>
          <w:color w:val="auto"/>
          <w:sz w:val="22"/>
          <w:szCs w:val="22"/>
        </w:rPr>
        <w:t xml:space="preserve"> organisational power and politics will be given within this report. </w:t>
      </w:r>
      <w:r w:rsidRPr="545238BC" w:rsidR="00A2126F">
        <w:rPr>
          <w:rFonts w:ascii="Arial Nova" w:hAnsi="Arial Nova" w:eastAsia="Arial Nova" w:cs="Arial Nova"/>
          <w:color w:val="auto"/>
          <w:sz w:val="22"/>
          <w:szCs w:val="22"/>
        </w:rPr>
        <w:t xml:space="preserve">The second part of the report includes the discussion on Two stakeholder models namely, </w:t>
      </w:r>
      <w:r w:rsidRPr="545238BC" w:rsidR="00A2126F">
        <w:rPr>
          <w:rFonts w:ascii="Arial Nova" w:hAnsi="Arial Nova" w:eastAsia="Arial Nova" w:cs="Arial Nova"/>
          <w:color w:val="auto"/>
          <w:sz w:val="22"/>
          <w:szCs w:val="22"/>
        </w:rPr>
        <w:t xml:space="preserve">the Salience model along with the Power-interest matrix model which will be applied to the said case study. Moreover, the report will include stakeholder analysis </w:t>
      </w:r>
      <w:r w:rsidRPr="545238BC" w:rsidR="00A2126F">
        <w:rPr>
          <w:rFonts w:ascii="Arial Nova" w:hAnsi="Arial Nova" w:eastAsia="Arial Nova" w:cs="Arial Nova"/>
          <w:color w:val="auto"/>
          <w:sz w:val="22"/>
          <w:szCs w:val="22"/>
        </w:rPr>
        <w:t>and</w:t>
      </w:r>
      <w:r w:rsidRPr="545238BC" w:rsidR="00A2126F">
        <w:rPr>
          <w:rFonts w:ascii="Arial Nova" w:hAnsi="Arial Nova" w:eastAsia="Arial Nova" w:cs="Arial Nova"/>
          <w:color w:val="auto"/>
          <w:sz w:val="22"/>
          <w:szCs w:val="22"/>
        </w:rPr>
        <w:t xml:space="preserve"> the limitations of the two models along with the discussion about Thomas Kilman’s conflict resolution model </w:t>
      </w:r>
      <w:r w:rsidRPr="545238BC" w:rsidR="00A2126F">
        <w:rPr>
          <w:rFonts w:ascii="Arial Nova" w:hAnsi="Arial Nova" w:eastAsia="Arial Nova" w:cs="Arial Nova"/>
          <w:color w:val="auto"/>
          <w:sz w:val="22"/>
          <w:szCs w:val="22"/>
        </w:rPr>
        <w:t>and</w:t>
      </w:r>
      <w:r w:rsidRPr="545238BC" w:rsidR="00A2126F">
        <w:rPr>
          <w:rFonts w:ascii="Arial Nova" w:hAnsi="Arial Nova" w:eastAsia="Arial Nova" w:cs="Arial Nova"/>
          <w:color w:val="auto"/>
          <w:sz w:val="22"/>
          <w:szCs w:val="22"/>
        </w:rPr>
        <w:t xml:space="preserve"> the Alternative Dispute Resolution model (ADR) and how these models can help to minimise conflicts between organisations and active bodies. R</w:t>
      </w:r>
      <w:r w:rsidRPr="545238BC" w:rsidR="00A2126F">
        <w:rPr>
          <w:rFonts w:ascii="Arial Nova" w:hAnsi="Arial Nova" w:eastAsia="Arial Nova" w:cs="Arial Nova"/>
          <w:color w:val="auto"/>
          <w:sz w:val="22"/>
          <w:szCs w:val="22"/>
        </w:rPr>
        <w:t>ecommendations for implementation by all bodies involved will be made based on the above-mentioned conflict resolution models.</w:t>
      </w:r>
    </w:p>
    <w:p xmlns:wp14="http://schemas.microsoft.com/office/word/2010/wordml" w:rsidRPr="00D654C0" w:rsidR="001B1A4E" w:rsidP="545238BC" w:rsidRDefault="00A2126F" w14:paraId="5F7507AB" wp14:textId="4117CDA9">
      <w:pPr>
        <w:pStyle w:val="Heading1"/>
        <w:rPr>
          <w:rFonts w:ascii="Arial Nova" w:hAnsi="Arial Nova" w:eastAsia="Arial Nova" w:cs="Arial Nova"/>
          <w:color w:val="00B0F0"/>
          <w:sz w:val="22"/>
          <w:szCs w:val="22"/>
        </w:rPr>
      </w:pPr>
      <w:bookmarkStart w:name="_heading=h.3dy6vkm" w:id="8"/>
      <w:bookmarkEnd w:id="8"/>
      <w:bookmarkStart w:name="_Toc2003366262" w:id="1290487009"/>
      <w:r w:rsidRPr="545238BC" w:rsidR="00A2126F">
        <w:rPr>
          <w:rFonts w:ascii="Arial Nova" w:hAnsi="Arial Nova" w:eastAsia="Arial Nova" w:cs="Arial Nova"/>
          <w:color w:val="00B0F0"/>
          <w:sz w:val="22"/>
          <w:szCs w:val="22"/>
        </w:rPr>
        <w:t>2. Question 1. “</w:t>
      </w:r>
      <w:r w:rsidRPr="545238BC" w:rsidR="00A2126F">
        <w:rPr>
          <w:rFonts w:ascii="Arial Nova" w:hAnsi="Arial Nova" w:eastAsia="Arial Nova" w:cs="Arial Nova"/>
          <w:color w:val="00B0F0"/>
          <w:sz w:val="22"/>
          <w:szCs w:val="22"/>
        </w:rPr>
        <w:t>Critically</w:t>
      </w:r>
      <w:r w:rsidRPr="545238BC" w:rsidR="00A2126F">
        <w:rPr>
          <w:rFonts w:ascii="Arial Nova" w:hAnsi="Arial Nova" w:eastAsia="Arial Nova" w:cs="Arial Nova"/>
          <w:color w:val="00B0F0"/>
          <w:sz w:val="22"/>
          <w:szCs w:val="22"/>
        </w:rPr>
        <w:t xml:space="preserve"> evaluate the meaning of organisation power and politics and explain how these are manifested in the case”</w:t>
      </w:r>
      <w:bookmarkEnd w:id="1290487009"/>
    </w:p>
    <w:p w:rsidR="545238BC" w:rsidP="545238BC" w:rsidRDefault="545238BC" w14:paraId="1E648249" w14:textId="3F205FF5">
      <w:pPr>
        <w:rPr>
          <w:rFonts w:ascii="Arial Nova" w:hAnsi="Arial Nova" w:eastAsia="Arial Nova" w:cs="Arial Nova"/>
          <w:b w:val="1"/>
          <w:bCs w:val="1"/>
          <w:color w:val="FF0000"/>
          <w:sz w:val="22"/>
          <w:szCs w:val="22"/>
        </w:rPr>
      </w:pPr>
    </w:p>
    <w:p xmlns:wp14="http://schemas.microsoft.com/office/word/2010/wordml" w:rsidRPr="00D654C0" w:rsidR="001B1A4E" w:rsidP="545238BC" w:rsidRDefault="00A2126F" w14:paraId="770D2579" wp14:textId="52BC74EF">
      <w:pPr>
        <w:pBdr>
          <w:top w:val="nil"/>
          <w:left w:val="nil"/>
          <w:bottom w:val="nil"/>
          <w:right w:val="nil"/>
          <w:between w:val="nil"/>
        </w:pBdr>
        <w:rPr>
          <w:rFonts w:ascii="Arial Nova" w:hAnsi="Arial Nova" w:eastAsia="Arial Nova" w:cs="Arial Nova"/>
          <w:color w:val="auto"/>
          <w:sz w:val="22"/>
          <w:szCs w:val="22"/>
        </w:rPr>
      </w:pPr>
      <w:bookmarkStart w:name="_heading=h.1t3h5sf" w:id="10"/>
      <w:bookmarkEnd w:id="10"/>
      <w:r w:rsidRPr="545238BC" w:rsidR="00A2126F">
        <w:rPr>
          <w:rFonts w:ascii="Arial Nova" w:hAnsi="Arial Nova" w:eastAsia="Arial Nova" w:cs="Arial Nova"/>
          <w:b w:val="1"/>
          <w:bCs w:val="1"/>
          <w:color w:val="FF0000"/>
          <w:sz w:val="22"/>
          <w:szCs w:val="22"/>
        </w:rPr>
        <w:t>“What is power”</w:t>
      </w:r>
    </w:p>
    <w:p xmlns:wp14="http://schemas.microsoft.com/office/word/2010/wordml" w:rsidRPr="00D654C0" w:rsidR="001B1A4E" w:rsidP="545238BC" w:rsidRDefault="00A2126F" w14:paraId="758BEBC7" wp14:textId="52EB70DB">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term power is </w:t>
      </w:r>
      <w:r w:rsidRPr="545238BC" w:rsidR="00A2126F">
        <w:rPr>
          <w:rFonts w:ascii="Arial Nova" w:hAnsi="Arial Nova" w:eastAsia="Arial Nova" w:cs="Arial Nova"/>
          <w:color w:val="auto"/>
          <w:sz w:val="22"/>
          <w:szCs w:val="22"/>
        </w:rPr>
        <w:t>known</w:t>
      </w:r>
      <w:r w:rsidRPr="545238BC" w:rsidR="00A2126F">
        <w:rPr>
          <w:rFonts w:ascii="Arial Nova" w:hAnsi="Arial Nova" w:eastAsia="Arial Nova" w:cs="Arial Nova"/>
          <w:color w:val="auto"/>
          <w:sz w:val="22"/>
          <w:szCs w:val="22"/>
        </w:rPr>
        <w:t xml:space="preserve"> as a person or a </w:t>
      </w:r>
      <w:r w:rsidRPr="545238BC" w:rsidR="00A2126F">
        <w:rPr>
          <w:rFonts w:ascii="Arial Nova" w:hAnsi="Arial Nova" w:eastAsia="Arial Nova" w:cs="Arial Nova"/>
          <w:color w:val="auto"/>
          <w:sz w:val="22"/>
          <w:szCs w:val="22"/>
        </w:rPr>
        <w:t>particular body</w:t>
      </w:r>
      <w:r w:rsidRPr="545238BC" w:rsidR="00A2126F">
        <w:rPr>
          <w:rFonts w:ascii="Arial Nova" w:hAnsi="Arial Nova" w:eastAsia="Arial Nova" w:cs="Arial Nova"/>
          <w:color w:val="auto"/>
          <w:sz w:val="22"/>
          <w:szCs w:val="22"/>
        </w:rPr>
        <w:t xml:space="preserve"> having full authority over a particular area, group, culture and many more. It also means that a person or a body having the </w:t>
      </w:r>
      <w:r w:rsidRPr="545238BC" w:rsidR="00A2126F">
        <w:rPr>
          <w:rFonts w:ascii="Arial Nova" w:hAnsi="Arial Nova" w:eastAsia="Arial Nova" w:cs="Arial Nova"/>
          <w:color w:val="auto"/>
          <w:sz w:val="22"/>
          <w:szCs w:val="22"/>
        </w:rPr>
        <w:t>capacity</w:t>
      </w:r>
      <w:r w:rsidRPr="545238BC" w:rsidR="00A2126F">
        <w:rPr>
          <w:rFonts w:ascii="Arial Nova" w:hAnsi="Arial Nova" w:eastAsia="Arial Nova" w:cs="Arial Nova"/>
          <w:color w:val="auto"/>
          <w:sz w:val="22"/>
          <w:szCs w:val="22"/>
        </w:rPr>
        <w:t xml:space="preserve"> or having the ability to influence others behaviour or decision in one's group or a government organisation like the post office. For every </w:t>
      </w:r>
      <w:r w:rsidRPr="545238BC" w:rsidR="00A2126F">
        <w:rPr>
          <w:rFonts w:ascii="Arial Nova" w:hAnsi="Arial Nova" w:eastAsia="Arial Nova" w:cs="Arial Nova"/>
          <w:color w:val="auto"/>
          <w:sz w:val="22"/>
          <w:szCs w:val="22"/>
        </w:rPr>
        <w:t>change,</w:t>
      </w:r>
      <w:r w:rsidRPr="545238BC" w:rsidR="00A2126F">
        <w:rPr>
          <w:rFonts w:ascii="Arial Nova" w:hAnsi="Arial Nova" w:eastAsia="Arial Nova" w:cs="Arial Nova"/>
          <w:color w:val="auto"/>
          <w:sz w:val="22"/>
          <w:szCs w:val="22"/>
        </w:rPr>
        <w:t xml:space="preserve"> the role of power is </w:t>
      </w:r>
      <w:r w:rsidRPr="545238BC" w:rsidR="00A2126F">
        <w:rPr>
          <w:rFonts w:ascii="Arial Nova" w:hAnsi="Arial Nova" w:eastAsia="Arial Nova" w:cs="Arial Nova"/>
          <w:color w:val="auto"/>
          <w:sz w:val="22"/>
          <w:szCs w:val="22"/>
        </w:rPr>
        <w:t>necessary</w:t>
      </w:r>
      <w:r w:rsidRPr="545238BC" w:rsidR="00A2126F">
        <w:rPr>
          <w:rFonts w:ascii="Arial Nova" w:hAnsi="Arial Nova" w:eastAsia="Arial Nova" w:cs="Arial Nova"/>
          <w:color w:val="auto"/>
          <w:sz w:val="22"/>
          <w:szCs w:val="22"/>
        </w:rPr>
        <w:t xml:space="preserve"> if a body or an organisation has the power, they can make the future within the area or a whole country (</w:t>
      </w:r>
      <w:r w:rsidRPr="545238BC" w:rsidR="00A2126F">
        <w:rPr>
          <w:rFonts w:ascii="Arial Nova" w:hAnsi="Arial Nova" w:eastAsia="Arial Nova" w:cs="Arial Nova"/>
          <w:color w:val="auto"/>
          <w:sz w:val="22"/>
          <w:szCs w:val="22"/>
          <w:highlight w:val="white"/>
        </w:rPr>
        <w:t>Eriksen, 2018</w:t>
      </w:r>
      <w:r w:rsidRPr="545238BC" w:rsidR="00A2126F">
        <w:rPr>
          <w:rFonts w:ascii="Arial Nova" w:hAnsi="Arial Nova" w:eastAsia="Arial Nova" w:cs="Arial Nova"/>
          <w:color w:val="auto"/>
          <w:sz w:val="22"/>
          <w:szCs w:val="22"/>
        </w:rPr>
        <w:t xml:space="preserve">). The power also plays </w:t>
      </w:r>
      <w:r w:rsidRPr="545238BC" w:rsidR="00A2126F">
        <w:rPr>
          <w:rFonts w:ascii="Arial Nova" w:hAnsi="Arial Nova" w:eastAsia="Arial Nova" w:cs="Arial Nova"/>
          <w:color w:val="auto"/>
          <w:sz w:val="22"/>
          <w:szCs w:val="22"/>
        </w:rPr>
        <w:t>a vital role</w:t>
      </w:r>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color w:val="auto"/>
          <w:sz w:val="22"/>
          <w:szCs w:val="22"/>
        </w:rPr>
        <w:t>and</w:t>
      </w:r>
      <w:r w:rsidRPr="545238BC" w:rsidR="00A2126F">
        <w:rPr>
          <w:rFonts w:ascii="Arial Nova" w:hAnsi="Arial Nova" w:eastAsia="Arial Nova" w:cs="Arial Nova"/>
          <w:color w:val="auto"/>
          <w:sz w:val="22"/>
          <w:szCs w:val="22"/>
        </w:rPr>
        <w:t xml:space="preserve"> has negative points as well. If the power is given to just one person or a body, then there is a high chance of corruption within the area as the body here will exercise the power and thus will give rise to corruption and abuse of the power. Due to this exercising of power by a single body to avoid this situation many government organisations or post offices </w:t>
      </w:r>
      <w:r w:rsidRPr="545238BC" w:rsidR="00A2126F">
        <w:rPr>
          <w:rFonts w:ascii="Arial Nova" w:hAnsi="Arial Nova" w:eastAsia="Arial Nova" w:cs="Arial Nova"/>
          <w:color w:val="auto"/>
          <w:sz w:val="22"/>
          <w:szCs w:val="22"/>
        </w:rPr>
        <w:t>distribute</w:t>
      </w:r>
      <w:r w:rsidRPr="545238BC" w:rsidR="00A2126F">
        <w:rPr>
          <w:rFonts w:ascii="Arial Nova" w:hAnsi="Arial Nova" w:eastAsia="Arial Nova" w:cs="Arial Nova"/>
          <w:color w:val="auto"/>
          <w:sz w:val="22"/>
          <w:szCs w:val="22"/>
        </w:rPr>
        <w:t xml:space="preserve"> the power to different bodies so that </w:t>
      </w:r>
      <w:r w:rsidRPr="545238BC" w:rsidR="00A2126F">
        <w:rPr>
          <w:rFonts w:ascii="Arial Nova" w:hAnsi="Arial Nova" w:eastAsia="Arial Nova" w:cs="Arial Nova"/>
          <w:color w:val="auto"/>
          <w:sz w:val="22"/>
          <w:szCs w:val="22"/>
        </w:rPr>
        <w:t xml:space="preserve">there should not be more abuse of the power by a single body. By this process of distributing the power to different bodies, there will be less corruption and will have the rights for the people to seek help if some problems arise (Eriksen, 2018). </w:t>
      </w:r>
    </w:p>
    <w:p xmlns:wp14="http://schemas.microsoft.com/office/word/2010/wordml" w:rsidRPr="00D654C0" w:rsidR="001B1A4E" w:rsidP="545238BC" w:rsidRDefault="00A2126F" w14:paraId="72AEFEE3" wp14:textId="44F1E372">
      <w:pPr>
        <w:rPr>
          <w:rFonts w:ascii="Arial Nova" w:hAnsi="Arial Nova" w:eastAsia="Arial Nova" w:cs="Arial Nova"/>
          <w:b w:val="1"/>
          <w:bCs w:val="1"/>
          <w:color w:val="FF0000"/>
          <w:sz w:val="22"/>
          <w:szCs w:val="22"/>
        </w:rPr>
      </w:pPr>
      <w:bookmarkStart w:name="_heading=h.4d34og8" w:id="11"/>
      <w:bookmarkEnd w:id="11"/>
      <w:r w:rsidRPr="545238BC" w:rsidR="00A2126F">
        <w:rPr>
          <w:rFonts w:ascii="Arial Nova" w:hAnsi="Arial Nova" w:eastAsia="Arial Nova" w:cs="Arial Nova"/>
          <w:b w:val="1"/>
          <w:bCs w:val="1"/>
          <w:color w:val="FF0000"/>
          <w:sz w:val="22"/>
          <w:szCs w:val="22"/>
        </w:rPr>
        <w:t>“What is politics”</w:t>
      </w:r>
    </w:p>
    <w:p xmlns:wp14="http://schemas.microsoft.com/office/word/2010/wordml" w:rsidRPr="00D654C0" w:rsidR="001B1A4E" w:rsidP="545238BC" w:rsidRDefault="00A2126F" w14:paraId="29D8D276" wp14:textId="57E29541">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Politics is </w:t>
      </w:r>
      <w:bookmarkStart w:name="_Int_u1qAJME8" w:id="1534204243"/>
      <w:r w:rsidRPr="545238BC" w:rsidR="00A2126F">
        <w:rPr>
          <w:rFonts w:ascii="Arial Nova" w:hAnsi="Arial Nova" w:eastAsia="Arial Nova" w:cs="Arial Nova"/>
          <w:color w:val="auto"/>
          <w:sz w:val="22"/>
          <w:szCs w:val="22"/>
        </w:rPr>
        <w:t>known</w:t>
      </w:r>
      <w:bookmarkEnd w:id="1534204243"/>
      <w:r w:rsidRPr="545238BC" w:rsidR="00A2126F">
        <w:rPr>
          <w:rFonts w:ascii="Arial Nova" w:hAnsi="Arial Nova" w:eastAsia="Arial Nova" w:cs="Arial Nova"/>
          <w:color w:val="auto"/>
          <w:sz w:val="22"/>
          <w:szCs w:val="22"/>
        </w:rPr>
        <w:t xml:space="preserve"> as a group of individuals making decisions or competing with other parties to have the power which can lead them to form the government of a particular area or a place. Politics is </w:t>
      </w:r>
      <w:bookmarkStart w:name="_Int_xPFLYkuF" w:id="753857009"/>
      <w:r w:rsidRPr="545238BC" w:rsidR="00A2126F">
        <w:rPr>
          <w:rFonts w:ascii="Arial Nova" w:hAnsi="Arial Nova" w:eastAsia="Arial Nova" w:cs="Arial Nova"/>
          <w:color w:val="auto"/>
          <w:sz w:val="22"/>
          <w:szCs w:val="22"/>
        </w:rPr>
        <w:t>linked</w:t>
      </w:r>
      <w:bookmarkEnd w:id="753857009"/>
      <w:r w:rsidRPr="545238BC" w:rsidR="00A2126F">
        <w:rPr>
          <w:rFonts w:ascii="Arial Nova" w:hAnsi="Arial Nova" w:eastAsia="Arial Nova" w:cs="Arial Nova"/>
          <w:color w:val="auto"/>
          <w:sz w:val="22"/>
          <w:szCs w:val="22"/>
        </w:rPr>
        <w:t xml:space="preserve"> with activities which are from the higher government authorities which also plays </w:t>
      </w:r>
      <w:bookmarkStart w:name="_Int_22q3AAP7" w:id="1020282806"/>
      <w:r w:rsidRPr="545238BC" w:rsidR="00A2126F">
        <w:rPr>
          <w:rFonts w:ascii="Arial Nova" w:hAnsi="Arial Nova" w:eastAsia="Arial Nova" w:cs="Arial Nova"/>
          <w:color w:val="auto"/>
          <w:sz w:val="22"/>
          <w:szCs w:val="22"/>
        </w:rPr>
        <w:t>a key role</w:t>
      </w:r>
      <w:bookmarkEnd w:id="1020282806"/>
      <w:r w:rsidRPr="545238BC" w:rsidR="00A2126F">
        <w:rPr>
          <w:rFonts w:ascii="Arial Nova" w:hAnsi="Arial Nova" w:eastAsia="Arial Nova" w:cs="Arial Nova"/>
          <w:color w:val="auto"/>
          <w:sz w:val="22"/>
          <w:szCs w:val="22"/>
        </w:rPr>
        <w:t xml:space="preserve"> in the country. Politics is </w:t>
      </w:r>
      <w:bookmarkStart w:name="_Int_IGfgjlZX" w:id="1172120974"/>
      <w:r w:rsidRPr="545238BC" w:rsidR="00A2126F">
        <w:rPr>
          <w:rFonts w:ascii="Arial Nova" w:hAnsi="Arial Nova" w:eastAsia="Arial Nova" w:cs="Arial Nova"/>
          <w:color w:val="auto"/>
          <w:sz w:val="22"/>
          <w:szCs w:val="22"/>
        </w:rPr>
        <w:t>literally engaged</w:t>
      </w:r>
      <w:bookmarkEnd w:id="1172120974"/>
      <w:r w:rsidRPr="545238BC" w:rsidR="00A2126F">
        <w:rPr>
          <w:rFonts w:ascii="Arial Nova" w:hAnsi="Arial Nova" w:eastAsia="Arial Nova" w:cs="Arial Nova"/>
          <w:color w:val="auto"/>
          <w:sz w:val="22"/>
          <w:szCs w:val="22"/>
        </w:rPr>
        <w:t xml:space="preserve"> in every activity done by the government of the country (</w:t>
      </w:r>
      <w:r w:rsidRPr="545238BC" w:rsidR="00A2126F">
        <w:rPr>
          <w:rFonts w:ascii="Arial Nova" w:hAnsi="Arial Nova" w:eastAsia="Arial Nova" w:cs="Arial Nova"/>
          <w:color w:val="auto"/>
          <w:sz w:val="22"/>
          <w:szCs w:val="22"/>
          <w:highlight w:val="white"/>
        </w:rPr>
        <w:t xml:space="preserve">Ferris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2018</w:t>
      </w:r>
      <w:r w:rsidRPr="545238BC" w:rsidR="00A2126F">
        <w:rPr>
          <w:rFonts w:ascii="Arial Nova" w:hAnsi="Arial Nova" w:eastAsia="Arial Nova" w:cs="Arial Nova"/>
          <w:color w:val="auto"/>
          <w:sz w:val="22"/>
          <w:szCs w:val="22"/>
        </w:rPr>
        <w:t xml:space="preserve">). In the given case study politics also plays </w:t>
      </w:r>
      <w:bookmarkStart w:name="_Int_YAe4isWz" w:id="1716409506"/>
      <w:r w:rsidRPr="545238BC" w:rsidR="00A2126F">
        <w:rPr>
          <w:rFonts w:ascii="Arial Nova" w:hAnsi="Arial Nova" w:eastAsia="Arial Nova" w:cs="Arial Nova"/>
          <w:color w:val="auto"/>
          <w:sz w:val="22"/>
          <w:szCs w:val="22"/>
        </w:rPr>
        <w:t>a vital role</w:t>
      </w:r>
      <w:bookmarkEnd w:id="1716409506"/>
      <w:r w:rsidRPr="545238BC" w:rsidR="00A2126F">
        <w:rPr>
          <w:rFonts w:ascii="Arial Nova" w:hAnsi="Arial Nova" w:eastAsia="Arial Nova" w:cs="Arial Nova"/>
          <w:color w:val="auto"/>
          <w:sz w:val="22"/>
          <w:szCs w:val="22"/>
        </w:rPr>
        <w:t xml:space="preserve"> in the strike which had made the post office shut down for 24 hours. The workers of the post office also play </w:t>
      </w:r>
      <w:bookmarkStart w:name="_Int_gcZ3MoP9" w:id="838953390"/>
      <w:r w:rsidRPr="545238BC" w:rsidR="00A2126F">
        <w:rPr>
          <w:rFonts w:ascii="Arial Nova" w:hAnsi="Arial Nova" w:eastAsia="Arial Nova" w:cs="Arial Nova"/>
          <w:color w:val="auto"/>
          <w:sz w:val="22"/>
          <w:szCs w:val="22"/>
        </w:rPr>
        <w:t>a significant role</w:t>
      </w:r>
      <w:bookmarkEnd w:id="838953390"/>
      <w:r w:rsidRPr="545238BC" w:rsidR="00A2126F">
        <w:rPr>
          <w:rFonts w:ascii="Arial Nova" w:hAnsi="Arial Nova" w:eastAsia="Arial Nova" w:cs="Arial Nova"/>
          <w:color w:val="auto"/>
          <w:sz w:val="22"/>
          <w:szCs w:val="22"/>
        </w:rPr>
        <w:t xml:space="preserve"> as these activities are also linked with the politics within the government organisation. This cause is </w:t>
      </w:r>
      <w:bookmarkStart w:name="_Int_sUGpLVbw" w:id="613264127"/>
      <w:r w:rsidRPr="545238BC" w:rsidR="00A2126F">
        <w:rPr>
          <w:rFonts w:ascii="Arial Nova" w:hAnsi="Arial Nova" w:eastAsia="Arial Nova" w:cs="Arial Nova"/>
          <w:color w:val="auto"/>
          <w:sz w:val="22"/>
          <w:szCs w:val="22"/>
        </w:rPr>
        <w:t>raised</w:t>
      </w:r>
      <w:bookmarkEnd w:id="613264127"/>
      <w:r w:rsidRPr="545238BC" w:rsidR="00A2126F">
        <w:rPr>
          <w:rFonts w:ascii="Arial Nova" w:hAnsi="Arial Nova" w:eastAsia="Arial Nova" w:cs="Arial Nova"/>
          <w:color w:val="auto"/>
          <w:sz w:val="22"/>
          <w:szCs w:val="22"/>
        </w:rPr>
        <w:t xml:space="preserve"> by the Communication Workers Union (CWU) as their main motive for this strike was that their members are given a rise in their salary. Their actions which were going into strike made the post office closed for a full day. These are also the activities which are linked with politics and through this there will be a higher chance of getting their demand fulfilled by the higher authorities of the government. The activities which are done in any government </w:t>
      </w:r>
      <w:bookmarkStart w:name="_Int_n7xpzaHD" w:id="271806259"/>
      <w:r w:rsidRPr="545238BC" w:rsidR="00A2126F">
        <w:rPr>
          <w:rFonts w:ascii="Arial Nova" w:hAnsi="Arial Nova" w:eastAsia="Arial Nova" w:cs="Arial Nova"/>
          <w:color w:val="auto"/>
          <w:sz w:val="22"/>
          <w:szCs w:val="22"/>
        </w:rPr>
        <w:t>organisation</w:t>
      </w:r>
      <w:bookmarkEnd w:id="271806259"/>
      <w:r w:rsidRPr="545238BC" w:rsidR="00A2126F">
        <w:rPr>
          <w:rFonts w:ascii="Arial Nova" w:hAnsi="Arial Nova" w:eastAsia="Arial Nova" w:cs="Arial Nova"/>
          <w:color w:val="auto"/>
          <w:sz w:val="22"/>
          <w:szCs w:val="22"/>
        </w:rPr>
        <w:t xml:space="preserve"> or an institution are done through political activities so that their demand gets fulfilled within the body or the department (Wu, 2019). </w:t>
      </w:r>
    </w:p>
    <w:p xmlns:wp14="http://schemas.microsoft.com/office/word/2010/wordml" w:rsidRPr="00D654C0" w:rsidR="001B1A4E" w:rsidP="545238BC" w:rsidRDefault="00A2126F" w14:paraId="68EB2F15" wp14:textId="77777777">
      <w:pPr>
        <w:rPr>
          <w:rFonts w:ascii="Arial Nova" w:hAnsi="Arial Nova" w:eastAsia="Arial Nova" w:cs="Arial Nova"/>
          <w:b w:val="1"/>
          <w:bCs w:val="1"/>
          <w:color w:val="FF0000"/>
          <w:sz w:val="22"/>
          <w:szCs w:val="22"/>
        </w:rPr>
      </w:pPr>
      <w:bookmarkStart w:name="_heading=h.2s8eyo1" w:id="12"/>
      <w:bookmarkEnd w:id="12"/>
      <w:r w:rsidRPr="545238BC" w:rsidR="00A2126F">
        <w:rPr>
          <w:rFonts w:ascii="Arial Nova" w:hAnsi="Arial Nova" w:eastAsia="Arial Nova" w:cs="Arial Nova"/>
          <w:b w:val="1"/>
          <w:bCs w:val="1"/>
          <w:color w:val="FF0000"/>
          <w:sz w:val="22"/>
          <w:szCs w:val="22"/>
        </w:rPr>
        <w:t>“Relevant data or debate about power and politics in organisation”</w:t>
      </w:r>
    </w:p>
    <w:p xmlns:wp14="http://schemas.microsoft.com/office/word/2010/wordml" w:rsidRPr="00D654C0" w:rsidR="001B1A4E" w:rsidP="545238BC" w:rsidRDefault="00A2126F" w14:paraId="6E5F6C49" wp14:textId="6FA40D44">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In every organisation or a </w:t>
      </w:r>
      <w:bookmarkStart w:name="_Int_H8StjlBU" w:id="9389137"/>
      <w:r w:rsidRPr="545238BC" w:rsidR="00A2126F">
        <w:rPr>
          <w:rFonts w:ascii="Arial Nova" w:hAnsi="Arial Nova" w:eastAsia="Arial Nova" w:cs="Arial Nova"/>
          <w:color w:val="auto"/>
          <w:sz w:val="22"/>
          <w:szCs w:val="22"/>
        </w:rPr>
        <w:t>department</w:t>
      </w:r>
      <w:bookmarkEnd w:id="9389137"/>
      <w:r w:rsidRPr="545238BC" w:rsidR="00A2126F">
        <w:rPr>
          <w:rFonts w:ascii="Arial Nova" w:hAnsi="Arial Nova" w:eastAsia="Arial Nova" w:cs="Arial Nova"/>
          <w:color w:val="auto"/>
          <w:sz w:val="22"/>
          <w:szCs w:val="22"/>
        </w:rPr>
        <w:t xml:space="preserve"> power and politics play </w:t>
      </w:r>
      <w:bookmarkStart w:name="_Int_HOWaBUR3" w:id="206440127"/>
      <w:r w:rsidRPr="545238BC" w:rsidR="00A2126F">
        <w:rPr>
          <w:rFonts w:ascii="Arial Nova" w:hAnsi="Arial Nova" w:eastAsia="Arial Nova" w:cs="Arial Nova"/>
          <w:color w:val="auto"/>
          <w:sz w:val="22"/>
          <w:szCs w:val="22"/>
        </w:rPr>
        <w:t>a key role</w:t>
      </w:r>
      <w:bookmarkEnd w:id="206440127"/>
      <w:r w:rsidRPr="545238BC" w:rsidR="00A2126F">
        <w:rPr>
          <w:rFonts w:ascii="Arial Nova" w:hAnsi="Arial Nova" w:eastAsia="Arial Nova" w:cs="Arial Nova"/>
          <w:color w:val="auto"/>
          <w:sz w:val="22"/>
          <w:szCs w:val="22"/>
        </w:rPr>
        <w:t xml:space="preserve">. The institution or organisation must pay equal importance and </w:t>
      </w:r>
      <w:r w:rsidRPr="545238BC" w:rsidR="00A2126F">
        <w:rPr>
          <w:rFonts w:ascii="Arial Nova" w:hAnsi="Arial Nova" w:eastAsia="Arial Nova" w:cs="Arial Nova"/>
          <w:color w:val="auto"/>
          <w:sz w:val="22"/>
          <w:szCs w:val="22"/>
        </w:rPr>
        <w:t>maintain</w:t>
      </w:r>
      <w:r w:rsidRPr="545238BC" w:rsidR="00A2126F">
        <w:rPr>
          <w:rFonts w:ascii="Arial Nova" w:hAnsi="Arial Nova" w:eastAsia="Arial Nova" w:cs="Arial Nova"/>
          <w:color w:val="auto"/>
          <w:sz w:val="22"/>
          <w:szCs w:val="22"/>
        </w:rPr>
        <w:t xml:space="preserve"> a balance of power and politics to be more productive (</w:t>
      </w:r>
      <w:r w:rsidRPr="545238BC" w:rsidR="00A2126F">
        <w:rPr>
          <w:rFonts w:ascii="Arial Nova" w:hAnsi="Arial Nova" w:eastAsia="Arial Nova" w:cs="Arial Nova"/>
          <w:color w:val="auto"/>
          <w:sz w:val="22"/>
          <w:szCs w:val="22"/>
          <w:highlight w:val="white"/>
        </w:rPr>
        <w:t>Gore and Parker, 2019</w:t>
      </w:r>
      <w:r w:rsidRPr="545238BC" w:rsidR="00A2126F">
        <w:rPr>
          <w:rFonts w:ascii="Arial Nova" w:hAnsi="Arial Nova" w:eastAsia="Arial Nova" w:cs="Arial Nova"/>
          <w:color w:val="auto"/>
          <w:sz w:val="22"/>
          <w:szCs w:val="22"/>
        </w:rPr>
        <w:t xml:space="preserve">). The power and the politics can help the institution or the organisation to achieve their target </w:t>
      </w:r>
      <w:bookmarkStart w:name="_Int_ne4sSlRp" w:id="820784518"/>
      <w:r w:rsidRPr="545238BC" w:rsidR="00A2126F">
        <w:rPr>
          <w:rFonts w:ascii="Arial Nova" w:hAnsi="Arial Nova" w:eastAsia="Arial Nova" w:cs="Arial Nova"/>
          <w:color w:val="auto"/>
          <w:sz w:val="22"/>
          <w:szCs w:val="22"/>
        </w:rPr>
        <w:t>and</w:t>
      </w:r>
      <w:bookmarkEnd w:id="820784518"/>
      <w:r w:rsidRPr="545238BC" w:rsidR="00A2126F">
        <w:rPr>
          <w:rFonts w:ascii="Arial Nova" w:hAnsi="Arial Nova" w:eastAsia="Arial Nova" w:cs="Arial Nova"/>
          <w:color w:val="auto"/>
          <w:sz w:val="22"/>
          <w:szCs w:val="22"/>
        </w:rPr>
        <w:t xml:space="preserve"> encourage the employees and the staff to make their own decision within the organisation or an institution. The employees or the Communication Workers Union also have been using politics to increase the employees' wages as they are also </w:t>
      </w:r>
      <w:bookmarkStart w:name="_Int_3AJBb3K6" w:id="665622667"/>
      <w:r w:rsidRPr="545238BC" w:rsidR="00A2126F">
        <w:rPr>
          <w:rFonts w:ascii="Arial Nova" w:hAnsi="Arial Nova" w:eastAsia="Arial Nova" w:cs="Arial Nova"/>
          <w:color w:val="auto"/>
          <w:sz w:val="22"/>
          <w:szCs w:val="22"/>
        </w:rPr>
        <w:t>incredibly angry</w:t>
      </w:r>
      <w:bookmarkEnd w:id="665622667"/>
      <w:r w:rsidRPr="545238BC" w:rsidR="00A2126F">
        <w:rPr>
          <w:rFonts w:ascii="Arial Nova" w:hAnsi="Arial Nova" w:eastAsia="Arial Nova" w:cs="Arial Nova"/>
          <w:color w:val="auto"/>
          <w:sz w:val="22"/>
          <w:szCs w:val="22"/>
        </w:rPr>
        <w:t xml:space="preserve"> against the pay freeze in 2021-22 which had made them go under strike and demanded an increase in their salary. This had made a political activity within the organisation. The power here lies within the hand of the organisation or the post office to fulfil their demand or give them some compensation; this all lies in the decision of </w:t>
      </w:r>
      <w:r w:rsidRPr="545238BC" w:rsidR="00A2126F">
        <w:rPr>
          <w:rFonts w:ascii="Arial Nova" w:hAnsi="Arial Nova" w:eastAsia="Arial Nova" w:cs="Arial Nova"/>
          <w:color w:val="auto"/>
          <w:sz w:val="22"/>
          <w:szCs w:val="22"/>
        </w:rPr>
        <w:t>the organisation. The power and the politics have an equal role in an organisation. The organisation here has the full power as they can exercise their power and do activities which are for the benefit of these organisations (</w:t>
      </w:r>
      <w:r w:rsidRPr="545238BC" w:rsidR="00A2126F">
        <w:rPr>
          <w:rFonts w:ascii="Arial Nova" w:hAnsi="Arial Nova" w:eastAsia="Arial Nova" w:cs="Arial Nova"/>
          <w:color w:val="auto"/>
          <w:sz w:val="22"/>
          <w:szCs w:val="22"/>
          <w:highlight w:val="white"/>
        </w:rPr>
        <w:t>Szolucha</w:t>
      </w:r>
      <w:r w:rsidRPr="545238BC" w:rsidR="00A2126F">
        <w:rPr>
          <w:rFonts w:ascii="Arial Nova" w:hAnsi="Arial Nova" w:eastAsia="Arial Nova" w:cs="Arial Nova"/>
          <w:color w:val="auto"/>
          <w:sz w:val="22"/>
          <w:szCs w:val="22"/>
          <w:highlight w:val="white"/>
        </w:rPr>
        <w:t>, 2018</w:t>
      </w:r>
      <w:r w:rsidRPr="545238BC" w:rsidR="00A2126F">
        <w:rPr>
          <w:rFonts w:ascii="Arial Nova" w:hAnsi="Arial Nova" w:eastAsia="Arial Nova" w:cs="Arial Nova"/>
          <w:color w:val="auto"/>
          <w:sz w:val="22"/>
          <w:szCs w:val="22"/>
        </w:rPr>
        <w:t xml:space="preserve">). The employees here can use politics to make the organisation fulfil their needs or demands which are the benefits of the employees. These politics here can include the employees going on strike </w:t>
      </w:r>
      <w:bookmarkStart w:name="_Int_RzeXPlxh" w:id="2137279160"/>
      <w:r w:rsidRPr="545238BC" w:rsidR="00A2126F">
        <w:rPr>
          <w:rFonts w:ascii="Arial Nova" w:hAnsi="Arial Nova" w:eastAsia="Arial Nova" w:cs="Arial Nova"/>
          <w:color w:val="auto"/>
          <w:sz w:val="22"/>
          <w:szCs w:val="22"/>
        </w:rPr>
        <w:t>and</w:t>
      </w:r>
      <w:bookmarkEnd w:id="2137279160"/>
      <w:r w:rsidRPr="545238BC" w:rsidR="00A2126F">
        <w:rPr>
          <w:rFonts w:ascii="Arial Nova" w:hAnsi="Arial Nova" w:eastAsia="Arial Nova" w:cs="Arial Nova"/>
          <w:color w:val="auto"/>
          <w:sz w:val="22"/>
          <w:szCs w:val="22"/>
        </w:rPr>
        <w:t xml:space="preserve"> stop their whole work so that they do not break any laws in fulfilling their demands. These strikes also could hamper the productivity </w:t>
      </w:r>
      <w:bookmarkStart w:name="_Int_svoasFhh" w:id="1185385102"/>
      <w:r w:rsidRPr="545238BC" w:rsidR="00A2126F">
        <w:rPr>
          <w:rFonts w:ascii="Arial Nova" w:hAnsi="Arial Nova" w:eastAsia="Arial Nova" w:cs="Arial Nova"/>
          <w:color w:val="auto"/>
          <w:sz w:val="22"/>
          <w:szCs w:val="22"/>
        </w:rPr>
        <w:t>and</w:t>
      </w:r>
      <w:bookmarkEnd w:id="1185385102"/>
      <w:r w:rsidRPr="545238BC" w:rsidR="00A2126F">
        <w:rPr>
          <w:rFonts w:ascii="Arial Nova" w:hAnsi="Arial Nova" w:eastAsia="Arial Nova" w:cs="Arial Nova"/>
          <w:color w:val="auto"/>
          <w:sz w:val="22"/>
          <w:szCs w:val="22"/>
        </w:rPr>
        <w:t xml:space="preserve"> the image of the organisation (Colville et al., 2019).</w:t>
      </w:r>
    </w:p>
    <w:p xmlns:wp14="http://schemas.microsoft.com/office/word/2010/wordml" w:rsidRPr="00D654C0" w:rsidR="001B1A4E" w:rsidP="545238BC" w:rsidRDefault="00A2126F" w14:paraId="3FDCECA9" wp14:textId="4C7EFFE7">
      <w:pPr>
        <w:rPr>
          <w:rFonts w:ascii="Arial Nova" w:hAnsi="Arial Nova" w:eastAsia="Arial Nova" w:cs="Arial Nova"/>
          <w:b w:val="1"/>
          <w:bCs w:val="1"/>
          <w:color w:val="FF0000"/>
          <w:sz w:val="22"/>
          <w:szCs w:val="22"/>
        </w:rPr>
      </w:pPr>
      <w:bookmarkStart w:name="_heading=h.17dp8vu" w:id="13"/>
      <w:bookmarkEnd w:id="13"/>
      <w:r w:rsidRPr="545238BC" w:rsidR="00A2126F">
        <w:rPr>
          <w:rFonts w:ascii="Arial Nova" w:hAnsi="Arial Nova" w:eastAsia="Arial Nova" w:cs="Arial Nova"/>
          <w:b w:val="1"/>
          <w:bCs w:val="1"/>
          <w:color w:val="FF0000"/>
          <w:sz w:val="22"/>
          <w:szCs w:val="22"/>
        </w:rPr>
        <w:t xml:space="preserve">“How is power/politics manifested in the case </w:t>
      </w:r>
      <w:r w:rsidRPr="545238BC" w:rsidR="00A2126F">
        <w:rPr>
          <w:rFonts w:ascii="Arial Nova" w:hAnsi="Arial Nova" w:eastAsia="Arial Nova" w:cs="Arial Nova"/>
          <w:b w:val="1"/>
          <w:bCs w:val="1"/>
          <w:color w:val="FF0000"/>
          <w:sz w:val="22"/>
          <w:szCs w:val="22"/>
        </w:rPr>
        <w:t>study?</w:t>
      </w:r>
    </w:p>
    <w:p xmlns:wp14="http://schemas.microsoft.com/office/word/2010/wordml" w:rsidRPr="00D654C0" w:rsidR="001B1A4E" w:rsidP="545238BC" w:rsidRDefault="00A2126F" w14:paraId="229618EE" wp14:textId="35DDB8DC">
      <w:pPr>
        <w:pBdr>
          <w:top w:val="nil"/>
          <w:left w:val="nil"/>
          <w:bottom w:val="nil"/>
          <w:right w:val="nil"/>
          <w:between w:val="nil"/>
        </w:pBdr>
        <w:rPr>
          <w:rFonts w:ascii="Arial Nova" w:hAnsi="Arial Nova" w:eastAsia="Arial Nova" w:cs="Arial Nova"/>
          <w:color w:val="auto"/>
          <w:sz w:val="22"/>
          <w:szCs w:val="22"/>
        </w:rPr>
      </w:pPr>
      <w:bookmarkStart w:name="_heading=h.3rdcrjn" w:id="14"/>
      <w:bookmarkEnd w:id="14"/>
      <w:r w:rsidRPr="545238BC" w:rsidR="00A2126F">
        <w:rPr>
          <w:rFonts w:ascii="Arial Nova" w:hAnsi="Arial Nova" w:eastAsia="Arial Nova" w:cs="Arial Nova"/>
          <w:color w:val="auto"/>
          <w:sz w:val="22"/>
          <w:szCs w:val="22"/>
        </w:rPr>
        <w:t xml:space="preserve">The case study </w:t>
      </w:r>
      <w:r w:rsidRPr="545238BC" w:rsidR="00A2126F">
        <w:rPr>
          <w:rFonts w:ascii="Arial Nova" w:hAnsi="Arial Nova" w:eastAsia="Arial Nova" w:cs="Arial Nova"/>
          <w:color w:val="auto"/>
          <w:sz w:val="22"/>
          <w:szCs w:val="22"/>
        </w:rPr>
        <w:t>states</w:t>
      </w:r>
      <w:r w:rsidRPr="545238BC" w:rsidR="00A2126F">
        <w:rPr>
          <w:rFonts w:ascii="Arial Nova" w:hAnsi="Arial Nova" w:eastAsia="Arial Nova" w:cs="Arial Nova"/>
          <w:color w:val="auto"/>
          <w:sz w:val="22"/>
          <w:szCs w:val="22"/>
        </w:rPr>
        <w:t xml:space="preserve"> that the 114 Crown Post Offices will be closed for 24 hours as the Communication Workers Union are angry as the pay for 2021-22 was frozen and there was just a 2% rise for the following year in the salary (</w:t>
      </w:r>
      <w:r w:rsidRPr="545238BC" w:rsidR="00A2126F">
        <w:rPr>
          <w:rFonts w:ascii="Arial Nova" w:hAnsi="Arial Nova" w:eastAsia="Arial Nova" w:cs="Arial Nova"/>
          <w:color w:val="auto"/>
          <w:sz w:val="22"/>
          <w:szCs w:val="22"/>
          <w:highlight w:val="white"/>
        </w:rPr>
        <w:t xml:space="preserve">Colville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These workers here have demanded an increase in their pay. The management of the post office also has said and given the statement that, “the post office or the management only follow the government policies in the public sectors pay policy</w:t>
      </w:r>
      <w:bookmarkStart w:name="_Int_NNR0yFpK" w:id="1069290752"/>
      <w:r w:rsidRPr="545238BC" w:rsidR="00A2126F">
        <w:rPr>
          <w:rFonts w:ascii="Arial Nova" w:hAnsi="Arial Nova" w:eastAsia="Arial Nova" w:cs="Arial Nova"/>
          <w:color w:val="auto"/>
          <w:sz w:val="22"/>
          <w:szCs w:val="22"/>
        </w:rPr>
        <w:t>.”</w:t>
      </w:r>
      <w:bookmarkEnd w:id="1069290752"/>
      <w:r w:rsidRPr="545238BC" w:rsidR="00A2126F">
        <w:rPr>
          <w:rFonts w:ascii="Arial Nova" w:hAnsi="Arial Nova" w:eastAsia="Arial Nova" w:cs="Arial Nova"/>
          <w:color w:val="auto"/>
          <w:sz w:val="22"/>
          <w:szCs w:val="22"/>
        </w:rPr>
        <w:t xml:space="preserve"> Here the post office management has the power, if the management </w:t>
      </w:r>
      <w:bookmarkStart w:name="_Int_dMicwrG1" w:id="692099997"/>
      <w:r w:rsidRPr="545238BC" w:rsidR="00A2126F">
        <w:rPr>
          <w:rFonts w:ascii="Arial Nova" w:hAnsi="Arial Nova" w:eastAsia="Arial Nova" w:cs="Arial Nova"/>
          <w:color w:val="auto"/>
          <w:sz w:val="22"/>
          <w:szCs w:val="22"/>
        </w:rPr>
        <w:t>were</w:t>
      </w:r>
      <w:bookmarkEnd w:id="692099997"/>
      <w:r w:rsidRPr="545238BC" w:rsidR="00A2126F">
        <w:rPr>
          <w:rFonts w:ascii="Arial Nova" w:hAnsi="Arial Nova" w:eastAsia="Arial Nova" w:cs="Arial Nova"/>
          <w:color w:val="auto"/>
          <w:sz w:val="22"/>
          <w:szCs w:val="22"/>
        </w:rPr>
        <w:t xml:space="preserve"> to follow the government policies, then the workers would have been provided with the increase in the salary, this was the statement given by the workers union. Here the power and the politics lies in the hands of the post office management where they are not providing or refusing their employees with a good salary. The management in this instance is playing politics, as the workers should have been provided with good salary as the organisation here makes a lot of profit (Tombs, 2021) and is neglecting to look after the needs of the workers within the organisation. This is the main reason the Communication Workers Union are involved for the strike to demand the increase of salary and benefits from the organisation for their members. Continuing the strike may </w:t>
      </w:r>
      <w:bookmarkStart w:name="_Int_dhkWmOun" w:id="318075964"/>
      <w:r w:rsidRPr="545238BC" w:rsidR="00A2126F">
        <w:rPr>
          <w:rFonts w:ascii="Arial Nova" w:hAnsi="Arial Nova" w:eastAsia="Arial Nova" w:cs="Arial Nova"/>
          <w:color w:val="auto"/>
          <w:sz w:val="22"/>
          <w:szCs w:val="22"/>
        </w:rPr>
        <w:t>affect</w:t>
      </w:r>
      <w:bookmarkEnd w:id="318075964"/>
      <w:r w:rsidRPr="545238BC" w:rsidR="00A2126F">
        <w:rPr>
          <w:rFonts w:ascii="Arial Nova" w:hAnsi="Arial Nova" w:eastAsia="Arial Nova" w:cs="Arial Nova"/>
          <w:color w:val="auto"/>
          <w:sz w:val="22"/>
          <w:szCs w:val="22"/>
        </w:rPr>
        <w:t xml:space="preserve"> the image of the post office as it will look like the organisation does not care for their employees or their staff and just focus on the profit made through the service of their employees. This way their image could really be </w:t>
      </w:r>
      <w:bookmarkStart w:name="_Int_vGGDCpeg" w:id="2004812821"/>
      <w:r w:rsidRPr="545238BC" w:rsidR="00A2126F">
        <w:rPr>
          <w:rFonts w:ascii="Arial Nova" w:hAnsi="Arial Nova" w:eastAsia="Arial Nova" w:cs="Arial Nova"/>
          <w:color w:val="auto"/>
          <w:sz w:val="22"/>
          <w:szCs w:val="22"/>
        </w:rPr>
        <w:t>affected</w:t>
      </w:r>
      <w:bookmarkEnd w:id="2004812821"/>
      <w:r w:rsidRPr="545238BC" w:rsidR="00A2126F">
        <w:rPr>
          <w:rFonts w:ascii="Arial Nova" w:hAnsi="Arial Nova" w:eastAsia="Arial Nova" w:cs="Arial Nova"/>
          <w:color w:val="auto"/>
          <w:sz w:val="22"/>
          <w:szCs w:val="22"/>
        </w:rPr>
        <w:t xml:space="preserve"> and the public will lose trust in the organisation and look for other substitutes within the country. The strike here also could have a negative impact on the 11000 branches as the workers from the other branches also may join the strike which was held in the main brand of 114 crown post offices. This conflict can also affect the morale of the organisation as the employees are suffering from the issues which the organisation is not cooperating to solve </w:t>
      </w:r>
      <w:r w:rsidRPr="545238BC" w:rsidR="00A2126F">
        <w:rPr>
          <w:rFonts w:ascii="Arial Nova" w:hAnsi="Arial Nova" w:eastAsia="Arial Nova" w:cs="Arial Nova"/>
          <w:color w:val="auto"/>
          <w:sz w:val="22"/>
          <w:szCs w:val="22"/>
        </w:rPr>
        <w:t xml:space="preserve">the problems faced by their own </w:t>
      </w:r>
      <w:r w:rsidRPr="545238BC" w:rsidR="00A2126F">
        <w:rPr>
          <w:rFonts w:ascii="Arial Nova" w:hAnsi="Arial Nova" w:eastAsia="Arial Nova" w:cs="Arial Nova"/>
          <w:color w:val="auto"/>
          <w:sz w:val="22"/>
          <w:szCs w:val="22"/>
        </w:rPr>
        <w:t xml:space="preserve">employees. If the employees continue with the strike the organisation could have a negative impact on their operation (Dlouhy and Casper, 2021). </w:t>
      </w:r>
    </w:p>
    <w:p xmlns:wp14="http://schemas.microsoft.com/office/word/2010/wordml" w:rsidRPr="00D654C0" w:rsidR="001B1A4E" w:rsidP="545238BC" w:rsidRDefault="00A2126F" w14:paraId="451D8642" wp14:textId="77777777">
      <w:pPr>
        <w:pStyle w:val="Heading1"/>
        <w:rPr>
          <w:rFonts w:ascii="Arial Nova" w:hAnsi="Arial Nova" w:eastAsia="Arial Nova" w:cs="Arial Nova"/>
          <w:b w:val="0"/>
          <w:bCs w:val="0"/>
          <w:color w:val="00B0F0"/>
          <w:sz w:val="22"/>
          <w:szCs w:val="22"/>
        </w:rPr>
      </w:pPr>
      <w:bookmarkStart w:name="_heading=h.26in1rg" w:id="15"/>
      <w:bookmarkEnd w:id="15"/>
      <w:bookmarkStart w:name="_Toc1430163165" w:id="373434912"/>
      <w:r w:rsidRPr="545238BC" w:rsidR="00A2126F">
        <w:rPr>
          <w:rFonts w:ascii="Arial Nova" w:hAnsi="Arial Nova" w:eastAsia="Arial Nova" w:cs="Arial Nova"/>
          <w:color w:val="00B0F0"/>
          <w:sz w:val="22"/>
          <w:szCs w:val="22"/>
        </w:rPr>
        <w:t>3. Question 2: “Using two relevant stakeholder analysis model, critically identify the stakeholders and explain how your chosen model are interrelated in the evaluation of critical stakeholders”</w:t>
      </w:r>
      <w:r w:rsidRPr="545238BC" w:rsidR="00A2126F">
        <w:rPr>
          <w:rFonts w:ascii="Arial Nova" w:hAnsi="Arial Nova" w:eastAsia="Arial Nova" w:cs="Arial Nova"/>
          <w:color w:val="00B0F0"/>
          <w:sz w:val="22"/>
          <w:szCs w:val="22"/>
        </w:rPr>
        <w:t xml:space="preserve"> </w:t>
      </w:r>
      <w:bookmarkEnd w:id="373434912"/>
    </w:p>
    <w:p xmlns:wp14="http://schemas.microsoft.com/office/word/2010/wordml" w:rsidRPr="00D654C0" w:rsidR="001B1A4E" w:rsidP="545238BC" w:rsidRDefault="00A2126F" w14:paraId="7537EBD7" wp14:textId="77777777">
      <w:pPr>
        <w:rPr>
          <w:rFonts w:ascii="Arial Nova" w:hAnsi="Arial Nova" w:eastAsia="Arial Nova" w:cs="Arial Nova"/>
          <w:b w:val="1"/>
          <w:bCs w:val="1"/>
          <w:color w:val="92D050"/>
          <w:sz w:val="22"/>
          <w:szCs w:val="22"/>
          <w:u w:val="single"/>
        </w:rPr>
      </w:pPr>
      <w:bookmarkStart w:name="_heading=h.lnxbz9" w:id="17"/>
      <w:bookmarkEnd w:id="17"/>
      <w:r w:rsidRPr="545238BC" w:rsidR="00A2126F">
        <w:rPr>
          <w:rFonts w:ascii="Arial Nova" w:hAnsi="Arial Nova" w:eastAsia="Arial Nova" w:cs="Arial Nova"/>
          <w:b w:val="1"/>
          <w:bCs w:val="1"/>
          <w:color w:val="92D050"/>
          <w:sz w:val="22"/>
          <w:szCs w:val="22"/>
          <w:u w:val="single"/>
        </w:rPr>
        <w:t>Salience model</w:t>
      </w:r>
      <w:r w:rsidRPr="545238BC" w:rsidR="00A2126F">
        <w:rPr>
          <w:rFonts w:ascii="Arial Nova" w:hAnsi="Arial Nova" w:eastAsia="Arial Nova" w:cs="Arial Nova"/>
          <w:b w:val="1"/>
          <w:bCs w:val="1"/>
          <w:color w:val="92D050"/>
          <w:sz w:val="22"/>
          <w:szCs w:val="22"/>
        </w:rPr>
        <w:t xml:space="preserve"> </w:t>
      </w:r>
    </w:p>
    <w:p xmlns:wp14="http://schemas.microsoft.com/office/word/2010/wordml" w:rsidRPr="00D654C0" w:rsidR="001B1A4E" w:rsidP="545238BC" w:rsidRDefault="00A2126F" w14:paraId="048AB948" wp14:textId="7A22AA84">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Salience model is the process of analysing and </w:t>
      </w:r>
      <w:bookmarkStart w:name="_Int_OenPFnJW" w:id="2106847119"/>
      <w:r w:rsidRPr="545238BC" w:rsidR="00A2126F">
        <w:rPr>
          <w:rFonts w:ascii="Arial Nova" w:hAnsi="Arial Nova" w:eastAsia="Arial Nova" w:cs="Arial Nova"/>
          <w:color w:val="auto"/>
          <w:sz w:val="22"/>
          <w:szCs w:val="22"/>
        </w:rPr>
        <w:t>identifying</w:t>
      </w:r>
      <w:bookmarkEnd w:id="2106847119"/>
      <w:r w:rsidRPr="545238BC" w:rsidR="00A2126F">
        <w:rPr>
          <w:rFonts w:ascii="Arial Nova" w:hAnsi="Arial Nova" w:eastAsia="Arial Nova" w:cs="Arial Nova"/>
          <w:color w:val="auto"/>
          <w:sz w:val="22"/>
          <w:szCs w:val="22"/>
        </w:rPr>
        <w:t xml:space="preserve"> significant characters that really count. </w:t>
      </w:r>
      <w:bookmarkStart w:name="_Int_7KlK6JbM" w:id="53247556"/>
      <w:r w:rsidRPr="545238BC" w:rsidR="00A2126F">
        <w:rPr>
          <w:rFonts w:ascii="Arial Nova" w:hAnsi="Arial Nova" w:eastAsia="Arial Nova" w:cs="Arial Nova"/>
          <w:color w:val="auto"/>
          <w:sz w:val="22"/>
          <w:szCs w:val="22"/>
        </w:rPr>
        <w:t>The stakeholder salience model is a concept proposed by Ronald K, Mitchell, Bradley R. Agle and Donna J. Wood in the year 1997.</w:t>
      </w:r>
      <w:bookmarkEnd w:id="53247556"/>
      <w:r w:rsidRPr="545238BC" w:rsidR="00A2126F">
        <w:rPr>
          <w:rFonts w:ascii="Arial Nova" w:hAnsi="Arial Nova" w:eastAsia="Arial Nova" w:cs="Arial Nova"/>
          <w:color w:val="auto"/>
          <w:sz w:val="22"/>
          <w:szCs w:val="22"/>
        </w:rPr>
        <w:t xml:space="preserve"> This model emphasises the requirement of attention upon the stakeholders in </w:t>
      </w:r>
      <w:bookmarkStart w:name="_Int_wWlPgiou" w:id="1878820279"/>
      <w:r w:rsidRPr="545238BC" w:rsidR="00A2126F">
        <w:rPr>
          <w:rFonts w:ascii="Arial Nova" w:hAnsi="Arial Nova" w:eastAsia="Arial Nova" w:cs="Arial Nova"/>
          <w:color w:val="auto"/>
          <w:sz w:val="22"/>
          <w:szCs w:val="22"/>
        </w:rPr>
        <w:t>a set period</w:t>
      </w:r>
      <w:bookmarkEnd w:id="1878820279"/>
      <w:r w:rsidRPr="545238BC" w:rsidR="00A2126F">
        <w:rPr>
          <w:rFonts w:ascii="Arial Nova" w:hAnsi="Arial Nova" w:eastAsia="Arial Nova" w:cs="Arial Nova"/>
          <w:color w:val="auto"/>
          <w:sz w:val="22"/>
          <w:szCs w:val="22"/>
        </w:rPr>
        <w:t xml:space="preserve">. The model has the advantages over the attributes made by two dimensions such as power and interest grid </w:t>
      </w:r>
      <w:bookmarkStart w:name="_Int_9FwaDl2R" w:id="542948573"/>
      <w:r w:rsidRPr="545238BC" w:rsidR="00A2126F">
        <w:rPr>
          <w:rFonts w:ascii="Arial Nova" w:hAnsi="Arial Nova" w:eastAsia="Arial Nova" w:cs="Arial Nova"/>
          <w:color w:val="auto"/>
          <w:sz w:val="22"/>
          <w:szCs w:val="22"/>
        </w:rPr>
        <w:t>standing for</w:t>
      </w:r>
      <w:bookmarkEnd w:id="542948573"/>
      <w:r w:rsidRPr="545238BC" w:rsidR="00A2126F">
        <w:rPr>
          <w:rFonts w:ascii="Arial Nova" w:hAnsi="Arial Nova" w:eastAsia="Arial Nova" w:cs="Arial Nova"/>
          <w:color w:val="auto"/>
          <w:sz w:val="22"/>
          <w:szCs w:val="22"/>
        </w:rPr>
        <w:t xml:space="preserve"> the degree to which the management gives priority in the context of competing stakeholders to claim </w:t>
      </w:r>
      <w:bookmarkStart w:name="_Int_Gh7z3Zp7" w:id="322647936"/>
      <w:r w:rsidRPr="545238BC" w:rsidR="00A2126F">
        <w:rPr>
          <w:rFonts w:ascii="Arial Nova" w:hAnsi="Arial Nova" w:eastAsia="Arial Nova" w:cs="Arial Nova"/>
          <w:color w:val="auto"/>
          <w:sz w:val="22"/>
          <w:szCs w:val="22"/>
        </w:rPr>
        <w:t>in decision</w:t>
      </w:r>
      <w:bookmarkEnd w:id="322647936"/>
      <w:r w:rsidRPr="545238BC" w:rsidR="00A2126F">
        <w:rPr>
          <w:rFonts w:ascii="Arial Nova" w:hAnsi="Arial Nova" w:eastAsia="Arial Nova" w:cs="Arial Nova"/>
          <w:color w:val="auto"/>
          <w:sz w:val="22"/>
          <w:szCs w:val="22"/>
        </w:rPr>
        <w:t xml:space="preserve"> making (</w:t>
      </w:r>
      <w:r w:rsidRPr="545238BC" w:rsidR="00A2126F">
        <w:rPr>
          <w:rFonts w:ascii="Arial Nova" w:hAnsi="Arial Nova" w:eastAsia="Arial Nova" w:cs="Arial Nova"/>
          <w:color w:val="auto"/>
          <w:sz w:val="22"/>
          <w:szCs w:val="22"/>
          <w:highlight w:val="white"/>
        </w:rPr>
        <w:t xml:space="preserve">Petrovskaya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2022</w:t>
      </w:r>
      <w:r w:rsidRPr="545238BC" w:rsidR="00A2126F">
        <w:rPr>
          <w:rFonts w:ascii="Arial Nova" w:hAnsi="Arial Nova" w:eastAsia="Arial Nova" w:cs="Arial Nova"/>
          <w:color w:val="auto"/>
          <w:sz w:val="22"/>
          <w:szCs w:val="22"/>
        </w:rPr>
        <w:t xml:space="preserve">). It is the project management which allows setting up of expectations for the stakeholders with the limited resources and their classification. The Salience Model majorly describes the process of classifying the stakeholders into three categories, such as Power, Legitimacy and Urgency (Harmer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2022)</w:t>
      </w:r>
      <w:bookmarkStart w:name="_Int_hXAJKTTP" w:id="1100008692"/>
      <w:r w:rsidRPr="545238BC" w:rsidR="00A2126F">
        <w:rPr>
          <w:rFonts w:ascii="Arial Nova" w:hAnsi="Arial Nova" w:eastAsia="Arial Nova" w:cs="Arial Nova"/>
          <w:color w:val="auto"/>
          <w:sz w:val="22"/>
          <w:szCs w:val="22"/>
        </w:rPr>
        <w:t xml:space="preserve">. </w:t>
      </w:r>
      <w:bookmarkEnd w:id="1100008692"/>
      <w:r w:rsidRPr="545238BC" w:rsidR="00A2126F">
        <w:rPr>
          <w:rFonts w:ascii="Arial Nova" w:hAnsi="Arial Nova" w:eastAsia="Arial Nova" w:cs="Arial Nova"/>
          <w:color w:val="auto"/>
          <w:sz w:val="22"/>
          <w:szCs w:val="22"/>
        </w:rPr>
        <w:t xml:space="preserve">In the given scenario of the Post office where hundreds of Post office workers will be on strike on Saturday, related to their pay issues, this situation describes the characteristic significant into the collective three dimensions of stakeholders with the stressful environment of disruptive coordination among the stakeholders. </w:t>
      </w:r>
      <w:bookmarkStart w:name="_Int_FOdOu9PZ" w:id="788700533"/>
      <w:r w:rsidRPr="545238BC" w:rsidR="00A2126F">
        <w:rPr>
          <w:rFonts w:ascii="Arial Nova" w:hAnsi="Arial Nova" w:eastAsia="Arial Nova" w:cs="Arial Nova"/>
          <w:color w:val="auto"/>
          <w:sz w:val="22"/>
          <w:szCs w:val="22"/>
        </w:rPr>
        <w:t>Deciding</w:t>
      </w:r>
      <w:bookmarkEnd w:id="788700533"/>
      <w:r w:rsidRPr="545238BC" w:rsidR="00A2126F">
        <w:rPr>
          <w:rFonts w:ascii="Arial Nova" w:hAnsi="Arial Nova" w:eastAsia="Arial Nova" w:cs="Arial Nova"/>
          <w:color w:val="auto"/>
          <w:sz w:val="22"/>
          <w:szCs w:val="22"/>
        </w:rPr>
        <w:t xml:space="preserve"> all three dimensions of this model are;</w:t>
      </w:r>
    </w:p>
    <w:p xmlns:wp14="http://schemas.microsoft.com/office/word/2010/wordml" w:rsidRPr="00D654C0" w:rsidR="001B1A4E" w:rsidP="545238BC" w:rsidRDefault="00A2126F" w14:paraId="313A790F" wp14:textId="77777777">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Power</w:t>
      </w:r>
    </w:p>
    <w:p xmlns:wp14="http://schemas.microsoft.com/office/word/2010/wordml" w:rsidRPr="00D654C0" w:rsidR="001B1A4E" w:rsidP="545238BC" w:rsidRDefault="00A2126F" w14:paraId="27A90193" wp14:textId="788BE7D2">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is the authoritative or influential characteristic of the stakeholders in any derived situation or projects, focusing the directive power of authority in taking decisions for the project work (Harmer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w:t>
      </w:r>
      <w:r w:rsidRPr="545238BC" w:rsidR="00A2126F">
        <w:rPr>
          <w:rFonts w:ascii="Arial Nova" w:hAnsi="Arial Nova" w:eastAsia="Arial Nova" w:cs="Arial Nova"/>
          <w:color w:val="auto"/>
          <w:sz w:val="22"/>
          <w:szCs w:val="22"/>
        </w:rPr>
        <w:t>Determining</w:t>
      </w:r>
      <w:r w:rsidRPr="545238BC" w:rsidR="00A2126F">
        <w:rPr>
          <w:rFonts w:ascii="Arial Nova" w:hAnsi="Arial Nova" w:eastAsia="Arial Nova" w:cs="Arial Nova"/>
          <w:color w:val="auto"/>
          <w:sz w:val="22"/>
          <w:szCs w:val="22"/>
        </w:rPr>
        <w:t xml:space="preserve"> the situation of the derived scenario of Post Office strike, the contradictory attributes made by the Post Office Management shows the power dimension of the authoritative department to make changes in the policy by increasing 2% on pay including 250 Pounds one off payment for 2022 to 2023</w:t>
      </w:r>
      <w:bookmarkStart w:name="_Int_Q8N8WHWm" w:id="2076104758"/>
      <w:bookmarkStart w:name="_Int_Tg4c3MEm" w:id="106518913"/>
      <w:r w:rsidRPr="545238BC" w:rsidR="00A2126F">
        <w:rPr>
          <w:rFonts w:ascii="Arial Nova" w:hAnsi="Arial Nova" w:eastAsia="Arial Nova" w:cs="Arial Nova"/>
          <w:color w:val="auto"/>
          <w:sz w:val="22"/>
          <w:szCs w:val="22"/>
        </w:rPr>
        <w:t xml:space="preserve">. </w:t>
      </w:r>
      <w:bookmarkEnd w:id="2076104758"/>
      <w:bookmarkEnd w:id="106518913"/>
    </w:p>
    <w:p xmlns:wp14="http://schemas.microsoft.com/office/word/2010/wordml" w:rsidRPr="00D654C0" w:rsidR="001B1A4E" w:rsidP="545238BC" w:rsidRDefault="00A2126F" w14:paraId="62992189"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Legitimacy</w:t>
      </w:r>
    </w:p>
    <w:p xmlns:wp14="http://schemas.microsoft.com/office/word/2010/wordml" w:rsidRPr="00D654C0" w:rsidR="001B1A4E" w:rsidP="545238BC" w:rsidRDefault="00A2126F" w14:paraId="09CDE56E" wp14:textId="30A4775A">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refers to another dimension among the three, which denotes the involvement in the project or situation with partial or no interest. Considering the legitimate interest of the stakeholder, they are involved </w:t>
      </w:r>
      <w:bookmarkStart w:name="_Int_ltoIMtlQ" w:id="695412875"/>
      <w:r w:rsidRPr="545238BC" w:rsidR="00A2126F">
        <w:rPr>
          <w:rFonts w:ascii="Arial Nova" w:hAnsi="Arial Nova" w:eastAsia="Arial Nova" w:cs="Arial Nova"/>
          <w:color w:val="auto"/>
          <w:sz w:val="22"/>
          <w:szCs w:val="22"/>
        </w:rPr>
        <w:t>whether</w:t>
      </w:r>
      <w:bookmarkEnd w:id="695412875"/>
      <w:r w:rsidRPr="545238BC" w:rsidR="00A2126F">
        <w:rPr>
          <w:rFonts w:ascii="Arial Nova" w:hAnsi="Arial Nova" w:eastAsia="Arial Nova" w:cs="Arial Nova"/>
          <w:color w:val="auto"/>
          <w:sz w:val="22"/>
          <w:szCs w:val="22"/>
        </w:rPr>
        <w:t xml:space="preserve"> they give attention or not for their legitimate claims (</w:t>
      </w:r>
      <w:proofErr w:type="spellStart"/>
      <w:r w:rsidRPr="545238BC" w:rsidR="00A2126F">
        <w:rPr>
          <w:rFonts w:ascii="Arial Nova" w:hAnsi="Arial Nova" w:eastAsia="Arial Nova" w:cs="Arial Nova"/>
          <w:color w:val="auto"/>
          <w:sz w:val="22"/>
          <w:szCs w:val="22"/>
        </w:rPr>
        <w:t>Oruamabo</w:t>
      </w:r>
      <w:proofErr w:type="spellEnd"/>
      <w:r w:rsidRPr="545238BC" w:rsidR="00A2126F">
        <w:rPr>
          <w:rFonts w:ascii="Arial Nova" w:hAnsi="Arial Nova" w:eastAsia="Arial Nova" w:cs="Arial Nova"/>
          <w:color w:val="auto"/>
          <w:sz w:val="22"/>
          <w:szCs w:val="22"/>
        </w:rPr>
        <w:t xml:space="preserve">, 2022). In the drive situation of the Post Office strike scenario, all the members of staff of the 114 Crown Post office who are 1500 total </w:t>
      </w:r>
      <w:bookmarkStart w:name="_Int_rSuaesWf" w:id="24016094"/>
      <w:r w:rsidRPr="545238BC" w:rsidR="00A2126F">
        <w:rPr>
          <w:rFonts w:ascii="Arial Nova" w:hAnsi="Arial Nova" w:eastAsia="Arial Nova" w:cs="Arial Nova"/>
          <w:color w:val="auto"/>
          <w:sz w:val="22"/>
          <w:szCs w:val="22"/>
        </w:rPr>
        <w:t>spread</w:t>
      </w:r>
      <w:bookmarkEnd w:id="24016094"/>
      <w:r w:rsidRPr="545238BC" w:rsidR="00A2126F">
        <w:rPr>
          <w:rFonts w:ascii="Arial Nova" w:hAnsi="Arial Nova" w:eastAsia="Arial Nova" w:cs="Arial Nova"/>
          <w:color w:val="auto"/>
          <w:sz w:val="22"/>
          <w:szCs w:val="22"/>
        </w:rPr>
        <w:t xml:space="preserve"> across 114 branches affected by the dispute (the sun, 2022). Comparatively, there are few collective members of staff associated with the Crown Post office, 114 branches showing legitimate interest; however, rest in the total of 11000 branches and their members are not showing much interest</w:t>
      </w:r>
      <w:bookmarkStart w:name="_Int_qtsCR5Nr" w:id="888577505"/>
      <w:bookmarkStart w:name="_Int_DWP0HjP5" w:id="1510458386"/>
      <w:r w:rsidRPr="545238BC" w:rsidR="00A2126F">
        <w:rPr>
          <w:rFonts w:ascii="Arial Nova" w:hAnsi="Arial Nova" w:eastAsia="Arial Nova" w:cs="Arial Nova"/>
          <w:color w:val="auto"/>
          <w:sz w:val="22"/>
          <w:szCs w:val="22"/>
        </w:rPr>
        <w:t xml:space="preserve">. </w:t>
      </w:r>
      <w:bookmarkEnd w:id="888577505"/>
      <w:bookmarkEnd w:id="1510458386"/>
    </w:p>
    <w:p xmlns:wp14="http://schemas.microsoft.com/office/word/2010/wordml" w:rsidRPr="00D654C0" w:rsidR="001B1A4E" w:rsidP="545238BC" w:rsidRDefault="00A2126F" w14:paraId="3CEDDF65" wp14:textId="77777777">
      <w:pPr>
        <w:pBdr>
          <w:top w:val="nil"/>
          <w:left w:val="nil"/>
          <w:bottom w:val="nil"/>
          <w:right w:val="nil"/>
          <w:between w:val="nil"/>
        </w:pBdr>
        <w:rPr>
          <w:rFonts w:ascii="Arial Nova" w:hAnsi="Arial Nova" w:eastAsia="Arial Nova" w:cs="Arial Nova"/>
          <w:color w:val="FF0000"/>
          <w:sz w:val="22"/>
          <w:szCs w:val="22"/>
        </w:rPr>
      </w:pPr>
      <w:r w:rsidRPr="545238BC" w:rsidR="00A2126F">
        <w:rPr>
          <w:rFonts w:ascii="Arial Nova" w:hAnsi="Arial Nova" w:eastAsia="Arial Nova" w:cs="Arial Nova"/>
          <w:b w:val="1"/>
          <w:bCs w:val="1"/>
          <w:color w:val="FF0000"/>
          <w:sz w:val="22"/>
          <w:szCs w:val="22"/>
        </w:rPr>
        <w:t>Urgency</w:t>
      </w:r>
      <w:r w:rsidRPr="545238BC" w:rsidR="00A2126F">
        <w:rPr>
          <w:rFonts w:ascii="Arial Nova" w:hAnsi="Arial Nova" w:eastAsia="Arial Nova" w:cs="Arial Nova"/>
          <w:color w:val="FF0000"/>
          <w:sz w:val="22"/>
          <w:szCs w:val="22"/>
        </w:rPr>
        <w:t xml:space="preserve"> </w:t>
      </w:r>
    </w:p>
    <w:p xmlns:wp14="http://schemas.microsoft.com/office/word/2010/wordml" w:rsidRPr="00D654C0" w:rsidR="001B1A4E" w:rsidP="545238BC" w:rsidRDefault="00A2126F" w14:paraId="395AF918" wp14:textId="7E8B56C0">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refers to the degree of urgency in which the stakeholders are calling from the requirement of immediate attention. </w:t>
      </w:r>
      <w:r w:rsidRPr="545238BC" w:rsidR="00A2126F">
        <w:rPr>
          <w:rFonts w:ascii="Arial Nova" w:hAnsi="Arial Nova" w:eastAsia="Arial Nova" w:cs="Arial Nova"/>
          <w:color w:val="auto"/>
          <w:sz w:val="22"/>
          <w:szCs w:val="22"/>
        </w:rPr>
        <w:t>Determining</w:t>
      </w:r>
      <w:r w:rsidRPr="545238BC" w:rsidR="00A2126F">
        <w:rPr>
          <w:rFonts w:ascii="Arial Nova" w:hAnsi="Arial Nova" w:eastAsia="Arial Nova" w:cs="Arial Nova"/>
          <w:color w:val="auto"/>
          <w:sz w:val="22"/>
          <w:szCs w:val="22"/>
        </w:rPr>
        <w:t xml:space="preserve"> the urgency, whether it is time sensitive or critical the requirements </w:t>
      </w:r>
      <w:bookmarkStart w:name="_Int_mzBiEzwQ" w:id="2115222143"/>
      <w:r w:rsidRPr="545238BC" w:rsidR="00A2126F">
        <w:rPr>
          <w:rFonts w:ascii="Arial Nova" w:hAnsi="Arial Nova" w:eastAsia="Arial Nova" w:cs="Arial Nova"/>
          <w:color w:val="auto"/>
          <w:sz w:val="22"/>
          <w:szCs w:val="22"/>
        </w:rPr>
        <w:t>must</w:t>
      </w:r>
      <w:bookmarkEnd w:id="2115222143"/>
      <w:r w:rsidRPr="545238BC" w:rsidR="00A2126F">
        <w:rPr>
          <w:rFonts w:ascii="Arial Nova" w:hAnsi="Arial Nova" w:eastAsia="Arial Nova" w:cs="Arial Nova"/>
          <w:color w:val="auto"/>
          <w:sz w:val="22"/>
          <w:szCs w:val="22"/>
        </w:rPr>
        <w:t xml:space="preserve"> be fulfilled by analysing the systematic priority developed by the </w:t>
      </w:r>
      <w:r w:rsidRPr="545238BC" w:rsidR="00A2126F">
        <w:rPr>
          <w:rFonts w:ascii="Arial Nova" w:hAnsi="Arial Nova" w:eastAsia="Arial Nova" w:cs="Arial Nova"/>
          <w:color w:val="auto"/>
          <w:sz w:val="22"/>
          <w:szCs w:val="22"/>
        </w:rPr>
        <w:t>stakeholder's</w:t>
      </w:r>
      <w:r w:rsidRPr="545238BC" w:rsidR="00A2126F">
        <w:rPr>
          <w:rFonts w:ascii="Arial Nova" w:hAnsi="Arial Nova" w:eastAsia="Arial Nova" w:cs="Arial Nova"/>
          <w:color w:val="auto"/>
          <w:sz w:val="22"/>
          <w:szCs w:val="22"/>
        </w:rPr>
        <w:t xml:space="preserve"> management strategy (</w:t>
      </w:r>
      <w:proofErr w:type="spellStart"/>
      <w:r w:rsidRPr="545238BC" w:rsidR="00A2126F">
        <w:rPr>
          <w:rFonts w:ascii="Arial Nova" w:hAnsi="Arial Nova" w:eastAsia="Arial Nova" w:cs="Arial Nova"/>
          <w:color w:val="auto"/>
          <w:sz w:val="22"/>
          <w:szCs w:val="22"/>
        </w:rPr>
        <w:t>Aragonès</w:t>
      </w:r>
      <w:proofErr w:type="spellEnd"/>
      <w:r w:rsidRPr="545238BC" w:rsidR="00A2126F">
        <w:rPr>
          <w:rFonts w:ascii="Arial Nova" w:hAnsi="Arial Nova" w:eastAsia="Arial Nova" w:cs="Arial Nova"/>
          <w:color w:val="auto"/>
          <w:sz w:val="22"/>
          <w:szCs w:val="22"/>
        </w:rPr>
        <w:t xml:space="preserve"> and </w:t>
      </w:r>
      <w:proofErr w:type="spellStart"/>
      <w:r w:rsidRPr="545238BC" w:rsidR="00A2126F">
        <w:rPr>
          <w:rFonts w:ascii="Arial Nova" w:hAnsi="Arial Nova" w:eastAsia="Arial Nova" w:cs="Arial Nova"/>
          <w:color w:val="auto"/>
          <w:sz w:val="22"/>
          <w:szCs w:val="22"/>
        </w:rPr>
        <w:t>Ponsatí</w:t>
      </w:r>
      <w:proofErr w:type="spellEnd"/>
      <w:r w:rsidRPr="545238BC" w:rsidR="00A2126F">
        <w:rPr>
          <w:rFonts w:ascii="Arial Nova" w:hAnsi="Arial Nova" w:eastAsia="Arial Nova" w:cs="Arial Nova"/>
          <w:color w:val="auto"/>
          <w:sz w:val="22"/>
          <w:szCs w:val="22"/>
        </w:rPr>
        <w:t xml:space="preserve">, 2022). Considering this dimension of Urgency in the derived situation of Post Office Strike, the call of requirement made by the Communication Workers Union falls into the Urgency dimension of Salience Model. </w:t>
      </w:r>
    </w:p>
    <w:p xmlns:wp14="http://schemas.microsoft.com/office/word/2010/wordml" w:rsidRPr="00D654C0" w:rsidR="001B1A4E" w:rsidP="545238BC" w:rsidRDefault="00A2126F" w14:paraId="5BF87DB4" wp14:textId="77777777">
      <w:pPr>
        <w:pBdr>
          <w:top w:val="nil"/>
          <w:left w:val="nil"/>
          <w:bottom w:val="nil"/>
          <w:right w:val="nil"/>
          <w:between w:val="nil"/>
        </w:pBdr>
        <w:rPr>
          <w:rFonts w:ascii="Arial Nova" w:hAnsi="Arial Nova" w:eastAsia="Arial Nova" w:cs="Arial Nova"/>
          <w:b w:val="1"/>
          <w:bCs w:val="1"/>
          <w:color w:val="92D050"/>
          <w:sz w:val="22"/>
          <w:szCs w:val="22"/>
          <w:u w:val="single"/>
        </w:rPr>
      </w:pPr>
      <w:r w:rsidRPr="545238BC" w:rsidR="00A2126F">
        <w:rPr>
          <w:rFonts w:ascii="Arial Nova" w:hAnsi="Arial Nova" w:eastAsia="Arial Nova" w:cs="Arial Nova"/>
          <w:b w:val="1"/>
          <w:bCs w:val="1"/>
          <w:color w:val="92D050"/>
          <w:sz w:val="22"/>
          <w:szCs w:val="22"/>
          <w:u w:val="single"/>
        </w:rPr>
        <w:t>Power Interest Matrix</w:t>
      </w:r>
    </w:p>
    <w:p xmlns:wp14="http://schemas.microsoft.com/office/word/2010/wordml" w:rsidRPr="00D654C0" w:rsidR="001B1A4E" w:rsidP="545238BC" w:rsidRDefault="00A2126F" w14:paraId="6BD4C66D" wp14:textId="22C3C0C9">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Power Interest Grid is a tool to </w:t>
      </w:r>
      <w:r w:rsidRPr="545238BC" w:rsidR="00A2126F">
        <w:rPr>
          <w:rFonts w:ascii="Arial Nova" w:hAnsi="Arial Nova" w:eastAsia="Arial Nova" w:cs="Arial Nova"/>
          <w:color w:val="auto"/>
          <w:sz w:val="22"/>
          <w:szCs w:val="22"/>
        </w:rPr>
        <w:t>identify</w:t>
      </w:r>
      <w:r w:rsidRPr="545238BC" w:rsidR="00A2126F">
        <w:rPr>
          <w:rFonts w:ascii="Arial Nova" w:hAnsi="Arial Nova" w:eastAsia="Arial Nova" w:cs="Arial Nova"/>
          <w:color w:val="auto"/>
          <w:sz w:val="22"/>
          <w:szCs w:val="22"/>
        </w:rPr>
        <w:t xml:space="preserve"> categories and manage the type of stakeholders, by </w:t>
      </w:r>
      <w:r w:rsidRPr="545238BC" w:rsidR="00A2126F">
        <w:rPr>
          <w:rFonts w:ascii="Arial Nova" w:hAnsi="Arial Nova" w:eastAsia="Arial Nova" w:cs="Arial Nova"/>
          <w:color w:val="auto"/>
          <w:sz w:val="22"/>
          <w:szCs w:val="22"/>
        </w:rPr>
        <w:t>determining</w:t>
      </w:r>
      <w:r w:rsidRPr="545238BC" w:rsidR="00A2126F">
        <w:rPr>
          <w:rFonts w:ascii="Arial Nova" w:hAnsi="Arial Nova" w:eastAsia="Arial Nova" w:cs="Arial Nova"/>
          <w:color w:val="auto"/>
          <w:sz w:val="22"/>
          <w:szCs w:val="22"/>
        </w:rPr>
        <w:t xml:space="preserve"> their nature and characteristics in the derived situation or the project. The application of the grid can explain the importance of the stakeholders with their effective conception of the interest shown in the project whether it is regulatory, </w:t>
      </w:r>
      <w:bookmarkStart w:name="_Int_JbwlPPne" w:id="26820829"/>
      <w:r w:rsidRPr="545238BC" w:rsidR="00A2126F">
        <w:rPr>
          <w:rFonts w:ascii="Arial Nova" w:hAnsi="Arial Nova" w:eastAsia="Arial Nova" w:cs="Arial Nova"/>
          <w:color w:val="auto"/>
          <w:sz w:val="22"/>
          <w:szCs w:val="22"/>
        </w:rPr>
        <w:t>financial,</w:t>
      </w:r>
      <w:bookmarkEnd w:id="26820829"/>
      <w:r w:rsidRPr="545238BC" w:rsidR="00A2126F">
        <w:rPr>
          <w:rFonts w:ascii="Arial Nova" w:hAnsi="Arial Nova" w:eastAsia="Arial Nova" w:cs="Arial Nova"/>
          <w:color w:val="auto"/>
          <w:sz w:val="22"/>
          <w:szCs w:val="22"/>
        </w:rPr>
        <w:t xml:space="preserve"> or otherwise (Wang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The power grid interest matrix shows management to </w:t>
      </w:r>
      <w:r w:rsidRPr="545238BC" w:rsidR="00A2126F">
        <w:rPr>
          <w:rFonts w:ascii="Arial Nova" w:hAnsi="Arial Nova" w:eastAsia="Arial Nova" w:cs="Arial Nova"/>
          <w:color w:val="auto"/>
          <w:sz w:val="22"/>
          <w:szCs w:val="22"/>
        </w:rPr>
        <w:t>maintain</w:t>
      </w:r>
      <w:r w:rsidRPr="545238BC" w:rsidR="00A2126F">
        <w:rPr>
          <w:rFonts w:ascii="Arial Nova" w:hAnsi="Arial Nova" w:eastAsia="Arial Nova" w:cs="Arial Nova"/>
          <w:color w:val="auto"/>
          <w:sz w:val="22"/>
          <w:szCs w:val="22"/>
        </w:rPr>
        <w:t xml:space="preserve"> better communication in respect to ensure satisfaction. The </w:t>
      </w:r>
      <w:r w:rsidRPr="545238BC" w:rsidR="00A2126F">
        <w:rPr>
          <w:rFonts w:ascii="Arial Nova" w:hAnsi="Arial Nova" w:eastAsia="Arial Nova" w:cs="Arial Nova"/>
          <w:color w:val="auto"/>
          <w:sz w:val="22"/>
          <w:szCs w:val="22"/>
        </w:rPr>
        <w:t>initial</w:t>
      </w:r>
      <w:r w:rsidRPr="545238BC" w:rsidR="00A2126F">
        <w:rPr>
          <w:rFonts w:ascii="Arial Nova" w:hAnsi="Arial Nova" w:eastAsia="Arial Nova" w:cs="Arial Nova"/>
          <w:color w:val="auto"/>
          <w:sz w:val="22"/>
          <w:szCs w:val="22"/>
        </w:rPr>
        <w:t xml:space="preserve"> stage of this tool is to </w:t>
      </w:r>
      <w:r w:rsidRPr="545238BC" w:rsidR="00A2126F">
        <w:rPr>
          <w:rFonts w:ascii="Arial Nova" w:hAnsi="Arial Nova" w:eastAsia="Arial Nova" w:cs="Arial Nova"/>
          <w:color w:val="auto"/>
          <w:sz w:val="22"/>
          <w:szCs w:val="22"/>
        </w:rPr>
        <w:t>identify</w:t>
      </w:r>
      <w:r w:rsidRPr="545238BC" w:rsidR="00A2126F">
        <w:rPr>
          <w:rFonts w:ascii="Arial Nova" w:hAnsi="Arial Nova" w:eastAsia="Arial Nova" w:cs="Arial Nova"/>
          <w:color w:val="auto"/>
          <w:sz w:val="22"/>
          <w:szCs w:val="22"/>
        </w:rPr>
        <w:t xml:space="preserve"> the potential stakeholders by analysing their approach. The process of </w:t>
      </w:r>
      <w:r w:rsidRPr="545238BC" w:rsidR="00A2126F">
        <w:rPr>
          <w:rFonts w:ascii="Arial Nova" w:hAnsi="Arial Nova" w:eastAsia="Arial Nova" w:cs="Arial Nova"/>
          <w:color w:val="auto"/>
          <w:sz w:val="22"/>
          <w:szCs w:val="22"/>
        </w:rPr>
        <w:t>determining</w:t>
      </w:r>
      <w:r w:rsidRPr="545238BC" w:rsidR="00A2126F">
        <w:rPr>
          <w:rFonts w:ascii="Arial Nova" w:hAnsi="Arial Nova" w:eastAsia="Arial Nova" w:cs="Arial Nova"/>
          <w:color w:val="auto"/>
          <w:sz w:val="22"/>
          <w:szCs w:val="22"/>
        </w:rPr>
        <w:t xml:space="preserve"> the stakeholders is by listing all the people and organisations that are associated with the project and </w:t>
      </w:r>
      <w:r w:rsidRPr="545238BC" w:rsidR="00A2126F">
        <w:rPr>
          <w:rFonts w:ascii="Arial Nova" w:hAnsi="Arial Nova" w:eastAsia="Arial Nova" w:cs="Arial Nova"/>
          <w:color w:val="auto"/>
          <w:sz w:val="22"/>
          <w:szCs w:val="22"/>
        </w:rPr>
        <w:t>identifying</w:t>
      </w:r>
      <w:r w:rsidRPr="545238BC" w:rsidR="00A2126F">
        <w:rPr>
          <w:rFonts w:ascii="Arial Nova" w:hAnsi="Arial Nova" w:eastAsia="Arial Nova" w:cs="Arial Nova"/>
          <w:color w:val="auto"/>
          <w:sz w:val="22"/>
          <w:szCs w:val="22"/>
        </w:rPr>
        <w:t xml:space="preserve"> their contributions in terms of opportunities and challenges. Analysing all their characteristics in effect of their interest, Power-Interest Grid comes into the picture to prioritise the stakeholders according to their importance to the project. By plotting the stakeholders in the grid of Power- Interest, it helps to </w:t>
      </w:r>
      <w:r w:rsidRPr="545238BC" w:rsidR="00A2126F">
        <w:rPr>
          <w:rFonts w:ascii="Arial Nova" w:hAnsi="Arial Nova" w:eastAsia="Arial Nova" w:cs="Arial Nova"/>
          <w:color w:val="auto"/>
          <w:sz w:val="22"/>
          <w:szCs w:val="22"/>
        </w:rPr>
        <w:t>determine</w:t>
      </w:r>
      <w:r w:rsidRPr="545238BC" w:rsidR="00A2126F">
        <w:rPr>
          <w:rFonts w:ascii="Arial Nova" w:hAnsi="Arial Nova" w:eastAsia="Arial Nova" w:cs="Arial Nova"/>
          <w:color w:val="auto"/>
          <w:sz w:val="22"/>
          <w:szCs w:val="22"/>
        </w:rPr>
        <w:t xml:space="preserve"> which stakeholder has high power and which has low power to </w:t>
      </w:r>
      <w:r w:rsidRPr="545238BC" w:rsidR="00A2126F">
        <w:rPr>
          <w:rFonts w:ascii="Arial Nova" w:hAnsi="Arial Nova" w:eastAsia="Arial Nova" w:cs="Arial Nova"/>
          <w:color w:val="auto"/>
          <w:sz w:val="22"/>
          <w:szCs w:val="22"/>
        </w:rPr>
        <w:t xml:space="preserve">affect the project (Todeschini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After identification, the high power needs to be kept satisfied, while people with the high interests need to be well informed. If stakeholders fall in the grid on both equally, their expectations need to be managed very carefully (Wang </w:t>
      </w:r>
      <w:r w:rsidRPr="545238BC" w:rsidR="00A2126F">
        <w:rPr>
          <w:rFonts w:ascii="Arial Nova" w:hAnsi="Arial Nova" w:eastAsia="Arial Nova" w:cs="Arial Nova"/>
          <w:i w:val="1"/>
          <w:iCs w:val="1"/>
          <w:color w:val="auto"/>
          <w:sz w:val="22"/>
          <w:szCs w:val="22"/>
        </w:rPr>
        <w:t>et</w:t>
      </w:r>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i w:val="1"/>
          <w:iCs w:val="1"/>
          <w:color w:val="auto"/>
          <w:sz w:val="22"/>
          <w:szCs w:val="22"/>
        </w:rPr>
        <w:t>al</w:t>
      </w:r>
      <w:r w:rsidRPr="545238BC" w:rsidR="00A2126F">
        <w:rPr>
          <w:rFonts w:ascii="Arial Nova" w:hAnsi="Arial Nova" w:eastAsia="Arial Nova" w:cs="Arial Nova"/>
          <w:color w:val="auto"/>
          <w:sz w:val="22"/>
          <w:szCs w:val="22"/>
        </w:rPr>
        <w:t xml:space="preserve">., 2022). Determining the derived situation of the Post Office project in terms of their issues on freezing pay, the contributions of stakeholders are shown with the </w:t>
      </w:r>
      <w:r w:rsidRPr="545238BC" w:rsidR="00A2126F">
        <w:rPr>
          <w:rFonts w:ascii="Arial Nova" w:hAnsi="Arial Nova" w:eastAsia="Arial Nova" w:cs="Arial Nova"/>
          <w:color w:val="auto"/>
          <w:sz w:val="22"/>
          <w:szCs w:val="22"/>
        </w:rPr>
        <w:t>viable</w:t>
      </w:r>
      <w:r w:rsidRPr="545238BC" w:rsidR="00A2126F">
        <w:rPr>
          <w:rFonts w:ascii="Arial Nova" w:hAnsi="Arial Nova" w:eastAsia="Arial Nova" w:cs="Arial Nova"/>
          <w:color w:val="auto"/>
          <w:sz w:val="22"/>
          <w:szCs w:val="22"/>
        </w:rPr>
        <w:t xml:space="preserve"> of power and interest. Therefore, considering their initiative in this situation the analysis of their importance can be </w:t>
      </w:r>
      <w:r w:rsidRPr="545238BC" w:rsidR="00A2126F">
        <w:rPr>
          <w:rFonts w:ascii="Arial Nova" w:hAnsi="Arial Nova" w:eastAsia="Arial Nova" w:cs="Arial Nova"/>
          <w:color w:val="auto"/>
          <w:sz w:val="22"/>
          <w:szCs w:val="22"/>
        </w:rPr>
        <w:t>determined</w:t>
      </w:r>
      <w:r w:rsidRPr="545238BC" w:rsidR="00A2126F">
        <w:rPr>
          <w:rFonts w:ascii="Arial Nova" w:hAnsi="Arial Nova" w:eastAsia="Arial Nova" w:cs="Arial Nova"/>
          <w:color w:val="auto"/>
          <w:sz w:val="22"/>
          <w:szCs w:val="22"/>
        </w:rPr>
        <w:t xml:space="preserve"> by putting them into Power-interest Grid with the priority of their approaches. </w:t>
      </w:r>
    </w:p>
    <w:p xmlns:wp14="http://schemas.microsoft.com/office/word/2010/wordml" w:rsidRPr="00D654C0" w:rsidR="001B1A4E" w:rsidP="545238BC" w:rsidRDefault="00A2126F" w14:paraId="475718D3"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 xml:space="preserve">High Power - High Interest </w:t>
      </w:r>
    </w:p>
    <w:p xmlns:wp14="http://schemas.microsoft.com/office/word/2010/wordml" w:rsidRPr="00D654C0" w:rsidR="001B1A4E" w:rsidP="545238BC" w:rsidRDefault="00A2126F" w14:paraId="620766E9" wp14:textId="4C3D767C">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Stakeholders in this category are the decision makers who have the biggest impact on the situation or project success. Therefore, they are to be kept closely by managing their expectations (Todeschini</w:t>
      </w:r>
      <w:r w:rsidRPr="545238BC" w:rsidR="00A2126F">
        <w:rPr>
          <w:rFonts w:ascii="Arial Nova" w:hAnsi="Arial Nova" w:eastAsia="Arial Nova" w:cs="Arial Nova"/>
          <w:i w:val="1"/>
          <w:iCs w:val="1"/>
          <w:color w:val="auto"/>
          <w:sz w:val="22"/>
          <w:szCs w:val="22"/>
        </w:rPr>
        <w:t xml:space="preserve"> et al.,</w:t>
      </w:r>
      <w:r w:rsidRPr="545238BC" w:rsidR="00A2126F">
        <w:rPr>
          <w:rFonts w:ascii="Arial Nova" w:hAnsi="Arial Nova" w:eastAsia="Arial Nova" w:cs="Arial Nova"/>
          <w:color w:val="auto"/>
          <w:sz w:val="22"/>
          <w:szCs w:val="22"/>
        </w:rPr>
        <w:t xml:space="preserve"> 2022)</w:t>
      </w:r>
      <w:bookmarkStart w:name="_Int_H35C1QBq" w:id="864678098"/>
      <w:r w:rsidRPr="545238BC" w:rsidR="00A2126F">
        <w:rPr>
          <w:rFonts w:ascii="Arial Nova" w:hAnsi="Arial Nova" w:eastAsia="Arial Nova" w:cs="Arial Nova"/>
          <w:color w:val="auto"/>
          <w:sz w:val="22"/>
          <w:szCs w:val="22"/>
        </w:rPr>
        <w:t xml:space="preserve">. </w:t>
      </w:r>
      <w:bookmarkEnd w:id="864678098"/>
      <w:r w:rsidRPr="545238BC" w:rsidR="00A2126F">
        <w:rPr>
          <w:rFonts w:ascii="Arial Nova" w:hAnsi="Arial Nova" w:eastAsia="Arial Nova" w:cs="Arial Nova"/>
          <w:color w:val="auto"/>
          <w:sz w:val="22"/>
          <w:szCs w:val="22"/>
        </w:rPr>
        <w:t xml:space="preserve">The Post Office Management falls under this grid by showing their high interest </w:t>
      </w:r>
      <w:r w:rsidRPr="545238BC" w:rsidR="00A2126F">
        <w:rPr>
          <w:rFonts w:ascii="Arial Nova" w:hAnsi="Arial Nova" w:eastAsia="Arial Nova" w:cs="Arial Nova"/>
          <w:color w:val="auto"/>
          <w:sz w:val="22"/>
          <w:szCs w:val="22"/>
        </w:rPr>
        <w:t xml:space="preserve">in </w:t>
      </w:r>
      <w:r w:rsidRPr="545238BC" w:rsidR="00A2126F">
        <w:rPr>
          <w:rFonts w:ascii="Arial Nova" w:hAnsi="Arial Nova" w:eastAsia="Arial Nova" w:cs="Arial Nova"/>
          <w:color w:val="auto"/>
          <w:sz w:val="22"/>
          <w:szCs w:val="22"/>
        </w:rPr>
        <w:t>operat</w:t>
      </w:r>
      <w:r w:rsidRPr="545238BC" w:rsidR="00A2126F">
        <w:rPr>
          <w:rFonts w:ascii="Arial Nova" w:hAnsi="Arial Nova" w:eastAsia="Arial Nova" w:cs="Arial Nova"/>
          <w:color w:val="auto"/>
          <w:sz w:val="22"/>
          <w:szCs w:val="22"/>
        </w:rPr>
        <w:t>ing</w:t>
      </w:r>
      <w:r w:rsidRPr="545238BC" w:rsidR="00A2126F">
        <w:rPr>
          <w:rFonts w:ascii="Arial Nova" w:hAnsi="Arial Nova" w:eastAsia="Arial Nova" w:cs="Arial Nova"/>
          <w:color w:val="auto"/>
          <w:sz w:val="22"/>
          <w:szCs w:val="22"/>
        </w:rPr>
        <w:t xml:space="preserve"> their all 11000 branches along with 114 Crown Post offices, with the motivational approach of increasing the pay for the employees. The other side of the Grid with High-Power denotes their decision-making capability in freezing the payment hikes for 2021- 22 and insultingly offering 2% rise to be applicable in following year 2022-23</w:t>
      </w:r>
      <w:bookmarkStart w:name="_Int_vptIr8up" w:id="573199401"/>
      <w:r w:rsidRPr="545238BC" w:rsidR="00A2126F">
        <w:rPr>
          <w:rFonts w:ascii="Arial Nova" w:hAnsi="Arial Nova" w:eastAsia="Arial Nova" w:cs="Arial Nova"/>
          <w:color w:val="auto"/>
          <w:sz w:val="22"/>
          <w:szCs w:val="22"/>
        </w:rPr>
        <w:t xml:space="preserve">. </w:t>
      </w:r>
      <w:bookmarkEnd w:id="573199401"/>
    </w:p>
    <w:p xmlns:wp14="http://schemas.microsoft.com/office/word/2010/wordml" w:rsidRPr="00D654C0" w:rsidR="001B1A4E" w:rsidP="545238BC" w:rsidRDefault="00A2126F" w14:paraId="4125974A"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High-Power and Low-Interest</w:t>
      </w:r>
    </w:p>
    <w:p xmlns:wp14="http://schemas.microsoft.com/office/word/2010/wordml" w:rsidRPr="00D654C0" w:rsidR="001B1A4E" w:rsidP="545238BC" w:rsidRDefault="00A2126F" w14:paraId="19DD571D" wp14:textId="3481DFEE">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These types of stakeholders need attention because they have high power, so they are kept satisfied even though they do show interest (Todeschini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2022). Considering the derived situation to analyse the category of High-Power and low-interest stakeholders are the Government who are the policy makers for the public, who have shown their power by framing the policies for the Post office employees to regulate proper increase of wages on public sector pay policy. Nevertheless, the Government does not show any interest in this situation now as it is up to Post Office management to make decisions.</w:t>
      </w:r>
    </w:p>
    <w:p xmlns:wp14="http://schemas.microsoft.com/office/word/2010/wordml" w:rsidRPr="00D654C0" w:rsidR="001B1A4E" w:rsidP="545238BC" w:rsidRDefault="00A2126F" w14:paraId="129323C9"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 xml:space="preserve">Low- Power and High-Interest </w:t>
      </w:r>
    </w:p>
    <w:p xmlns:wp14="http://schemas.microsoft.com/office/word/2010/wordml" w:rsidRPr="00D654C0" w:rsidR="001B1A4E" w:rsidP="545238BC" w:rsidRDefault="00A2126F" w14:paraId="68536FBF" wp14:textId="6AF99DE5">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Low-Power to take any decision and make changes in the project by showing adequate amount of interest showing high in the grid, denotes stakeholders to be kept well informed (Todeschini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In the derived scenario of the Post Office strike, the Communication Workers Union with the majority of 3500 members involved in dispute fall </w:t>
      </w:r>
      <w:r w:rsidRPr="545238BC" w:rsidR="00A2126F">
        <w:rPr>
          <w:rFonts w:ascii="Arial Nova" w:hAnsi="Arial Nova" w:eastAsia="Arial Nova" w:cs="Arial Nova"/>
          <w:color w:val="auto"/>
          <w:sz w:val="22"/>
          <w:szCs w:val="22"/>
        </w:rPr>
        <w:t>into</w:t>
      </w:r>
      <w:r w:rsidRPr="545238BC" w:rsidR="00A2126F">
        <w:rPr>
          <w:rFonts w:ascii="Arial Nova" w:hAnsi="Arial Nova" w:eastAsia="Arial Nova" w:cs="Arial Nova"/>
          <w:color w:val="auto"/>
          <w:sz w:val="22"/>
          <w:szCs w:val="22"/>
        </w:rPr>
        <w:t xml:space="preserve"> this category.</w:t>
      </w:r>
    </w:p>
    <w:p xmlns:wp14="http://schemas.microsoft.com/office/word/2010/wordml" w:rsidRPr="00D654C0" w:rsidR="001B1A4E" w:rsidP="545238BC" w:rsidRDefault="00A2126F" w14:paraId="431A8D11"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 xml:space="preserve">Low-Power and Low-Interest </w:t>
      </w:r>
    </w:p>
    <w:p xmlns:wp14="http://schemas.microsoft.com/office/word/2010/wordml" w:rsidRPr="00D654C0" w:rsidR="001B1A4E" w:rsidP="545238BC" w:rsidRDefault="00A2126F" w14:paraId="5DA18548" wp14:textId="04ED0E47">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refers to the types of stakeholders who are to be </w:t>
      </w:r>
      <w:r w:rsidRPr="545238BC" w:rsidR="00A2126F">
        <w:rPr>
          <w:rFonts w:ascii="Arial Nova" w:hAnsi="Arial Nova" w:eastAsia="Arial Nova" w:cs="Arial Nova"/>
          <w:color w:val="auto"/>
          <w:sz w:val="22"/>
          <w:szCs w:val="22"/>
        </w:rPr>
        <w:t>monitored</w:t>
      </w:r>
      <w:r w:rsidRPr="545238BC" w:rsidR="00A2126F">
        <w:rPr>
          <w:rFonts w:ascii="Arial Nova" w:hAnsi="Arial Nova" w:eastAsia="Arial Nova" w:cs="Arial Nova"/>
          <w:color w:val="auto"/>
          <w:sz w:val="22"/>
          <w:szCs w:val="22"/>
        </w:rPr>
        <w:t xml:space="preserve"> but not interfered or bothered with any excessive informal communication (Todeschini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2022). All the employees of Post office other than 1500 members who are involved in disputes are referred to Low- power and Low-Interest stakeholder’s category</w:t>
      </w:r>
      <w:bookmarkStart w:name="_Int_ep6Arv7I" w:id="1996902205"/>
      <w:bookmarkStart w:name="_Int_VBaS9BlQ" w:id="83238360"/>
      <w:bookmarkStart w:name="_Int_RX7XmgXi" w:id="955318435"/>
      <w:r w:rsidRPr="545238BC" w:rsidR="00A2126F">
        <w:rPr>
          <w:rFonts w:ascii="Arial Nova" w:hAnsi="Arial Nova" w:eastAsia="Arial Nova" w:cs="Arial Nova"/>
          <w:color w:val="auto"/>
          <w:sz w:val="22"/>
          <w:szCs w:val="22"/>
        </w:rPr>
        <w:t xml:space="preserve">. </w:t>
      </w:r>
      <w:bookmarkEnd w:id="1996902205"/>
      <w:bookmarkEnd w:id="83238360"/>
      <w:bookmarkEnd w:id="955318435"/>
    </w:p>
    <w:p xmlns:wp14="http://schemas.microsoft.com/office/word/2010/wordml" w:rsidRPr="00D654C0" w:rsidR="001B1A4E" w:rsidP="545238BC" w:rsidRDefault="00A2126F" w14:paraId="29D6B04F" wp14:textId="77777777">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 </w:t>
      </w:r>
      <w:r w:rsidRPr="00D654C0">
        <w:rPr>
          <w:noProof/>
          <w:color w:val="auto"/>
          <w:lang w:val="en-US" w:eastAsia="en-US"/>
        </w:rPr>
        <w:drawing>
          <wp:inline xmlns:wp14="http://schemas.microsoft.com/office/word/2010/wordprocessingDrawing" distT="114300" distB="114300" distL="114300" distR="114300" wp14:anchorId="3F4F6629" wp14:editId="7777777">
            <wp:extent cx="5895975" cy="39814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895975" cy="3981450"/>
                    </a:xfrm>
                    <a:prstGeom prst="rect">
                      <a:avLst/>
                    </a:prstGeom>
                    <a:ln/>
                  </pic:spPr>
                </pic:pic>
              </a:graphicData>
            </a:graphic>
          </wp:inline>
        </w:drawing>
      </w:r>
    </w:p>
    <w:p xmlns:wp14="http://schemas.microsoft.com/office/word/2010/wordml" w:rsidRPr="00D654C0" w:rsidR="001B1A4E" w:rsidP="545238BC" w:rsidRDefault="00A2126F" w14:paraId="6976D521" wp14:textId="77777777">
      <w:pPr>
        <w:pBdr>
          <w:top w:val="nil"/>
          <w:left w:val="nil"/>
          <w:bottom w:val="nil"/>
          <w:right w:val="nil"/>
          <w:between w:val="nil"/>
        </w:pBdr>
        <w:jc w:val="center"/>
        <w:rPr>
          <w:rFonts w:ascii="Arial Nova" w:hAnsi="Arial Nova" w:eastAsia="Arial Nova" w:cs="Arial Nova"/>
          <w:b w:val="1"/>
          <w:bCs w:val="1"/>
          <w:color w:val="auto"/>
          <w:sz w:val="22"/>
          <w:szCs w:val="22"/>
        </w:rPr>
      </w:pPr>
      <w:r w:rsidRPr="545238BC" w:rsidR="00A2126F">
        <w:rPr>
          <w:rFonts w:ascii="Arial Nova" w:hAnsi="Arial Nova" w:eastAsia="Arial Nova" w:cs="Arial Nova"/>
          <w:b w:val="1"/>
          <w:bCs w:val="1"/>
          <w:color w:val="auto"/>
          <w:sz w:val="22"/>
          <w:szCs w:val="22"/>
        </w:rPr>
        <w:t>Figure: Power-interest matrix</w:t>
      </w:r>
    </w:p>
    <w:p xmlns:wp14="http://schemas.microsoft.com/office/word/2010/wordml" w:rsidRPr="00D654C0" w:rsidR="001B1A4E" w:rsidP="545238BC" w:rsidRDefault="00A2126F" w14:paraId="16112A43" wp14:textId="77777777">
      <w:pPr>
        <w:pBdr>
          <w:top w:val="nil"/>
          <w:left w:val="nil"/>
          <w:bottom w:val="nil"/>
          <w:right w:val="nil"/>
          <w:between w:val="nil"/>
        </w:pBdr>
        <w:jc w:val="cente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(Source: Created by the learner)</w:t>
      </w:r>
    </w:p>
    <w:p xmlns:wp14="http://schemas.microsoft.com/office/word/2010/wordml" w:rsidRPr="00D654C0" w:rsidR="001B1A4E" w:rsidP="545238BC" w:rsidRDefault="00A2126F" w14:paraId="3F72FCB3" wp14:textId="4F1EDF52">
      <w:pPr>
        <w:rPr>
          <w:rFonts w:ascii="Arial Nova" w:hAnsi="Arial Nova" w:eastAsia="Arial Nova" w:cs="Arial Nova"/>
          <w:b w:val="1"/>
          <w:bCs w:val="1"/>
          <w:color w:val="00B0F0"/>
          <w:sz w:val="22"/>
          <w:szCs w:val="22"/>
        </w:rPr>
      </w:pPr>
      <w:bookmarkStart w:name="_heading=h.35nkun2" w:id="18"/>
      <w:bookmarkEnd w:id="18"/>
      <w:r w:rsidRPr="545238BC" w:rsidR="00A2126F">
        <w:rPr>
          <w:rFonts w:ascii="Arial Nova" w:hAnsi="Arial Nova" w:eastAsia="Arial Nova" w:cs="Arial Nova"/>
          <w:b w:val="1"/>
          <w:bCs w:val="1"/>
          <w:color w:val="00B0F0"/>
          <w:sz w:val="22"/>
          <w:szCs w:val="22"/>
        </w:rPr>
        <w:t xml:space="preserve">“How each stakeholder is </w:t>
      </w:r>
      <w:r w:rsidRPr="545238BC" w:rsidR="00A2126F">
        <w:rPr>
          <w:rFonts w:ascii="Arial Nova" w:hAnsi="Arial Nova" w:eastAsia="Arial Nova" w:cs="Arial Nova"/>
          <w:b w:val="1"/>
          <w:bCs w:val="1"/>
          <w:color w:val="00B0F0"/>
          <w:sz w:val="22"/>
          <w:szCs w:val="22"/>
        </w:rPr>
        <w:t>interrelated”</w:t>
      </w:r>
    </w:p>
    <w:p xmlns:wp14="http://schemas.microsoft.com/office/word/2010/wordml" w:rsidRPr="00D654C0" w:rsidR="001B1A4E" w:rsidP="545238BC" w:rsidRDefault="00A2126F" w14:paraId="6704F350" wp14:textId="1F515744">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Project manager understands the significant importance of the stakeholder relationship by </w:t>
      </w:r>
      <w:r w:rsidRPr="545238BC" w:rsidR="00A2126F">
        <w:rPr>
          <w:rFonts w:ascii="Arial Nova" w:hAnsi="Arial Nova" w:eastAsia="Arial Nova" w:cs="Arial Nova"/>
          <w:color w:val="auto"/>
          <w:sz w:val="22"/>
          <w:szCs w:val="22"/>
        </w:rPr>
        <w:t>determining</w:t>
      </w:r>
      <w:r w:rsidRPr="545238BC" w:rsidR="00A2126F">
        <w:rPr>
          <w:rFonts w:ascii="Arial Nova" w:hAnsi="Arial Nova" w:eastAsia="Arial Nova" w:cs="Arial Nova"/>
          <w:color w:val="auto"/>
          <w:sz w:val="22"/>
          <w:szCs w:val="22"/>
        </w:rPr>
        <w:t xml:space="preserve"> their potentiality or cause to an initiative failure (Raum and Rawlings-</w:t>
      </w:r>
      <w:proofErr w:type="spellStart"/>
      <w:r w:rsidRPr="545238BC" w:rsidR="00A2126F">
        <w:rPr>
          <w:rFonts w:ascii="Arial Nova" w:hAnsi="Arial Nova" w:eastAsia="Arial Nova" w:cs="Arial Nova"/>
          <w:color w:val="auto"/>
          <w:sz w:val="22"/>
          <w:szCs w:val="22"/>
        </w:rPr>
        <w:t>Sanaei</w:t>
      </w:r>
      <w:proofErr w:type="spellEnd"/>
      <w:r w:rsidRPr="545238BC" w:rsidR="00A2126F">
        <w:rPr>
          <w:rFonts w:ascii="Arial Nova" w:hAnsi="Arial Nova" w:eastAsia="Arial Nova" w:cs="Arial Nova"/>
          <w:color w:val="auto"/>
          <w:sz w:val="22"/>
          <w:szCs w:val="22"/>
        </w:rPr>
        <w:t xml:space="preserve">, 2022). The relationship which describes the relation </w:t>
      </w:r>
      <w:bookmarkStart w:name="_Int_ddtMCGim" w:id="1998809085"/>
      <w:r w:rsidRPr="545238BC" w:rsidR="00A2126F">
        <w:rPr>
          <w:rFonts w:ascii="Arial Nova" w:hAnsi="Arial Nova" w:eastAsia="Arial Nova" w:cs="Arial Nova"/>
          <w:color w:val="auto"/>
          <w:sz w:val="22"/>
          <w:szCs w:val="22"/>
        </w:rPr>
        <w:t>based on</w:t>
      </w:r>
      <w:bookmarkEnd w:id="1998809085"/>
      <w:r w:rsidRPr="545238BC" w:rsidR="00A2126F">
        <w:rPr>
          <w:rFonts w:ascii="Arial Nova" w:hAnsi="Arial Nova" w:eastAsia="Arial Nova" w:cs="Arial Nova"/>
          <w:color w:val="auto"/>
          <w:sz w:val="22"/>
          <w:szCs w:val="22"/>
        </w:rPr>
        <w:t xml:space="preserve"> their vital approach towards the organisation can vary from one to another. There are </w:t>
      </w:r>
      <w:r w:rsidRPr="545238BC" w:rsidR="00A2126F">
        <w:rPr>
          <w:rFonts w:ascii="Arial Nova" w:hAnsi="Arial Nova" w:eastAsia="Arial Nova" w:cs="Arial Nova"/>
          <w:color w:val="auto"/>
          <w:sz w:val="22"/>
          <w:szCs w:val="22"/>
        </w:rPr>
        <w:t>numerous</w:t>
      </w:r>
      <w:r w:rsidRPr="545238BC" w:rsidR="00A2126F">
        <w:rPr>
          <w:rFonts w:ascii="Arial Nova" w:hAnsi="Arial Nova" w:eastAsia="Arial Nova" w:cs="Arial Nova"/>
          <w:color w:val="auto"/>
          <w:sz w:val="22"/>
          <w:szCs w:val="22"/>
        </w:rPr>
        <w:t xml:space="preserve"> steps which are needed to be </w:t>
      </w:r>
      <w:r w:rsidRPr="545238BC" w:rsidR="00A2126F">
        <w:rPr>
          <w:rFonts w:ascii="Arial Nova" w:hAnsi="Arial Nova" w:eastAsia="Arial Nova" w:cs="Arial Nova"/>
          <w:color w:val="auto"/>
          <w:sz w:val="22"/>
          <w:szCs w:val="22"/>
        </w:rPr>
        <w:t xml:space="preserve">performed by the stakeholders so that they </w:t>
      </w:r>
      <w:bookmarkStart w:name="_Int_pRU3tk5E" w:id="349548242"/>
      <w:r w:rsidRPr="545238BC" w:rsidR="00A2126F">
        <w:rPr>
          <w:rFonts w:ascii="Arial Nova" w:hAnsi="Arial Nova" w:eastAsia="Arial Nova" w:cs="Arial Nova"/>
          <w:color w:val="auto"/>
          <w:sz w:val="22"/>
          <w:szCs w:val="22"/>
        </w:rPr>
        <w:t>can</w:t>
      </w:r>
      <w:bookmarkEnd w:id="349548242"/>
      <w:r w:rsidRPr="545238BC" w:rsidR="00A2126F">
        <w:rPr>
          <w:rFonts w:ascii="Arial Nova" w:hAnsi="Arial Nova" w:eastAsia="Arial Nova" w:cs="Arial Nova"/>
          <w:color w:val="auto"/>
          <w:sz w:val="22"/>
          <w:szCs w:val="22"/>
        </w:rPr>
        <w:t xml:space="preserve"> connect with others in an effective manner (Carroll and Buchholtz, 2009). Therefore, the following factors will describe the how each one relates to the Post Office:</w:t>
      </w:r>
    </w:p>
    <w:p xmlns:wp14="http://schemas.microsoft.com/office/word/2010/wordml" w:rsidRPr="00D654C0" w:rsidR="001B1A4E" w:rsidP="545238BC" w:rsidRDefault="00A2126F" w14:paraId="3A2E769F"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Identify</w:t>
      </w:r>
      <w:r w:rsidRPr="545238BC" w:rsidR="00A2126F">
        <w:rPr>
          <w:rFonts w:ascii="Arial Nova" w:hAnsi="Arial Nova" w:eastAsia="Arial Nova" w:cs="Arial Nova"/>
          <w:b w:val="1"/>
          <w:bCs w:val="1"/>
          <w:color w:val="FF0000"/>
          <w:sz w:val="22"/>
          <w:szCs w:val="22"/>
        </w:rPr>
        <w:t xml:space="preserve"> Stakeholders</w:t>
      </w:r>
    </w:p>
    <w:p xmlns:wp14="http://schemas.microsoft.com/office/word/2010/wordml" w:rsidRPr="00D654C0" w:rsidR="001B1A4E" w:rsidP="545238BC" w:rsidRDefault="00A2126F" w14:paraId="52D19C0D" wp14:textId="70C4963E">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w:t>
      </w:r>
      <w:r w:rsidRPr="545238BC" w:rsidR="00A2126F">
        <w:rPr>
          <w:rFonts w:ascii="Arial Nova" w:hAnsi="Arial Nova" w:eastAsia="Arial Nova" w:cs="Arial Nova"/>
          <w:color w:val="auto"/>
          <w:sz w:val="22"/>
          <w:szCs w:val="22"/>
        </w:rPr>
        <w:t>initial</w:t>
      </w:r>
      <w:r w:rsidRPr="545238BC" w:rsidR="00A2126F">
        <w:rPr>
          <w:rFonts w:ascii="Arial Nova" w:hAnsi="Arial Nova" w:eastAsia="Arial Nova" w:cs="Arial Nova"/>
          <w:color w:val="auto"/>
          <w:sz w:val="22"/>
          <w:szCs w:val="22"/>
        </w:rPr>
        <w:t xml:space="preserve"> stage of developing the relation between the stakeholders is to </w:t>
      </w:r>
      <w:r w:rsidRPr="545238BC" w:rsidR="00A2126F">
        <w:rPr>
          <w:rFonts w:ascii="Arial Nova" w:hAnsi="Arial Nova" w:eastAsia="Arial Nova" w:cs="Arial Nova"/>
          <w:color w:val="auto"/>
          <w:sz w:val="22"/>
          <w:szCs w:val="22"/>
        </w:rPr>
        <w:t>identify</w:t>
      </w:r>
      <w:r w:rsidRPr="545238BC" w:rsidR="00A2126F">
        <w:rPr>
          <w:rFonts w:ascii="Arial Nova" w:hAnsi="Arial Nova" w:eastAsia="Arial Nova" w:cs="Arial Nova"/>
          <w:color w:val="auto"/>
          <w:sz w:val="22"/>
          <w:szCs w:val="22"/>
        </w:rPr>
        <w:t xml:space="preserve"> their nature and character (Rahman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It is very much important for a project manager or any authoritative department to </w:t>
      </w:r>
      <w:r w:rsidRPr="545238BC" w:rsidR="00A2126F">
        <w:rPr>
          <w:rFonts w:ascii="Arial Nova" w:hAnsi="Arial Nova" w:eastAsia="Arial Nova" w:cs="Arial Nova"/>
          <w:color w:val="auto"/>
          <w:sz w:val="22"/>
          <w:szCs w:val="22"/>
        </w:rPr>
        <w:t>identify</w:t>
      </w:r>
      <w:r w:rsidRPr="545238BC" w:rsidR="00A2126F">
        <w:rPr>
          <w:rFonts w:ascii="Arial Nova" w:hAnsi="Arial Nova" w:eastAsia="Arial Nova" w:cs="Arial Nova"/>
          <w:color w:val="auto"/>
          <w:sz w:val="22"/>
          <w:szCs w:val="22"/>
        </w:rPr>
        <w:t xml:space="preserve"> the resources by considering the communication as the essential factors to </w:t>
      </w:r>
      <w:r w:rsidRPr="545238BC" w:rsidR="00A2126F">
        <w:rPr>
          <w:rFonts w:ascii="Arial Nova" w:hAnsi="Arial Nova" w:eastAsia="Arial Nova" w:cs="Arial Nova"/>
          <w:color w:val="auto"/>
          <w:sz w:val="22"/>
          <w:szCs w:val="22"/>
        </w:rPr>
        <w:t>determine</w:t>
      </w:r>
      <w:r w:rsidRPr="545238BC" w:rsidR="00A2126F">
        <w:rPr>
          <w:rFonts w:ascii="Arial Nova" w:hAnsi="Arial Nova" w:eastAsia="Arial Nova" w:cs="Arial Nova"/>
          <w:color w:val="auto"/>
          <w:sz w:val="22"/>
          <w:szCs w:val="22"/>
        </w:rPr>
        <w:t xml:space="preserve"> their needs and expectations with the requirement of being well kept informed, meeting their </w:t>
      </w:r>
      <w:bookmarkStart w:name="_Int_SL2lDAY3" w:id="623256783"/>
      <w:r w:rsidRPr="545238BC" w:rsidR="00A2126F">
        <w:rPr>
          <w:rFonts w:ascii="Arial Nova" w:hAnsi="Arial Nova" w:eastAsia="Arial Nova" w:cs="Arial Nova"/>
          <w:color w:val="auto"/>
          <w:sz w:val="22"/>
          <w:szCs w:val="22"/>
        </w:rPr>
        <w:t>expectations</w:t>
      </w:r>
      <w:bookmarkEnd w:id="623256783"/>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color w:val="auto"/>
          <w:sz w:val="22"/>
          <w:szCs w:val="22"/>
        </w:rPr>
        <w:t xml:space="preserve">or avoiding them. </w:t>
      </w:r>
    </w:p>
    <w:p xmlns:wp14="http://schemas.microsoft.com/office/word/2010/wordml" w:rsidRPr="00D654C0" w:rsidR="001B1A4E" w:rsidP="545238BC" w:rsidRDefault="00A2126F" w14:paraId="368F1462"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Identify</w:t>
      </w:r>
      <w:r w:rsidRPr="545238BC" w:rsidR="00A2126F">
        <w:rPr>
          <w:rFonts w:ascii="Arial Nova" w:hAnsi="Arial Nova" w:eastAsia="Arial Nova" w:cs="Arial Nova"/>
          <w:b w:val="1"/>
          <w:bCs w:val="1"/>
          <w:color w:val="FF0000"/>
          <w:sz w:val="22"/>
          <w:szCs w:val="22"/>
        </w:rPr>
        <w:t xml:space="preserve"> Desired Outcomes </w:t>
      </w:r>
    </w:p>
    <w:p xmlns:wp14="http://schemas.microsoft.com/office/word/2010/wordml" w:rsidRPr="00D654C0" w:rsidR="001B1A4E" w:rsidP="545238BC" w:rsidRDefault="00A2126F" w14:paraId="00D301B1" wp14:textId="4D26C929">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After </w:t>
      </w:r>
      <w:r w:rsidRPr="545238BC" w:rsidR="00A2126F">
        <w:rPr>
          <w:rFonts w:ascii="Arial Nova" w:hAnsi="Arial Nova" w:eastAsia="Arial Nova" w:cs="Arial Nova"/>
          <w:color w:val="auto"/>
          <w:sz w:val="22"/>
          <w:szCs w:val="22"/>
        </w:rPr>
        <w:t>identifying</w:t>
      </w:r>
      <w:r w:rsidRPr="545238BC" w:rsidR="00A2126F">
        <w:rPr>
          <w:rFonts w:ascii="Arial Nova" w:hAnsi="Arial Nova" w:eastAsia="Arial Nova" w:cs="Arial Nova"/>
          <w:color w:val="auto"/>
          <w:sz w:val="22"/>
          <w:szCs w:val="22"/>
        </w:rPr>
        <w:t xml:space="preserve"> their needs and expectations the second most </w:t>
      </w:r>
      <w:bookmarkStart w:name="_Int_7EoNjQ0j" w:id="434965600"/>
      <w:r w:rsidRPr="545238BC" w:rsidR="00A2126F">
        <w:rPr>
          <w:rFonts w:ascii="Arial Nova" w:hAnsi="Arial Nova" w:eastAsia="Arial Nova" w:cs="Arial Nova"/>
          <w:color w:val="auto"/>
          <w:sz w:val="22"/>
          <w:szCs w:val="22"/>
        </w:rPr>
        <w:t>key factor</w:t>
      </w:r>
      <w:bookmarkEnd w:id="434965600"/>
      <w:r w:rsidRPr="545238BC" w:rsidR="00A2126F">
        <w:rPr>
          <w:rFonts w:ascii="Arial Nova" w:hAnsi="Arial Nova" w:eastAsia="Arial Nova" w:cs="Arial Nova"/>
          <w:color w:val="auto"/>
          <w:sz w:val="22"/>
          <w:szCs w:val="22"/>
        </w:rPr>
        <w:t xml:space="preserve"> is to </w:t>
      </w:r>
      <w:r w:rsidRPr="545238BC" w:rsidR="00A2126F">
        <w:rPr>
          <w:rFonts w:ascii="Arial Nova" w:hAnsi="Arial Nova" w:eastAsia="Arial Nova" w:cs="Arial Nova"/>
          <w:color w:val="auto"/>
          <w:sz w:val="22"/>
          <w:szCs w:val="22"/>
        </w:rPr>
        <w:t>identify</w:t>
      </w:r>
      <w:r w:rsidRPr="545238BC" w:rsidR="00A2126F">
        <w:rPr>
          <w:rFonts w:ascii="Arial Nova" w:hAnsi="Arial Nova" w:eastAsia="Arial Nova" w:cs="Arial Nova"/>
          <w:color w:val="auto"/>
          <w:sz w:val="22"/>
          <w:szCs w:val="22"/>
        </w:rPr>
        <w:t xml:space="preserve"> their outcomes. The structural exchange of the stakeholder analysing their accomplishing factors of needs and desires of the organisation is significant. It is </w:t>
      </w:r>
      <w:bookmarkStart w:name="_Int_NagRU7OE" w:id="1766589688"/>
      <w:r w:rsidRPr="545238BC" w:rsidR="00A2126F">
        <w:rPr>
          <w:rFonts w:ascii="Arial Nova" w:hAnsi="Arial Nova" w:eastAsia="Arial Nova" w:cs="Arial Nova"/>
          <w:color w:val="auto"/>
          <w:sz w:val="22"/>
          <w:szCs w:val="22"/>
        </w:rPr>
        <w:t>particularly important</w:t>
      </w:r>
      <w:bookmarkEnd w:id="1766589688"/>
      <w:r w:rsidRPr="545238BC" w:rsidR="00A2126F">
        <w:rPr>
          <w:rFonts w:ascii="Arial Nova" w:hAnsi="Arial Nova" w:eastAsia="Arial Nova" w:cs="Arial Nova"/>
          <w:color w:val="auto"/>
          <w:sz w:val="22"/>
          <w:szCs w:val="22"/>
        </w:rPr>
        <w:t xml:space="preserve"> for an organisation to fulfil the requirements of the stakeholder </w:t>
      </w:r>
      <w:bookmarkStart w:name="_Int_xiG2nHTZ" w:id="1902741701"/>
      <w:r w:rsidRPr="545238BC" w:rsidR="00A2126F">
        <w:rPr>
          <w:rFonts w:ascii="Arial Nova" w:hAnsi="Arial Nova" w:eastAsia="Arial Nova" w:cs="Arial Nova"/>
          <w:color w:val="auto"/>
          <w:sz w:val="22"/>
          <w:szCs w:val="22"/>
        </w:rPr>
        <w:t>to</w:t>
      </w:r>
      <w:bookmarkEnd w:id="1902741701"/>
      <w:r w:rsidRPr="545238BC" w:rsidR="00A2126F">
        <w:rPr>
          <w:rFonts w:ascii="Arial Nova" w:hAnsi="Arial Nova" w:eastAsia="Arial Nova" w:cs="Arial Nova"/>
          <w:color w:val="auto"/>
          <w:sz w:val="22"/>
          <w:szCs w:val="22"/>
        </w:rPr>
        <w:t xml:space="preserve"> drive positive impacts (Rahman</w:t>
      </w:r>
      <w:r w:rsidRPr="545238BC" w:rsidR="00A2126F">
        <w:rPr>
          <w:rFonts w:ascii="Arial Nova" w:hAnsi="Arial Nova" w:eastAsia="Arial Nova" w:cs="Arial Nova"/>
          <w:i w:val="1"/>
          <w:iCs w:val="1"/>
          <w:color w:val="auto"/>
          <w:sz w:val="22"/>
          <w:szCs w:val="22"/>
        </w:rPr>
        <w:t xml:space="preserve"> et al</w:t>
      </w:r>
      <w:bookmarkStart w:name="_Int_DiCJRxoG" w:id="665281268"/>
      <w:r w:rsidRPr="545238BC" w:rsidR="00A2126F">
        <w:rPr>
          <w:rFonts w:ascii="Arial Nova" w:hAnsi="Arial Nova" w:eastAsia="Arial Nova" w:cs="Arial Nova"/>
          <w:i w:val="1"/>
          <w:iCs w:val="1"/>
          <w:color w:val="auto"/>
          <w:sz w:val="22"/>
          <w:szCs w:val="22"/>
        </w:rPr>
        <w:t>.,</w:t>
      </w:r>
      <w:r w:rsidRPr="545238BC" w:rsidR="00A2126F">
        <w:rPr>
          <w:rFonts w:ascii="Arial Nova" w:hAnsi="Arial Nova" w:eastAsia="Arial Nova" w:cs="Arial Nova"/>
          <w:color w:val="auto"/>
          <w:sz w:val="22"/>
          <w:szCs w:val="22"/>
        </w:rPr>
        <w:t xml:space="preserve"> 2022). </w:t>
      </w:r>
      <w:bookmarkEnd w:id="665281268"/>
    </w:p>
    <w:p xmlns:wp14="http://schemas.microsoft.com/office/word/2010/wordml" w:rsidRPr="00D654C0" w:rsidR="001B1A4E" w:rsidP="545238BC" w:rsidRDefault="00A2126F" w14:paraId="5A4340C2" wp14:textId="77777777">
      <w:pPr>
        <w:pBdr>
          <w:top w:val="nil"/>
          <w:left w:val="nil"/>
          <w:bottom w:val="nil"/>
          <w:right w:val="nil"/>
          <w:between w:val="nil"/>
        </w:pBdr>
        <w:rPr>
          <w:rFonts w:ascii="Arial Nova" w:hAnsi="Arial Nova" w:eastAsia="Arial Nova" w:cs="Arial Nova"/>
          <w:b w:val="1"/>
          <w:bCs w:val="1"/>
          <w:color w:val="auto"/>
          <w:sz w:val="22"/>
          <w:szCs w:val="22"/>
        </w:rPr>
      </w:pPr>
      <w:r w:rsidRPr="545238BC" w:rsidR="00A2126F">
        <w:rPr>
          <w:rFonts w:ascii="Arial Nova" w:hAnsi="Arial Nova" w:eastAsia="Arial Nova" w:cs="Arial Nova"/>
          <w:b w:val="1"/>
          <w:bCs w:val="1"/>
          <w:color w:val="FF0000"/>
          <w:sz w:val="22"/>
          <w:szCs w:val="22"/>
        </w:rPr>
        <w:t>Sharing Information</w:t>
      </w:r>
      <w:r w:rsidRPr="545238BC" w:rsidR="00A2126F">
        <w:rPr>
          <w:rFonts w:ascii="Arial Nova" w:hAnsi="Arial Nova" w:eastAsia="Arial Nova" w:cs="Arial Nova"/>
          <w:b w:val="1"/>
          <w:bCs w:val="1"/>
          <w:color w:val="auto"/>
          <w:sz w:val="22"/>
          <w:szCs w:val="22"/>
        </w:rPr>
        <w:t xml:space="preserve"> </w:t>
      </w:r>
    </w:p>
    <w:p xmlns:wp14="http://schemas.microsoft.com/office/word/2010/wordml" w:rsidRPr="00D654C0" w:rsidR="001B1A4E" w:rsidP="545238BC" w:rsidRDefault="00A2126F" w14:paraId="3108DE76" wp14:textId="44B11D1A">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Establishing a transparent relationship with the stakeholders will always </w:t>
      </w:r>
      <w:r w:rsidRPr="545238BC" w:rsidR="00A2126F">
        <w:rPr>
          <w:rFonts w:ascii="Arial Nova" w:hAnsi="Arial Nova" w:eastAsia="Arial Nova" w:cs="Arial Nova"/>
          <w:color w:val="auto"/>
          <w:sz w:val="22"/>
          <w:szCs w:val="22"/>
        </w:rPr>
        <w:t>benefit</w:t>
      </w:r>
      <w:r w:rsidRPr="545238BC" w:rsidR="00A2126F">
        <w:rPr>
          <w:rFonts w:ascii="Arial Nova" w:hAnsi="Arial Nova" w:eastAsia="Arial Nova" w:cs="Arial Nova"/>
          <w:color w:val="auto"/>
          <w:sz w:val="22"/>
          <w:szCs w:val="22"/>
        </w:rPr>
        <w:t xml:space="preserve"> the organisation with the effect of </w:t>
      </w:r>
      <w:bookmarkStart w:name="_Int_XxLhC6R4" w:id="1969224522"/>
      <w:r w:rsidRPr="545238BC" w:rsidR="00A2126F">
        <w:rPr>
          <w:rFonts w:ascii="Arial Nova" w:hAnsi="Arial Nova" w:eastAsia="Arial Nova" w:cs="Arial Nova"/>
          <w:color w:val="auto"/>
          <w:sz w:val="22"/>
          <w:szCs w:val="22"/>
        </w:rPr>
        <w:t>excellent communication</w:t>
      </w:r>
      <w:bookmarkEnd w:id="1969224522"/>
      <w:r w:rsidRPr="545238BC" w:rsidR="00A2126F">
        <w:rPr>
          <w:rFonts w:ascii="Arial Nova" w:hAnsi="Arial Nova" w:eastAsia="Arial Nova" w:cs="Arial Nova"/>
          <w:color w:val="auto"/>
          <w:sz w:val="22"/>
          <w:szCs w:val="22"/>
        </w:rPr>
        <w:t xml:space="preserve"> and essential tactics of sharing information effectively (Raum and Rawlings-</w:t>
      </w:r>
      <w:proofErr w:type="spellStart"/>
      <w:r w:rsidRPr="545238BC" w:rsidR="00A2126F">
        <w:rPr>
          <w:rFonts w:ascii="Arial Nova" w:hAnsi="Arial Nova" w:eastAsia="Arial Nova" w:cs="Arial Nova"/>
          <w:color w:val="auto"/>
          <w:sz w:val="22"/>
          <w:szCs w:val="22"/>
        </w:rPr>
        <w:t>Sanaei</w:t>
      </w:r>
      <w:proofErr w:type="spellEnd"/>
      <w:r w:rsidRPr="545238BC" w:rsidR="00A2126F">
        <w:rPr>
          <w:rFonts w:ascii="Arial Nova" w:hAnsi="Arial Nova" w:eastAsia="Arial Nova" w:cs="Arial Nova"/>
          <w:color w:val="auto"/>
          <w:sz w:val="22"/>
          <w:szCs w:val="22"/>
        </w:rPr>
        <w:t>, 2022). It develops a vision of introducing their vital importance in respect of status and initiatives. Having said that</w:t>
      </w:r>
      <w:bookmarkStart w:name="_Int_bovCUs5K" w:id="1003996338"/>
      <w:r w:rsidRPr="545238BC" w:rsidR="00A2126F">
        <w:rPr>
          <w:rFonts w:ascii="Arial Nova" w:hAnsi="Arial Nova" w:eastAsia="Arial Nova" w:cs="Arial Nova"/>
          <w:color w:val="auto"/>
          <w:sz w:val="22"/>
          <w:szCs w:val="22"/>
        </w:rPr>
        <w:t>, communicating</w:t>
      </w:r>
      <w:bookmarkEnd w:id="1003996338"/>
      <w:r w:rsidRPr="545238BC" w:rsidR="00A2126F">
        <w:rPr>
          <w:rFonts w:ascii="Arial Nova" w:hAnsi="Arial Nova" w:eastAsia="Arial Nova" w:cs="Arial Nova"/>
          <w:color w:val="auto"/>
          <w:sz w:val="22"/>
          <w:szCs w:val="22"/>
        </w:rPr>
        <w:t xml:space="preserve"> with the stakeholders so that effective information can be shared with </w:t>
      </w:r>
      <w:bookmarkStart w:name="_Int_3JZfVv2l" w:id="1514638839"/>
      <w:r w:rsidRPr="545238BC" w:rsidR="00A2126F">
        <w:rPr>
          <w:rFonts w:ascii="Arial Nova" w:hAnsi="Arial Nova" w:eastAsia="Arial Nova" w:cs="Arial Nova"/>
          <w:color w:val="auto"/>
          <w:sz w:val="22"/>
          <w:szCs w:val="22"/>
        </w:rPr>
        <w:t>them</w:t>
      </w:r>
      <w:bookmarkEnd w:id="1514638839"/>
      <w:r w:rsidRPr="545238BC" w:rsidR="00A2126F">
        <w:rPr>
          <w:rFonts w:ascii="Arial Nova" w:hAnsi="Arial Nova" w:eastAsia="Arial Nova" w:cs="Arial Nova"/>
          <w:color w:val="auto"/>
          <w:sz w:val="22"/>
          <w:szCs w:val="22"/>
        </w:rPr>
        <w:t xml:space="preserve"> and positive relations can be</w:t>
      </w:r>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color w:val="auto"/>
          <w:sz w:val="22"/>
          <w:szCs w:val="22"/>
        </w:rPr>
        <w:t>establishe</w:t>
      </w:r>
      <w:r w:rsidRPr="545238BC" w:rsidR="00A2126F">
        <w:rPr>
          <w:rFonts w:ascii="Arial Nova" w:hAnsi="Arial Nova" w:eastAsia="Arial Nova" w:cs="Arial Nova"/>
          <w:color w:val="auto"/>
          <w:sz w:val="22"/>
          <w:szCs w:val="22"/>
        </w:rPr>
        <w:t>d</w:t>
      </w:r>
      <w:r w:rsidRPr="545238BC" w:rsidR="00A2126F">
        <w:rPr>
          <w:rFonts w:ascii="Arial Nova" w:hAnsi="Arial Nova" w:eastAsia="Arial Nova" w:cs="Arial Nova"/>
          <w:color w:val="auto"/>
          <w:sz w:val="22"/>
          <w:szCs w:val="22"/>
        </w:rPr>
        <w:t xml:space="preserve"> is also needed to be done (Neil Jeffrey, 2009).</w:t>
      </w:r>
    </w:p>
    <w:p xmlns:wp14="http://schemas.microsoft.com/office/word/2010/wordml" w:rsidRPr="00D654C0" w:rsidR="001B1A4E" w:rsidP="545238BC" w:rsidRDefault="00A2126F" w14:paraId="48830317"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 xml:space="preserve">Active Participation </w:t>
      </w:r>
    </w:p>
    <w:p xmlns:wp14="http://schemas.microsoft.com/office/word/2010/wordml" w:rsidRPr="00D654C0" w:rsidR="001B1A4E" w:rsidP="545238BC" w:rsidRDefault="00A2126F" w14:paraId="697A721B" wp14:textId="548C0F48">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Developing the communication factor more actively by </w:t>
      </w:r>
      <w:r w:rsidRPr="545238BC" w:rsidR="00A2126F">
        <w:rPr>
          <w:rFonts w:ascii="Arial Nova" w:hAnsi="Arial Nova" w:eastAsia="Arial Nova" w:cs="Arial Nova"/>
          <w:color w:val="auto"/>
          <w:sz w:val="22"/>
          <w:szCs w:val="22"/>
        </w:rPr>
        <w:t>participating</w:t>
      </w:r>
      <w:r w:rsidRPr="545238BC" w:rsidR="00A2126F">
        <w:rPr>
          <w:rFonts w:ascii="Arial Nova" w:hAnsi="Arial Nova" w:eastAsia="Arial Nova" w:cs="Arial Nova"/>
          <w:color w:val="auto"/>
          <w:sz w:val="22"/>
          <w:szCs w:val="22"/>
        </w:rPr>
        <w:t xml:space="preserve"> in sharing information and listening to the feedback from the stakeholders develops trust and relation (Mutero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Listening to the feedback will </w:t>
      </w:r>
      <w:r w:rsidRPr="545238BC" w:rsidR="00A2126F">
        <w:rPr>
          <w:rFonts w:ascii="Arial Nova" w:hAnsi="Arial Nova" w:eastAsia="Arial Nova" w:cs="Arial Nova"/>
          <w:color w:val="auto"/>
          <w:sz w:val="22"/>
          <w:szCs w:val="22"/>
        </w:rPr>
        <w:t>provide</w:t>
      </w:r>
      <w:r w:rsidRPr="545238BC" w:rsidR="00A2126F">
        <w:rPr>
          <w:rFonts w:ascii="Arial Nova" w:hAnsi="Arial Nova" w:eastAsia="Arial Nova" w:cs="Arial Nova"/>
          <w:color w:val="auto"/>
          <w:sz w:val="22"/>
          <w:szCs w:val="22"/>
        </w:rPr>
        <w:t xml:space="preserve"> more knowledge, suggestions, </w:t>
      </w:r>
      <w:bookmarkStart w:name="_Int_seX82aNH" w:id="2077566685"/>
      <w:r w:rsidRPr="545238BC" w:rsidR="00A2126F">
        <w:rPr>
          <w:rFonts w:ascii="Arial Nova" w:hAnsi="Arial Nova" w:eastAsia="Arial Nova" w:cs="Arial Nova"/>
          <w:color w:val="auto"/>
          <w:sz w:val="22"/>
          <w:szCs w:val="22"/>
        </w:rPr>
        <w:t>perspectives</w:t>
      </w:r>
      <w:bookmarkEnd w:id="2077566685"/>
      <w:r w:rsidRPr="545238BC" w:rsidR="00A2126F">
        <w:rPr>
          <w:rFonts w:ascii="Arial Nova" w:hAnsi="Arial Nova" w:eastAsia="Arial Nova" w:cs="Arial Nova"/>
          <w:color w:val="auto"/>
          <w:sz w:val="22"/>
          <w:szCs w:val="22"/>
        </w:rPr>
        <w:t xml:space="preserve"> and concerns contributing to an effective improvement in operation functions. In this way, a better approach </w:t>
      </w:r>
      <w:r w:rsidRPr="545238BC" w:rsidR="00A2126F">
        <w:rPr>
          <w:rFonts w:ascii="Arial Nova" w:hAnsi="Arial Nova" w:eastAsia="Arial Nova" w:cs="Arial Nova"/>
          <w:color w:val="auto"/>
          <w:sz w:val="22"/>
          <w:szCs w:val="22"/>
        </w:rPr>
        <w:t>can be made toward participation, as this will bring improvements as well (Nutt and Backoff, 1992)</w:t>
      </w:r>
      <w:bookmarkStart w:name="_Int_ByA85d9q" w:id="1905740460"/>
      <w:bookmarkStart w:name="_Int_OZorbTC3" w:id="178238463"/>
      <w:bookmarkStart w:name="_Int_gXQnkFvO" w:id="1822854433"/>
      <w:r w:rsidRPr="545238BC" w:rsidR="00A2126F">
        <w:rPr>
          <w:rFonts w:ascii="Arial Nova" w:hAnsi="Arial Nova" w:eastAsia="Arial Nova" w:cs="Arial Nova"/>
          <w:color w:val="auto"/>
          <w:sz w:val="22"/>
          <w:szCs w:val="22"/>
        </w:rPr>
        <w:t xml:space="preserve">. </w:t>
      </w:r>
      <w:bookmarkEnd w:id="1905740460"/>
      <w:bookmarkEnd w:id="178238463"/>
      <w:r w:rsidRPr="545238BC" w:rsidR="00A2126F">
        <w:rPr>
          <w:rFonts w:ascii="Arial Nova" w:hAnsi="Arial Nova" w:eastAsia="Arial Nova" w:cs="Arial Nova"/>
          <w:color w:val="auto"/>
          <w:sz w:val="22"/>
          <w:szCs w:val="22"/>
        </w:rPr>
        <w:t xml:space="preserve"> </w:t>
      </w:r>
      <w:bookmarkEnd w:id="1822854433"/>
    </w:p>
    <w:p xmlns:wp14="http://schemas.microsoft.com/office/word/2010/wordml" w:rsidRPr="00D654C0" w:rsidR="001B1A4E" w:rsidP="545238BC" w:rsidRDefault="00A2126F" w14:paraId="042A7AE0" wp14:textId="77777777">
      <w:pPr>
        <w:pBdr>
          <w:top w:val="nil"/>
          <w:left w:val="nil"/>
          <w:bottom w:val="nil"/>
          <w:right w:val="nil"/>
          <w:between w:val="nil"/>
        </w:pBdr>
        <w:rPr>
          <w:rFonts w:ascii="Arial Nova" w:hAnsi="Arial Nova" w:eastAsia="Arial Nova" w:cs="Arial Nova"/>
          <w:color w:val="FF0000"/>
          <w:sz w:val="22"/>
          <w:szCs w:val="22"/>
        </w:rPr>
      </w:pPr>
      <w:r w:rsidRPr="545238BC" w:rsidR="00A2126F">
        <w:rPr>
          <w:rFonts w:ascii="Arial Nova" w:hAnsi="Arial Nova" w:eastAsia="Arial Nova" w:cs="Arial Nova"/>
          <w:b w:val="1"/>
          <w:bCs w:val="1"/>
          <w:color w:val="FF0000"/>
          <w:sz w:val="22"/>
          <w:szCs w:val="22"/>
        </w:rPr>
        <w:t>Resolving Issues</w:t>
      </w:r>
      <w:r w:rsidRPr="545238BC" w:rsidR="00A2126F">
        <w:rPr>
          <w:rFonts w:ascii="Arial Nova" w:hAnsi="Arial Nova" w:eastAsia="Arial Nova" w:cs="Arial Nova"/>
          <w:color w:val="FF0000"/>
          <w:sz w:val="22"/>
          <w:szCs w:val="22"/>
        </w:rPr>
        <w:t xml:space="preserve"> </w:t>
      </w:r>
    </w:p>
    <w:p xmlns:wp14="http://schemas.microsoft.com/office/word/2010/wordml" w:rsidRPr="00D654C0" w:rsidR="001B1A4E" w:rsidP="545238BC" w:rsidRDefault="00A2126F" w14:paraId="7D25FD54" wp14:textId="3A1488AD">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potential relationship among the stakeholders </w:t>
      </w:r>
      <w:r w:rsidRPr="545238BC" w:rsidR="00A2126F">
        <w:rPr>
          <w:rFonts w:ascii="Arial Nova" w:hAnsi="Arial Nova" w:eastAsia="Arial Nova" w:cs="Arial Nova"/>
          <w:color w:val="auto"/>
          <w:sz w:val="22"/>
          <w:szCs w:val="22"/>
        </w:rPr>
        <w:t>provides</w:t>
      </w:r>
      <w:r w:rsidRPr="545238BC" w:rsidR="00A2126F">
        <w:rPr>
          <w:rFonts w:ascii="Arial Nova" w:hAnsi="Arial Nova" w:eastAsia="Arial Nova" w:cs="Arial Nova"/>
          <w:color w:val="auto"/>
          <w:sz w:val="22"/>
          <w:szCs w:val="22"/>
        </w:rPr>
        <w:t xml:space="preserve"> </w:t>
      </w:r>
      <w:bookmarkStart w:name="_Int_uuiNUlGe" w:id="376959305"/>
      <w:r w:rsidRPr="545238BC" w:rsidR="00A2126F">
        <w:rPr>
          <w:rFonts w:ascii="Arial Nova" w:hAnsi="Arial Nova" w:eastAsia="Arial Nova" w:cs="Arial Nova"/>
          <w:color w:val="auto"/>
          <w:sz w:val="22"/>
          <w:szCs w:val="22"/>
        </w:rPr>
        <w:t>diverse options</w:t>
      </w:r>
      <w:bookmarkEnd w:id="376959305"/>
      <w:r w:rsidRPr="545238BC" w:rsidR="00A2126F">
        <w:rPr>
          <w:rFonts w:ascii="Arial Nova" w:hAnsi="Arial Nova" w:eastAsia="Arial Nova" w:cs="Arial Nova"/>
          <w:color w:val="auto"/>
          <w:sz w:val="22"/>
          <w:szCs w:val="22"/>
        </w:rPr>
        <w:t xml:space="preserve"> to solve issues concerning forcing a single solution or seeking to </w:t>
      </w:r>
      <w:r w:rsidRPr="545238BC" w:rsidR="00A2126F">
        <w:rPr>
          <w:rFonts w:ascii="Arial Nova" w:hAnsi="Arial Nova" w:eastAsia="Arial Nova" w:cs="Arial Nova"/>
          <w:color w:val="auto"/>
          <w:sz w:val="22"/>
          <w:szCs w:val="22"/>
        </w:rPr>
        <w:t>establish</w:t>
      </w:r>
      <w:r w:rsidRPr="545238BC" w:rsidR="00A2126F">
        <w:rPr>
          <w:rFonts w:ascii="Arial Nova" w:hAnsi="Arial Nova" w:eastAsia="Arial Nova" w:cs="Arial Nova"/>
          <w:color w:val="auto"/>
          <w:sz w:val="22"/>
          <w:szCs w:val="22"/>
        </w:rPr>
        <w:t xml:space="preserve"> a compromise and multiple positive impacts (Bryan W. Husted and David Bruce Allen, 2010). The selective formation of the priority among the stakeholder’s relationship will provide individual participation with mutual benefits. Understanding the issues being faced by them and bringing solutions to those issues will lead to the development of the relationship which will foster inclusivity (Freeman, 1984).</w:t>
      </w:r>
    </w:p>
    <w:p xmlns:wp14="http://schemas.microsoft.com/office/word/2010/wordml" w:rsidRPr="00D654C0" w:rsidR="001B1A4E" w:rsidP="545238BC" w:rsidRDefault="00A2126F" w14:paraId="7A15DB99" wp14:textId="77777777">
      <w:pPr>
        <w:pBdr>
          <w:top w:val="nil"/>
          <w:left w:val="nil"/>
          <w:bottom w:val="nil"/>
          <w:right w:val="nil"/>
          <w:between w:val="nil"/>
        </w:pBdr>
        <w:rPr>
          <w:rFonts w:ascii="Arial Nova" w:hAnsi="Arial Nova" w:eastAsia="Arial Nova" w:cs="Arial Nova"/>
          <w:b w:val="1"/>
          <w:bCs w:val="1"/>
          <w:color w:val="FF0000"/>
          <w:sz w:val="22"/>
          <w:szCs w:val="22"/>
        </w:rPr>
      </w:pPr>
      <w:r w:rsidRPr="545238BC" w:rsidR="00A2126F">
        <w:rPr>
          <w:rFonts w:ascii="Arial Nova" w:hAnsi="Arial Nova" w:eastAsia="Arial Nova" w:cs="Arial Nova"/>
          <w:b w:val="1"/>
          <w:bCs w:val="1"/>
          <w:color w:val="FF0000"/>
          <w:sz w:val="22"/>
          <w:szCs w:val="22"/>
        </w:rPr>
        <w:t>Meeting the Requirements</w:t>
      </w:r>
    </w:p>
    <w:p xmlns:wp14="http://schemas.microsoft.com/office/word/2010/wordml" w:rsidRPr="00D654C0" w:rsidR="001B1A4E" w:rsidP="545238BC" w:rsidRDefault="00A2126F" w14:paraId="64D55E73" wp14:textId="00F710EE">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To be more realistic is important over the promises and delivering them with the respect of effectiveness and fulfilling them with the urgency in developing relationships (Mutero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2022). Setting up the expectation in developing the relationship and fulfilling the requirements may increase more satisfaction in delivering the positive outcome</w:t>
      </w:r>
      <w:r w:rsidRPr="545238BC" w:rsidR="00A2126F">
        <w:rPr>
          <w:rFonts w:ascii="Arial Nova" w:hAnsi="Arial Nova" w:eastAsia="Arial Nova" w:cs="Arial Nova"/>
          <w:color w:val="auto"/>
          <w:sz w:val="22"/>
          <w:szCs w:val="22"/>
        </w:rPr>
        <w:t>.</w:t>
      </w:r>
    </w:p>
    <w:p xmlns:wp14="http://schemas.microsoft.com/office/word/2010/wordml" w:rsidRPr="00D654C0" w:rsidR="001B1A4E" w:rsidP="545238BC" w:rsidRDefault="00A2126F" w14:paraId="44575807" wp14:textId="77777777">
      <w:pPr>
        <w:pBdr>
          <w:top w:val="nil"/>
          <w:left w:val="nil"/>
          <w:bottom w:val="nil"/>
          <w:right w:val="nil"/>
          <w:between w:val="nil"/>
        </w:pBdr>
        <w:rPr>
          <w:rFonts w:ascii="Arial Nova" w:hAnsi="Arial Nova" w:eastAsia="Arial Nova" w:cs="Arial Nova"/>
          <w:b w:val="1"/>
          <w:bCs w:val="1"/>
          <w:color w:val="00B0F0"/>
          <w:sz w:val="22"/>
          <w:szCs w:val="22"/>
        </w:rPr>
      </w:pPr>
      <w:bookmarkStart w:name="_heading=h.1ksv4uv" w:id="19"/>
      <w:bookmarkEnd w:id="19"/>
      <w:r w:rsidRPr="545238BC" w:rsidR="00A2126F">
        <w:rPr>
          <w:rFonts w:ascii="Arial Nova" w:hAnsi="Arial Nova" w:eastAsia="Arial Nova" w:cs="Arial Nova"/>
          <w:b w:val="1"/>
          <w:bCs w:val="1"/>
          <w:color w:val="00B0F0"/>
          <w:sz w:val="22"/>
          <w:szCs w:val="22"/>
        </w:rPr>
        <w:t xml:space="preserve">Limitation of Salience Model </w:t>
      </w:r>
    </w:p>
    <w:p xmlns:wp14="http://schemas.microsoft.com/office/word/2010/wordml" w:rsidRPr="00D654C0" w:rsidR="001B1A4E" w:rsidP="545238BC" w:rsidRDefault="00A2126F" w14:paraId="2CEC20F2" wp14:textId="77777777">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classification of the stakeholders can be a subjective process in which one Project manager may find it dangerous, while the others may take the same stakeholders as demanding. So, the attitude may differ from one person to another (Charef, 2022). </w:t>
      </w:r>
    </w:p>
    <w:p xmlns:wp14="http://schemas.microsoft.com/office/word/2010/wordml" w:rsidRPr="00D654C0" w:rsidR="001B1A4E" w:rsidP="545238BC" w:rsidRDefault="00A2126F" w14:paraId="711D0C63" wp14:textId="57C77226">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Salience Model considers major three attributes with any specification by their presence and absence. However, these attributes could be present in various levels of operation or project (Charef, 2022). </w:t>
      </w:r>
    </w:p>
    <w:p xmlns:wp14="http://schemas.microsoft.com/office/word/2010/wordml" w:rsidRPr="00D654C0" w:rsidR="001B1A4E" w:rsidP="545238BC" w:rsidRDefault="00A2126F" w14:paraId="6551E8F0" wp14:textId="45328C8D">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Project Manager cannot take extensive benefits while </w:t>
      </w:r>
      <w:r w:rsidRPr="545238BC" w:rsidR="00A2126F">
        <w:rPr>
          <w:rFonts w:ascii="Arial Nova" w:hAnsi="Arial Nova" w:eastAsia="Arial Nova" w:cs="Arial Nova"/>
          <w:color w:val="auto"/>
          <w:sz w:val="22"/>
          <w:szCs w:val="22"/>
        </w:rPr>
        <w:t>identifying</w:t>
      </w:r>
      <w:r w:rsidRPr="545238BC" w:rsidR="00A2126F">
        <w:rPr>
          <w:rFonts w:ascii="Arial Nova" w:hAnsi="Arial Nova" w:eastAsia="Arial Nova" w:cs="Arial Nova"/>
          <w:color w:val="auto"/>
          <w:sz w:val="22"/>
          <w:szCs w:val="22"/>
        </w:rPr>
        <w:t xml:space="preserve"> the stakeholders with the effective means of their power possession attributes (Charef, 2022). </w:t>
      </w:r>
    </w:p>
    <w:p xmlns:wp14="http://schemas.microsoft.com/office/word/2010/wordml" w:rsidRPr="00D654C0" w:rsidR="001B1A4E" w:rsidP="545238BC" w:rsidRDefault="00A2126F" w14:paraId="2A1A2ADA" wp14:textId="0E4AE3EF">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This model only </w:t>
      </w:r>
      <w:bookmarkStart w:name="_Int_S8RoPKxI" w:id="1564649815"/>
      <w:r w:rsidRPr="545238BC" w:rsidR="00A2126F">
        <w:rPr>
          <w:rFonts w:ascii="Arial Nova" w:hAnsi="Arial Nova" w:eastAsia="Arial Nova" w:cs="Arial Nova"/>
          <w:color w:val="auto"/>
          <w:sz w:val="22"/>
          <w:szCs w:val="22"/>
        </w:rPr>
        <w:t>provides</w:t>
      </w:r>
      <w:bookmarkEnd w:id="1564649815"/>
      <w:r w:rsidRPr="545238BC" w:rsidR="00A2126F">
        <w:rPr>
          <w:rFonts w:ascii="Arial Nova" w:hAnsi="Arial Nova" w:eastAsia="Arial Nova" w:cs="Arial Nova"/>
          <w:color w:val="auto"/>
          <w:sz w:val="22"/>
          <w:szCs w:val="22"/>
        </w:rPr>
        <w:t xml:space="preserve"> three attributes of power, </w:t>
      </w:r>
      <w:bookmarkStart w:name="_Int_lRIjvoGo" w:id="817843666"/>
      <w:r w:rsidRPr="545238BC" w:rsidR="00A2126F">
        <w:rPr>
          <w:rFonts w:ascii="Arial Nova" w:hAnsi="Arial Nova" w:eastAsia="Arial Nova" w:cs="Arial Nova"/>
          <w:color w:val="auto"/>
          <w:sz w:val="22"/>
          <w:szCs w:val="22"/>
        </w:rPr>
        <w:t>urgency</w:t>
      </w:r>
      <w:bookmarkEnd w:id="817843666"/>
      <w:r w:rsidRPr="545238BC" w:rsidR="00A2126F">
        <w:rPr>
          <w:rFonts w:ascii="Arial Nova" w:hAnsi="Arial Nova" w:eastAsia="Arial Nova" w:cs="Arial Nova"/>
          <w:color w:val="auto"/>
          <w:sz w:val="22"/>
          <w:szCs w:val="22"/>
        </w:rPr>
        <w:t xml:space="preserve"> and legitimacy; however, there could be more other attributes to influence the relationship amongst the stakeholders </w:t>
      </w:r>
      <w:r w:rsidRPr="545238BC" w:rsidR="00A2126F">
        <w:rPr>
          <w:rFonts w:ascii="Arial Nova" w:hAnsi="Arial Nova" w:eastAsia="Arial Nova" w:cs="Arial Nova"/>
          <w:color w:val="auto"/>
          <w:sz w:val="22"/>
          <w:szCs w:val="22"/>
        </w:rPr>
        <w:t>(Harmer</w:t>
      </w:r>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i w:val="1"/>
          <w:iCs w:val="1"/>
          <w:color w:val="auto"/>
          <w:sz w:val="22"/>
          <w:szCs w:val="22"/>
        </w:rPr>
        <w:t>et al.,</w:t>
      </w:r>
      <w:r w:rsidRPr="545238BC" w:rsidR="00A2126F">
        <w:rPr>
          <w:rFonts w:ascii="Arial Nova" w:hAnsi="Arial Nova" w:eastAsia="Arial Nova" w:cs="Arial Nova"/>
          <w:color w:val="auto"/>
          <w:sz w:val="22"/>
          <w:szCs w:val="22"/>
        </w:rPr>
        <w:t xml:space="preserve"> 2022). </w:t>
      </w:r>
    </w:p>
    <w:p xmlns:wp14="http://schemas.microsoft.com/office/word/2010/wordml" w:rsidRPr="00D654C0" w:rsidR="001B1A4E" w:rsidP="545238BC" w:rsidRDefault="00A2126F" w14:paraId="04F489EB" wp14:textId="77777777">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Comparing other models this model needs more effort and time (Kurt and Aymelek, 2022). </w:t>
      </w:r>
    </w:p>
    <w:p xmlns:wp14="http://schemas.microsoft.com/office/word/2010/wordml" w:rsidRPr="00D654C0" w:rsidR="001B1A4E" w:rsidP="545238BC" w:rsidRDefault="00A2126F" w14:paraId="73BE5AD2" wp14:textId="59939D68">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This model is biased in opinion and subjective in procedure, which can influence its effective formation (Kurt and Aymelek, 2022). </w:t>
      </w:r>
    </w:p>
    <w:p xmlns:wp14="http://schemas.microsoft.com/office/word/2010/wordml" w:rsidRPr="00D654C0" w:rsidR="001B1A4E" w:rsidP="545238BC" w:rsidRDefault="00A2126F" w14:paraId="7096E00F" wp14:textId="26C85891">
      <w:pPr>
        <w:numPr>
          <w:ilvl w:val="0"/>
          <w:numId w:val="2"/>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Monitoring all these three attributes constantly incurs more costs and resources (Molin </w:t>
      </w:r>
      <w:r w:rsidRPr="545238BC" w:rsidR="00A2126F">
        <w:rPr>
          <w:rFonts w:ascii="Arial Nova" w:hAnsi="Arial Nova" w:eastAsia="Arial Nova" w:cs="Arial Nova"/>
          <w:i w:val="1"/>
          <w:iCs w:val="1"/>
          <w:color w:val="auto"/>
          <w:sz w:val="22"/>
          <w:szCs w:val="22"/>
        </w:rPr>
        <w:t>et al., 2021</w:t>
      </w:r>
      <w:r w:rsidRPr="545238BC" w:rsidR="00A2126F">
        <w:rPr>
          <w:rFonts w:ascii="Arial Nova" w:hAnsi="Arial Nova" w:eastAsia="Arial Nova" w:cs="Arial Nova"/>
          <w:color w:val="auto"/>
          <w:sz w:val="22"/>
          <w:szCs w:val="22"/>
        </w:rPr>
        <w:t xml:space="preserve"> ). </w:t>
      </w:r>
    </w:p>
    <w:p w:rsidR="545238BC" w:rsidP="545238BC" w:rsidRDefault="545238BC" w14:paraId="046EDF22" w14:textId="76B51613">
      <w:pPr>
        <w:rPr>
          <w:rFonts w:ascii="Arial Nova" w:hAnsi="Arial Nova" w:eastAsia="Arial Nova" w:cs="Arial Nova"/>
          <w:b w:val="1"/>
          <w:bCs w:val="1"/>
          <w:color w:val="00B0F0"/>
          <w:sz w:val="22"/>
          <w:szCs w:val="22"/>
        </w:rPr>
      </w:pPr>
    </w:p>
    <w:p xmlns:wp14="http://schemas.microsoft.com/office/word/2010/wordml" w:rsidRPr="00D654C0" w:rsidR="001B1A4E" w:rsidP="545238BC" w:rsidRDefault="00A2126F" w14:paraId="7010C21C" wp14:textId="77777777">
      <w:pPr>
        <w:pBdr>
          <w:top w:val="nil"/>
          <w:left w:val="nil"/>
          <w:bottom w:val="nil"/>
          <w:right w:val="nil"/>
          <w:between w:val="nil"/>
        </w:pBdr>
        <w:rPr>
          <w:rFonts w:ascii="Arial Nova" w:hAnsi="Arial Nova" w:eastAsia="Arial Nova" w:cs="Arial Nova"/>
          <w:b w:val="1"/>
          <w:bCs w:val="1"/>
          <w:color w:val="00B0F0"/>
          <w:sz w:val="22"/>
          <w:szCs w:val="22"/>
        </w:rPr>
      </w:pPr>
      <w:r w:rsidRPr="545238BC" w:rsidR="00A2126F">
        <w:rPr>
          <w:rFonts w:ascii="Arial Nova" w:hAnsi="Arial Nova" w:eastAsia="Arial Nova" w:cs="Arial Nova"/>
          <w:b w:val="1"/>
          <w:bCs w:val="1"/>
          <w:color w:val="00B0F0"/>
          <w:sz w:val="22"/>
          <w:szCs w:val="22"/>
        </w:rPr>
        <w:t>Limitation of Power and Interest Grid</w:t>
      </w:r>
    </w:p>
    <w:p xmlns:wp14="http://schemas.microsoft.com/office/word/2010/wordml" w:rsidRPr="00D654C0" w:rsidR="001B1A4E" w:rsidP="545238BC" w:rsidRDefault="00A2126F" w14:paraId="25D15A56" wp14:textId="7E46FA78">
      <w:pPr>
        <w:numPr>
          <w:ilvl w:val="0"/>
          <w:numId w:val="1"/>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The Power and Interest grid module is based on perspective which can differ from one person to another (</w:t>
      </w:r>
      <w:proofErr w:type="spellStart"/>
      <w:r w:rsidRPr="545238BC" w:rsidR="00A2126F">
        <w:rPr>
          <w:rFonts w:ascii="Arial Nova" w:hAnsi="Arial Nova" w:eastAsia="Arial Nova" w:cs="Arial Nova"/>
          <w:color w:val="auto"/>
          <w:sz w:val="22"/>
          <w:szCs w:val="22"/>
        </w:rPr>
        <w:t>Boesso</w:t>
      </w:r>
      <w:proofErr w:type="spellEnd"/>
      <w:r w:rsidRPr="545238BC" w:rsidR="00A2126F">
        <w:rPr>
          <w:rFonts w:ascii="Arial Nova" w:hAnsi="Arial Nova" w:eastAsia="Arial Nova" w:cs="Arial Nova"/>
          <w:color w:val="auto"/>
          <w:sz w:val="22"/>
          <w:szCs w:val="22"/>
        </w:rPr>
        <w:t xml:space="preserve"> and Kumar, 2009). </w:t>
      </w:r>
    </w:p>
    <w:p xmlns:wp14="http://schemas.microsoft.com/office/word/2010/wordml" w:rsidRPr="00D654C0" w:rsidR="001B1A4E" w:rsidP="545238BC" w:rsidRDefault="00A2126F" w14:paraId="2173450F" wp14:textId="5C481F06">
      <w:pPr>
        <w:numPr>
          <w:ilvl w:val="0"/>
          <w:numId w:val="1"/>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The sample size of the module is too small to categorise all the statistical variation from one to another stakeholder (Ahangar, M., Khandan, M and Givi, M.E., 2022).</w:t>
      </w:r>
    </w:p>
    <w:p xmlns:wp14="http://schemas.microsoft.com/office/word/2010/wordml" w:rsidRPr="00D654C0" w:rsidR="001B1A4E" w:rsidP="545238BC" w:rsidRDefault="00A2126F" w14:paraId="5360D667" wp14:textId="7C7D59FF">
      <w:pPr>
        <w:numPr>
          <w:ilvl w:val="0"/>
          <w:numId w:val="1"/>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is time consuming </w:t>
      </w:r>
      <w:bookmarkStart w:name="_Int_ZaiwSJTF" w:id="633409565"/>
      <w:r w:rsidRPr="545238BC" w:rsidR="00A2126F">
        <w:rPr>
          <w:rFonts w:ascii="Arial Nova" w:hAnsi="Arial Nova" w:eastAsia="Arial Nova" w:cs="Arial Nova"/>
          <w:color w:val="auto"/>
          <w:sz w:val="22"/>
          <w:szCs w:val="22"/>
        </w:rPr>
        <w:t>to</w:t>
      </w:r>
      <w:bookmarkEnd w:id="633409565"/>
      <w:r w:rsidRPr="545238BC" w:rsidR="00A2126F">
        <w:rPr>
          <w:rFonts w:ascii="Arial Nova" w:hAnsi="Arial Nova" w:eastAsia="Arial Nova" w:cs="Arial Nova"/>
          <w:color w:val="auto"/>
          <w:sz w:val="22"/>
          <w:szCs w:val="22"/>
        </w:rPr>
        <w:t xml:space="preserve"> relate multiple stakeholders in the assimilation of identification of their significant characteristic (</w:t>
      </w:r>
      <w:proofErr w:type="spellStart"/>
      <w:r w:rsidRPr="545238BC" w:rsidR="00A2126F">
        <w:rPr>
          <w:rFonts w:ascii="Arial Nova" w:hAnsi="Arial Nova" w:eastAsia="Arial Nova" w:cs="Arial Nova"/>
          <w:color w:val="auto"/>
          <w:sz w:val="22"/>
          <w:szCs w:val="22"/>
        </w:rPr>
        <w:t>Boesso</w:t>
      </w:r>
      <w:proofErr w:type="spellEnd"/>
      <w:r w:rsidRPr="545238BC" w:rsidR="00A2126F">
        <w:rPr>
          <w:rFonts w:ascii="Arial Nova" w:hAnsi="Arial Nova" w:eastAsia="Arial Nova" w:cs="Arial Nova"/>
          <w:color w:val="auto"/>
          <w:sz w:val="22"/>
          <w:szCs w:val="22"/>
        </w:rPr>
        <w:t xml:space="preserve"> and Kumar, 2009). </w:t>
      </w:r>
    </w:p>
    <w:p xmlns:wp14="http://schemas.microsoft.com/office/word/2010/wordml" w:rsidRPr="00D654C0" w:rsidR="001B1A4E" w:rsidP="545238BC" w:rsidRDefault="00A2126F" w14:paraId="637980AD" wp14:textId="67055013">
      <w:pPr>
        <w:numPr>
          <w:ilvl w:val="0"/>
          <w:numId w:val="1"/>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is difficult to analyse in the dispersed situation of stakeholders geographically (Wallace and Michopoulou, 2019). </w:t>
      </w:r>
    </w:p>
    <w:p xmlns:wp14="http://schemas.microsoft.com/office/word/2010/wordml" w:rsidRPr="00D654C0" w:rsidR="001B1A4E" w:rsidP="545238BC" w:rsidRDefault="00A2126F" w14:paraId="3DDF7D1C" wp14:textId="3BC8077F">
      <w:pPr>
        <w:numPr>
          <w:ilvl w:val="0"/>
          <w:numId w:val="1"/>
        </w:num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It is impossible for a company or the project manager to please all the stakeholders by </w:t>
      </w:r>
      <w:bookmarkStart w:name="_Int_bENUKMoW" w:id="372517848"/>
      <w:r w:rsidRPr="545238BC" w:rsidR="00A2126F">
        <w:rPr>
          <w:rFonts w:ascii="Arial Nova" w:hAnsi="Arial Nova" w:eastAsia="Arial Nova" w:cs="Arial Nova"/>
          <w:color w:val="auto"/>
          <w:sz w:val="22"/>
          <w:szCs w:val="22"/>
        </w:rPr>
        <w:t>figuring out</w:t>
      </w:r>
      <w:bookmarkEnd w:id="372517848"/>
      <w:r w:rsidRPr="545238BC" w:rsidR="00A2126F">
        <w:rPr>
          <w:rFonts w:ascii="Arial Nova" w:hAnsi="Arial Nova" w:eastAsia="Arial Nova" w:cs="Arial Nova"/>
          <w:color w:val="auto"/>
          <w:sz w:val="22"/>
          <w:szCs w:val="22"/>
        </w:rPr>
        <w:t xml:space="preserve"> their respective attributes simultaneously </w:t>
      </w:r>
      <w:r w:rsidRPr="545238BC" w:rsidR="00A2126F">
        <w:rPr>
          <w:rFonts w:ascii="Arial Nova" w:hAnsi="Arial Nova" w:eastAsia="Arial Nova" w:cs="Arial Nova"/>
          <w:color w:val="auto"/>
          <w:sz w:val="22"/>
          <w:szCs w:val="22"/>
        </w:rPr>
        <w:t>(Dias and Brito, 2021).</w:t>
      </w:r>
    </w:p>
    <w:p xmlns:wp14="http://schemas.microsoft.com/office/word/2010/wordml" w:rsidRPr="00D654C0" w:rsidR="001B1A4E" w:rsidP="545238BC" w:rsidRDefault="00A2126F" w14:paraId="4A93D49E" wp14:textId="77777777">
      <w:pPr>
        <w:pStyle w:val="Heading1"/>
        <w:rPr>
          <w:rFonts w:ascii="Arial Nova" w:hAnsi="Arial Nova" w:eastAsia="Arial Nova" w:cs="Arial Nova"/>
          <w:color w:val="00B0F0"/>
          <w:sz w:val="22"/>
          <w:szCs w:val="22"/>
        </w:rPr>
      </w:pPr>
      <w:bookmarkStart w:name="_heading=h.44sinio" w:id="20"/>
      <w:bookmarkEnd w:id="20"/>
      <w:bookmarkStart w:name="_Toc1289491487" w:id="1653439344"/>
      <w:r w:rsidRPr="545238BC" w:rsidR="00A2126F">
        <w:rPr>
          <w:rFonts w:ascii="Arial Nova" w:hAnsi="Arial Nova" w:eastAsia="Arial Nova" w:cs="Arial Nova"/>
          <w:color w:val="00B0F0"/>
          <w:sz w:val="22"/>
          <w:szCs w:val="22"/>
        </w:rPr>
        <w:t>4. Question 3: “Reflecting on Thomas Kilman’s Conflict resolution model, critically evaluate the different conflict resolution approaches and suggest the appropriate approach for resolving the Conflict”</w:t>
      </w:r>
      <w:bookmarkEnd w:id="1653439344"/>
    </w:p>
    <w:p xmlns:wp14="http://schemas.microsoft.com/office/word/2010/wordml" w:rsidRPr="00D654C0" w:rsidR="001B1A4E" w:rsidP="545238BC" w:rsidRDefault="00A2126F" w14:paraId="7178B02B" wp14:textId="77777777">
      <w:pPr>
        <w:rPr>
          <w:rFonts w:ascii="Arial Nova" w:hAnsi="Arial Nova" w:eastAsia="Arial Nova" w:cs="Arial Nova"/>
          <w:b w:val="1"/>
          <w:bCs w:val="1"/>
          <w:color w:val="92D050"/>
          <w:sz w:val="22"/>
          <w:szCs w:val="22"/>
        </w:rPr>
      </w:pPr>
      <w:bookmarkStart w:name="_heading=h.2jxsxqh" w:id="22"/>
      <w:bookmarkEnd w:id="22"/>
      <w:r w:rsidRPr="545238BC" w:rsidR="00A2126F">
        <w:rPr>
          <w:rFonts w:ascii="Arial Nova" w:hAnsi="Arial Nova" w:eastAsia="Arial Nova" w:cs="Arial Nova"/>
          <w:b w:val="1"/>
          <w:bCs w:val="1"/>
          <w:color w:val="92D050"/>
          <w:sz w:val="22"/>
          <w:szCs w:val="22"/>
        </w:rPr>
        <w:t>Thomas Kilman’s conflict resolution model</w:t>
      </w:r>
    </w:p>
    <w:p xmlns:wp14="http://schemas.microsoft.com/office/word/2010/wordml" w:rsidRPr="00D654C0" w:rsidR="001B1A4E" w:rsidP="545238BC" w:rsidRDefault="00A2126F" w14:paraId="47F7163E" wp14:textId="436126F6">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Thomas Kilman's conflict resolution model </w:t>
      </w:r>
      <w:bookmarkStart w:name="_Int_RDpC7Fbe" w:id="275326767"/>
      <w:r w:rsidRPr="545238BC" w:rsidR="00A2126F">
        <w:rPr>
          <w:rFonts w:ascii="Arial Nova" w:hAnsi="Arial Nova" w:eastAsia="Arial Nova" w:cs="Arial Nova"/>
          <w:color w:val="auto"/>
          <w:sz w:val="22"/>
          <w:szCs w:val="22"/>
        </w:rPr>
        <w:t>states</w:t>
      </w:r>
      <w:bookmarkEnd w:id="275326767"/>
      <w:r w:rsidRPr="545238BC" w:rsidR="00A2126F">
        <w:rPr>
          <w:rFonts w:ascii="Arial Nova" w:hAnsi="Arial Nova" w:eastAsia="Arial Nova" w:cs="Arial Nova"/>
          <w:color w:val="auto"/>
          <w:sz w:val="22"/>
          <w:szCs w:val="22"/>
        </w:rPr>
        <w:t xml:space="preserve"> that there are always two types of dimensions that give rise to conflict behaviour within the institution. The first dimension here includes the assertiveness which deals or refers to the ability of an individual or a body to stand up and speak for their opinions and needs. This assertiveness here can be used in a negative or a positive manner depending on the situation within the organisation or an institution. This assertive way or the behaviour of an individual or a body may seem aggressive, but it is only used for expressing one emotion or their feelings (</w:t>
      </w:r>
      <w:r w:rsidRPr="545238BC" w:rsidR="00A2126F">
        <w:rPr>
          <w:rFonts w:ascii="Arial Nova" w:hAnsi="Arial Nova" w:eastAsia="Arial Nova" w:cs="Arial Nova"/>
          <w:color w:val="auto"/>
          <w:sz w:val="22"/>
          <w:szCs w:val="22"/>
          <w:highlight w:val="white"/>
        </w:rPr>
        <w:t xml:space="preserve">ARINICHEVA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xml:space="preserve">). The other dimension here is known as empathy which also refers to understanding the opposite body or persons emotions and their options too. Here it </w:t>
      </w:r>
      <w:bookmarkStart w:name="_Int_LNJsY2y5" w:id="355117085"/>
      <w:r w:rsidRPr="545238BC" w:rsidR="00A2126F">
        <w:rPr>
          <w:rFonts w:ascii="Arial Nova" w:hAnsi="Arial Nova" w:eastAsia="Arial Nova" w:cs="Arial Nova"/>
          <w:color w:val="auto"/>
          <w:sz w:val="22"/>
          <w:szCs w:val="22"/>
        </w:rPr>
        <w:t>brings</w:t>
      </w:r>
      <w:bookmarkEnd w:id="355117085"/>
      <w:r w:rsidRPr="545238BC" w:rsidR="00A2126F">
        <w:rPr>
          <w:rFonts w:ascii="Arial Nova" w:hAnsi="Arial Nova" w:eastAsia="Arial Nova" w:cs="Arial Nova"/>
          <w:color w:val="auto"/>
          <w:sz w:val="22"/>
          <w:szCs w:val="22"/>
        </w:rPr>
        <w:t xml:space="preserve"> peace between the two bodies </w:t>
      </w:r>
      <w:bookmarkStart w:name="_Int_uMtFEqUp" w:id="921013656"/>
      <w:r w:rsidRPr="545238BC" w:rsidR="00A2126F">
        <w:rPr>
          <w:rFonts w:ascii="Arial Nova" w:hAnsi="Arial Nova" w:eastAsia="Arial Nova" w:cs="Arial Nova"/>
          <w:color w:val="auto"/>
          <w:sz w:val="22"/>
          <w:szCs w:val="22"/>
        </w:rPr>
        <w:t>and is</w:t>
      </w:r>
      <w:bookmarkEnd w:id="921013656"/>
      <w:r w:rsidRPr="545238BC" w:rsidR="00A2126F">
        <w:rPr>
          <w:rFonts w:ascii="Arial Nova" w:hAnsi="Arial Nova" w:eastAsia="Arial Nova" w:cs="Arial Nova"/>
          <w:color w:val="auto"/>
          <w:sz w:val="22"/>
          <w:szCs w:val="22"/>
        </w:rPr>
        <w:t xml:space="preserve"> known to bring better solutions in </w:t>
      </w:r>
      <w:bookmarkStart w:name="_Int_t6QeudOB" w:id="1062574913"/>
      <w:r w:rsidRPr="545238BC" w:rsidR="00A2126F">
        <w:rPr>
          <w:rFonts w:ascii="Arial Nova" w:hAnsi="Arial Nova" w:eastAsia="Arial Nova" w:cs="Arial Nova"/>
          <w:color w:val="auto"/>
          <w:sz w:val="22"/>
          <w:szCs w:val="22"/>
        </w:rPr>
        <w:t>a highly effective</w:t>
      </w:r>
      <w:bookmarkEnd w:id="1062574913"/>
      <w:r w:rsidRPr="545238BC" w:rsidR="00A2126F">
        <w:rPr>
          <w:rFonts w:ascii="Arial Nova" w:hAnsi="Arial Nova" w:eastAsia="Arial Nova" w:cs="Arial Nova"/>
          <w:color w:val="auto"/>
          <w:sz w:val="22"/>
          <w:szCs w:val="22"/>
        </w:rPr>
        <w:t xml:space="preserve"> way. This is one of the easiest ways to solve the conflict where both the bodies can know each other's opinion or feelings </w:t>
      </w:r>
      <w:bookmarkStart w:name="_Int_io9LP8u9" w:id="2069211827"/>
      <w:r w:rsidRPr="545238BC" w:rsidR="00A2126F">
        <w:rPr>
          <w:rFonts w:ascii="Arial Nova" w:hAnsi="Arial Nova" w:eastAsia="Arial Nova" w:cs="Arial Nova"/>
          <w:color w:val="auto"/>
          <w:sz w:val="22"/>
          <w:szCs w:val="22"/>
        </w:rPr>
        <w:t>about</w:t>
      </w:r>
      <w:bookmarkEnd w:id="2069211827"/>
      <w:r w:rsidRPr="545238BC" w:rsidR="00A2126F">
        <w:rPr>
          <w:rFonts w:ascii="Arial Nova" w:hAnsi="Arial Nova" w:eastAsia="Arial Nova" w:cs="Arial Nova"/>
          <w:color w:val="auto"/>
          <w:sz w:val="22"/>
          <w:szCs w:val="22"/>
        </w:rPr>
        <w:t xml:space="preserve"> the conflict and have views accordingly. It is a more peaceful way of management to have solved the problem or the conflict between both bodies. The Kilman’s conflict resolution model is </w:t>
      </w:r>
      <w:bookmarkStart w:name="_Int_evFSdP37" w:id="1716114911"/>
      <w:r w:rsidRPr="545238BC" w:rsidR="00A2126F">
        <w:rPr>
          <w:rFonts w:ascii="Arial Nova" w:hAnsi="Arial Nova" w:eastAsia="Arial Nova" w:cs="Arial Nova"/>
          <w:color w:val="auto"/>
          <w:sz w:val="22"/>
          <w:szCs w:val="22"/>
        </w:rPr>
        <w:t>a</w:t>
      </w:r>
      <w:bookmarkEnd w:id="1716114911"/>
      <w:r w:rsidRPr="545238BC" w:rsidR="00A2126F">
        <w:rPr>
          <w:rFonts w:ascii="Arial Nova" w:hAnsi="Arial Nova" w:eastAsia="Arial Nova" w:cs="Arial Nova"/>
          <w:color w:val="auto"/>
          <w:sz w:val="22"/>
          <w:szCs w:val="22"/>
        </w:rPr>
        <w:t xml:space="preserve"> management with the two dimensions which are mentioned above which is also known as two methods of resolving the conflicts (ARINICHEVA</w:t>
      </w:r>
      <w:r w:rsidRPr="545238BC" w:rsidR="00A2126F">
        <w:rPr>
          <w:rFonts w:ascii="Arial Nova" w:hAnsi="Arial Nova" w:eastAsia="Arial Nova" w:cs="Arial Nova"/>
          <w:i w:val="1"/>
          <w:iCs w:val="1"/>
          <w:color w:val="auto"/>
          <w:sz w:val="22"/>
          <w:szCs w:val="22"/>
        </w:rPr>
        <w:t xml:space="preserve"> et al.</w:t>
      </w:r>
      <w:r w:rsidRPr="545238BC" w:rsidR="00A2126F">
        <w:rPr>
          <w:rFonts w:ascii="Arial Nova" w:hAnsi="Arial Nova" w:eastAsia="Arial Nova" w:cs="Arial Nova"/>
          <w:color w:val="auto"/>
          <w:sz w:val="22"/>
          <w:szCs w:val="22"/>
        </w:rPr>
        <w:t xml:space="preserve">, 2019). </w:t>
      </w:r>
    </w:p>
    <w:p xmlns:wp14="http://schemas.microsoft.com/office/word/2010/wordml" w:rsidRPr="00D654C0" w:rsidR="001B1A4E" w:rsidP="545238BC" w:rsidRDefault="00A2126F" w14:paraId="044A9063" wp14:textId="25DA02E9">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main motive of using Thomas Kilman’s approach is to solve the problems or conflict between the two bodies or the institution through the assertiveness or the empathy method of resolving the conflict. There are </w:t>
      </w:r>
      <w:bookmarkStart w:name="_Int_qQhsV9W1" w:id="467742129"/>
      <w:r w:rsidRPr="545238BC" w:rsidR="00A2126F">
        <w:rPr>
          <w:rFonts w:ascii="Arial Nova" w:hAnsi="Arial Nova" w:eastAsia="Arial Nova" w:cs="Arial Nova"/>
          <w:color w:val="auto"/>
          <w:sz w:val="22"/>
          <w:szCs w:val="22"/>
        </w:rPr>
        <w:t>five</w:t>
      </w:r>
      <w:bookmarkEnd w:id="467742129"/>
      <w:r w:rsidRPr="545238BC" w:rsidR="00A2126F">
        <w:rPr>
          <w:rFonts w:ascii="Arial Nova" w:hAnsi="Arial Nova" w:eastAsia="Arial Nova" w:cs="Arial Nova"/>
          <w:color w:val="auto"/>
          <w:sz w:val="22"/>
          <w:szCs w:val="22"/>
        </w:rPr>
        <w:t xml:space="preserve"> approaches of the Thomas Kilman’s conflict resolution model such as competing, avoiding, accommodation, collaborating and lastly compromising. Hence via the use of the model teamwork and collaboration fosters which to the development in an organisation widely (Thomas, 2008). The five approaches to the Thomas Kilman’s conflict resolution model is being discussed below in a succinct manner:</w:t>
      </w:r>
    </w:p>
    <w:p xmlns:wp14="http://schemas.microsoft.com/office/word/2010/wordml" w:rsidRPr="00D654C0" w:rsidR="001B1A4E" w:rsidP="545238BC" w:rsidRDefault="00A2126F" w14:paraId="314E04D5" wp14:textId="6C20F662">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Competing:</w:t>
      </w:r>
      <w:r w:rsidRPr="545238BC" w:rsidR="00A2126F">
        <w:rPr>
          <w:rFonts w:ascii="Arial Nova" w:hAnsi="Arial Nova" w:eastAsia="Arial Nova" w:cs="Arial Nova"/>
          <w:color w:val="auto"/>
          <w:sz w:val="22"/>
          <w:szCs w:val="22"/>
        </w:rPr>
        <w:t xml:space="preserve"> Using this strategy the organisation or body here needs to incorporate the opinions of the other body and listen to their views and demands (</w:t>
      </w:r>
      <w:r w:rsidRPr="545238BC" w:rsidR="00A2126F">
        <w:rPr>
          <w:rFonts w:ascii="Arial Nova" w:hAnsi="Arial Nova" w:eastAsia="Arial Nova" w:cs="Arial Nova"/>
          <w:color w:val="auto"/>
          <w:sz w:val="22"/>
          <w:szCs w:val="22"/>
          <w:highlight w:val="white"/>
        </w:rPr>
        <w:t xml:space="preserve">Chang and </w:t>
      </w:r>
      <w:proofErr w:type="spellStart"/>
      <w:r w:rsidRPr="545238BC" w:rsidR="00A2126F">
        <w:rPr>
          <w:rFonts w:ascii="Arial Nova" w:hAnsi="Arial Nova" w:eastAsia="Arial Nova" w:cs="Arial Nova"/>
          <w:color w:val="auto"/>
          <w:sz w:val="22"/>
          <w:szCs w:val="22"/>
          <w:highlight w:val="white"/>
        </w:rPr>
        <w:t>Sellak</w:t>
      </w:r>
      <w:proofErr w:type="spellEnd"/>
      <w:r w:rsidRPr="545238BC" w:rsidR="00A2126F">
        <w:rPr>
          <w:rFonts w:ascii="Arial Nova" w:hAnsi="Arial Nova" w:eastAsia="Arial Nova" w:cs="Arial Nova"/>
          <w:color w:val="auto"/>
          <w:sz w:val="22"/>
          <w:szCs w:val="22"/>
          <w:highlight w:val="white"/>
        </w:rPr>
        <w:t>, 2022</w:t>
      </w:r>
      <w:r w:rsidRPr="545238BC" w:rsidR="00A2126F">
        <w:rPr>
          <w:rFonts w:ascii="Arial Nova" w:hAnsi="Arial Nova" w:eastAsia="Arial Nova" w:cs="Arial Nova"/>
          <w:color w:val="auto"/>
          <w:sz w:val="22"/>
          <w:szCs w:val="22"/>
        </w:rPr>
        <w:t xml:space="preserve">). This strategy </w:t>
      </w:r>
      <w:bookmarkStart w:name="_Int_jQPMIcqE" w:id="885645013"/>
      <w:r w:rsidRPr="545238BC" w:rsidR="00A2126F">
        <w:rPr>
          <w:rFonts w:ascii="Arial Nova" w:hAnsi="Arial Nova" w:eastAsia="Arial Nova" w:cs="Arial Nova"/>
          <w:color w:val="auto"/>
          <w:sz w:val="22"/>
          <w:szCs w:val="22"/>
        </w:rPr>
        <w:t>gives</w:t>
      </w:r>
      <w:bookmarkEnd w:id="885645013"/>
      <w:r w:rsidRPr="545238BC" w:rsidR="00A2126F">
        <w:rPr>
          <w:rFonts w:ascii="Arial Nova" w:hAnsi="Arial Nova" w:eastAsia="Arial Nova" w:cs="Arial Nova"/>
          <w:color w:val="auto"/>
          <w:sz w:val="22"/>
          <w:szCs w:val="22"/>
        </w:rPr>
        <w:t xml:space="preserve"> the body the </w:t>
      </w:r>
      <w:bookmarkStart w:name="_Int_knWZlYIS" w:id="1680179360"/>
      <w:r w:rsidRPr="545238BC" w:rsidR="00A2126F">
        <w:rPr>
          <w:rFonts w:ascii="Arial Nova" w:hAnsi="Arial Nova" w:eastAsia="Arial Nova" w:cs="Arial Nova"/>
          <w:color w:val="auto"/>
          <w:sz w:val="22"/>
          <w:szCs w:val="22"/>
        </w:rPr>
        <w:t>possibility</w:t>
      </w:r>
      <w:bookmarkEnd w:id="1680179360"/>
      <w:r w:rsidRPr="545238BC" w:rsidR="00A2126F">
        <w:rPr>
          <w:rFonts w:ascii="Arial Nova" w:hAnsi="Arial Nova" w:eastAsia="Arial Nova" w:cs="Arial Nova"/>
          <w:color w:val="auto"/>
          <w:sz w:val="22"/>
          <w:szCs w:val="22"/>
        </w:rPr>
        <w:t xml:space="preserve"> to command and make sure they compete with the opponent when they have limited resources and time. This target or the competition with the opponents helps the body or the organisation to achieve their target or goal first and in </w:t>
      </w:r>
      <w:bookmarkStart w:name="_Int_wHDehCcn" w:id="1943755318"/>
      <w:r w:rsidRPr="545238BC" w:rsidR="00A2126F">
        <w:rPr>
          <w:rFonts w:ascii="Arial Nova" w:hAnsi="Arial Nova" w:eastAsia="Arial Nova" w:cs="Arial Nova"/>
          <w:color w:val="auto"/>
          <w:sz w:val="22"/>
          <w:szCs w:val="22"/>
        </w:rPr>
        <w:t>a highly effective</w:t>
      </w:r>
      <w:bookmarkEnd w:id="1943755318"/>
      <w:r w:rsidRPr="545238BC" w:rsidR="00A2126F">
        <w:rPr>
          <w:rFonts w:ascii="Arial Nova" w:hAnsi="Arial Nova" w:eastAsia="Arial Nova" w:cs="Arial Nova"/>
          <w:color w:val="auto"/>
          <w:sz w:val="22"/>
          <w:szCs w:val="22"/>
        </w:rPr>
        <w:t xml:space="preserve"> manner. This strategy also has some of the negative aspects as well, as competition with the opponents or the other bodies can lead to rise in anger, frustration, hostility and many more. It may also lead to loss of connection with the people where the individuals do not want to work with the organisation because of their behaviour (</w:t>
      </w:r>
      <w:proofErr w:type="spellStart"/>
      <w:r w:rsidRPr="545238BC" w:rsidR="00A2126F">
        <w:rPr>
          <w:rFonts w:ascii="Arial Nova" w:hAnsi="Arial Nova" w:eastAsia="Arial Nova" w:cs="Arial Nova"/>
          <w:color w:val="auto"/>
          <w:sz w:val="22"/>
          <w:szCs w:val="22"/>
        </w:rPr>
        <w:t>Alqatawenh</w:t>
      </w:r>
      <w:proofErr w:type="spellEnd"/>
      <w:r w:rsidRPr="545238BC" w:rsidR="00A2126F">
        <w:rPr>
          <w:rFonts w:ascii="Arial Nova" w:hAnsi="Arial Nova" w:eastAsia="Arial Nova" w:cs="Arial Nova"/>
          <w:color w:val="auto"/>
          <w:sz w:val="22"/>
          <w:szCs w:val="22"/>
        </w:rPr>
        <w:t xml:space="preserve">, 2018). </w:t>
      </w:r>
    </w:p>
    <w:p xmlns:wp14="http://schemas.microsoft.com/office/word/2010/wordml" w:rsidRPr="00D654C0" w:rsidR="001B1A4E" w:rsidP="545238BC" w:rsidRDefault="00A2126F" w14:paraId="514C3330" wp14:textId="4999976E">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Avoiding:</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color w:val="auto"/>
          <w:sz w:val="22"/>
          <w:szCs w:val="22"/>
        </w:rPr>
        <w:t xml:space="preserve">Many organisations use this strategy as they do not have the power in their hands </w:t>
      </w:r>
      <w:bookmarkStart w:name="_Int_Acru2N9l" w:id="1534715346"/>
      <w:r w:rsidRPr="545238BC" w:rsidR="00A2126F">
        <w:rPr>
          <w:rFonts w:ascii="Arial Nova" w:hAnsi="Arial Nova" w:eastAsia="Arial Nova" w:cs="Arial Nova"/>
          <w:color w:val="auto"/>
          <w:sz w:val="22"/>
          <w:szCs w:val="22"/>
        </w:rPr>
        <w:t>and</w:t>
      </w:r>
      <w:bookmarkEnd w:id="1534715346"/>
      <w:r w:rsidRPr="545238BC" w:rsidR="00A2126F">
        <w:rPr>
          <w:rFonts w:ascii="Arial Nova" w:hAnsi="Arial Nova" w:eastAsia="Arial Nova" w:cs="Arial Nova"/>
          <w:color w:val="auto"/>
          <w:sz w:val="22"/>
          <w:szCs w:val="22"/>
        </w:rPr>
        <w:t xml:space="preserve"> they do not want to get engaged in the conflict, so they use this strategy (</w:t>
      </w:r>
      <w:r w:rsidRPr="545238BC" w:rsidR="00A2126F">
        <w:rPr>
          <w:rFonts w:ascii="Arial Nova" w:hAnsi="Arial Nova" w:eastAsia="Arial Nova" w:cs="Arial Nova"/>
          <w:color w:val="auto"/>
          <w:sz w:val="22"/>
          <w:szCs w:val="22"/>
          <w:highlight w:val="white"/>
        </w:rPr>
        <w:t>Ay</w:t>
      </w:r>
      <w:r w:rsidRPr="545238BC" w:rsidR="00A2126F">
        <w:rPr>
          <w:rFonts w:ascii="Arial Nova" w:hAnsi="Arial Nova" w:eastAsia="Arial Nova" w:cs="Arial Nova"/>
          <w:i w:val="1"/>
          <w:iCs w:val="1"/>
          <w:color w:val="auto"/>
          <w:sz w:val="22"/>
          <w:szCs w:val="22"/>
          <w:highlight w:val="white"/>
        </w:rPr>
        <w:t xml:space="preserve"> et al</w:t>
      </w:r>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Avoiding is the best strategy when the higher authority of the department does not have the full control over the situation so</w:t>
      </w:r>
      <w:bookmarkStart w:name="_Int_5OPjuT33" w:id="465372727"/>
      <w:r w:rsidRPr="545238BC" w:rsidR="00A2126F">
        <w:rPr>
          <w:rFonts w:ascii="Arial Nova" w:hAnsi="Arial Nova" w:eastAsia="Arial Nova" w:cs="Arial Nova"/>
          <w:color w:val="auto"/>
          <w:sz w:val="22"/>
          <w:szCs w:val="22"/>
        </w:rPr>
        <w:t xml:space="preserve"> </w:t>
      </w:r>
      <w:bookmarkEnd w:id="465372727"/>
      <w:r w:rsidRPr="545238BC" w:rsidR="00A2126F">
        <w:rPr>
          <w:rFonts w:ascii="Arial Nova" w:hAnsi="Arial Nova" w:eastAsia="Arial Nova" w:cs="Arial Nova"/>
          <w:color w:val="auto"/>
          <w:sz w:val="22"/>
          <w:szCs w:val="22"/>
        </w:rPr>
        <w:t xml:space="preserve">this </w:t>
      </w:r>
      <w:bookmarkStart w:name="_Int_340XewQr" w:id="2006723102"/>
      <w:r w:rsidRPr="545238BC" w:rsidR="00A2126F">
        <w:rPr>
          <w:rFonts w:ascii="Arial Nova" w:hAnsi="Arial Nova" w:eastAsia="Arial Nova" w:cs="Arial Nova"/>
          <w:color w:val="auto"/>
          <w:sz w:val="22"/>
          <w:szCs w:val="22"/>
        </w:rPr>
        <w:t>way</w:t>
      </w:r>
      <w:bookmarkEnd w:id="2006723102"/>
      <w:r w:rsidRPr="545238BC" w:rsidR="00A2126F">
        <w:rPr>
          <w:rFonts w:ascii="Arial Nova" w:hAnsi="Arial Nova" w:eastAsia="Arial Nova" w:cs="Arial Nova"/>
          <w:color w:val="auto"/>
          <w:sz w:val="22"/>
          <w:szCs w:val="22"/>
        </w:rPr>
        <w:t xml:space="preserve"> they can turn over the situation for the time being. With the use of avoiding strategy, the business will be able to mitigate the issues in a much better way, in which the resources of the organisation will not be consumed (Bryson, 1995).</w:t>
      </w:r>
    </w:p>
    <w:p xmlns:wp14="http://schemas.microsoft.com/office/word/2010/wordml" w:rsidRPr="00D654C0" w:rsidR="001B1A4E" w:rsidP="545238BC" w:rsidRDefault="00A2126F" w14:paraId="5B2EF0A6" wp14:textId="6CF3A424">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 xml:space="preserve">Accommodations: </w:t>
      </w:r>
      <w:r w:rsidRPr="545238BC" w:rsidR="00A2126F">
        <w:rPr>
          <w:rFonts w:ascii="Arial Nova" w:hAnsi="Arial Nova" w:eastAsia="Arial Nova" w:cs="Arial Nova"/>
          <w:b w:val="0"/>
          <w:bCs w:val="0"/>
          <w:color w:val="auto"/>
          <w:sz w:val="22"/>
          <w:szCs w:val="22"/>
        </w:rPr>
        <w:t>I</w:t>
      </w:r>
      <w:r w:rsidRPr="545238BC" w:rsidR="00A2126F">
        <w:rPr>
          <w:rFonts w:ascii="Arial Nova" w:hAnsi="Arial Nova" w:eastAsia="Arial Nova" w:cs="Arial Nova"/>
          <w:color w:val="auto"/>
          <w:sz w:val="22"/>
          <w:szCs w:val="22"/>
        </w:rPr>
        <w:t xml:space="preserve">t is the third strategy known in Thomas Kilman’s conflict resolution model which is </w:t>
      </w:r>
      <w:bookmarkStart w:name="_Int_cjL1iqOS" w:id="1392267732"/>
      <w:r w:rsidRPr="545238BC" w:rsidR="00A2126F">
        <w:rPr>
          <w:rFonts w:ascii="Arial Nova" w:hAnsi="Arial Nova" w:eastAsia="Arial Nova" w:cs="Arial Nova"/>
          <w:color w:val="auto"/>
          <w:sz w:val="22"/>
          <w:szCs w:val="22"/>
        </w:rPr>
        <w:t>a</w:t>
      </w:r>
      <w:bookmarkEnd w:id="1392267732"/>
      <w:r w:rsidRPr="545238BC" w:rsidR="00A2126F">
        <w:rPr>
          <w:rFonts w:ascii="Arial Nova" w:hAnsi="Arial Nova" w:eastAsia="Arial Nova" w:cs="Arial Nova"/>
          <w:color w:val="auto"/>
          <w:sz w:val="22"/>
          <w:szCs w:val="22"/>
        </w:rPr>
        <w:t xml:space="preserve"> simple approach for both the parties. Here the organisation should listen to the opinions </w:t>
      </w:r>
      <w:bookmarkStart w:name="_Int_1oLm3nhn" w:id="263856696"/>
      <w:r w:rsidRPr="545238BC" w:rsidR="00A2126F">
        <w:rPr>
          <w:rFonts w:ascii="Arial Nova" w:hAnsi="Arial Nova" w:eastAsia="Arial Nova" w:cs="Arial Nova"/>
          <w:color w:val="auto"/>
          <w:sz w:val="22"/>
          <w:szCs w:val="22"/>
        </w:rPr>
        <w:t>and</w:t>
      </w:r>
      <w:bookmarkEnd w:id="263856696"/>
      <w:r w:rsidRPr="545238BC" w:rsidR="00A2126F">
        <w:rPr>
          <w:rFonts w:ascii="Arial Nova" w:hAnsi="Arial Nova" w:eastAsia="Arial Nova" w:cs="Arial Nova"/>
          <w:color w:val="auto"/>
          <w:sz w:val="22"/>
          <w:szCs w:val="22"/>
        </w:rPr>
        <w:t xml:space="preserve"> the views of </w:t>
      </w:r>
      <w:r w:rsidRPr="545238BC" w:rsidR="00A2126F">
        <w:rPr>
          <w:rFonts w:ascii="Arial Nova" w:hAnsi="Arial Nova" w:eastAsia="Arial Nova" w:cs="Arial Nova"/>
          <w:color w:val="auto"/>
          <w:sz w:val="22"/>
          <w:szCs w:val="22"/>
        </w:rPr>
        <w:t>opposition</w:t>
      </w:r>
      <w:r w:rsidRPr="545238BC" w:rsidR="00A2126F">
        <w:rPr>
          <w:rFonts w:ascii="Arial Nova" w:hAnsi="Arial Nova" w:eastAsia="Arial Nova" w:cs="Arial Nova"/>
          <w:color w:val="auto"/>
          <w:sz w:val="22"/>
          <w:szCs w:val="22"/>
        </w:rPr>
        <w:t xml:space="preserve"> and accept their request without any interference. Using this strategy will help the organisation and the parties to settle the conflict without going through any extra effort as this is one of the most effective ways to resolve conflicts (</w:t>
      </w:r>
      <w:r w:rsidRPr="545238BC" w:rsidR="00A2126F">
        <w:rPr>
          <w:rFonts w:ascii="Arial Nova" w:hAnsi="Arial Nova" w:eastAsia="Arial Nova" w:cs="Arial Nova"/>
          <w:color w:val="auto"/>
          <w:sz w:val="22"/>
          <w:szCs w:val="22"/>
          <w:highlight w:val="white"/>
        </w:rPr>
        <w:t xml:space="preserve">Rodrigues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xml:space="preserve">). This strategy is good for resolving but it might affect the organisation's main motive or aim. </w:t>
      </w:r>
    </w:p>
    <w:p xmlns:wp14="http://schemas.microsoft.com/office/word/2010/wordml" w:rsidRPr="00D654C0" w:rsidR="001B1A4E" w:rsidP="545238BC" w:rsidRDefault="00A2126F" w14:paraId="2B21EC5C" wp14:textId="14345795">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Collaboration:</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b w:val="0"/>
          <w:bCs w:val="0"/>
          <w:color w:val="auto"/>
          <w:sz w:val="22"/>
          <w:szCs w:val="22"/>
        </w:rPr>
        <w:t>H</w:t>
      </w:r>
      <w:r w:rsidRPr="545238BC" w:rsidR="00A2126F">
        <w:rPr>
          <w:rFonts w:ascii="Arial Nova" w:hAnsi="Arial Nova" w:eastAsia="Arial Nova" w:cs="Arial Nova"/>
          <w:b w:val="0"/>
          <w:bCs w:val="0"/>
          <w:color w:val="auto"/>
          <w:sz w:val="22"/>
          <w:szCs w:val="22"/>
        </w:rPr>
        <w:t xml:space="preserve">ere the collaboration is </w:t>
      </w:r>
      <w:bookmarkStart w:name="_Int_V3BA8r6F" w:id="889548945"/>
      <w:r w:rsidRPr="545238BC" w:rsidR="00A2126F">
        <w:rPr>
          <w:rFonts w:ascii="Arial Nova" w:hAnsi="Arial Nova" w:eastAsia="Arial Nova" w:cs="Arial Nova"/>
          <w:color w:val="auto"/>
          <w:sz w:val="22"/>
          <w:szCs w:val="22"/>
        </w:rPr>
        <w:t>the</w:t>
      </w:r>
      <w:bookmarkEnd w:id="889548945"/>
      <w:r w:rsidRPr="545238BC" w:rsidR="00A2126F">
        <w:rPr>
          <w:rFonts w:ascii="Arial Nova" w:hAnsi="Arial Nova" w:eastAsia="Arial Nova" w:cs="Arial Nova"/>
          <w:color w:val="auto"/>
          <w:sz w:val="22"/>
          <w:szCs w:val="22"/>
        </w:rPr>
        <w:t xml:space="preserve"> fourth strategy or approach of Thomas Kilman’s conflict resolution model, this strategy is </w:t>
      </w:r>
      <w:bookmarkStart w:name="_Int_a9FDx9Tg" w:id="1474785914"/>
      <w:r w:rsidRPr="545238BC" w:rsidR="00A2126F">
        <w:rPr>
          <w:rFonts w:ascii="Arial Nova" w:hAnsi="Arial Nova" w:eastAsia="Arial Nova" w:cs="Arial Nova"/>
          <w:color w:val="auto"/>
          <w:sz w:val="22"/>
          <w:szCs w:val="22"/>
        </w:rPr>
        <w:t>used</w:t>
      </w:r>
      <w:bookmarkEnd w:id="1474785914"/>
      <w:r w:rsidRPr="545238BC" w:rsidR="00A2126F">
        <w:rPr>
          <w:rFonts w:ascii="Arial Nova" w:hAnsi="Arial Nova" w:eastAsia="Arial Nova" w:cs="Arial Nova"/>
          <w:color w:val="auto"/>
          <w:sz w:val="22"/>
          <w:szCs w:val="22"/>
        </w:rPr>
        <w:t xml:space="preserve"> by the organisation where they will</w:t>
      </w:r>
      <w:bookmarkStart w:name="_Int_Gyz6YIqk" w:id="1366302873"/>
      <w:r w:rsidRPr="545238BC" w:rsidR="00A2126F">
        <w:rPr>
          <w:rFonts w:ascii="Arial Nova" w:hAnsi="Arial Nova" w:eastAsia="Arial Nova" w:cs="Arial Nova"/>
          <w:color w:val="auto"/>
          <w:sz w:val="22"/>
          <w:szCs w:val="22"/>
        </w:rPr>
        <w:t xml:space="preserve"> </w:t>
      </w:r>
      <w:bookmarkEnd w:id="1366302873"/>
      <w:r w:rsidRPr="545238BC" w:rsidR="00A2126F">
        <w:rPr>
          <w:rFonts w:ascii="Arial Nova" w:hAnsi="Arial Nova" w:eastAsia="Arial Nova" w:cs="Arial Nova"/>
          <w:color w:val="auto"/>
          <w:sz w:val="22"/>
          <w:szCs w:val="22"/>
        </w:rPr>
        <w:t>listen to the views and opinions of both the parties and the bodies and conclude to an agreement which can meet the goals of both the parties (</w:t>
      </w:r>
      <w:proofErr w:type="spellStart"/>
      <w:r w:rsidRPr="545238BC" w:rsidR="00A2126F">
        <w:rPr>
          <w:rFonts w:ascii="Arial Nova" w:hAnsi="Arial Nova" w:eastAsia="Arial Nova" w:cs="Arial Nova"/>
          <w:color w:val="auto"/>
          <w:sz w:val="22"/>
          <w:szCs w:val="22"/>
          <w:highlight w:val="white"/>
        </w:rPr>
        <w:t>Belkhouche</w:t>
      </w:r>
      <w:proofErr w:type="spellEnd"/>
      <w:r w:rsidRPr="545238BC" w:rsidR="00A2126F">
        <w:rPr>
          <w:rFonts w:ascii="Arial Nova" w:hAnsi="Arial Nova" w:eastAsia="Arial Nova" w:cs="Arial Nova"/>
          <w:color w:val="auto"/>
          <w:sz w:val="22"/>
          <w:szCs w:val="22"/>
          <w:highlight w:val="white"/>
        </w:rPr>
        <w:t>, 2018</w:t>
      </w:r>
      <w:r w:rsidRPr="545238BC" w:rsidR="00A2126F">
        <w:rPr>
          <w:rFonts w:ascii="Arial Nova" w:hAnsi="Arial Nova" w:eastAsia="Arial Nova" w:cs="Arial Nova"/>
          <w:color w:val="auto"/>
          <w:sz w:val="22"/>
          <w:szCs w:val="22"/>
        </w:rPr>
        <w:t xml:space="preserve">). Here the mutual agreement of both the parties takes place building their trust upon each other. Collaboration is found to be a great means which will lead to the development or relations and fosters teamwork in the resolution of the </w:t>
      </w:r>
      <w:bookmarkStart w:name="_Int_bZ1zkLan" w:id="2088633137"/>
      <w:r w:rsidRPr="545238BC" w:rsidR="00A2126F">
        <w:rPr>
          <w:rFonts w:ascii="Arial Nova" w:hAnsi="Arial Nova" w:eastAsia="Arial Nova" w:cs="Arial Nova"/>
          <w:color w:val="auto"/>
          <w:sz w:val="22"/>
          <w:szCs w:val="22"/>
        </w:rPr>
        <w:t>conflict</w:t>
      </w:r>
      <w:bookmarkEnd w:id="2088633137"/>
      <w:r w:rsidRPr="545238BC" w:rsidR="00A2126F">
        <w:rPr>
          <w:rFonts w:ascii="Arial Nova" w:hAnsi="Arial Nova" w:eastAsia="Arial Nova" w:cs="Arial Nova"/>
          <w:color w:val="auto"/>
          <w:sz w:val="22"/>
          <w:szCs w:val="22"/>
        </w:rPr>
        <w:t xml:space="preserve"> and it also promotes inclusivity at work which has been a factor leading to development (Johnson and Scholes, 2002).</w:t>
      </w:r>
    </w:p>
    <w:p xmlns:wp14="http://schemas.microsoft.com/office/word/2010/wordml" w:rsidRPr="00D654C0" w:rsidR="001B1A4E" w:rsidP="545238BC" w:rsidRDefault="00A2126F" w14:paraId="7006EDFB" wp14:textId="4F91F97C">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Compromising:</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color w:val="auto"/>
          <w:sz w:val="22"/>
          <w:szCs w:val="22"/>
        </w:rPr>
        <w:t xml:space="preserve">Applying this strategy here can conclude the situation into making a certain opinion and view of the other party to accept </w:t>
      </w:r>
      <w:bookmarkStart w:name="_Int_eIBt6Cci" w:id="1298616679"/>
      <w:proofErr w:type="gramStart"/>
      <w:r w:rsidRPr="545238BC" w:rsidR="00A2126F">
        <w:rPr>
          <w:rFonts w:ascii="Arial Nova" w:hAnsi="Arial Nova" w:eastAsia="Arial Nova" w:cs="Arial Nova"/>
          <w:color w:val="auto"/>
          <w:sz w:val="22"/>
          <w:szCs w:val="22"/>
        </w:rPr>
        <w:t>and also</w:t>
      </w:r>
      <w:proofErr w:type="gramEnd"/>
      <w:bookmarkEnd w:id="1298616679"/>
      <w:r w:rsidRPr="545238BC" w:rsidR="00A2126F">
        <w:rPr>
          <w:rFonts w:ascii="Arial Nova" w:hAnsi="Arial Nova" w:eastAsia="Arial Nova" w:cs="Arial Nova"/>
          <w:color w:val="auto"/>
          <w:sz w:val="22"/>
          <w:szCs w:val="22"/>
        </w:rPr>
        <w:t xml:space="preserve"> adding up a few of the views of the organisation to make stable agreements between both groups (</w:t>
      </w:r>
      <w:r w:rsidRPr="545238BC" w:rsidR="00A2126F">
        <w:rPr>
          <w:rFonts w:ascii="Arial Nova" w:hAnsi="Arial Nova" w:eastAsia="Arial Nova" w:cs="Arial Nova"/>
          <w:color w:val="auto"/>
          <w:sz w:val="22"/>
          <w:szCs w:val="22"/>
          <w:highlight w:val="white"/>
        </w:rPr>
        <w:t xml:space="preserve">Babel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2022</w:t>
      </w:r>
      <w:r w:rsidRPr="545238BC" w:rsidR="00A2126F">
        <w:rPr>
          <w:rFonts w:ascii="Arial Nova" w:hAnsi="Arial Nova" w:eastAsia="Arial Nova" w:cs="Arial Nova"/>
          <w:color w:val="auto"/>
          <w:sz w:val="22"/>
          <w:szCs w:val="22"/>
        </w:rPr>
        <w:t xml:space="preserve">). Here both the parties can have their views accepted by both the bodies by settling with an agreement. </w:t>
      </w:r>
    </w:p>
    <w:p xmlns:wp14="http://schemas.microsoft.com/office/word/2010/wordml" w:rsidRPr="00D654C0" w:rsidR="001B1A4E" w:rsidP="545238BC" w:rsidRDefault="00A2126F" w14:paraId="6B1B1017" wp14:textId="78B1616F">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These are the approaches or the strategy of the Thomas Kilman’s conflict resolution model which are </w:t>
      </w:r>
      <w:bookmarkStart w:name="_Int_8CKwN6Kf" w:id="1143300897"/>
      <w:r w:rsidRPr="545238BC" w:rsidR="00A2126F">
        <w:rPr>
          <w:rFonts w:ascii="Arial Nova" w:hAnsi="Arial Nova" w:eastAsia="Arial Nova" w:cs="Arial Nova"/>
          <w:color w:val="auto"/>
          <w:sz w:val="22"/>
          <w:szCs w:val="22"/>
        </w:rPr>
        <w:t>used</w:t>
      </w:r>
      <w:bookmarkEnd w:id="1143300897"/>
      <w:r w:rsidRPr="545238BC" w:rsidR="00A2126F">
        <w:rPr>
          <w:rFonts w:ascii="Arial Nova" w:hAnsi="Arial Nova" w:eastAsia="Arial Nova" w:cs="Arial Nova"/>
          <w:color w:val="auto"/>
          <w:sz w:val="22"/>
          <w:szCs w:val="22"/>
        </w:rPr>
        <w:t xml:space="preserve"> by organisations and the other bodies. This approach is </w:t>
      </w:r>
      <w:bookmarkStart w:name="_Int_VRM5m6Jp" w:id="484199093"/>
      <w:r w:rsidRPr="545238BC" w:rsidR="00A2126F">
        <w:rPr>
          <w:rFonts w:ascii="Arial Nova" w:hAnsi="Arial Nova" w:eastAsia="Arial Nova" w:cs="Arial Nova"/>
          <w:color w:val="auto"/>
          <w:sz w:val="22"/>
          <w:szCs w:val="22"/>
        </w:rPr>
        <w:t>used</w:t>
      </w:r>
      <w:bookmarkEnd w:id="484199093"/>
      <w:r w:rsidRPr="545238BC" w:rsidR="00A2126F">
        <w:rPr>
          <w:rFonts w:ascii="Arial Nova" w:hAnsi="Arial Nova" w:eastAsia="Arial Nova" w:cs="Arial Nova"/>
          <w:color w:val="auto"/>
          <w:sz w:val="22"/>
          <w:szCs w:val="22"/>
        </w:rPr>
        <w:t xml:space="preserve"> for settling the conflicts between both the organisations and parties. These approaches also have disadvantages of their own as it limits the view and motive of the organisation when used excessively by the organisation or the business body (Schell, 2019). </w:t>
      </w:r>
    </w:p>
    <w:p w:rsidR="00A2126F" w:rsidP="545238BC" w:rsidRDefault="00A2126F" w14:paraId="51F8B15D" w14:textId="3A22FFFE">
      <w:pPr>
        <w:rPr>
          <w:rFonts w:ascii="Arial Nova" w:hAnsi="Arial Nova" w:eastAsia="Arial Nova" w:cs="Arial Nova"/>
          <w:b w:val="1"/>
          <w:bCs w:val="1"/>
          <w:color w:val="00B0F0"/>
          <w:sz w:val="22"/>
          <w:szCs w:val="22"/>
        </w:rPr>
      </w:pPr>
      <w:r w:rsidRPr="545238BC" w:rsidR="00A2126F">
        <w:rPr>
          <w:rFonts w:ascii="Arial Nova" w:hAnsi="Arial Nova" w:eastAsia="Arial Nova" w:cs="Arial Nova"/>
          <w:b w:val="1"/>
          <w:bCs w:val="1"/>
          <w:color w:val="00B0F0"/>
          <w:sz w:val="22"/>
          <w:szCs w:val="22"/>
        </w:rPr>
        <w:t xml:space="preserve">Dispute resolution </w:t>
      </w:r>
    </w:p>
    <w:p w:rsidR="545238BC" w:rsidP="545238BC" w:rsidRDefault="545238BC" w14:paraId="1FB0B5FD" w14:textId="6FBDD1E5">
      <w:pPr>
        <w:pStyle w:val="Normal"/>
        <w:rPr>
          <w:rFonts w:ascii="Arial Nova" w:hAnsi="Arial Nova" w:eastAsia="Arial Nova" w:cs="Arial Nova"/>
          <w:b w:val="1"/>
          <w:bCs w:val="1"/>
          <w:color w:val="FF0000"/>
          <w:sz w:val="22"/>
          <w:szCs w:val="22"/>
        </w:rPr>
      </w:pPr>
      <w:r w:rsidRPr="545238BC" w:rsidR="545238BC">
        <w:rPr>
          <w:rFonts w:ascii="Arial Nova" w:hAnsi="Arial Nova" w:eastAsia="Arial Nova" w:cs="Arial Nova"/>
          <w:b w:val="1"/>
          <w:bCs w:val="1"/>
          <w:color w:val="FF0000"/>
          <w:sz w:val="22"/>
          <w:szCs w:val="22"/>
        </w:rPr>
        <w:t>Alternative Dispute Resolution (ADR)</w:t>
      </w:r>
    </w:p>
    <w:p xmlns:wp14="http://schemas.microsoft.com/office/word/2010/wordml" w:rsidRPr="00D654C0" w:rsidR="001B1A4E" w:rsidP="545238BC" w:rsidRDefault="00A2126F" w14:paraId="72986067" wp14:textId="7E2A3340">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dispute resolution is </w:t>
      </w:r>
      <w:bookmarkStart w:name="_Int_RBfdAmnb" w:id="1856984328"/>
      <w:r w:rsidRPr="545238BC" w:rsidR="00A2126F">
        <w:rPr>
          <w:rFonts w:ascii="Arial Nova" w:hAnsi="Arial Nova" w:eastAsia="Arial Nova" w:cs="Arial Nova"/>
          <w:color w:val="auto"/>
          <w:sz w:val="22"/>
          <w:szCs w:val="22"/>
        </w:rPr>
        <w:t>known</w:t>
      </w:r>
      <w:bookmarkEnd w:id="1856984328"/>
      <w:r w:rsidRPr="545238BC" w:rsidR="00A2126F">
        <w:rPr>
          <w:rFonts w:ascii="Arial Nova" w:hAnsi="Arial Nova" w:eastAsia="Arial Nova" w:cs="Arial Nova"/>
          <w:color w:val="auto"/>
          <w:sz w:val="22"/>
          <w:szCs w:val="22"/>
        </w:rPr>
        <w:t xml:space="preserve"> as the solution to the disputes or the issues which are caused within the organisation. The dispute resolution is also the solution to disputes or issues between the two parties without entering the wall of the court and hearing the judgement from the judge which could also increase the expenses of both the parties and take a lot of time and sources (</w:t>
      </w:r>
      <w:r w:rsidRPr="545238BC" w:rsidR="00A2126F">
        <w:rPr>
          <w:rFonts w:ascii="Arial Nova" w:hAnsi="Arial Nova" w:eastAsia="Arial Nova" w:cs="Arial Nova"/>
          <w:color w:val="auto"/>
          <w:sz w:val="22"/>
          <w:szCs w:val="22"/>
          <w:highlight w:val="white"/>
        </w:rPr>
        <w:t xml:space="preserve">Menkel-Meadow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2018</w:t>
      </w:r>
      <w:r w:rsidRPr="545238BC" w:rsidR="00A2126F">
        <w:rPr>
          <w:rFonts w:ascii="Arial Nova" w:hAnsi="Arial Nova" w:eastAsia="Arial Nova" w:cs="Arial Nova"/>
          <w:color w:val="auto"/>
          <w:sz w:val="22"/>
          <w:szCs w:val="22"/>
        </w:rPr>
        <w:t xml:space="preserve">). This is also used to end the conflict or disputes between the involved bodies with an agreement or any type of solution that could end the disputes. There are </w:t>
      </w:r>
      <w:bookmarkStart w:name="_Int_Ubhak5qU" w:id="803483580"/>
      <w:r w:rsidRPr="545238BC" w:rsidR="00A2126F">
        <w:rPr>
          <w:rFonts w:ascii="Arial Nova" w:hAnsi="Arial Nova" w:eastAsia="Arial Nova" w:cs="Arial Nova"/>
          <w:color w:val="auto"/>
          <w:sz w:val="22"/>
          <w:szCs w:val="22"/>
        </w:rPr>
        <w:t>four</w:t>
      </w:r>
      <w:bookmarkEnd w:id="803483580"/>
      <w:r w:rsidRPr="545238BC" w:rsidR="00A2126F">
        <w:rPr>
          <w:rFonts w:ascii="Arial Nova" w:hAnsi="Arial Nova" w:eastAsia="Arial Nova" w:cs="Arial Nova"/>
          <w:color w:val="auto"/>
          <w:sz w:val="22"/>
          <w:szCs w:val="22"/>
        </w:rPr>
        <w:t xml:space="preserve"> types of disputes resolution such as negotiation, mediation, </w:t>
      </w:r>
      <w:bookmarkStart w:name="_Int_ZtVgX5iv" w:id="1084316879"/>
      <w:r w:rsidRPr="545238BC" w:rsidR="00A2126F">
        <w:rPr>
          <w:rFonts w:ascii="Arial Nova" w:hAnsi="Arial Nova" w:eastAsia="Arial Nova" w:cs="Arial Nova"/>
          <w:color w:val="auto"/>
          <w:sz w:val="22"/>
          <w:szCs w:val="22"/>
        </w:rPr>
        <w:t>arbitration,</w:t>
      </w:r>
      <w:bookmarkEnd w:id="1084316879"/>
      <w:r w:rsidRPr="545238BC" w:rsidR="00A2126F">
        <w:rPr>
          <w:rFonts w:ascii="Arial Nova" w:hAnsi="Arial Nova" w:eastAsia="Arial Nova" w:cs="Arial Nova"/>
          <w:color w:val="auto"/>
          <w:sz w:val="22"/>
          <w:szCs w:val="22"/>
        </w:rPr>
        <w:t xml:space="preserve"> and litigation (Mills, 1988). Via the use of these four strategies, one </w:t>
      </w:r>
      <w:bookmarkStart w:name="_Int_m8xxIAkN" w:id="1627480673"/>
      <w:r w:rsidRPr="545238BC" w:rsidR="00A2126F">
        <w:rPr>
          <w:rFonts w:ascii="Arial Nova" w:hAnsi="Arial Nova" w:eastAsia="Arial Nova" w:cs="Arial Nova"/>
          <w:color w:val="auto"/>
          <w:sz w:val="22"/>
          <w:szCs w:val="22"/>
        </w:rPr>
        <w:t>can</w:t>
      </w:r>
      <w:bookmarkEnd w:id="1627480673"/>
      <w:r w:rsidRPr="545238BC" w:rsidR="00A2126F">
        <w:rPr>
          <w:rFonts w:ascii="Arial Nova" w:hAnsi="Arial Nova" w:eastAsia="Arial Nova" w:cs="Arial Nova"/>
          <w:color w:val="auto"/>
          <w:sz w:val="22"/>
          <w:szCs w:val="22"/>
        </w:rPr>
        <w:t xml:space="preserve"> resolve the dispute in an effective manner which will be briefly discussed below:</w:t>
      </w:r>
    </w:p>
    <w:p xmlns:wp14="http://schemas.microsoft.com/office/word/2010/wordml" w:rsidRPr="00D654C0" w:rsidR="001B1A4E" w:rsidP="545238BC" w:rsidRDefault="00A2126F" w14:paraId="4ED027F0" wp14:textId="1786B3FC">
      <w:pPr>
        <w:pStyle w:val="Normal"/>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Negotiation:</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b w:val="0"/>
          <w:bCs w:val="0"/>
          <w:color w:val="auto"/>
          <w:sz w:val="22"/>
          <w:szCs w:val="22"/>
        </w:rPr>
        <w:t>H</w:t>
      </w:r>
      <w:r w:rsidRPr="545238BC" w:rsidR="00A2126F">
        <w:rPr>
          <w:rFonts w:ascii="Arial Nova" w:hAnsi="Arial Nova" w:eastAsia="Arial Nova" w:cs="Arial Nova"/>
          <w:b w:val="0"/>
          <w:bCs w:val="0"/>
          <w:color w:val="auto"/>
          <w:sz w:val="22"/>
          <w:szCs w:val="22"/>
        </w:rPr>
        <w:t>ere both the parties should first listen and view both their opinions and understandings (</w:t>
      </w:r>
      <w:r w:rsidRPr="545238BC" w:rsidR="00A2126F">
        <w:rPr>
          <w:rFonts w:ascii="Arial Nova" w:hAnsi="Arial Nova" w:eastAsia="Arial Nova" w:cs="Arial Nova"/>
          <w:color w:val="auto"/>
          <w:sz w:val="22"/>
          <w:szCs w:val="22"/>
          <w:highlight w:val="white"/>
        </w:rPr>
        <w:t xml:space="preserve">Mejía-Arauz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2018</w:t>
      </w:r>
      <w:r w:rsidRPr="545238BC" w:rsidR="00A2126F">
        <w:rPr>
          <w:rFonts w:ascii="Arial Nova" w:hAnsi="Arial Nova" w:eastAsia="Arial Nova" w:cs="Arial Nova"/>
          <w:color w:val="auto"/>
          <w:sz w:val="22"/>
          <w:szCs w:val="22"/>
        </w:rPr>
        <w:t xml:space="preserve">). This way both the parties can </w:t>
      </w:r>
      <w:bookmarkStart w:name="_Int_5QrV2Ccu" w:id="1388846866"/>
      <w:r w:rsidRPr="545238BC" w:rsidR="00A2126F">
        <w:rPr>
          <w:rFonts w:ascii="Arial Nova" w:hAnsi="Arial Nova" w:eastAsia="Arial Nova" w:cs="Arial Nova"/>
          <w:color w:val="auto"/>
          <w:sz w:val="22"/>
          <w:szCs w:val="22"/>
        </w:rPr>
        <w:t>conclude</w:t>
      </w:r>
      <w:bookmarkEnd w:id="1388846866"/>
      <w:r w:rsidRPr="545238BC" w:rsidR="00A2126F">
        <w:rPr>
          <w:rFonts w:ascii="Arial Nova" w:hAnsi="Arial Nova" w:eastAsia="Arial Nova" w:cs="Arial Nova"/>
          <w:color w:val="auto"/>
          <w:sz w:val="22"/>
          <w:szCs w:val="22"/>
        </w:rPr>
        <w:t xml:space="preserve"> and settle their disputes via an agreement which both the parties and bodies can agree to. This is the first step of dispute </w:t>
      </w:r>
      <w:bookmarkStart w:name="_Int_ahXDOzOi" w:id="599949810"/>
      <w:r w:rsidRPr="545238BC" w:rsidR="00A2126F">
        <w:rPr>
          <w:rFonts w:ascii="Arial Nova" w:hAnsi="Arial Nova" w:eastAsia="Arial Nova" w:cs="Arial Nova"/>
          <w:color w:val="auto"/>
          <w:sz w:val="22"/>
          <w:szCs w:val="22"/>
        </w:rPr>
        <w:t>resolution</w:t>
      </w:r>
      <w:bookmarkEnd w:id="599949810"/>
      <w:r w:rsidRPr="545238BC" w:rsidR="00A2126F">
        <w:rPr>
          <w:rFonts w:ascii="Arial Nova" w:hAnsi="Arial Nova" w:eastAsia="Arial Nova" w:cs="Arial Nova"/>
          <w:color w:val="auto"/>
          <w:sz w:val="22"/>
          <w:szCs w:val="22"/>
        </w:rPr>
        <w:t xml:space="preserve"> and it works very effectively most of the time when resolving issues or disputes. </w:t>
      </w:r>
    </w:p>
    <w:p xmlns:wp14="http://schemas.microsoft.com/office/word/2010/wordml" w:rsidRPr="00D654C0" w:rsidR="001B1A4E" w:rsidP="545238BC" w:rsidRDefault="00A2126F" w14:paraId="521EFD1B" wp14:textId="0786CB69">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Mediation:</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color w:val="auto"/>
          <w:sz w:val="22"/>
          <w:szCs w:val="22"/>
        </w:rPr>
        <w:t xml:space="preserve"> The organisation and the other party or body should first come together and listen to every opinion or problem of both the parties and the bodies. Here there is a third party involved who is neutral and listens to every issue or the view of the both the parties (</w:t>
      </w:r>
      <w:r w:rsidRPr="545238BC" w:rsidR="00A2126F">
        <w:rPr>
          <w:rFonts w:ascii="Arial Nova" w:hAnsi="Arial Nova" w:eastAsia="Arial Nova" w:cs="Arial Nova"/>
          <w:color w:val="auto"/>
          <w:sz w:val="22"/>
          <w:szCs w:val="22"/>
          <w:highlight w:val="white"/>
        </w:rPr>
        <w:t>Huber, 2020</w:t>
      </w:r>
      <w:r w:rsidRPr="545238BC" w:rsidR="00A2126F">
        <w:rPr>
          <w:rFonts w:ascii="Arial Nova" w:hAnsi="Arial Nova" w:eastAsia="Arial Nova" w:cs="Arial Nova"/>
          <w:color w:val="auto"/>
          <w:sz w:val="22"/>
          <w:szCs w:val="22"/>
        </w:rPr>
        <w:t xml:space="preserve">). After the issues are discussed </w:t>
      </w:r>
      <w:r w:rsidRPr="545238BC" w:rsidR="00A2126F">
        <w:rPr>
          <w:rFonts w:ascii="Arial Nova" w:hAnsi="Arial Nova" w:eastAsia="Arial Nova" w:cs="Arial Nova"/>
          <w:color w:val="auto"/>
          <w:sz w:val="22"/>
          <w:szCs w:val="22"/>
        </w:rPr>
        <w:t>then the</w:t>
      </w:r>
      <w:r w:rsidRPr="545238BC" w:rsidR="00A2126F">
        <w:rPr>
          <w:rFonts w:ascii="Arial Nova" w:hAnsi="Arial Nova" w:eastAsia="Arial Nova" w:cs="Arial Nova"/>
          <w:color w:val="auto"/>
          <w:sz w:val="22"/>
          <w:szCs w:val="22"/>
        </w:rPr>
        <w:t xml:space="preserve"> neutral body decides an agreement which fulfils the motive and the view of both the parties and therefore sets an agreement between both the bodies. </w:t>
      </w:r>
    </w:p>
    <w:p xmlns:wp14="http://schemas.microsoft.com/office/word/2010/wordml" w:rsidRPr="00D654C0" w:rsidR="001B1A4E" w:rsidP="545238BC" w:rsidRDefault="00A2126F" w14:paraId="003F3559" wp14:textId="5E24D14C">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Arbitration:</w:t>
      </w:r>
      <w:r w:rsidRPr="545238BC" w:rsidR="00A2126F">
        <w:rPr>
          <w:rFonts w:ascii="Arial Nova" w:hAnsi="Arial Nova" w:eastAsia="Arial Nova" w:cs="Arial Nova"/>
          <w:b w:val="1"/>
          <w:bCs w:val="1"/>
          <w:color w:val="auto"/>
          <w:sz w:val="22"/>
          <w:szCs w:val="22"/>
        </w:rPr>
        <w:t xml:space="preserve"> T</w:t>
      </w:r>
      <w:r w:rsidRPr="545238BC" w:rsidR="00A2126F">
        <w:rPr>
          <w:rFonts w:ascii="Arial Nova" w:hAnsi="Arial Nova" w:eastAsia="Arial Nova" w:cs="Arial Nova"/>
          <w:color w:val="auto"/>
          <w:sz w:val="22"/>
          <w:szCs w:val="22"/>
        </w:rPr>
        <w:t>he arbitration is also basically known as the agreement made through by listening to both the issues between the both the bodies</w:t>
      </w:r>
      <w:r w:rsidRPr="545238BC" w:rsidR="00A2126F">
        <w:rPr>
          <w:rFonts w:ascii="Arial Nova" w:hAnsi="Arial Nova" w:eastAsia="Arial Nova" w:cs="Arial Nova"/>
          <w:color w:val="auto"/>
          <w:sz w:val="22"/>
          <w:szCs w:val="22"/>
        </w:rPr>
        <w:t xml:space="preserve">. The arbitration is </w:t>
      </w:r>
      <w:bookmarkStart w:name="_Int_tFh5Rood" w:id="1948301622"/>
      <w:r w:rsidRPr="545238BC" w:rsidR="00A2126F">
        <w:rPr>
          <w:rFonts w:ascii="Arial Nova" w:hAnsi="Arial Nova" w:eastAsia="Arial Nova" w:cs="Arial Nova"/>
          <w:color w:val="auto"/>
          <w:sz w:val="22"/>
          <w:szCs w:val="22"/>
        </w:rPr>
        <w:t>unbelievably</w:t>
      </w:r>
      <w:bookmarkStart w:name="_Int_jcGZBxOV" w:id="1038946074"/>
      <w:bookmarkEnd w:id="1948301622"/>
      <w:r w:rsidRPr="545238BC" w:rsidR="00A2126F">
        <w:rPr>
          <w:rFonts w:ascii="Arial Nova" w:hAnsi="Arial Nova" w:eastAsia="Arial Nova" w:cs="Arial Nova"/>
          <w:color w:val="auto"/>
          <w:sz w:val="22"/>
          <w:szCs w:val="22"/>
        </w:rPr>
        <w:t xml:space="preserve"> cheap</w:t>
      </w:r>
      <w:bookmarkEnd w:id="1038946074"/>
      <w:r w:rsidRPr="545238BC" w:rsidR="00A2126F">
        <w:rPr>
          <w:rFonts w:ascii="Arial Nova" w:hAnsi="Arial Nova" w:eastAsia="Arial Nova" w:cs="Arial Nova"/>
          <w:color w:val="auto"/>
          <w:sz w:val="22"/>
          <w:szCs w:val="22"/>
        </w:rPr>
        <w:t xml:space="preserve"> compared to Court costs </w:t>
      </w:r>
      <w:bookmarkStart w:name="_Int_eZkwdqzE" w:id="2064344631"/>
      <w:r w:rsidRPr="545238BC" w:rsidR="00A2126F">
        <w:rPr>
          <w:rFonts w:ascii="Arial Nova" w:hAnsi="Arial Nova" w:eastAsia="Arial Nova" w:cs="Arial Nova"/>
          <w:color w:val="auto"/>
          <w:sz w:val="22"/>
          <w:szCs w:val="22"/>
        </w:rPr>
        <w:t>and</w:t>
      </w:r>
      <w:bookmarkEnd w:id="2064344631"/>
      <w:r w:rsidRPr="545238BC" w:rsidR="00A2126F">
        <w:rPr>
          <w:rFonts w:ascii="Arial Nova" w:hAnsi="Arial Nova" w:eastAsia="Arial Nova" w:cs="Arial Nova"/>
          <w:color w:val="auto"/>
          <w:sz w:val="22"/>
          <w:szCs w:val="22"/>
        </w:rPr>
        <w:t xml:space="preserve"> is faster than the court in decision making or solving the issues (Born, 2021). </w:t>
      </w:r>
    </w:p>
    <w:p w:rsidR="00A2126F" w:rsidP="545238BC" w:rsidRDefault="00A2126F" w14:paraId="39F2A30B" w14:textId="0661732D">
      <w:pPr>
        <w:rPr>
          <w:rFonts w:ascii="Arial Nova" w:hAnsi="Arial Nova" w:eastAsia="Arial Nova" w:cs="Arial Nova"/>
          <w:color w:val="auto"/>
          <w:sz w:val="22"/>
          <w:szCs w:val="22"/>
        </w:rPr>
      </w:pPr>
      <w:r w:rsidRPr="545238BC" w:rsidR="00A2126F">
        <w:rPr>
          <w:rFonts w:ascii="Arial Nova" w:hAnsi="Arial Nova" w:eastAsia="Arial Nova" w:cs="Arial Nova"/>
          <w:b w:val="1"/>
          <w:bCs w:val="1"/>
          <w:color w:val="FF0000"/>
          <w:sz w:val="22"/>
          <w:szCs w:val="22"/>
        </w:rPr>
        <w:t>Litigation:</w:t>
      </w:r>
      <w:r w:rsidRPr="545238BC" w:rsidR="00A2126F">
        <w:rPr>
          <w:rFonts w:ascii="Arial Nova" w:hAnsi="Arial Nova" w:eastAsia="Arial Nova" w:cs="Arial Nova"/>
          <w:b w:val="1"/>
          <w:bCs w:val="1"/>
          <w:color w:val="auto"/>
          <w:sz w:val="22"/>
          <w:szCs w:val="22"/>
        </w:rPr>
        <w:t xml:space="preserve"> </w:t>
      </w:r>
      <w:r w:rsidRPr="545238BC" w:rsidR="00A2126F">
        <w:rPr>
          <w:rFonts w:ascii="Arial Nova" w:hAnsi="Arial Nova" w:eastAsia="Arial Nova" w:cs="Arial Nova"/>
          <w:color w:val="auto"/>
          <w:sz w:val="22"/>
          <w:szCs w:val="22"/>
        </w:rPr>
        <w:t xml:space="preserve"> A</w:t>
      </w:r>
      <w:r w:rsidRPr="545238BC" w:rsidR="00A2126F">
        <w:rPr>
          <w:rFonts w:ascii="Arial Nova" w:hAnsi="Arial Nova" w:eastAsia="Arial Nova" w:cs="Arial Nova"/>
          <w:color w:val="auto"/>
          <w:sz w:val="22"/>
          <w:szCs w:val="22"/>
        </w:rPr>
        <w:t>s the two bodies that are in dispute and are looking for a solution take matters to the court for solving the issues (</w:t>
      </w:r>
      <w:r w:rsidRPr="545238BC" w:rsidR="00A2126F">
        <w:rPr>
          <w:rFonts w:ascii="Arial Nova" w:hAnsi="Arial Nova" w:eastAsia="Arial Nova" w:cs="Arial Nova"/>
          <w:color w:val="auto"/>
          <w:sz w:val="22"/>
          <w:szCs w:val="22"/>
          <w:highlight w:val="white"/>
        </w:rPr>
        <w:t>Menkel-Meadow, 2021</w:t>
      </w:r>
      <w:r w:rsidRPr="545238BC" w:rsidR="00A2126F">
        <w:rPr>
          <w:rFonts w:ascii="Arial Nova" w:hAnsi="Arial Nova" w:eastAsia="Arial Nova" w:cs="Arial Nova"/>
          <w:color w:val="auto"/>
          <w:sz w:val="22"/>
          <w:szCs w:val="22"/>
        </w:rPr>
        <w:t xml:space="preserve">). Here litigation </w:t>
      </w:r>
      <w:bookmarkStart w:name="_Int_osXbSgr7" w:id="98943567"/>
      <w:r w:rsidRPr="545238BC" w:rsidR="00A2126F">
        <w:rPr>
          <w:rFonts w:ascii="Arial Nova" w:hAnsi="Arial Nova" w:eastAsia="Arial Nova" w:cs="Arial Nova"/>
          <w:color w:val="auto"/>
          <w:sz w:val="22"/>
          <w:szCs w:val="22"/>
        </w:rPr>
        <w:t>refers</w:t>
      </w:r>
      <w:bookmarkEnd w:id="98943567"/>
      <w:r w:rsidRPr="545238BC" w:rsidR="00A2126F">
        <w:rPr>
          <w:rFonts w:ascii="Arial Nova" w:hAnsi="Arial Nova" w:eastAsia="Arial Nova" w:cs="Arial Nova"/>
          <w:color w:val="auto"/>
          <w:sz w:val="22"/>
          <w:szCs w:val="22"/>
        </w:rPr>
        <w:t xml:space="preserve"> to legal procedures which are taken into consideration between the two parties and therefore the Court passes the judgement and resolve the dispute between both the bodies. </w:t>
      </w:r>
    </w:p>
    <w:p w:rsidR="545238BC" w:rsidP="545238BC" w:rsidRDefault="545238BC" w14:paraId="52ECAD08" w14:textId="29C2122A">
      <w:pPr>
        <w:pStyle w:val="Normal"/>
        <w:rPr>
          <w:rFonts w:ascii="Arial Nova" w:hAnsi="Arial Nova" w:eastAsia="Arial Nova" w:cs="Arial Nova"/>
          <w:b w:val="1"/>
          <w:bCs w:val="1"/>
          <w:color w:val="00B0F0"/>
          <w:sz w:val="22"/>
          <w:szCs w:val="22"/>
          <w:u w:val="single"/>
        </w:rPr>
      </w:pPr>
      <w:r w:rsidRPr="545238BC" w:rsidR="545238BC">
        <w:rPr>
          <w:rFonts w:ascii="Arial Nova" w:hAnsi="Arial Nova" w:eastAsia="Arial Nova" w:cs="Arial Nova"/>
          <w:b w:val="1"/>
          <w:bCs w:val="1"/>
          <w:color w:val="00B0F0"/>
          <w:sz w:val="24"/>
          <w:szCs w:val="24"/>
          <w:u w:val="single"/>
        </w:rPr>
        <w:t>Recommendations</w:t>
      </w:r>
    </w:p>
    <w:p xmlns:wp14="http://schemas.microsoft.com/office/word/2010/wordml" w:rsidRPr="00D654C0" w:rsidR="001B1A4E" w:rsidP="545238BC" w:rsidRDefault="00A2126F" w14:paraId="3B0FDA38" wp14:textId="7BAD874F">
      <w:pPr>
        <w:pBdr>
          <w:top w:val="nil"/>
          <w:left w:val="nil"/>
          <w:bottom w:val="nil"/>
          <w:right w:val="nil"/>
          <w:between w:val="nil"/>
        </w:pBdr>
        <w:rPr>
          <w:rFonts w:ascii="Arial Nova" w:hAnsi="Arial Nova" w:eastAsia="Arial Nova" w:cs="Arial Nova"/>
          <w:color w:val="auto"/>
          <w:sz w:val="22"/>
          <w:szCs w:val="22"/>
        </w:rPr>
      </w:pPr>
      <w:bookmarkStart w:name="_heading=h.3j2qqm3" w:id="24"/>
      <w:bookmarkEnd w:id="24"/>
      <w:r w:rsidRPr="545238BC" w:rsidR="00A2126F">
        <w:rPr>
          <w:rFonts w:ascii="Arial Nova" w:hAnsi="Arial Nova" w:eastAsia="Arial Nova" w:cs="Arial Nova"/>
          <w:color w:val="auto"/>
          <w:sz w:val="22"/>
          <w:szCs w:val="22"/>
        </w:rPr>
        <w:t xml:space="preserve">The 114-Crown Post Office management can use two styles from Thomas Kilman's conflict Management model, two steps where it deals with two dimensions for solving the issues or the conflict between the said </w:t>
      </w:r>
      <w:r w:rsidRPr="545238BC" w:rsidR="00A2126F">
        <w:rPr>
          <w:rFonts w:ascii="Arial Nova" w:hAnsi="Arial Nova" w:eastAsia="Arial Nova" w:cs="Arial Nova"/>
          <w:color w:val="auto"/>
          <w:sz w:val="22"/>
          <w:szCs w:val="22"/>
        </w:rPr>
        <w:t xml:space="preserve">parties. These two styles are: </w:t>
      </w:r>
      <w:r w:rsidRPr="545238BC" w:rsidR="00A2126F">
        <w:rPr>
          <w:rFonts w:ascii="Arial Nova" w:hAnsi="Arial Nova" w:eastAsia="Arial Nova" w:cs="Arial Nova"/>
          <w:b w:val="1"/>
          <w:bCs w:val="1"/>
          <w:color w:val="auto"/>
          <w:sz w:val="22"/>
          <w:szCs w:val="22"/>
        </w:rPr>
        <w:t xml:space="preserve">Collaboration </w:t>
      </w:r>
      <w:r w:rsidRPr="545238BC" w:rsidR="00A2126F">
        <w:rPr>
          <w:rFonts w:ascii="Arial Nova" w:hAnsi="Arial Nova" w:eastAsia="Arial Nova" w:cs="Arial Nova"/>
          <w:b w:val="0"/>
          <w:bCs w:val="0"/>
          <w:color w:val="auto"/>
          <w:sz w:val="22"/>
          <w:szCs w:val="22"/>
        </w:rPr>
        <w:t>and</w:t>
      </w:r>
      <w:r w:rsidRPr="545238BC" w:rsidR="00A2126F">
        <w:rPr>
          <w:rFonts w:ascii="Arial Nova" w:hAnsi="Arial Nova" w:eastAsia="Arial Nova" w:cs="Arial Nova"/>
          <w:b w:val="1"/>
          <w:bCs w:val="1"/>
          <w:color w:val="auto"/>
          <w:sz w:val="22"/>
          <w:szCs w:val="22"/>
        </w:rPr>
        <w:t xml:space="preserve"> Compromise</w:t>
      </w:r>
      <w:r w:rsidRPr="545238BC" w:rsidR="00A2126F">
        <w:rPr>
          <w:rFonts w:ascii="Arial Nova" w:hAnsi="Arial Nova" w:eastAsia="Arial Nova" w:cs="Arial Nova"/>
          <w:color w:val="auto"/>
          <w:sz w:val="22"/>
          <w:szCs w:val="22"/>
        </w:rPr>
        <w:t xml:space="preserve">. </w:t>
      </w:r>
    </w:p>
    <w:p xmlns:wp14="http://schemas.microsoft.com/office/word/2010/wordml" w:rsidRPr="00D654C0" w:rsidR="001B1A4E" w:rsidP="545238BC" w:rsidRDefault="00A2126F" w14:paraId="52E15A4F" wp14:textId="6A3E99C4">
      <w:pPr>
        <w:pBdr>
          <w:top w:val="nil"/>
          <w:left w:val="nil"/>
          <w:bottom w:val="nil"/>
          <w:right w:val="nil"/>
          <w:between w:val="nil"/>
        </w:pBd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Here the</w:t>
      </w:r>
      <w:r w:rsidRPr="545238BC" w:rsidR="00A2126F">
        <w:rPr>
          <w:rFonts w:ascii="Arial Nova" w:hAnsi="Arial Nova" w:eastAsia="Arial Nova" w:cs="Arial Nova"/>
          <w:b w:val="1"/>
          <w:bCs w:val="1"/>
          <w:color w:val="auto"/>
          <w:sz w:val="22"/>
          <w:szCs w:val="22"/>
        </w:rPr>
        <w:t xml:space="preserve"> Collaboration</w:t>
      </w:r>
      <w:r w:rsidRPr="545238BC" w:rsidR="00A2126F">
        <w:rPr>
          <w:rFonts w:ascii="Arial Nova" w:hAnsi="Arial Nova" w:eastAsia="Arial Nova" w:cs="Arial Nova"/>
          <w:color w:val="auto"/>
          <w:sz w:val="22"/>
          <w:szCs w:val="22"/>
        </w:rPr>
        <w:t xml:space="preserve"> style </w:t>
      </w:r>
      <w:bookmarkStart w:name="_Int_eiuCylT8" w:id="253964217"/>
      <w:r w:rsidRPr="545238BC" w:rsidR="00A2126F">
        <w:rPr>
          <w:rFonts w:ascii="Arial Nova" w:hAnsi="Arial Nova" w:eastAsia="Arial Nova" w:cs="Arial Nova"/>
          <w:color w:val="auto"/>
          <w:sz w:val="22"/>
          <w:szCs w:val="22"/>
        </w:rPr>
        <w:t>helps</w:t>
      </w:r>
      <w:bookmarkEnd w:id="253964217"/>
      <w:r w:rsidRPr="545238BC" w:rsidR="00A2126F">
        <w:rPr>
          <w:rFonts w:ascii="Arial Nova" w:hAnsi="Arial Nova" w:eastAsia="Arial Nova" w:cs="Arial Nova"/>
          <w:color w:val="auto"/>
          <w:sz w:val="22"/>
          <w:szCs w:val="22"/>
        </w:rPr>
        <w:t xml:space="preserve"> both the parties to express their emotions </w:t>
      </w:r>
      <w:bookmarkStart w:name="_Int_0Av3yvfn" w:id="1168689321"/>
      <w:r w:rsidRPr="545238BC" w:rsidR="00A2126F">
        <w:rPr>
          <w:rFonts w:ascii="Arial Nova" w:hAnsi="Arial Nova" w:eastAsia="Arial Nova" w:cs="Arial Nova"/>
          <w:color w:val="auto"/>
          <w:sz w:val="22"/>
          <w:szCs w:val="22"/>
        </w:rPr>
        <w:t>and</w:t>
      </w:r>
      <w:bookmarkEnd w:id="1168689321"/>
      <w:r w:rsidRPr="545238BC" w:rsidR="00A2126F">
        <w:rPr>
          <w:rFonts w:ascii="Arial Nova" w:hAnsi="Arial Nova" w:eastAsia="Arial Nova" w:cs="Arial Nova"/>
          <w:color w:val="auto"/>
          <w:sz w:val="22"/>
          <w:szCs w:val="22"/>
        </w:rPr>
        <w:t xml:space="preserve"> to achieve their goal in a mutual manner (</w:t>
      </w:r>
      <w:proofErr w:type="spellStart"/>
      <w:r w:rsidRPr="545238BC" w:rsidR="00A2126F">
        <w:rPr>
          <w:rFonts w:ascii="Arial Nova" w:hAnsi="Arial Nova" w:eastAsia="Arial Nova" w:cs="Arial Nova"/>
          <w:color w:val="auto"/>
          <w:sz w:val="22"/>
          <w:szCs w:val="22"/>
          <w:highlight w:val="white"/>
        </w:rPr>
        <w:t>Parmaksiz</w:t>
      </w:r>
      <w:proofErr w:type="spellEnd"/>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xml:space="preserve">), as both parties will talk and come to a collective mutual agreement </w:t>
      </w:r>
      <w:r w:rsidRPr="545238BC" w:rsidR="00A2126F">
        <w:rPr>
          <w:rFonts w:ascii="Arial Nova" w:hAnsi="Arial Nova" w:eastAsia="Arial Nova" w:cs="Arial Nova"/>
          <w:color w:val="auto"/>
          <w:sz w:val="22"/>
          <w:szCs w:val="22"/>
        </w:rPr>
        <w:t>benefiting</w:t>
      </w:r>
      <w:r w:rsidRPr="545238BC" w:rsidR="00A2126F">
        <w:rPr>
          <w:rFonts w:ascii="Arial Nova" w:hAnsi="Arial Nova" w:eastAsia="Arial Nova" w:cs="Arial Nova"/>
          <w:color w:val="auto"/>
          <w:sz w:val="22"/>
          <w:szCs w:val="22"/>
        </w:rPr>
        <w:t xml:space="preserve"> them both. Also, this style will foster good teamwork spirit and trust between both parties as </w:t>
      </w:r>
      <w:r w:rsidRPr="545238BC" w:rsidR="00A2126F">
        <w:rPr>
          <w:rFonts w:ascii="Arial Nova" w:hAnsi="Arial Nova" w:eastAsia="Arial Nova" w:cs="Arial Nova"/>
          <w:color w:val="auto"/>
          <w:sz w:val="22"/>
          <w:szCs w:val="22"/>
        </w:rPr>
        <w:t>well</w:t>
      </w:r>
      <w:r w:rsidRPr="545238BC" w:rsidR="00A2126F">
        <w:rPr>
          <w:rFonts w:ascii="Arial Nova" w:hAnsi="Arial Nova" w:eastAsia="Arial Nova" w:cs="Arial Nova"/>
          <w:color w:val="auto"/>
          <w:sz w:val="22"/>
          <w:szCs w:val="22"/>
        </w:rPr>
        <w:t xml:space="preserve"> as promote inclusivity at work (Johnson and Scholes, 2002). The </w:t>
      </w:r>
      <w:r w:rsidRPr="545238BC" w:rsidR="00A2126F">
        <w:rPr>
          <w:rFonts w:ascii="Arial Nova" w:hAnsi="Arial Nova" w:eastAsia="Arial Nova" w:cs="Arial Nova"/>
          <w:b w:val="1"/>
          <w:bCs w:val="1"/>
          <w:color w:val="auto"/>
          <w:sz w:val="22"/>
          <w:szCs w:val="22"/>
        </w:rPr>
        <w:t>Compromising</w:t>
      </w:r>
      <w:r w:rsidRPr="545238BC" w:rsidR="00A2126F">
        <w:rPr>
          <w:rFonts w:ascii="Arial Nova" w:hAnsi="Arial Nova" w:eastAsia="Arial Nova" w:cs="Arial Nova"/>
          <w:color w:val="auto"/>
          <w:sz w:val="22"/>
          <w:szCs w:val="22"/>
        </w:rPr>
        <w:t xml:space="preserve"> style will also help the parties to achieve their goal by having a stable agreement in place that benefits both parties as both their views have been addressed to decree agreement (Babel </w:t>
      </w:r>
      <w:r w:rsidRPr="545238BC" w:rsidR="00A2126F">
        <w:rPr>
          <w:rFonts w:ascii="Arial Nova" w:hAnsi="Arial Nova" w:eastAsia="Arial Nova" w:cs="Arial Nova"/>
          <w:i w:val="1"/>
          <w:iCs w:val="1"/>
          <w:color w:val="auto"/>
          <w:sz w:val="22"/>
          <w:szCs w:val="22"/>
        </w:rPr>
        <w:t xml:space="preserve">et al., 2022). </w:t>
      </w:r>
      <w:r w:rsidRPr="545238BC" w:rsidR="00A2126F">
        <w:rPr>
          <w:rFonts w:ascii="Arial Nova" w:hAnsi="Arial Nova" w:eastAsia="Arial Nova" w:cs="Arial Nova"/>
          <w:color w:val="auto"/>
          <w:sz w:val="22"/>
          <w:szCs w:val="22"/>
        </w:rPr>
        <w:t xml:space="preserve">The positive point for both the styles recommended is that it will be </w:t>
      </w:r>
      <w:bookmarkStart w:name="_Int_yPodEwj7" w:id="571127077"/>
      <w:r w:rsidRPr="545238BC" w:rsidR="00A2126F">
        <w:rPr>
          <w:rFonts w:ascii="Arial Nova" w:hAnsi="Arial Nova" w:eastAsia="Arial Nova" w:cs="Arial Nova"/>
          <w:color w:val="auto"/>
          <w:sz w:val="22"/>
          <w:szCs w:val="22"/>
        </w:rPr>
        <w:t>a solution where everyone benefits</w:t>
      </w:r>
      <w:bookmarkEnd w:id="571127077"/>
      <w:r w:rsidRPr="545238BC" w:rsidR="00A2126F">
        <w:rPr>
          <w:rFonts w:ascii="Arial Nova" w:hAnsi="Arial Nova" w:eastAsia="Arial Nova" w:cs="Arial Nova"/>
          <w:color w:val="auto"/>
          <w:sz w:val="22"/>
          <w:szCs w:val="22"/>
        </w:rPr>
        <w:t xml:space="preserve"> (</w:t>
      </w:r>
      <w:r w:rsidRPr="545238BC" w:rsidR="00A2126F">
        <w:rPr>
          <w:rFonts w:ascii="Arial Nova" w:hAnsi="Arial Nova" w:eastAsia="Arial Nova" w:cs="Arial Nova"/>
          <w:color w:val="auto"/>
          <w:sz w:val="22"/>
          <w:szCs w:val="22"/>
          <w:highlight w:val="white"/>
        </w:rPr>
        <w:t xml:space="preserve">Boele </w:t>
      </w:r>
      <w:r w:rsidRPr="545238BC" w:rsidR="00A2126F">
        <w:rPr>
          <w:rFonts w:ascii="Arial Nova" w:hAnsi="Arial Nova" w:eastAsia="Arial Nova" w:cs="Arial Nova"/>
          <w:i w:val="1"/>
          <w:iCs w:val="1"/>
          <w:color w:val="auto"/>
          <w:sz w:val="22"/>
          <w:szCs w:val="22"/>
          <w:highlight w:val="white"/>
        </w:rPr>
        <w:t>et al</w:t>
      </w:r>
      <w:r w:rsidRPr="545238BC" w:rsidR="00A2126F">
        <w:rPr>
          <w:rFonts w:ascii="Arial Nova" w:hAnsi="Arial Nova" w:eastAsia="Arial Nova" w:cs="Arial Nova"/>
          <w:color w:val="auto"/>
          <w:sz w:val="22"/>
          <w:szCs w:val="22"/>
          <w:highlight w:val="white"/>
        </w:rPr>
        <w:t>., 2019</w:t>
      </w:r>
      <w:r w:rsidRPr="545238BC" w:rsidR="00A2126F">
        <w:rPr>
          <w:rFonts w:ascii="Arial Nova" w:hAnsi="Arial Nova" w:eastAsia="Arial Nova" w:cs="Arial Nova"/>
          <w:color w:val="auto"/>
          <w:sz w:val="22"/>
          <w:szCs w:val="22"/>
        </w:rPr>
        <w:t xml:space="preserve">). </w:t>
      </w:r>
    </w:p>
    <w:p xmlns:wp14="http://schemas.microsoft.com/office/word/2010/wordml" w:rsidRPr="00D654C0" w:rsidR="001B1A4E" w:rsidP="545238BC" w:rsidRDefault="00A2126F" w14:paraId="6F18CB14" wp14:textId="2A31226F">
      <w:pPr>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The dispute resolution </w:t>
      </w:r>
      <w:bookmarkStart w:name="_Int_v3Gh3eGQ" w:id="382812021"/>
      <w:r w:rsidRPr="545238BC" w:rsidR="00A2126F">
        <w:rPr>
          <w:rFonts w:ascii="Arial Nova" w:hAnsi="Arial Nova" w:eastAsia="Arial Nova" w:cs="Arial Nova"/>
          <w:color w:val="auto"/>
          <w:sz w:val="22"/>
          <w:szCs w:val="22"/>
        </w:rPr>
        <w:t>deals</w:t>
      </w:r>
      <w:bookmarkEnd w:id="382812021"/>
      <w:r w:rsidRPr="545238BC" w:rsidR="00A2126F">
        <w:rPr>
          <w:rFonts w:ascii="Arial Nova" w:hAnsi="Arial Nova" w:eastAsia="Arial Nova" w:cs="Arial Nova"/>
          <w:color w:val="auto"/>
          <w:sz w:val="22"/>
          <w:szCs w:val="22"/>
        </w:rPr>
        <w:t xml:space="preserve"> with all the disputes and conflicts between the organisation and Communication Workers Union. This is an advantage for both parties as there are different dispute resolution steps which help both parties to mitigate and solve their dispute and come to an agreement settling all the issues and because such agreements raise parties' well-being (Shavell. S, 1995), it can be recommended to follow this model alongside Thomas Kilmann’s model for </w:t>
      </w:r>
      <w:bookmarkStart w:name="_Int_7irue6KS" w:id="1217993205"/>
      <w:r w:rsidRPr="545238BC" w:rsidR="00A2126F">
        <w:rPr>
          <w:rFonts w:ascii="Arial Nova" w:hAnsi="Arial Nova" w:eastAsia="Arial Nova" w:cs="Arial Nova"/>
          <w:color w:val="auto"/>
          <w:sz w:val="22"/>
          <w:szCs w:val="22"/>
        </w:rPr>
        <w:t>best</w:t>
      </w:r>
      <w:bookmarkEnd w:id="1217993205"/>
      <w:r w:rsidRPr="545238BC" w:rsidR="00A2126F">
        <w:rPr>
          <w:rFonts w:ascii="Arial Nova" w:hAnsi="Arial Nova" w:eastAsia="Arial Nova" w:cs="Arial Nova"/>
          <w:color w:val="auto"/>
          <w:sz w:val="22"/>
          <w:szCs w:val="22"/>
        </w:rPr>
        <w:t xml:space="preserve"> results.</w:t>
      </w:r>
    </w:p>
    <w:p w:rsidR="545238BC" w:rsidP="545238BC" w:rsidRDefault="545238BC" w14:paraId="1E6675A4" w14:textId="521F01A8">
      <w:pPr>
        <w:pStyle w:val="Normal"/>
        <w:rPr>
          <w:rFonts w:ascii="Arial Nova" w:hAnsi="Arial Nova" w:eastAsia="Arial Nova" w:cs="Arial Nova"/>
          <w:color w:val="000000" w:themeColor="text1" w:themeTint="FF" w:themeShade="FF"/>
          <w:sz w:val="22"/>
          <w:szCs w:val="22"/>
        </w:rPr>
      </w:pPr>
    </w:p>
    <w:p xmlns:wp14="http://schemas.microsoft.com/office/word/2010/wordml" w:rsidRPr="00D654C0" w:rsidR="001B1A4E" w:rsidP="545238BC" w:rsidRDefault="00A2126F" w14:paraId="67FD7F0F" wp14:textId="5D81AA58">
      <w:pPr>
        <w:pStyle w:val="Normal"/>
        <w:rPr>
          <w:rFonts w:ascii="Arial Nova" w:hAnsi="Arial Nova" w:eastAsia="Arial Nova" w:cs="Arial Nova"/>
          <w:color w:val="auto"/>
          <w:sz w:val="22"/>
          <w:szCs w:val="22"/>
        </w:rPr>
      </w:pPr>
      <w:r w:rsidRPr="545238BC" w:rsidR="00A2126F">
        <w:rPr>
          <w:rFonts w:ascii="Arial Nova" w:hAnsi="Arial Nova" w:eastAsia="Arial Nova" w:cs="Arial Nova"/>
          <w:color w:val="auto"/>
          <w:sz w:val="22"/>
          <w:szCs w:val="22"/>
        </w:rPr>
        <w:t xml:space="preserve">By analysing the learning outcome in respect of </w:t>
      </w:r>
      <w:bookmarkStart w:name="_Int_ZI6zZ3Ub" w:id="589419360"/>
      <w:r w:rsidRPr="545238BC" w:rsidR="00A2126F">
        <w:rPr>
          <w:rFonts w:ascii="Arial Nova" w:hAnsi="Arial Nova" w:eastAsia="Arial Nova" w:cs="Arial Nova"/>
          <w:color w:val="auto"/>
          <w:sz w:val="22"/>
          <w:szCs w:val="22"/>
        </w:rPr>
        <w:t>identifying</w:t>
      </w:r>
      <w:bookmarkEnd w:id="589419360"/>
      <w:r w:rsidRPr="545238BC" w:rsidR="00A2126F">
        <w:rPr>
          <w:rFonts w:ascii="Arial Nova" w:hAnsi="Arial Nova" w:eastAsia="Arial Nova" w:cs="Arial Nova"/>
          <w:color w:val="auto"/>
          <w:sz w:val="22"/>
          <w:szCs w:val="22"/>
        </w:rPr>
        <w:t xml:space="preserve"> the stakeholders in general terms of </w:t>
      </w:r>
      <w:bookmarkStart w:name="_Int_tqDcT7EH" w:id="2109742839"/>
      <w:r w:rsidRPr="545238BC" w:rsidR="00A2126F">
        <w:rPr>
          <w:rFonts w:ascii="Arial Nova" w:hAnsi="Arial Nova" w:eastAsia="Arial Nova" w:cs="Arial Nova"/>
          <w:color w:val="auto"/>
          <w:sz w:val="22"/>
          <w:szCs w:val="22"/>
        </w:rPr>
        <w:t>determining</w:t>
      </w:r>
      <w:bookmarkEnd w:id="2109742839"/>
      <w:r w:rsidRPr="545238BC" w:rsidR="00A2126F">
        <w:rPr>
          <w:rFonts w:ascii="Arial Nova" w:hAnsi="Arial Nova" w:eastAsia="Arial Nova" w:cs="Arial Nova"/>
          <w:color w:val="auto"/>
          <w:sz w:val="22"/>
          <w:szCs w:val="22"/>
        </w:rPr>
        <w:t xml:space="preserve"> their contribution and importance can drive control over uncertainties. The situation can arise anytime without prior notice; however, the effective management of finding the proper way to analyse the situation and condition with their respective outcome can be controlled with the effective measures planning and following the </w:t>
      </w:r>
      <w:bookmarkStart w:name="_Int_OeEfOq6J" w:id="1405464687"/>
      <w:r w:rsidRPr="545238BC" w:rsidR="00A2126F">
        <w:rPr>
          <w:rFonts w:ascii="Arial Nova" w:hAnsi="Arial Nova" w:eastAsia="Arial Nova" w:cs="Arial Nova"/>
          <w:color w:val="auto"/>
          <w:sz w:val="22"/>
          <w:szCs w:val="22"/>
        </w:rPr>
        <w:t>proper method</w:t>
      </w:r>
      <w:bookmarkEnd w:id="1405464687"/>
      <w:r w:rsidRPr="545238BC" w:rsidR="00A2126F">
        <w:rPr>
          <w:rFonts w:ascii="Arial Nova" w:hAnsi="Arial Nova" w:eastAsia="Arial Nova" w:cs="Arial Nova"/>
          <w:color w:val="auto"/>
          <w:sz w:val="22"/>
          <w:szCs w:val="22"/>
        </w:rPr>
        <w:t xml:space="preserve"> of conflict management concept. So, a conditional approach of a derived situation with the determination of required information can be driven by analysing the stakeholders with their importance, on which effective tools such as the </w:t>
      </w:r>
      <w:r w:rsidRPr="545238BC" w:rsidR="00A2126F">
        <w:rPr>
          <w:rFonts w:ascii="Arial Nova" w:hAnsi="Arial Nova" w:eastAsia="Arial Nova" w:cs="Arial Nova"/>
          <w:b w:val="1"/>
          <w:bCs w:val="1"/>
          <w:color w:val="auto"/>
          <w:sz w:val="22"/>
          <w:szCs w:val="22"/>
        </w:rPr>
        <w:t xml:space="preserve">Salience Model </w:t>
      </w:r>
      <w:r w:rsidRPr="545238BC" w:rsidR="00A2126F">
        <w:rPr>
          <w:rFonts w:ascii="Arial Nova" w:hAnsi="Arial Nova" w:eastAsia="Arial Nova" w:cs="Arial Nova"/>
          <w:color w:val="auto"/>
          <w:sz w:val="22"/>
          <w:szCs w:val="22"/>
        </w:rPr>
        <w:t xml:space="preserve">or </w:t>
      </w:r>
      <w:r w:rsidRPr="545238BC" w:rsidR="00A2126F">
        <w:rPr>
          <w:rFonts w:ascii="Arial Nova" w:hAnsi="Arial Nova" w:eastAsia="Arial Nova" w:cs="Arial Nova"/>
          <w:b w:val="1"/>
          <w:bCs w:val="1"/>
          <w:color w:val="auto"/>
          <w:sz w:val="22"/>
          <w:szCs w:val="22"/>
        </w:rPr>
        <w:t>Power-Interest Grid</w:t>
      </w:r>
      <w:r w:rsidRPr="545238BC" w:rsidR="00A2126F">
        <w:rPr>
          <w:rFonts w:ascii="Arial Nova" w:hAnsi="Arial Nova" w:eastAsia="Arial Nova" w:cs="Arial Nova"/>
          <w:b w:val="0"/>
          <w:bCs w:val="0"/>
          <w:color w:val="auto"/>
          <w:sz w:val="22"/>
          <w:szCs w:val="22"/>
        </w:rPr>
        <w:t xml:space="preserve"> help </w:t>
      </w:r>
      <w:r w:rsidRPr="545238BC" w:rsidR="00A2126F">
        <w:rPr>
          <w:rFonts w:ascii="Arial Nova" w:hAnsi="Arial Nova" w:eastAsia="Arial Nova" w:cs="Arial Nova"/>
          <w:b w:val="0"/>
          <w:bCs w:val="0"/>
          <w:color w:val="auto"/>
          <w:sz w:val="22"/>
          <w:szCs w:val="22"/>
        </w:rPr>
        <w:t xml:space="preserve">to </w:t>
      </w:r>
      <w:bookmarkStart w:name="_Int_VvOS24eT" w:id="1106314674"/>
      <w:r w:rsidRPr="545238BC" w:rsidR="00A2126F">
        <w:rPr>
          <w:rFonts w:ascii="Arial Nova" w:hAnsi="Arial Nova" w:eastAsia="Arial Nova" w:cs="Arial Nova"/>
          <w:b w:val="0"/>
          <w:bCs w:val="0"/>
          <w:color w:val="auto"/>
          <w:sz w:val="22"/>
          <w:szCs w:val="22"/>
        </w:rPr>
        <w:t>identify</w:t>
      </w:r>
      <w:bookmarkEnd w:id="1106314674"/>
      <w:r w:rsidRPr="545238BC" w:rsidR="00A2126F">
        <w:rPr>
          <w:rFonts w:ascii="Arial Nova" w:hAnsi="Arial Nova" w:eastAsia="Arial Nova" w:cs="Arial Nova"/>
          <w:color w:val="auto"/>
          <w:sz w:val="22"/>
          <w:szCs w:val="22"/>
        </w:rPr>
        <w:t xml:space="preserve"> the importance of the stakeholders. The systematic approach of handling the uncertainties can be controlled by the specific measures of the proposed framework of Thomas Kilman’s conflict management process alongside the use of the ADR model, which allows simulation of conflicts with the various approaches of </w:t>
      </w:r>
      <w:bookmarkStart w:name="_Int_fmShnGGN" w:id="235403570"/>
      <w:r w:rsidRPr="545238BC" w:rsidR="00A2126F">
        <w:rPr>
          <w:rFonts w:ascii="Arial Nova" w:hAnsi="Arial Nova" w:eastAsia="Arial Nova" w:cs="Arial Nova"/>
          <w:color w:val="auto"/>
          <w:sz w:val="22"/>
          <w:szCs w:val="22"/>
        </w:rPr>
        <w:t>providing</w:t>
      </w:r>
      <w:bookmarkEnd w:id="235403570"/>
      <w:r w:rsidRPr="545238BC" w:rsidR="00A2126F">
        <w:rPr>
          <w:rFonts w:ascii="Arial Nova" w:hAnsi="Arial Nova" w:eastAsia="Arial Nova" w:cs="Arial Nova"/>
          <w:color w:val="auto"/>
          <w:sz w:val="22"/>
          <w:szCs w:val="22"/>
        </w:rPr>
        <w:t xml:space="preserve"> resolutions</w:t>
      </w:r>
      <w:r w:rsidRPr="545238BC" w:rsidR="00A2126F">
        <w:rPr>
          <w:rFonts w:ascii="Arial Nova" w:hAnsi="Arial Nova" w:eastAsia="Arial Nova" w:cs="Arial Nova"/>
          <w:color w:val="auto"/>
          <w:sz w:val="22"/>
          <w:szCs w:val="22"/>
        </w:rPr>
        <w:t>.</w:t>
      </w:r>
      <w:r w:rsidRPr="545238BC" w:rsidR="545238BC">
        <w:rPr>
          <w:rFonts w:ascii="Arial Nova" w:hAnsi="Arial Nova" w:eastAsia="Arial Nova" w:cs="Arial Nova"/>
          <w:color w:val="auto"/>
          <w:sz w:val="22"/>
          <w:szCs w:val="22"/>
        </w:rPr>
        <w:t xml:space="preserve"> </w:t>
      </w:r>
      <w:bookmarkStart w:name="_heading=h.4i7ojhp" w:id="26"/>
      <w:bookmarkEnd w:id="26"/>
    </w:p>
    <w:p xmlns:wp14="http://schemas.microsoft.com/office/word/2010/wordml" w:rsidRPr="00D654C0" w:rsidR="001B1A4E" w:rsidP="545238BC" w:rsidRDefault="00A2126F" w14:paraId="2B2A7A39" wp14:textId="177676C9">
      <w:pPr>
        <w:pStyle w:val="Normal"/>
        <w:rPr>
          <w:rFonts w:ascii="Arial Nova" w:hAnsi="Arial Nova" w:eastAsia="Arial Nova" w:cs="Arial Nova"/>
          <w:b w:val="1"/>
          <w:bCs w:val="1"/>
          <w:color w:val="00B0F0"/>
          <w:sz w:val="24"/>
          <w:szCs w:val="24"/>
          <w:u w:val="single"/>
        </w:rPr>
      </w:pPr>
      <w:r w:rsidRPr="545238BC" w:rsidR="00A2126F">
        <w:rPr>
          <w:rFonts w:ascii="Arial Nova" w:hAnsi="Arial Nova" w:eastAsia="Arial Nova" w:cs="Arial Nova"/>
          <w:b w:val="1"/>
          <w:bCs w:val="1"/>
          <w:color w:val="00B0F0"/>
          <w:sz w:val="24"/>
          <w:szCs w:val="24"/>
          <w:u w:val="single"/>
        </w:rPr>
        <w:t>Conclusion</w:t>
      </w:r>
    </w:p>
    <w:p xmlns:wp14="http://schemas.microsoft.com/office/word/2010/wordml" w:rsidRPr="00D654C0" w:rsidR="001B1A4E" w:rsidP="545238BC" w:rsidRDefault="00A2126F" w14:paraId="0B1FA7FC" wp14:textId="642773AA">
      <w:pPr>
        <w:rPr>
          <w:rFonts w:ascii="Arial Nova" w:hAnsi="Arial Nova" w:eastAsia="Arial Nova" w:cs="Arial Nova"/>
          <w:color w:val="auto"/>
          <w:sz w:val="22"/>
          <w:szCs w:val="22"/>
        </w:rPr>
      </w:pPr>
      <w:r w:rsidRPr="545238BC" w:rsidR="545238BC">
        <w:rPr>
          <w:rFonts w:ascii="Arial Nova" w:hAnsi="Arial Nova" w:eastAsia="Arial Nova" w:cs="Arial Nova"/>
          <w:color w:val="auto"/>
          <w:sz w:val="22"/>
          <w:szCs w:val="22"/>
        </w:rPr>
        <w:t xml:space="preserve">In this report Organisational Power and Politics has been discussed and applied to the case study of the 114 Crown Post Office workers strike action that took place </w:t>
      </w:r>
      <w:r w:rsidRPr="545238BC" w:rsidR="545238BC">
        <w:rPr>
          <w:rFonts w:ascii="Arial Nova" w:hAnsi="Arial Nova" w:eastAsia="Arial Nova" w:cs="Arial Nova"/>
          <w:color w:val="auto"/>
          <w:sz w:val="22"/>
          <w:szCs w:val="22"/>
        </w:rPr>
        <w:t>about</w:t>
      </w:r>
      <w:r w:rsidRPr="545238BC" w:rsidR="545238BC">
        <w:rPr>
          <w:rFonts w:ascii="Arial Nova" w:hAnsi="Arial Nova" w:eastAsia="Arial Nova" w:cs="Arial Nova"/>
          <w:color w:val="auto"/>
          <w:sz w:val="22"/>
          <w:szCs w:val="22"/>
        </w:rPr>
        <w:t xml:space="preserve"> their pay freeze. Stakeholders have been </w:t>
      </w:r>
      <w:bookmarkStart w:name="_Int_JFG1w5Pk" w:id="614008560"/>
      <w:r w:rsidRPr="545238BC" w:rsidR="545238BC">
        <w:rPr>
          <w:rFonts w:ascii="Arial Nova" w:hAnsi="Arial Nova" w:eastAsia="Arial Nova" w:cs="Arial Nova"/>
          <w:color w:val="auto"/>
          <w:sz w:val="22"/>
          <w:szCs w:val="22"/>
        </w:rPr>
        <w:t>identified</w:t>
      </w:r>
      <w:bookmarkEnd w:id="614008560"/>
      <w:r w:rsidRPr="545238BC" w:rsidR="545238BC">
        <w:rPr>
          <w:rFonts w:ascii="Arial Nova" w:hAnsi="Arial Nova" w:eastAsia="Arial Nova" w:cs="Arial Nova"/>
          <w:color w:val="auto"/>
          <w:sz w:val="22"/>
          <w:szCs w:val="22"/>
        </w:rPr>
        <w:t xml:space="preserve"> and their importance highlighted via the use of the Salience Model and Power-interest matrix. Limitations of both models have been addressed. </w:t>
      </w:r>
    </w:p>
    <w:p xmlns:wp14="http://schemas.microsoft.com/office/word/2010/wordml" w:rsidRPr="00D654C0" w:rsidR="001B1A4E" w:rsidP="545238BC" w:rsidRDefault="00A2126F" w14:paraId="7AF1D79E" wp14:textId="5EA43102">
      <w:pPr>
        <w:rPr>
          <w:rFonts w:ascii="Arial Nova" w:hAnsi="Arial Nova" w:eastAsia="Arial Nova" w:cs="Arial Nova"/>
          <w:color w:val="auto"/>
          <w:sz w:val="22"/>
          <w:szCs w:val="22"/>
        </w:rPr>
      </w:pPr>
      <w:r w:rsidRPr="545238BC" w:rsidR="545238BC">
        <w:rPr>
          <w:rFonts w:ascii="Arial Nova" w:hAnsi="Arial Nova" w:eastAsia="Arial Nova" w:cs="Arial Nova"/>
          <w:color w:val="auto"/>
          <w:sz w:val="22"/>
          <w:szCs w:val="22"/>
        </w:rPr>
        <w:t xml:space="preserve">A discussion on Thomas Killman's Conflict resolution and Alternative Dispute Resolution has taken place and applied to the case study to </w:t>
      </w:r>
      <w:r w:rsidRPr="545238BC" w:rsidR="545238BC">
        <w:rPr>
          <w:rFonts w:ascii="Arial Nova" w:hAnsi="Arial Nova" w:eastAsia="Arial Nova" w:cs="Arial Nova"/>
          <w:color w:val="auto"/>
          <w:sz w:val="22"/>
          <w:szCs w:val="22"/>
        </w:rPr>
        <w:t>show</w:t>
      </w:r>
      <w:r w:rsidRPr="545238BC" w:rsidR="545238BC">
        <w:rPr>
          <w:rFonts w:ascii="Arial Nova" w:hAnsi="Arial Nova" w:eastAsia="Arial Nova" w:cs="Arial Nova"/>
          <w:color w:val="auto"/>
          <w:sz w:val="22"/>
          <w:szCs w:val="22"/>
        </w:rPr>
        <w:t xml:space="preserve"> that the successful implementation of such models can reduce or </w:t>
      </w:r>
      <w:bookmarkStart w:name="_Int_J5KIWG9s" w:id="1947420072"/>
      <w:r w:rsidRPr="545238BC" w:rsidR="545238BC">
        <w:rPr>
          <w:rFonts w:ascii="Arial Nova" w:hAnsi="Arial Nova" w:eastAsia="Arial Nova" w:cs="Arial Nova"/>
          <w:color w:val="auto"/>
          <w:sz w:val="22"/>
          <w:szCs w:val="22"/>
        </w:rPr>
        <w:t>end</w:t>
      </w:r>
      <w:bookmarkEnd w:id="1947420072"/>
      <w:r w:rsidRPr="545238BC" w:rsidR="545238BC">
        <w:rPr>
          <w:rFonts w:ascii="Arial Nova" w:hAnsi="Arial Nova" w:eastAsia="Arial Nova" w:cs="Arial Nova"/>
          <w:color w:val="auto"/>
          <w:sz w:val="22"/>
          <w:szCs w:val="22"/>
        </w:rPr>
        <w:t xml:space="preserve"> organisational conflicts involving multiple parties. </w:t>
      </w:r>
    </w:p>
    <w:p w:rsidR="545238BC" w:rsidP="545238BC" w:rsidRDefault="545238BC" w14:paraId="3B8E3EB8" w14:textId="1BE288EE">
      <w:pPr>
        <w:pStyle w:val="Normal"/>
        <w:rPr>
          <w:rFonts w:ascii="Arial Nova" w:hAnsi="Arial Nova" w:eastAsia="Arial Nova" w:cs="Arial Nova"/>
          <w:color w:val="auto"/>
          <w:sz w:val="22"/>
          <w:szCs w:val="22"/>
        </w:rPr>
      </w:pPr>
      <w:r w:rsidRPr="545238BC" w:rsidR="545238BC">
        <w:rPr>
          <w:rFonts w:ascii="Arial Nova" w:hAnsi="Arial Nova" w:eastAsia="Arial Nova" w:cs="Arial Nova"/>
          <w:color w:val="auto"/>
          <w:sz w:val="22"/>
          <w:szCs w:val="22"/>
        </w:rPr>
        <w:t xml:space="preserve">A recommendation for resolution has been </w:t>
      </w:r>
      <w:bookmarkStart w:name="_Int_KnX4BTbE" w:id="919132435"/>
      <w:r w:rsidRPr="545238BC" w:rsidR="545238BC">
        <w:rPr>
          <w:rFonts w:ascii="Arial Nova" w:hAnsi="Arial Nova" w:eastAsia="Arial Nova" w:cs="Arial Nova"/>
          <w:color w:val="auto"/>
          <w:sz w:val="22"/>
          <w:szCs w:val="22"/>
        </w:rPr>
        <w:t>provided</w:t>
      </w:r>
      <w:bookmarkEnd w:id="919132435"/>
      <w:r w:rsidRPr="545238BC" w:rsidR="545238BC">
        <w:rPr>
          <w:rFonts w:ascii="Arial Nova" w:hAnsi="Arial Nova" w:eastAsia="Arial Nova" w:cs="Arial Nova"/>
          <w:color w:val="auto"/>
          <w:sz w:val="22"/>
          <w:szCs w:val="22"/>
        </w:rPr>
        <w:t xml:space="preserve"> using the above mentioned two conflict resolution models that can be implemented by the Post Office and Communication Workers Union for lessoning future conflicts and in sustaining a healthy relation between the involved parties and workers in the future.</w:t>
      </w:r>
    </w:p>
    <w:p w:rsidR="545238BC" w:rsidP="545238BC" w:rsidRDefault="545238BC" w14:paraId="53AB5F4B" w14:textId="4CC3BE20">
      <w:pPr>
        <w:pStyle w:val="Normal"/>
        <w:rPr>
          <w:rFonts w:ascii="Arial Nova" w:hAnsi="Arial Nova" w:eastAsia="Arial Nova" w:cs="Arial Nova"/>
          <w:color w:val="000000" w:themeColor="text1" w:themeTint="FF" w:themeShade="FF"/>
          <w:sz w:val="22"/>
          <w:szCs w:val="22"/>
        </w:rPr>
      </w:pPr>
    </w:p>
    <w:p xmlns:wp14="http://schemas.microsoft.com/office/word/2010/wordml" w:rsidRPr="00D654C0" w:rsidR="001B1A4E" w:rsidRDefault="00A2126F" w14:paraId="3AC53C67" wp14:textId="0738B95E">
      <w:pPr>
        <w:pBdr>
          <w:top w:val="nil"/>
          <w:left w:val="nil"/>
          <w:bottom w:val="nil"/>
          <w:right w:val="nil"/>
          <w:between w:val="nil"/>
        </w:pBdr>
        <w:rPr>
          <w:color w:val="auto"/>
        </w:rPr>
      </w:pPr>
      <w:r w:rsidRPr="545238BC" w:rsidR="00A2126F">
        <w:rPr>
          <w:color w:val="auto"/>
        </w:rPr>
        <w:t xml:space="preserve"> </w:t>
      </w:r>
      <w:r w:rsidRPr="545238BC">
        <w:rPr>
          <w:color w:val="auto"/>
        </w:rPr>
        <w:br w:type="page"/>
      </w:r>
    </w:p>
    <w:p xmlns:wp14="http://schemas.microsoft.com/office/word/2010/wordml" w:rsidRPr="00D654C0" w:rsidR="001B1A4E" w:rsidRDefault="00A2126F" w14:paraId="071E4E01" wp14:textId="77777777">
      <w:pPr>
        <w:pStyle w:val="Heading1"/>
        <w:rPr>
          <w:color w:val="auto"/>
        </w:rPr>
      </w:pPr>
      <w:bookmarkStart w:name="_heading=h.1ci93xb" w:id="30"/>
      <w:bookmarkEnd w:id="30"/>
      <w:bookmarkStart w:name="_Toc2091334053" w:id="2018063564"/>
      <w:r w:rsidRPr="545238BC" w:rsidR="00A2126F">
        <w:rPr>
          <w:color w:val="auto"/>
        </w:rPr>
        <w:t>References</w:t>
      </w:r>
      <w:bookmarkEnd w:id="2018063564"/>
    </w:p>
    <w:p w:rsidR="545238BC" w:rsidP="545238BC" w:rsidRDefault="545238BC" w14:paraId="7F498ACD" w14:textId="66530865">
      <w:pPr>
        <w:pStyle w:val="Normal"/>
        <w:rPr>
          <w:color w:val="000000" w:themeColor="text1" w:themeTint="FF" w:themeShade="FF"/>
        </w:rPr>
      </w:pPr>
      <w:r w:rsidRPr="545238BC" w:rsidR="545238BC">
        <w:rPr>
          <w:color w:val="000000" w:themeColor="text1" w:themeTint="FF" w:themeShade="FF"/>
        </w:rPr>
        <w:t>Ahangar, M., Khandan, M., Givi, M.E., 2022. Stakeholder Identification and Prioritisation in Iranian Public Libraries Using the Interest/Power matrix. Library and information Sciences 25 (1), pp244-268.</w:t>
      </w:r>
    </w:p>
    <w:p xmlns:wp14="http://schemas.microsoft.com/office/word/2010/wordml" w:rsidRPr="00D654C0" w:rsidR="0098424F" w:rsidRDefault="0098424F" w14:paraId="7F71FAFE" wp14:textId="77777777">
      <w:pPr>
        <w:pBdr>
          <w:top w:val="nil"/>
          <w:left w:val="nil"/>
          <w:bottom w:val="nil"/>
          <w:right w:val="nil"/>
          <w:between w:val="nil"/>
        </w:pBdr>
        <w:rPr>
          <w:color w:val="auto"/>
          <w:highlight w:val="white"/>
        </w:rPr>
      </w:pPr>
      <w:proofErr w:type="spellStart"/>
      <w:r w:rsidRPr="545238BC" w:rsidR="0098424F">
        <w:rPr>
          <w:color w:val="auto"/>
          <w:highlight w:val="white"/>
        </w:rPr>
        <w:t>Alqatawenh</w:t>
      </w:r>
      <w:proofErr w:type="spellEnd"/>
      <w:r w:rsidRPr="545238BC" w:rsidR="0098424F">
        <w:rPr>
          <w:color w:val="auto"/>
          <w:highlight w:val="white"/>
        </w:rPr>
        <w:t xml:space="preserve">, A.S., 2018. </w:t>
      </w:r>
      <w:bookmarkStart w:name="_Int_JeZglCRR" w:id="825488748"/>
      <w:r w:rsidRPr="545238BC" w:rsidR="0098424F">
        <w:rPr>
          <w:color w:val="auto"/>
          <w:highlight w:val="white"/>
        </w:rPr>
        <w:t xml:space="preserve">Transformational leadership style and its relationship with change management. </w:t>
      </w:r>
      <w:proofErr w:type="spellStart"/>
      <w:r w:rsidRPr="545238BC" w:rsidR="0098424F">
        <w:rPr>
          <w:i w:val="1"/>
          <w:iCs w:val="1"/>
          <w:color w:val="auto"/>
          <w:highlight w:val="white"/>
        </w:rPr>
        <w:t>Verslas</w:t>
      </w:r>
      <w:proofErr w:type="spellEnd"/>
      <w:r w:rsidRPr="545238BC" w:rsidR="0098424F">
        <w:rPr>
          <w:i w:val="1"/>
          <w:iCs w:val="1"/>
          <w:color w:val="auto"/>
          <w:highlight w:val="white"/>
        </w:rPr>
        <w:t xml:space="preserve">: </w:t>
      </w:r>
      <w:proofErr w:type="spellStart"/>
      <w:r w:rsidRPr="545238BC" w:rsidR="0098424F">
        <w:rPr>
          <w:i w:val="1"/>
          <w:iCs w:val="1"/>
          <w:color w:val="auto"/>
          <w:highlight w:val="white"/>
        </w:rPr>
        <w:t>teorija</w:t>
      </w:r>
      <w:proofErr w:type="spellEnd"/>
      <w:r w:rsidRPr="545238BC" w:rsidR="0098424F">
        <w:rPr>
          <w:i w:val="1"/>
          <w:iCs w:val="1"/>
          <w:color w:val="auto"/>
          <w:highlight w:val="white"/>
        </w:rPr>
        <w:t xml:space="preserve"> </w:t>
      </w:r>
      <w:proofErr w:type="spellStart"/>
      <w:r w:rsidRPr="545238BC" w:rsidR="0098424F">
        <w:rPr>
          <w:i w:val="1"/>
          <w:iCs w:val="1"/>
          <w:color w:val="auto"/>
          <w:highlight w:val="white"/>
        </w:rPr>
        <w:t>ir</w:t>
      </w:r>
      <w:proofErr w:type="spellEnd"/>
      <w:r w:rsidRPr="545238BC" w:rsidR="0098424F">
        <w:rPr>
          <w:i w:val="1"/>
          <w:iCs w:val="1"/>
          <w:color w:val="auto"/>
          <w:highlight w:val="white"/>
        </w:rPr>
        <w:t xml:space="preserve"> </w:t>
      </w:r>
      <w:proofErr w:type="spellStart"/>
      <w:r w:rsidRPr="545238BC" w:rsidR="0098424F">
        <w:rPr>
          <w:i w:val="1"/>
          <w:iCs w:val="1"/>
          <w:color w:val="auto"/>
          <w:highlight w:val="white"/>
        </w:rPr>
        <w:t>praktika</w:t>
      </w:r>
      <w:proofErr w:type="spellEnd"/>
      <w:r w:rsidRPr="545238BC" w:rsidR="0098424F">
        <w:rPr>
          <w:color w:val="auto"/>
          <w:highlight w:val="white"/>
        </w:rPr>
        <w:t xml:space="preserve">, </w:t>
      </w:r>
      <w:r w:rsidRPr="545238BC" w:rsidR="0098424F">
        <w:rPr>
          <w:i w:val="1"/>
          <w:iCs w:val="1"/>
          <w:color w:val="auto"/>
          <w:highlight w:val="white"/>
        </w:rPr>
        <w:t>19</w:t>
      </w:r>
      <w:r w:rsidRPr="545238BC" w:rsidR="0098424F">
        <w:rPr>
          <w:color w:val="auto"/>
          <w:highlight w:val="white"/>
        </w:rPr>
        <w:t>(1), pp.17-24.</w:t>
      </w:r>
      <w:bookmarkEnd w:id="825488748"/>
    </w:p>
    <w:p xmlns:wp14="http://schemas.microsoft.com/office/word/2010/wordml" w:rsidRPr="00D654C0" w:rsidR="0098424F" w:rsidRDefault="0098424F" w14:paraId="6B69578B" wp14:textId="77777777">
      <w:pPr>
        <w:pBdr>
          <w:top w:val="nil"/>
          <w:left w:val="nil"/>
          <w:bottom w:val="nil"/>
          <w:right w:val="nil"/>
          <w:between w:val="nil"/>
        </w:pBdr>
        <w:rPr>
          <w:color w:val="auto"/>
          <w:highlight w:val="white"/>
        </w:rPr>
      </w:pPr>
      <w:r w:rsidRPr="00D654C0">
        <w:rPr>
          <w:color w:val="auto"/>
          <w:highlight w:val="white"/>
        </w:rPr>
        <w:t xml:space="preserve">Aragonès, E. and Ponsatí, C., 2022. Shocks to issue salience and electoral competition. </w:t>
      </w:r>
      <w:r w:rsidRPr="00D654C0">
        <w:rPr>
          <w:i/>
          <w:color w:val="auto"/>
          <w:highlight w:val="white"/>
        </w:rPr>
        <w:t>Economics of Governance</w:t>
      </w:r>
      <w:r w:rsidRPr="00D654C0">
        <w:rPr>
          <w:color w:val="auto"/>
          <w:highlight w:val="white"/>
        </w:rPr>
        <w:t xml:space="preserve">, </w:t>
      </w:r>
      <w:r w:rsidRPr="00D654C0">
        <w:rPr>
          <w:i/>
          <w:color w:val="auto"/>
          <w:highlight w:val="white"/>
        </w:rPr>
        <w:t>23</w:t>
      </w:r>
      <w:r w:rsidRPr="00D654C0">
        <w:rPr>
          <w:color w:val="auto"/>
          <w:highlight w:val="white"/>
        </w:rPr>
        <w:t>(1), pp.33-63.</w:t>
      </w:r>
    </w:p>
    <w:p xmlns:wp14="http://schemas.microsoft.com/office/word/2010/wordml" w:rsidRPr="00D654C0" w:rsidR="0098424F" w:rsidRDefault="0098424F" w14:paraId="1FABB049" wp14:textId="77777777">
      <w:pPr>
        <w:pBdr>
          <w:top w:val="nil"/>
          <w:left w:val="nil"/>
          <w:bottom w:val="nil"/>
          <w:right w:val="nil"/>
          <w:between w:val="nil"/>
        </w:pBdr>
        <w:rPr>
          <w:color w:val="auto"/>
          <w:highlight w:val="white"/>
        </w:rPr>
      </w:pPr>
      <w:r w:rsidRPr="00D654C0">
        <w:rPr>
          <w:color w:val="auto"/>
          <w:highlight w:val="white"/>
        </w:rPr>
        <w:t xml:space="preserve">ARINICHEVA, O.V., LEBEDEVA, N.A. and MALISHEVSKII, A.V., 2019. Intellectual functioning in students and their conflict management strategies. </w:t>
      </w:r>
      <w:r w:rsidRPr="00D654C0">
        <w:rPr>
          <w:i/>
          <w:color w:val="auto"/>
          <w:highlight w:val="white"/>
        </w:rPr>
        <w:t>Revista Espacios</w:t>
      </w:r>
      <w:r w:rsidRPr="00D654C0">
        <w:rPr>
          <w:color w:val="auto"/>
          <w:highlight w:val="white"/>
        </w:rPr>
        <w:t xml:space="preserve">, </w:t>
      </w:r>
      <w:r w:rsidRPr="00D654C0">
        <w:rPr>
          <w:i/>
          <w:color w:val="auto"/>
          <w:highlight w:val="white"/>
        </w:rPr>
        <w:t>40</w:t>
      </w:r>
      <w:r w:rsidRPr="00D654C0">
        <w:rPr>
          <w:color w:val="auto"/>
          <w:highlight w:val="white"/>
        </w:rPr>
        <w:t>(44).</w:t>
      </w:r>
    </w:p>
    <w:p xmlns:wp14="http://schemas.microsoft.com/office/word/2010/wordml" w:rsidRPr="00D654C0" w:rsidR="0098424F" w:rsidRDefault="0098424F" w14:paraId="7142F1A1" wp14:textId="77777777">
      <w:pPr>
        <w:pBdr>
          <w:top w:val="nil"/>
          <w:left w:val="nil"/>
          <w:bottom w:val="nil"/>
          <w:right w:val="nil"/>
          <w:between w:val="nil"/>
        </w:pBdr>
        <w:rPr>
          <w:color w:val="auto"/>
          <w:highlight w:val="white"/>
        </w:rPr>
      </w:pPr>
      <w:r w:rsidRPr="545238BC" w:rsidR="0098424F">
        <w:rPr>
          <w:color w:val="auto"/>
          <w:highlight w:val="white"/>
        </w:rPr>
        <w:t xml:space="preserve">Ay, S.Ç., Keskin, H.K. and Akilli, M., 2019. </w:t>
      </w:r>
      <w:bookmarkStart w:name="_Int_px9Odyva" w:id="2103572817"/>
      <w:r w:rsidRPr="545238BC" w:rsidR="0098424F">
        <w:rPr>
          <w:color w:val="auto"/>
          <w:highlight w:val="white"/>
        </w:rPr>
        <w:t>Examining the Effects of Negotiation and Peer Mediation on Students' Conflict Resolution and Problem-Solving Skills.</w:t>
      </w:r>
      <w:bookmarkEnd w:id="2103572817"/>
      <w:r w:rsidRPr="545238BC" w:rsidR="0098424F">
        <w:rPr>
          <w:color w:val="auto"/>
          <w:highlight w:val="white"/>
        </w:rPr>
        <w:t xml:space="preserve"> </w:t>
      </w:r>
      <w:r w:rsidRPr="545238BC" w:rsidR="0098424F">
        <w:rPr>
          <w:i w:val="1"/>
          <w:iCs w:val="1"/>
          <w:color w:val="auto"/>
          <w:highlight w:val="white"/>
        </w:rPr>
        <w:t>International Journal of Instruction</w:t>
      </w:r>
      <w:r w:rsidRPr="545238BC" w:rsidR="0098424F">
        <w:rPr>
          <w:color w:val="auto"/>
          <w:highlight w:val="white"/>
        </w:rPr>
        <w:t xml:space="preserve">, </w:t>
      </w:r>
      <w:r w:rsidRPr="545238BC" w:rsidR="0098424F">
        <w:rPr>
          <w:i w:val="1"/>
          <w:iCs w:val="1"/>
          <w:color w:val="auto"/>
          <w:highlight w:val="white"/>
        </w:rPr>
        <w:t>12</w:t>
      </w:r>
      <w:r w:rsidRPr="545238BC" w:rsidR="0098424F">
        <w:rPr>
          <w:color w:val="auto"/>
          <w:highlight w:val="white"/>
        </w:rPr>
        <w:t>(3), pp.717-730.</w:t>
      </w:r>
    </w:p>
    <w:p xmlns:wp14="http://schemas.microsoft.com/office/word/2010/wordml" w:rsidRPr="00D654C0" w:rsidR="0098424F" w:rsidRDefault="0098424F" w14:paraId="3C13CAF1" wp14:textId="77777777">
      <w:pPr>
        <w:pBdr>
          <w:top w:val="nil"/>
          <w:left w:val="nil"/>
          <w:bottom w:val="nil"/>
          <w:right w:val="nil"/>
          <w:between w:val="nil"/>
        </w:pBdr>
        <w:rPr>
          <w:color w:val="auto"/>
          <w:highlight w:val="white"/>
        </w:rPr>
      </w:pPr>
      <w:bookmarkStart w:name="_Int_aGjRjWb3" w:id="2085284457"/>
      <w:r w:rsidRPr="545238BC" w:rsidR="0098424F">
        <w:rPr>
          <w:color w:val="auto"/>
          <w:highlight w:val="white"/>
        </w:rPr>
        <w:t>Babel, F., Vogt, A., Hock, P., Kraus, J., Angerer, F., Seufert, T. and Baumann, M., 2022.</w:t>
      </w:r>
      <w:bookmarkEnd w:id="2085284457"/>
      <w:r w:rsidRPr="545238BC" w:rsidR="0098424F">
        <w:rPr>
          <w:color w:val="auto"/>
          <w:highlight w:val="white"/>
        </w:rPr>
        <w:t xml:space="preserve"> Step Aside! </w:t>
      </w:r>
      <w:bookmarkStart w:name="_Int_VXHx5nLu" w:id="133706466"/>
      <w:r w:rsidRPr="545238BC" w:rsidR="0098424F">
        <w:rPr>
          <w:color w:val="auto"/>
          <w:highlight w:val="white"/>
        </w:rPr>
        <w:t>VR-Based Evaluation of Adaptive Robot Conflict Resolution Strategies for Domestic Service Robots.</w:t>
      </w:r>
      <w:bookmarkEnd w:id="133706466"/>
      <w:r w:rsidRPr="545238BC" w:rsidR="0098424F">
        <w:rPr>
          <w:color w:val="auto"/>
          <w:highlight w:val="white"/>
        </w:rPr>
        <w:t xml:space="preserve"> </w:t>
      </w:r>
      <w:r w:rsidRPr="545238BC" w:rsidR="0098424F">
        <w:rPr>
          <w:i w:val="1"/>
          <w:iCs w:val="1"/>
          <w:color w:val="auto"/>
          <w:highlight w:val="white"/>
        </w:rPr>
        <w:t>International Journal of Social Robotics</w:t>
      </w:r>
      <w:r w:rsidRPr="545238BC" w:rsidR="0098424F">
        <w:rPr>
          <w:color w:val="auto"/>
          <w:highlight w:val="white"/>
        </w:rPr>
        <w:t>, pp.1-22.</w:t>
      </w:r>
    </w:p>
    <w:p xmlns:wp14="http://schemas.microsoft.com/office/word/2010/wordml" w:rsidRPr="00D654C0" w:rsidR="0098424F" w:rsidRDefault="0098424F" w14:paraId="38FCEE5D" wp14:textId="77777777">
      <w:pPr>
        <w:pBdr>
          <w:top w:val="nil"/>
          <w:left w:val="nil"/>
          <w:bottom w:val="nil"/>
          <w:right w:val="nil"/>
          <w:between w:val="nil"/>
        </w:pBdr>
        <w:rPr>
          <w:color w:val="auto"/>
          <w:highlight w:val="white"/>
        </w:rPr>
      </w:pPr>
      <w:proofErr w:type="spellStart"/>
      <w:r w:rsidRPr="545238BC" w:rsidR="0098424F">
        <w:rPr>
          <w:color w:val="auto"/>
          <w:highlight w:val="white"/>
        </w:rPr>
        <w:t>Belkhouche</w:t>
      </w:r>
      <w:proofErr w:type="spellEnd"/>
      <w:r w:rsidRPr="545238BC" w:rsidR="0098424F">
        <w:rPr>
          <w:color w:val="auto"/>
          <w:highlight w:val="white"/>
        </w:rPr>
        <w:t xml:space="preserve">, F., 2018. Collaboration and </w:t>
      </w:r>
      <w:bookmarkStart w:name="_Int_emyTl5iI" w:id="1474373892"/>
      <w:r w:rsidRPr="545238BC" w:rsidR="0098424F">
        <w:rPr>
          <w:color w:val="auto"/>
          <w:highlight w:val="white"/>
        </w:rPr>
        <w:t>optimal</w:t>
      </w:r>
      <w:bookmarkEnd w:id="1474373892"/>
      <w:r w:rsidRPr="545238BC" w:rsidR="0098424F">
        <w:rPr>
          <w:color w:val="auto"/>
          <w:highlight w:val="white"/>
        </w:rPr>
        <w:t xml:space="preserve"> conflict resolution at an unsignalized intersection. </w:t>
      </w:r>
      <w:r w:rsidRPr="545238BC" w:rsidR="0098424F">
        <w:rPr>
          <w:i w:val="1"/>
          <w:iCs w:val="1"/>
          <w:color w:val="auto"/>
          <w:highlight w:val="white"/>
        </w:rPr>
        <w:t>IEEE Transactions on Intelligent Transportation Systems</w:t>
      </w:r>
      <w:r w:rsidRPr="545238BC" w:rsidR="0098424F">
        <w:rPr>
          <w:color w:val="auto"/>
          <w:highlight w:val="white"/>
        </w:rPr>
        <w:t xml:space="preserve">, </w:t>
      </w:r>
      <w:r w:rsidRPr="545238BC" w:rsidR="0098424F">
        <w:rPr>
          <w:i w:val="1"/>
          <w:iCs w:val="1"/>
          <w:color w:val="auto"/>
          <w:highlight w:val="white"/>
        </w:rPr>
        <w:t>20</w:t>
      </w:r>
      <w:r w:rsidRPr="545238BC" w:rsidR="0098424F">
        <w:rPr>
          <w:color w:val="auto"/>
          <w:highlight w:val="white"/>
        </w:rPr>
        <w:t>(6), pp.2301-2312.</w:t>
      </w:r>
    </w:p>
    <w:p xmlns:wp14="http://schemas.microsoft.com/office/word/2010/wordml" w:rsidRPr="00D654C0" w:rsidR="0098424F" w:rsidRDefault="0098424F" w14:paraId="3A9CA4B4" wp14:textId="77777777">
      <w:pPr>
        <w:pBdr>
          <w:top w:val="nil"/>
          <w:left w:val="nil"/>
          <w:bottom w:val="nil"/>
          <w:right w:val="nil"/>
          <w:between w:val="nil"/>
        </w:pBdr>
        <w:rPr>
          <w:color w:val="auto"/>
          <w:highlight w:val="white"/>
        </w:rPr>
      </w:pPr>
      <w:bookmarkStart w:name="_Int_5XSrMcQD" w:id="1581017077"/>
      <w:r w:rsidRPr="545238BC" w:rsidR="0098424F">
        <w:rPr>
          <w:color w:val="auto"/>
          <w:highlight w:val="white"/>
        </w:rPr>
        <w:t>Boele, S., Van der Graaff, J., De Wied, M., Van der Valk, I.E., Crocetti, E. and Branje, S., 2019.</w:t>
      </w:r>
      <w:bookmarkEnd w:id="1581017077"/>
      <w:r w:rsidRPr="545238BC" w:rsidR="0098424F">
        <w:rPr>
          <w:color w:val="auto"/>
          <w:highlight w:val="white"/>
        </w:rPr>
        <w:t xml:space="preserve"> </w:t>
      </w:r>
      <w:bookmarkStart w:name="_Int_KUzofWTC" w:id="1565564416"/>
      <w:r w:rsidRPr="545238BC" w:rsidR="0098424F">
        <w:rPr>
          <w:color w:val="auto"/>
          <w:highlight w:val="white"/>
        </w:rPr>
        <w:t>Linking parent–child and peer relationship quality to empathy in adolescence: A multilevel meta-analysis.</w:t>
      </w:r>
      <w:bookmarkEnd w:id="1565564416"/>
      <w:r w:rsidRPr="545238BC" w:rsidR="0098424F">
        <w:rPr>
          <w:color w:val="auto"/>
          <w:highlight w:val="white"/>
        </w:rPr>
        <w:t xml:space="preserve"> </w:t>
      </w:r>
      <w:r w:rsidRPr="545238BC" w:rsidR="0098424F">
        <w:rPr>
          <w:i w:val="1"/>
          <w:iCs w:val="1"/>
          <w:color w:val="auto"/>
          <w:highlight w:val="white"/>
        </w:rPr>
        <w:t>Journal of youth and adolescence</w:t>
      </w:r>
      <w:r w:rsidRPr="545238BC" w:rsidR="0098424F">
        <w:rPr>
          <w:color w:val="auto"/>
          <w:highlight w:val="white"/>
        </w:rPr>
        <w:t xml:space="preserve">, </w:t>
      </w:r>
      <w:r w:rsidRPr="545238BC" w:rsidR="0098424F">
        <w:rPr>
          <w:i w:val="1"/>
          <w:iCs w:val="1"/>
          <w:color w:val="auto"/>
          <w:highlight w:val="white"/>
        </w:rPr>
        <w:t>48</w:t>
      </w:r>
      <w:r w:rsidRPr="545238BC" w:rsidR="0098424F">
        <w:rPr>
          <w:color w:val="auto"/>
          <w:highlight w:val="white"/>
        </w:rPr>
        <w:t>(6), pp.1033-1055.</w:t>
      </w:r>
    </w:p>
    <w:p xmlns:wp14="http://schemas.microsoft.com/office/word/2010/wordml" w:rsidRPr="00D654C0" w:rsidR="0098424F" w:rsidRDefault="0098424F" w14:paraId="5AA4D909" wp14:textId="77777777">
      <w:pPr>
        <w:pBdr>
          <w:top w:val="nil"/>
          <w:left w:val="nil"/>
          <w:bottom w:val="nil"/>
          <w:right w:val="nil"/>
          <w:between w:val="nil"/>
        </w:pBdr>
        <w:rPr>
          <w:color w:val="auto"/>
          <w:highlight w:val="white"/>
        </w:rPr>
      </w:pPr>
      <w:proofErr w:type="spellStart"/>
      <w:r w:rsidRPr="545238BC" w:rsidR="0098424F">
        <w:rPr>
          <w:color w:val="auto"/>
          <w:highlight w:val="white"/>
        </w:rPr>
        <w:t>Boesso</w:t>
      </w:r>
      <w:proofErr w:type="spellEnd"/>
      <w:r w:rsidRPr="545238BC" w:rsidR="0098424F">
        <w:rPr>
          <w:color w:val="auto"/>
          <w:highlight w:val="white"/>
        </w:rPr>
        <w:t xml:space="preserve">, G. and Kumar, K., 2009. </w:t>
      </w:r>
      <w:bookmarkStart w:name="_Int_lKLJVNpD" w:id="1526593047"/>
      <w:r w:rsidRPr="545238BC" w:rsidR="0098424F">
        <w:rPr>
          <w:color w:val="auto"/>
          <w:highlight w:val="white"/>
        </w:rPr>
        <w:t>An investigation of stakeholder prioritization and engagement: who or what really counts.</w:t>
      </w:r>
      <w:bookmarkEnd w:id="1526593047"/>
      <w:r w:rsidRPr="545238BC" w:rsidR="0098424F">
        <w:rPr>
          <w:color w:val="auto"/>
          <w:highlight w:val="white"/>
        </w:rPr>
        <w:t xml:space="preserve"> </w:t>
      </w:r>
      <w:r w:rsidRPr="545238BC" w:rsidR="0098424F">
        <w:rPr>
          <w:i w:val="1"/>
          <w:iCs w:val="1"/>
          <w:color w:val="auto"/>
          <w:highlight w:val="white"/>
        </w:rPr>
        <w:t>Journal of Accounting &amp; Organizational Change</w:t>
      </w:r>
      <w:r w:rsidRPr="545238BC" w:rsidR="0098424F">
        <w:rPr>
          <w:color w:val="auto"/>
          <w:highlight w:val="white"/>
        </w:rPr>
        <w:t>.</w:t>
      </w:r>
    </w:p>
    <w:p w:rsidR="0098424F" w:rsidP="545238BC" w:rsidRDefault="0098424F" w14:paraId="6521B0EE" w14:textId="00CF5BB3">
      <w:pPr>
        <w:rPr>
          <w:color w:val="auto"/>
          <w:highlight w:val="white"/>
        </w:rPr>
      </w:pPr>
      <w:r w:rsidRPr="545238BC" w:rsidR="0098424F">
        <w:rPr>
          <w:color w:val="auto"/>
          <w:highlight w:val="white"/>
        </w:rPr>
        <w:t xml:space="preserve">Born, G.B., 2021. </w:t>
      </w:r>
      <w:r w:rsidRPr="545238BC" w:rsidR="0098424F">
        <w:rPr>
          <w:i w:val="1"/>
          <w:iCs w:val="1"/>
          <w:color w:val="auto"/>
          <w:highlight w:val="white"/>
        </w:rPr>
        <w:t>International arbitration: law and practice</w:t>
      </w:r>
      <w:r w:rsidRPr="545238BC" w:rsidR="0098424F">
        <w:rPr>
          <w:color w:val="auto"/>
          <w:highlight w:val="white"/>
        </w:rPr>
        <w:t>. Kluwer Law International BV.</w:t>
      </w:r>
    </w:p>
    <w:p xmlns:wp14="http://schemas.microsoft.com/office/word/2010/wordml" w:rsidRPr="00D654C0" w:rsidR="0098424F" w:rsidRDefault="0098424F" w14:paraId="4F7CCED4" wp14:textId="77777777">
      <w:pPr>
        <w:pBdr>
          <w:top w:val="nil"/>
          <w:left w:val="nil"/>
          <w:bottom w:val="nil"/>
          <w:right w:val="nil"/>
          <w:between w:val="nil"/>
        </w:pBdr>
        <w:rPr>
          <w:color w:val="auto"/>
          <w:highlight w:val="white"/>
        </w:rPr>
      </w:pPr>
      <w:bookmarkStart w:name="_Int_uK323vDa" w:id="793607231"/>
      <w:r w:rsidRPr="545238BC" w:rsidR="0098424F">
        <w:rPr>
          <w:color w:val="auto"/>
          <w:highlight w:val="white"/>
        </w:rPr>
        <w:t>Bryan W. Husted and David Bruce Allen, 2010. Corporate Social Strategy: Stakeholder Engagement and Competitive Advantage, Cambridge University Press.</w:t>
      </w:r>
      <w:bookmarkEnd w:id="793607231"/>
    </w:p>
    <w:p xmlns:wp14="http://schemas.microsoft.com/office/word/2010/wordml" w:rsidRPr="00D654C0" w:rsidR="0098424F" w:rsidRDefault="0098424F" w14:paraId="78AF0165" wp14:textId="77777777">
      <w:pPr>
        <w:pBdr>
          <w:top w:val="nil"/>
          <w:left w:val="nil"/>
          <w:bottom w:val="nil"/>
          <w:right w:val="nil"/>
          <w:between w:val="nil"/>
        </w:pBdr>
        <w:rPr>
          <w:color w:val="auto"/>
          <w:highlight w:val="white"/>
        </w:rPr>
      </w:pPr>
      <w:r w:rsidRPr="00D654C0">
        <w:rPr>
          <w:color w:val="auto"/>
          <w:highlight w:val="white"/>
        </w:rPr>
        <w:t>Bryson, J., 1995. Strategic Planning for Public and Nonprofit Organization (rev. edn), p27, San \ Franciso, CA: Jossey-Bass. Latest edition</w:t>
      </w:r>
    </w:p>
    <w:p xmlns:wp14="http://schemas.microsoft.com/office/word/2010/wordml" w:rsidRPr="00D654C0" w:rsidR="0098424F" w:rsidRDefault="0098424F" w14:paraId="510BC5F2" wp14:textId="77777777">
      <w:pPr>
        <w:pBdr>
          <w:top w:val="nil"/>
          <w:left w:val="nil"/>
          <w:bottom w:val="nil"/>
          <w:right w:val="nil"/>
          <w:between w:val="nil"/>
        </w:pBdr>
        <w:rPr>
          <w:color w:val="auto"/>
          <w:highlight w:val="white"/>
        </w:rPr>
      </w:pPr>
      <w:r w:rsidRPr="545238BC" w:rsidR="0098424F">
        <w:rPr>
          <w:color w:val="auto"/>
          <w:highlight w:val="white"/>
        </w:rPr>
        <w:t xml:space="preserve">Carroll, A and Buchholtz, A., 2009. Business and Society: Ethics and Stakeholder Management 7th edition, p113, </w:t>
      </w:r>
      <w:bookmarkStart w:name="_Int_dUiHgY9D" w:id="687007398"/>
      <w:r w:rsidRPr="545238BC" w:rsidR="0098424F">
        <w:rPr>
          <w:color w:val="auto"/>
          <w:highlight w:val="white"/>
        </w:rPr>
        <w:t>South Western</w:t>
      </w:r>
      <w:bookmarkEnd w:id="687007398"/>
      <w:r w:rsidRPr="545238BC" w:rsidR="0098424F">
        <w:rPr>
          <w:color w:val="auto"/>
          <w:highlight w:val="white"/>
        </w:rPr>
        <w:t>. Latest edition Business and Society: Ethics, Sustainability, and Stakeholder Management</w:t>
      </w:r>
    </w:p>
    <w:p xmlns:wp14="http://schemas.microsoft.com/office/word/2010/wordml" w:rsidRPr="00D654C0" w:rsidR="0098424F" w:rsidRDefault="0098424F" w14:paraId="7A8DDB41" wp14:textId="77777777">
      <w:pPr>
        <w:pBdr>
          <w:top w:val="nil"/>
          <w:left w:val="nil"/>
          <w:bottom w:val="nil"/>
          <w:right w:val="nil"/>
          <w:between w:val="nil"/>
        </w:pBdr>
        <w:rPr>
          <w:color w:val="auto"/>
          <w:highlight w:val="white"/>
        </w:rPr>
      </w:pPr>
      <w:r w:rsidRPr="00D654C0">
        <w:rPr>
          <w:color w:val="auto"/>
          <w:highlight w:val="white"/>
        </w:rPr>
        <w:t xml:space="preserve">Chang, Y.M. and Sellak, M., 2022. A theory of competing interventions by external powers in intrastate conflicts: implications for war and armed peace. </w:t>
      </w:r>
      <w:r w:rsidRPr="00D654C0">
        <w:rPr>
          <w:i/>
          <w:color w:val="auto"/>
          <w:highlight w:val="white"/>
        </w:rPr>
        <w:t>Applied Economics</w:t>
      </w:r>
      <w:r w:rsidRPr="00D654C0">
        <w:rPr>
          <w:color w:val="auto"/>
          <w:highlight w:val="white"/>
        </w:rPr>
        <w:t xml:space="preserve">, </w:t>
      </w:r>
      <w:r w:rsidRPr="00D654C0">
        <w:rPr>
          <w:i/>
          <w:color w:val="auto"/>
          <w:highlight w:val="white"/>
        </w:rPr>
        <w:t>54</w:t>
      </w:r>
      <w:r w:rsidRPr="00D654C0">
        <w:rPr>
          <w:color w:val="auto"/>
          <w:highlight w:val="white"/>
        </w:rPr>
        <w:t>(33), pp.3811-3822.</w:t>
      </w:r>
    </w:p>
    <w:p xmlns:wp14="http://schemas.microsoft.com/office/word/2010/wordml" w:rsidRPr="00D654C0" w:rsidR="0098424F" w:rsidRDefault="0098424F" w14:paraId="217EEFD3" wp14:textId="77777777">
      <w:pPr>
        <w:pBdr>
          <w:top w:val="nil"/>
          <w:left w:val="nil"/>
          <w:bottom w:val="nil"/>
          <w:right w:val="nil"/>
          <w:between w:val="nil"/>
        </w:pBdr>
        <w:rPr>
          <w:color w:val="auto"/>
          <w:highlight w:val="white"/>
        </w:rPr>
      </w:pPr>
      <w:r w:rsidRPr="545238BC" w:rsidR="0098424F">
        <w:rPr>
          <w:color w:val="auto"/>
          <w:highlight w:val="white"/>
        </w:rPr>
        <w:t xml:space="preserve">Charef, R., 2022. </w:t>
      </w:r>
      <w:bookmarkStart w:name="_Int_9sujTbCO" w:id="108440637"/>
      <w:r w:rsidRPr="545238BC" w:rsidR="0098424F">
        <w:rPr>
          <w:color w:val="auto"/>
          <w:highlight w:val="white"/>
        </w:rPr>
        <w:t xml:space="preserve">Supporting construction stakeholders with the circular economy: A trans-scaler framework to understand the </w:t>
      </w:r>
      <w:bookmarkStart w:name="_Int_OvlaXCeV" w:id="941226839"/>
      <w:r w:rsidRPr="545238BC" w:rsidR="0098424F">
        <w:rPr>
          <w:color w:val="auto"/>
          <w:highlight w:val="white"/>
        </w:rPr>
        <w:t>holistic approach</w:t>
      </w:r>
      <w:bookmarkEnd w:id="941226839"/>
      <w:r w:rsidRPr="545238BC" w:rsidR="0098424F">
        <w:rPr>
          <w:color w:val="auto"/>
          <w:highlight w:val="white"/>
        </w:rPr>
        <w:t>.</w:t>
      </w:r>
      <w:bookmarkEnd w:id="108440637"/>
      <w:r w:rsidRPr="545238BC" w:rsidR="0098424F">
        <w:rPr>
          <w:color w:val="auto"/>
          <w:highlight w:val="white"/>
        </w:rPr>
        <w:t xml:space="preserve"> </w:t>
      </w:r>
      <w:r w:rsidRPr="545238BC" w:rsidR="0098424F">
        <w:rPr>
          <w:i w:val="1"/>
          <w:iCs w:val="1"/>
          <w:color w:val="auto"/>
          <w:highlight w:val="white"/>
        </w:rPr>
        <w:t>Cleaner Engineering and Technology</w:t>
      </w:r>
      <w:r w:rsidRPr="545238BC" w:rsidR="0098424F">
        <w:rPr>
          <w:color w:val="auto"/>
          <w:highlight w:val="white"/>
        </w:rPr>
        <w:t>, p.100454.</w:t>
      </w:r>
    </w:p>
    <w:p xmlns:wp14="http://schemas.microsoft.com/office/word/2010/wordml" w:rsidRPr="00D654C0" w:rsidR="0098424F" w:rsidRDefault="0098424F" w14:paraId="39038FD8" wp14:textId="77777777">
      <w:pPr>
        <w:pBdr>
          <w:top w:val="nil"/>
          <w:left w:val="nil"/>
          <w:bottom w:val="nil"/>
          <w:right w:val="nil"/>
          <w:between w:val="nil"/>
        </w:pBdr>
        <w:rPr>
          <w:color w:val="auto"/>
          <w:highlight w:val="white"/>
        </w:rPr>
      </w:pPr>
      <w:bookmarkStart w:name="_Int_W0wQaddi" w:id="1048115596"/>
      <w:r w:rsidRPr="545238BC" w:rsidR="0098424F">
        <w:rPr>
          <w:color w:val="auto"/>
          <w:highlight w:val="white"/>
        </w:rPr>
        <w:t xml:space="preserve">Colville, G.A., Dawson, D., </w:t>
      </w:r>
      <w:proofErr w:type="spellStart"/>
      <w:r w:rsidRPr="545238BC" w:rsidR="0098424F">
        <w:rPr>
          <w:color w:val="auto"/>
          <w:highlight w:val="white"/>
        </w:rPr>
        <w:t>Rabinthiran</w:t>
      </w:r>
      <w:proofErr w:type="spellEnd"/>
      <w:r w:rsidRPr="545238BC" w:rsidR="0098424F">
        <w:rPr>
          <w:color w:val="auto"/>
          <w:highlight w:val="white"/>
        </w:rPr>
        <w:t>, S., Chaudry-Daley, Z. and Perkins-Porras, L., 2019.</w:t>
      </w:r>
      <w:bookmarkEnd w:id="1048115596"/>
      <w:r w:rsidRPr="545238BC" w:rsidR="0098424F">
        <w:rPr>
          <w:color w:val="auto"/>
          <w:highlight w:val="white"/>
        </w:rPr>
        <w:t xml:space="preserve"> </w:t>
      </w:r>
      <w:bookmarkStart w:name="_Int_lojizfeZ" w:id="675959882"/>
      <w:r w:rsidRPr="545238BC" w:rsidR="0098424F">
        <w:rPr>
          <w:color w:val="auto"/>
          <w:highlight w:val="white"/>
        </w:rPr>
        <w:t>A survey of moral distress in staff working in intensive care in the UK.</w:t>
      </w:r>
      <w:bookmarkEnd w:id="675959882"/>
      <w:r w:rsidRPr="545238BC" w:rsidR="0098424F">
        <w:rPr>
          <w:color w:val="auto"/>
          <w:highlight w:val="white"/>
        </w:rPr>
        <w:t xml:space="preserve"> </w:t>
      </w:r>
      <w:r w:rsidRPr="545238BC" w:rsidR="0098424F">
        <w:rPr>
          <w:i w:val="1"/>
          <w:iCs w:val="1"/>
          <w:color w:val="auto"/>
          <w:highlight w:val="white"/>
        </w:rPr>
        <w:t>Journal of the Intensive Care Society</w:t>
      </w:r>
      <w:r w:rsidRPr="545238BC" w:rsidR="0098424F">
        <w:rPr>
          <w:color w:val="auto"/>
          <w:highlight w:val="white"/>
        </w:rPr>
        <w:t xml:space="preserve">, </w:t>
      </w:r>
      <w:r w:rsidRPr="545238BC" w:rsidR="0098424F">
        <w:rPr>
          <w:i w:val="1"/>
          <w:iCs w:val="1"/>
          <w:color w:val="auto"/>
          <w:highlight w:val="white"/>
        </w:rPr>
        <w:t>20</w:t>
      </w:r>
      <w:r w:rsidRPr="545238BC" w:rsidR="0098424F">
        <w:rPr>
          <w:color w:val="auto"/>
          <w:highlight w:val="white"/>
        </w:rPr>
        <w:t>(3), pp.196-203.</w:t>
      </w:r>
    </w:p>
    <w:p w:rsidR="545238BC" w:rsidP="545238BC" w:rsidRDefault="545238BC" w14:paraId="64F06D6D" w14:textId="45F6551A">
      <w:pPr>
        <w:pStyle w:val="Normal"/>
        <w:rPr>
          <w:color w:val="000000" w:themeColor="text1" w:themeTint="FF" w:themeShade="FF"/>
          <w:highlight w:val="white"/>
        </w:rPr>
      </w:pPr>
      <w:r w:rsidRPr="545238BC" w:rsidR="545238BC">
        <w:rPr>
          <w:color w:val="auto"/>
          <w:highlight w:val="white"/>
        </w:rPr>
        <w:t xml:space="preserve">Dias, P., and Brito, R., 2021. Industry stakeholders. </w:t>
      </w:r>
      <w:r w:rsidRPr="545238BC" w:rsidR="545238BC">
        <w:rPr>
          <w:i w:val="1"/>
          <w:iCs w:val="1"/>
          <w:color w:val="auto"/>
          <w:highlight w:val="white"/>
        </w:rPr>
        <w:t>Computers &amp; Education, 165, 104134.</w:t>
      </w:r>
    </w:p>
    <w:p w:rsidR="545238BC" w:rsidP="545238BC" w:rsidRDefault="545238BC" w14:paraId="20ED57FF" w14:textId="51D9122E">
      <w:pPr>
        <w:pStyle w:val="Normal"/>
        <w:rPr>
          <w:i w:val="0"/>
          <w:iCs w:val="0"/>
          <w:color w:val="auto"/>
          <w:highlight w:val="white"/>
        </w:rPr>
      </w:pPr>
      <w:r w:rsidRPr="545238BC" w:rsidR="545238BC">
        <w:rPr>
          <w:color w:val="auto"/>
          <w:highlight w:val="white"/>
        </w:rPr>
        <w:t xml:space="preserve">Dlouhy, K. and Casper, A., 2021. Downsizing and surviving employees' engagement and strain: The role of job resources and job </w:t>
      </w:r>
      <w:bookmarkStart w:name="_Int_lvlm2ajE" w:id="129617293"/>
      <w:r w:rsidRPr="545238BC" w:rsidR="545238BC">
        <w:rPr>
          <w:color w:val="auto"/>
          <w:highlight w:val="white"/>
        </w:rPr>
        <w:t>demands</w:t>
      </w:r>
      <w:bookmarkEnd w:id="129617293"/>
      <w:r w:rsidRPr="545238BC" w:rsidR="545238BC">
        <w:rPr>
          <w:color w:val="auto"/>
          <w:highlight w:val="white"/>
        </w:rPr>
        <w:t xml:space="preserve">. </w:t>
      </w:r>
      <w:r w:rsidRPr="545238BC" w:rsidR="545238BC">
        <w:rPr>
          <w:i w:val="1"/>
          <w:iCs w:val="1"/>
          <w:color w:val="auto"/>
          <w:highlight w:val="white"/>
        </w:rPr>
        <w:t xml:space="preserve">Human Resource management, 60 (3), </w:t>
      </w:r>
      <w:r w:rsidRPr="545238BC" w:rsidR="545238BC">
        <w:rPr>
          <w:i w:val="0"/>
          <w:iCs w:val="0"/>
          <w:color w:val="auto"/>
          <w:highlight w:val="white"/>
        </w:rPr>
        <w:t>pp. 435-454.</w:t>
      </w:r>
    </w:p>
    <w:p xmlns:wp14="http://schemas.microsoft.com/office/word/2010/wordml" w:rsidRPr="00D654C0" w:rsidR="0098424F" w:rsidRDefault="0098424F" w14:paraId="0CFCBF0F" wp14:textId="77777777">
      <w:pPr>
        <w:pBdr>
          <w:top w:val="nil"/>
          <w:left w:val="nil"/>
          <w:bottom w:val="nil"/>
          <w:right w:val="nil"/>
          <w:between w:val="nil"/>
        </w:pBdr>
        <w:rPr>
          <w:color w:val="auto"/>
          <w:highlight w:val="white"/>
        </w:rPr>
      </w:pPr>
      <w:r w:rsidRPr="545238BC" w:rsidR="0098424F">
        <w:rPr>
          <w:color w:val="auto"/>
          <w:highlight w:val="white"/>
        </w:rPr>
        <w:t xml:space="preserve">Eriksen, I.M., 2018. </w:t>
      </w:r>
      <w:bookmarkStart w:name="_Int_8dC10F9x" w:id="862762835"/>
      <w:r w:rsidRPr="545238BC" w:rsidR="0098424F">
        <w:rPr>
          <w:color w:val="auto"/>
          <w:highlight w:val="white"/>
        </w:rPr>
        <w:t>The power of the word: students’ and school staff’s use of the established bullying definition.</w:t>
      </w:r>
      <w:bookmarkEnd w:id="862762835"/>
      <w:r w:rsidRPr="545238BC" w:rsidR="0098424F">
        <w:rPr>
          <w:color w:val="auto"/>
          <w:highlight w:val="white"/>
        </w:rPr>
        <w:t xml:space="preserve"> </w:t>
      </w:r>
      <w:r w:rsidRPr="545238BC" w:rsidR="0098424F">
        <w:rPr>
          <w:i w:val="1"/>
          <w:iCs w:val="1"/>
          <w:color w:val="auto"/>
          <w:highlight w:val="white"/>
        </w:rPr>
        <w:t>Educational Research</w:t>
      </w:r>
      <w:r w:rsidRPr="545238BC" w:rsidR="0098424F">
        <w:rPr>
          <w:color w:val="auto"/>
          <w:highlight w:val="white"/>
        </w:rPr>
        <w:t xml:space="preserve">, </w:t>
      </w:r>
      <w:r w:rsidRPr="545238BC" w:rsidR="0098424F">
        <w:rPr>
          <w:i w:val="1"/>
          <w:iCs w:val="1"/>
          <w:color w:val="auto"/>
          <w:highlight w:val="white"/>
        </w:rPr>
        <w:t>60</w:t>
      </w:r>
      <w:r w:rsidRPr="545238BC" w:rsidR="0098424F">
        <w:rPr>
          <w:color w:val="auto"/>
          <w:highlight w:val="white"/>
        </w:rPr>
        <w:t>(2), pp.157-170.</w:t>
      </w:r>
    </w:p>
    <w:p xmlns:wp14="http://schemas.microsoft.com/office/word/2010/wordml" w:rsidRPr="00D654C0" w:rsidR="0098424F" w:rsidRDefault="0098424F" w14:paraId="5D621AC8" wp14:textId="77193B3E">
      <w:pPr>
        <w:pBdr>
          <w:top w:val="nil"/>
          <w:left w:val="nil"/>
          <w:bottom w:val="nil"/>
          <w:right w:val="nil"/>
          <w:between w:val="nil"/>
        </w:pBdr>
        <w:rPr>
          <w:color w:val="auto"/>
          <w:highlight w:val="white"/>
        </w:rPr>
      </w:pPr>
      <w:r w:rsidRPr="545238BC" w:rsidR="0098424F">
        <w:rPr>
          <w:color w:val="auto"/>
          <w:highlight w:val="white"/>
        </w:rPr>
        <w:t xml:space="preserve">Ferris, G.R., </w:t>
      </w:r>
      <w:proofErr w:type="spellStart"/>
      <w:r w:rsidRPr="545238BC" w:rsidR="0098424F">
        <w:rPr>
          <w:color w:val="auto"/>
          <w:highlight w:val="white"/>
        </w:rPr>
        <w:t>Bhawuk</w:t>
      </w:r>
      <w:proofErr w:type="spellEnd"/>
      <w:r w:rsidRPr="545238BC" w:rsidR="0098424F">
        <w:rPr>
          <w:color w:val="auto"/>
          <w:highlight w:val="white"/>
        </w:rPr>
        <w:t xml:space="preserve">, D.P., Fedor, </w:t>
      </w:r>
      <w:bookmarkStart w:name="_Int_8ZEpGjoH" w:id="1017665219"/>
      <w:r w:rsidRPr="545238BC" w:rsidR="0098424F">
        <w:rPr>
          <w:color w:val="auto"/>
          <w:highlight w:val="white"/>
        </w:rPr>
        <w:t>D.F.,</w:t>
      </w:r>
      <w:bookmarkEnd w:id="1017665219"/>
      <w:r w:rsidRPr="545238BC" w:rsidR="0098424F">
        <w:rPr>
          <w:color w:val="auto"/>
          <w:highlight w:val="white"/>
        </w:rPr>
        <w:t xml:space="preserve"> and Judge, T.A., 2018. Organizational politics and citizenship: Attributions of intentionality and construct definition. In </w:t>
      </w:r>
      <w:r w:rsidRPr="545238BC" w:rsidR="0098424F">
        <w:rPr>
          <w:i w:val="1"/>
          <w:iCs w:val="1"/>
          <w:color w:val="auto"/>
          <w:highlight w:val="white"/>
        </w:rPr>
        <w:t>Attribution theory</w:t>
      </w:r>
      <w:r w:rsidRPr="545238BC" w:rsidR="0098424F">
        <w:rPr>
          <w:color w:val="auto"/>
          <w:highlight w:val="white"/>
        </w:rPr>
        <w:t xml:space="preserve"> (pp. 231-252). Routledge.</w:t>
      </w:r>
    </w:p>
    <w:p xmlns:wp14="http://schemas.microsoft.com/office/word/2010/wordml" w:rsidRPr="00D654C0" w:rsidR="0098424F" w:rsidRDefault="0098424F" w14:paraId="1384937E" wp14:textId="77777777">
      <w:pPr>
        <w:pBdr>
          <w:top w:val="nil"/>
          <w:left w:val="nil"/>
          <w:bottom w:val="nil"/>
          <w:right w:val="nil"/>
          <w:between w:val="nil"/>
        </w:pBdr>
        <w:rPr>
          <w:color w:val="auto"/>
          <w:highlight w:val="white"/>
        </w:rPr>
      </w:pPr>
      <w:r w:rsidRPr="00D654C0">
        <w:rPr>
          <w:color w:val="auto"/>
          <w:highlight w:val="white"/>
        </w:rPr>
        <w:t>Freeman, R. E., 1984. Strategic Management: A Stakeholder Approach, p46, Boston, MA: Pitman. Latest edition</w:t>
      </w:r>
    </w:p>
    <w:p xmlns:wp14="http://schemas.microsoft.com/office/word/2010/wordml" w:rsidRPr="00D654C0" w:rsidR="0098424F" w:rsidRDefault="0098424F" w14:paraId="6E545455" wp14:textId="77777777">
      <w:pPr>
        <w:pBdr>
          <w:top w:val="nil"/>
          <w:left w:val="nil"/>
          <w:bottom w:val="nil"/>
          <w:right w:val="nil"/>
          <w:between w:val="nil"/>
        </w:pBdr>
        <w:rPr>
          <w:color w:val="auto"/>
          <w:highlight w:val="white"/>
        </w:rPr>
      </w:pPr>
      <w:r w:rsidRPr="00D654C0">
        <w:rPr>
          <w:color w:val="auto"/>
          <w:highlight w:val="white"/>
        </w:rPr>
        <w:t xml:space="preserve">Gore, R. and Parker, R., 2019. Analysing power and politics in health policies and systems. </w:t>
      </w:r>
      <w:r w:rsidRPr="00D654C0">
        <w:rPr>
          <w:i/>
          <w:color w:val="auto"/>
          <w:highlight w:val="white"/>
        </w:rPr>
        <w:t>Global Public Health</w:t>
      </w:r>
      <w:r w:rsidRPr="00D654C0">
        <w:rPr>
          <w:color w:val="auto"/>
          <w:highlight w:val="white"/>
        </w:rPr>
        <w:t xml:space="preserve">, </w:t>
      </w:r>
      <w:r w:rsidRPr="00D654C0">
        <w:rPr>
          <w:i/>
          <w:color w:val="auto"/>
          <w:highlight w:val="white"/>
        </w:rPr>
        <w:t>14</w:t>
      </w:r>
      <w:r w:rsidRPr="00D654C0">
        <w:rPr>
          <w:color w:val="auto"/>
          <w:highlight w:val="white"/>
        </w:rPr>
        <w:t>(4), pp.481-488.</w:t>
      </w:r>
    </w:p>
    <w:p xmlns:wp14="http://schemas.microsoft.com/office/word/2010/wordml" w:rsidRPr="00D654C0" w:rsidR="0098424F" w:rsidRDefault="0098424F" w14:paraId="4CED4319" wp14:textId="77777777">
      <w:pPr>
        <w:pBdr>
          <w:top w:val="nil"/>
          <w:left w:val="nil"/>
          <w:bottom w:val="nil"/>
          <w:right w:val="nil"/>
          <w:between w:val="nil"/>
        </w:pBdr>
        <w:rPr>
          <w:color w:val="auto"/>
          <w:highlight w:val="white"/>
        </w:rPr>
      </w:pPr>
      <w:r w:rsidRPr="545238BC" w:rsidR="0098424F">
        <w:rPr>
          <w:color w:val="auto"/>
          <w:highlight w:val="white"/>
        </w:rPr>
        <w:t xml:space="preserve">Harmer, N., Bailey, I. and Hart, N., 2022. </w:t>
      </w:r>
      <w:bookmarkStart w:name="_Int_QvFSGeeR" w:id="1279910574"/>
      <w:r w:rsidRPr="545238BC" w:rsidR="0098424F">
        <w:rPr>
          <w:color w:val="auto"/>
          <w:highlight w:val="white"/>
        </w:rPr>
        <w:t xml:space="preserve">UK state identity-making and </w:t>
      </w:r>
      <w:bookmarkStart w:name="_Int_TS03e5Lw" w:id="876083596"/>
      <w:r w:rsidRPr="545238BC" w:rsidR="0098424F">
        <w:rPr>
          <w:color w:val="auto"/>
          <w:highlight w:val="white"/>
        </w:rPr>
        <w:t>British overseas territories</w:t>
      </w:r>
      <w:bookmarkEnd w:id="876083596"/>
      <w:r w:rsidRPr="545238BC" w:rsidR="0098424F">
        <w:rPr>
          <w:color w:val="auto"/>
          <w:highlight w:val="white"/>
        </w:rPr>
        <w:t>’ environments in times of ecological crisis and geopolitical change.</w:t>
      </w:r>
      <w:bookmarkEnd w:id="1279910574"/>
    </w:p>
    <w:p xmlns:wp14="http://schemas.microsoft.com/office/word/2010/wordml" w:rsidRPr="00D654C0" w:rsidR="0098424F" w:rsidRDefault="0098424F" w14:paraId="3240F36D" wp14:textId="77777777">
      <w:pPr>
        <w:pBdr>
          <w:top w:val="nil"/>
          <w:left w:val="nil"/>
          <w:bottom w:val="nil"/>
          <w:right w:val="nil"/>
          <w:between w:val="nil"/>
        </w:pBdr>
        <w:rPr>
          <w:color w:val="auto"/>
          <w:highlight w:val="white"/>
        </w:rPr>
      </w:pPr>
      <w:r w:rsidRPr="00D654C0">
        <w:rPr>
          <w:color w:val="auto"/>
          <w:highlight w:val="white"/>
        </w:rPr>
        <w:t xml:space="preserve">Huber, M., 2020. Mediation analysis. </w:t>
      </w:r>
      <w:r w:rsidRPr="00D654C0">
        <w:rPr>
          <w:i/>
          <w:color w:val="auto"/>
          <w:highlight w:val="white"/>
        </w:rPr>
        <w:t>Handbook of Labor, Human Resources and Population Economics</w:t>
      </w:r>
      <w:r w:rsidRPr="00D654C0">
        <w:rPr>
          <w:color w:val="auto"/>
          <w:highlight w:val="white"/>
        </w:rPr>
        <w:t>, pp.1-38.</w:t>
      </w:r>
    </w:p>
    <w:p xmlns:wp14="http://schemas.microsoft.com/office/word/2010/wordml" w:rsidRPr="00D654C0" w:rsidR="0098424F" w:rsidRDefault="0098424F" w14:paraId="22451C36" wp14:textId="77777777">
      <w:pPr>
        <w:pBdr>
          <w:top w:val="nil"/>
          <w:left w:val="nil"/>
          <w:bottom w:val="nil"/>
          <w:right w:val="nil"/>
          <w:between w:val="nil"/>
        </w:pBdr>
        <w:rPr>
          <w:color w:val="auto"/>
          <w:highlight w:val="white"/>
        </w:rPr>
      </w:pPr>
      <w:r w:rsidRPr="00D654C0">
        <w:rPr>
          <w:color w:val="auto"/>
          <w:highlight w:val="white"/>
        </w:rPr>
        <w:t>Johnson, G and Scholes, K., 2002. Exploring Corporate Strategy (6th edn), p206, Harlow, England: Pearson Education. Latest edition</w:t>
      </w:r>
    </w:p>
    <w:p xmlns:wp14="http://schemas.microsoft.com/office/word/2010/wordml" w:rsidRPr="00D654C0" w:rsidR="0098424F" w:rsidRDefault="0098424F" w14:paraId="703E9A74" wp14:textId="77777777">
      <w:pPr>
        <w:pBdr>
          <w:top w:val="nil"/>
          <w:left w:val="nil"/>
          <w:bottom w:val="nil"/>
          <w:right w:val="nil"/>
          <w:between w:val="nil"/>
        </w:pBdr>
        <w:rPr>
          <w:color w:val="auto"/>
          <w:highlight w:val="white"/>
        </w:rPr>
      </w:pPr>
      <w:r w:rsidRPr="545238BC" w:rsidR="0098424F">
        <w:rPr>
          <w:color w:val="auto"/>
          <w:highlight w:val="white"/>
        </w:rPr>
        <w:t xml:space="preserve">Kurt, I. and Aymelek, M., 2022. </w:t>
      </w:r>
      <w:bookmarkStart w:name="_Int_oby1TIJT" w:id="1495011290"/>
      <w:r w:rsidRPr="545238BC" w:rsidR="0098424F">
        <w:rPr>
          <w:color w:val="auto"/>
          <w:highlight w:val="white"/>
        </w:rPr>
        <w:t>Operational and economic advantages of autonomous ships and their perceived impacts on port operations.</w:t>
      </w:r>
      <w:bookmarkEnd w:id="1495011290"/>
      <w:r w:rsidRPr="545238BC" w:rsidR="0098424F">
        <w:rPr>
          <w:color w:val="auto"/>
          <w:highlight w:val="white"/>
        </w:rPr>
        <w:t xml:space="preserve"> </w:t>
      </w:r>
      <w:r w:rsidRPr="545238BC" w:rsidR="0098424F">
        <w:rPr>
          <w:i w:val="1"/>
          <w:iCs w:val="1"/>
          <w:color w:val="auto"/>
          <w:highlight w:val="white"/>
        </w:rPr>
        <w:t>Maritime Economics &amp; Logistics</w:t>
      </w:r>
      <w:r w:rsidRPr="545238BC" w:rsidR="0098424F">
        <w:rPr>
          <w:color w:val="auto"/>
          <w:highlight w:val="white"/>
        </w:rPr>
        <w:t>, pp.1-25.</w:t>
      </w:r>
    </w:p>
    <w:p xmlns:wp14="http://schemas.microsoft.com/office/word/2010/wordml" w:rsidRPr="00D654C0" w:rsidR="0098424F" w:rsidRDefault="0098424F" w14:paraId="78D2079E" wp14:textId="77777777">
      <w:pPr>
        <w:pBdr>
          <w:top w:val="nil"/>
          <w:left w:val="nil"/>
          <w:bottom w:val="nil"/>
          <w:right w:val="nil"/>
          <w:between w:val="nil"/>
        </w:pBdr>
        <w:rPr>
          <w:color w:val="auto"/>
          <w:highlight w:val="white"/>
        </w:rPr>
      </w:pPr>
      <w:r w:rsidRPr="545238BC" w:rsidR="0098424F">
        <w:rPr>
          <w:color w:val="auto"/>
          <w:highlight w:val="white"/>
        </w:rPr>
        <w:t xml:space="preserve">Mejía-Arauz, R., Rogoff, B., Dayton, A. and Henne-Ochoa, R., 2018. </w:t>
      </w:r>
      <w:bookmarkStart w:name="_Int_kHYGXiaV" w:id="448454146"/>
      <w:r w:rsidRPr="545238BC" w:rsidR="0098424F">
        <w:rPr>
          <w:color w:val="auto"/>
          <w:highlight w:val="white"/>
        </w:rPr>
        <w:t>Collaboration or negotiation: Two ways of interacting suggest how shared thinking develops.</w:t>
      </w:r>
      <w:bookmarkEnd w:id="448454146"/>
      <w:r w:rsidRPr="545238BC" w:rsidR="0098424F">
        <w:rPr>
          <w:color w:val="auto"/>
          <w:highlight w:val="white"/>
        </w:rPr>
        <w:t xml:space="preserve"> </w:t>
      </w:r>
      <w:r w:rsidRPr="545238BC" w:rsidR="0098424F">
        <w:rPr>
          <w:i w:val="1"/>
          <w:iCs w:val="1"/>
          <w:color w:val="auto"/>
          <w:highlight w:val="white"/>
        </w:rPr>
        <w:t>Current Opinion in Psychology</w:t>
      </w:r>
      <w:r w:rsidRPr="545238BC" w:rsidR="0098424F">
        <w:rPr>
          <w:color w:val="auto"/>
          <w:highlight w:val="white"/>
        </w:rPr>
        <w:t xml:space="preserve">, </w:t>
      </w:r>
      <w:r w:rsidRPr="545238BC" w:rsidR="0098424F">
        <w:rPr>
          <w:i w:val="1"/>
          <w:iCs w:val="1"/>
          <w:color w:val="auto"/>
          <w:highlight w:val="white"/>
        </w:rPr>
        <w:t>23</w:t>
      </w:r>
      <w:r w:rsidRPr="545238BC" w:rsidR="0098424F">
        <w:rPr>
          <w:color w:val="auto"/>
          <w:highlight w:val="white"/>
        </w:rPr>
        <w:t>, pp.117-123.</w:t>
      </w:r>
    </w:p>
    <w:p xmlns:wp14="http://schemas.microsoft.com/office/word/2010/wordml" w:rsidRPr="00D654C0" w:rsidR="0098424F" w:rsidRDefault="0098424F" w14:paraId="160F94A7" wp14:textId="77777777">
      <w:pPr>
        <w:pBdr>
          <w:top w:val="nil"/>
          <w:left w:val="nil"/>
          <w:bottom w:val="nil"/>
          <w:right w:val="nil"/>
          <w:between w:val="nil"/>
        </w:pBdr>
        <w:rPr>
          <w:color w:val="auto"/>
          <w:highlight w:val="white"/>
        </w:rPr>
      </w:pPr>
      <w:r w:rsidRPr="545238BC" w:rsidR="0098424F">
        <w:rPr>
          <w:color w:val="auto"/>
          <w:highlight w:val="white"/>
        </w:rPr>
        <w:t xml:space="preserve">Menkel-Meadow, C., 2021. </w:t>
      </w:r>
      <w:bookmarkStart w:name="_Int_aXwrJrRu" w:id="1198939141"/>
      <w:r w:rsidRPr="545238BC" w:rsidR="0098424F">
        <w:rPr>
          <w:color w:val="auto"/>
          <w:highlight w:val="white"/>
        </w:rPr>
        <w:t xml:space="preserve">What is </w:t>
      </w:r>
      <w:bookmarkStart w:name="_Int_UUm6XRUG" w:id="1990781346"/>
      <w:r w:rsidRPr="545238BC" w:rsidR="0098424F">
        <w:rPr>
          <w:color w:val="auto"/>
          <w:highlight w:val="white"/>
        </w:rPr>
        <w:t>an appropriate measure</w:t>
      </w:r>
      <w:bookmarkEnd w:id="1990781346"/>
      <w:r w:rsidRPr="545238BC" w:rsidR="0098424F">
        <w:rPr>
          <w:color w:val="auto"/>
          <w:highlight w:val="white"/>
        </w:rPr>
        <w:t xml:space="preserve"> of litigation? Quantification, </w:t>
      </w:r>
      <w:bookmarkStart w:name="_Int_ubLuM9yH" w:id="346133222"/>
      <w:r w:rsidRPr="545238BC" w:rsidR="0098424F">
        <w:rPr>
          <w:color w:val="auto"/>
          <w:highlight w:val="white"/>
        </w:rPr>
        <w:t>qualification</w:t>
      </w:r>
      <w:bookmarkEnd w:id="346133222"/>
      <w:r w:rsidRPr="545238BC" w:rsidR="0098424F">
        <w:rPr>
          <w:color w:val="auto"/>
          <w:highlight w:val="white"/>
        </w:rPr>
        <w:t xml:space="preserve"> and differentiation of dispute resolution. </w:t>
      </w:r>
      <w:r w:rsidRPr="545238BC" w:rsidR="0098424F">
        <w:rPr>
          <w:i w:val="1"/>
          <w:iCs w:val="1"/>
          <w:color w:val="auto"/>
          <w:highlight w:val="white"/>
        </w:rPr>
        <w:t>Quantification, Qualification and Differentiation of Dispute Resolution (July 29, 2020).</w:t>
      </w:r>
      <w:bookmarkEnd w:id="1198939141"/>
      <w:r w:rsidRPr="545238BC" w:rsidR="0098424F">
        <w:rPr>
          <w:i w:val="1"/>
          <w:iCs w:val="1"/>
          <w:color w:val="auto"/>
          <w:highlight w:val="white"/>
        </w:rPr>
        <w:t xml:space="preserve"> </w:t>
      </w:r>
      <w:proofErr w:type="spellStart"/>
      <w:r w:rsidRPr="545238BC" w:rsidR="0098424F">
        <w:rPr>
          <w:i w:val="1"/>
          <w:iCs w:val="1"/>
          <w:color w:val="auto"/>
          <w:highlight w:val="white"/>
        </w:rPr>
        <w:t>Oñati</w:t>
      </w:r>
      <w:proofErr w:type="spellEnd"/>
      <w:r w:rsidRPr="545238BC" w:rsidR="0098424F">
        <w:rPr>
          <w:i w:val="1"/>
          <w:iCs w:val="1"/>
          <w:color w:val="auto"/>
          <w:highlight w:val="white"/>
        </w:rPr>
        <w:t xml:space="preserve"> Socio-Legal Series</w:t>
      </w:r>
      <w:r w:rsidRPr="545238BC" w:rsidR="0098424F">
        <w:rPr>
          <w:color w:val="auto"/>
          <w:highlight w:val="white"/>
        </w:rPr>
        <w:t xml:space="preserve">, </w:t>
      </w:r>
      <w:r w:rsidRPr="545238BC" w:rsidR="0098424F">
        <w:rPr>
          <w:i w:val="1"/>
          <w:iCs w:val="1"/>
          <w:color w:val="auto"/>
          <w:highlight w:val="white"/>
        </w:rPr>
        <w:t>11</w:t>
      </w:r>
      <w:r w:rsidRPr="545238BC" w:rsidR="0098424F">
        <w:rPr>
          <w:color w:val="auto"/>
          <w:highlight w:val="white"/>
        </w:rPr>
        <w:t>(2), pp.2020-54.</w:t>
      </w:r>
    </w:p>
    <w:p xmlns:wp14="http://schemas.microsoft.com/office/word/2010/wordml" w:rsidRPr="00D654C0" w:rsidR="0098424F" w:rsidRDefault="0098424F" w14:paraId="45473BEB" wp14:textId="77777777">
      <w:pPr>
        <w:pBdr>
          <w:top w:val="nil"/>
          <w:left w:val="nil"/>
          <w:bottom w:val="nil"/>
          <w:right w:val="nil"/>
          <w:between w:val="nil"/>
        </w:pBdr>
        <w:rPr>
          <w:color w:val="auto"/>
          <w:highlight w:val="white"/>
        </w:rPr>
      </w:pPr>
      <w:r w:rsidRPr="545238BC" w:rsidR="0098424F">
        <w:rPr>
          <w:color w:val="auto"/>
          <w:highlight w:val="white"/>
        </w:rPr>
        <w:t xml:space="preserve">Menkel-Meadow, C.J., Porter-Love, L., Kupfer-Schneider, A. and Moffitt, M., 2018. </w:t>
      </w:r>
      <w:r w:rsidRPr="545238BC" w:rsidR="0098424F">
        <w:rPr>
          <w:i w:val="1"/>
          <w:iCs w:val="1"/>
          <w:color w:val="auto"/>
          <w:highlight w:val="white"/>
        </w:rPr>
        <w:t>Dispute resolution: Beyond the adversarial model</w:t>
      </w:r>
      <w:r w:rsidRPr="545238BC" w:rsidR="0098424F">
        <w:rPr>
          <w:color w:val="auto"/>
          <w:highlight w:val="white"/>
        </w:rPr>
        <w:t>. Aspen Publishers.</w:t>
      </w:r>
    </w:p>
    <w:p w:rsidR="545238BC" w:rsidP="545238BC" w:rsidRDefault="545238BC" w14:paraId="2F51E04D" w14:textId="24F84B3D">
      <w:pPr>
        <w:pStyle w:val="Normal"/>
        <w:rPr>
          <w:color w:val="auto"/>
          <w:highlight w:val="white"/>
        </w:rPr>
      </w:pPr>
      <w:r w:rsidRPr="545238BC" w:rsidR="545238BC">
        <w:rPr>
          <w:color w:val="auto"/>
          <w:highlight w:val="white"/>
        </w:rPr>
        <w:t xml:space="preserve">Mills, M.K., 1988. Overview and implications of alternative dispute resolution. </w:t>
      </w:r>
      <w:r w:rsidRPr="545238BC" w:rsidR="545238BC">
        <w:rPr>
          <w:i w:val="1"/>
          <w:iCs w:val="1"/>
          <w:color w:val="auto"/>
          <w:highlight w:val="white"/>
        </w:rPr>
        <w:t xml:space="preserve">Policy studies Journal </w:t>
      </w:r>
      <w:r w:rsidRPr="545238BC" w:rsidR="545238BC">
        <w:rPr>
          <w:i w:val="0"/>
          <w:iCs w:val="0"/>
          <w:color w:val="auto"/>
          <w:highlight w:val="white"/>
        </w:rPr>
        <w:t>16 (3), pp493.</w:t>
      </w:r>
    </w:p>
    <w:p w:rsidR="545238BC" w:rsidP="545238BC" w:rsidRDefault="545238BC" w14:paraId="7CA47A7A" w14:textId="44F30C9A">
      <w:pPr>
        <w:pStyle w:val="Normal"/>
        <w:rPr>
          <w:i w:val="0"/>
          <w:iCs w:val="0"/>
          <w:color w:val="000000" w:themeColor="text1" w:themeTint="FF" w:themeShade="FF"/>
          <w:highlight w:val="white"/>
        </w:rPr>
      </w:pPr>
      <w:r w:rsidRPr="545238BC" w:rsidR="545238BC">
        <w:rPr>
          <w:i w:val="0"/>
          <w:iCs w:val="0"/>
          <w:color w:val="auto"/>
          <w:highlight w:val="white"/>
        </w:rPr>
        <w:t xml:space="preserve">Molin, J.L., Thakur, C.S., Niebur, E., Etienne-cummings, R., 2021. A neuromorphic </w:t>
      </w:r>
      <w:bookmarkStart w:name="_Int_l1lc9bvn" w:id="2002012302"/>
      <w:r w:rsidRPr="545238BC" w:rsidR="545238BC">
        <w:rPr>
          <w:i w:val="0"/>
          <w:iCs w:val="0"/>
          <w:color w:val="auto"/>
          <w:highlight w:val="white"/>
        </w:rPr>
        <w:t>proto-object</w:t>
      </w:r>
      <w:bookmarkEnd w:id="2002012302"/>
      <w:r w:rsidRPr="545238BC" w:rsidR="545238BC">
        <w:rPr>
          <w:i w:val="0"/>
          <w:iCs w:val="0"/>
          <w:color w:val="auto"/>
          <w:highlight w:val="white"/>
        </w:rPr>
        <w:t xml:space="preserve"> based dynamic visual saliency model with a hybrid FPGA implementation. </w:t>
      </w:r>
      <w:r w:rsidRPr="545238BC" w:rsidR="545238BC">
        <w:rPr>
          <w:i w:val="1"/>
          <w:iCs w:val="1"/>
          <w:color w:val="auto"/>
          <w:highlight w:val="white"/>
        </w:rPr>
        <w:t>IEEE Transactions on Biomedical Circuits and Systems, 15 (3) pp.580-594.</w:t>
      </w:r>
    </w:p>
    <w:p xmlns:wp14="http://schemas.microsoft.com/office/word/2010/wordml" w:rsidRPr="00D654C0" w:rsidR="0098424F" w:rsidRDefault="0098424F" w14:paraId="1CE3ABAB" wp14:textId="77777777">
      <w:pPr>
        <w:pBdr>
          <w:top w:val="nil"/>
          <w:left w:val="nil"/>
          <w:bottom w:val="nil"/>
          <w:right w:val="nil"/>
          <w:between w:val="nil"/>
        </w:pBdr>
        <w:rPr>
          <w:color w:val="auto"/>
          <w:highlight w:val="white"/>
        </w:rPr>
      </w:pPr>
      <w:r w:rsidRPr="00D654C0">
        <w:rPr>
          <w:color w:val="auto"/>
          <w:highlight w:val="white"/>
        </w:rPr>
        <w:t xml:space="preserve">Morin, J., 2018. </w:t>
      </w:r>
      <w:r w:rsidRPr="00D654C0">
        <w:rPr>
          <w:i/>
          <w:color w:val="auto"/>
          <w:highlight w:val="white"/>
        </w:rPr>
        <w:t>Leadership and change management</w:t>
      </w:r>
      <w:r w:rsidRPr="00D654C0">
        <w:rPr>
          <w:color w:val="auto"/>
          <w:highlight w:val="white"/>
        </w:rPr>
        <w:t>. Scientific e-Resources.</w:t>
      </w:r>
    </w:p>
    <w:p xmlns:wp14="http://schemas.microsoft.com/office/word/2010/wordml" w:rsidRPr="00D654C0" w:rsidR="0098424F" w:rsidRDefault="0098424F" w14:paraId="4F65C248" wp14:textId="77777777">
      <w:pPr>
        <w:pBdr>
          <w:top w:val="nil"/>
          <w:left w:val="nil"/>
          <w:bottom w:val="nil"/>
          <w:right w:val="nil"/>
          <w:between w:val="nil"/>
        </w:pBdr>
        <w:rPr>
          <w:color w:val="auto"/>
          <w:highlight w:val="white"/>
        </w:rPr>
      </w:pPr>
      <w:r w:rsidRPr="00D654C0">
        <w:rPr>
          <w:color w:val="auto"/>
          <w:highlight w:val="white"/>
        </w:rPr>
        <w:t>Mutero, I.T., Mindu, T., Cele, W., Manyangadze, T. and Chimbari, M.J., 2022. Engaging youth in stakeholder analysis for developing community</w:t>
      </w:r>
      <w:r w:rsidRPr="00D654C0">
        <w:rPr>
          <w:rFonts w:ascii="Cambria Math" w:hAnsi="Cambria Math" w:eastAsia="Cambria Math" w:cs="Cambria Math"/>
          <w:color w:val="auto"/>
          <w:highlight w:val="white"/>
        </w:rPr>
        <w:t>‐</w:t>
      </w:r>
      <w:r w:rsidRPr="00D654C0">
        <w:rPr>
          <w:color w:val="auto"/>
          <w:highlight w:val="white"/>
        </w:rPr>
        <w:t>based digital innovations for mental health of young people in Ingwavuma community, in KwaZulu</w:t>
      </w:r>
      <w:r w:rsidRPr="00D654C0">
        <w:rPr>
          <w:rFonts w:ascii="Cambria Math" w:hAnsi="Cambria Math" w:eastAsia="Cambria Math" w:cs="Cambria Math"/>
          <w:color w:val="auto"/>
          <w:highlight w:val="white"/>
        </w:rPr>
        <w:t>‐</w:t>
      </w:r>
      <w:r w:rsidRPr="00D654C0">
        <w:rPr>
          <w:color w:val="auto"/>
          <w:highlight w:val="white"/>
        </w:rPr>
        <w:t xml:space="preserve">Natal Province, South Africa. </w:t>
      </w:r>
      <w:r w:rsidRPr="00D654C0">
        <w:rPr>
          <w:i/>
          <w:color w:val="auto"/>
          <w:highlight w:val="white"/>
        </w:rPr>
        <w:t>Health &amp; Social Care in the Community</w:t>
      </w:r>
      <w:r w:rsidRPr="00D654C0">
        <w:rPr>
          <w:color w:val="auto"/>
          <w:highlight w:val="white"/>
        </w:rPr>
        <w:t>.</w:t>
      </w:r>
    </w:p>
    <w:p xmlns:wp14="http://schemas.microsoft.com/office/word/2010/wordml" w:rsidRPr="00D654C0" w:rsidR="0098424F" w:rsidRDefault="0098424F" w14:paraId="43BB86E2" wp14:textId="77777777">
      <w:pPr>
        <w:pBdr>
          <w:top w:val="nil"/>
          <w:left w:val="nil"/>
          <w:bottom w:val="nil"/>
          <w:right w:val="nil"/>
          <w:between w:val="nil"/>
        </w:pBdr>
        <w:rPr>
          <w:color w:val="auto"/>
          <w:highlight w:val="white"/>
        </w:rPr>
      </w:pPr>
      <w:r w:rsidRPr="00D654C0">
        <w:rPr>
          <w:color w:val="auto"/>
          <w:highlight w:val="white"/>
        </w:rPr>
        <w:t xml:space="preserve">Neil Jeffrey, 2009. Stakeholder Engagement: A Road Map to Meaningful Engagement [pdf] </w:t>
      </w:r>
    </w:p>
    <w:p xmlns:wp14="http://schemas.microsoft.com/office/word/2010/wordml" w:rsidRPr="00D654C0" w:rsidR="0098424F" w:rsidRDefault="0098424F" w14:paraId="1BC58F88" wp14:textId="77777777">
      <w:pPr>
        <w:pBdr>
          <w:top w:val="nil"/>
          <w:left w:val="nil"/>
          <w:bottom w:val="nil"/>
          <w:right w:val="nil"/>
          <w:between w:val="nil"/>
        </w:pBdr>
        <w:rPr>
          <w:color w:val="auto"/>
          <w:highlight w:val="white"/>
        </w:rPr>
      </w:pPr>
      <w:r w:rsidRPr="545238BC" w:rsidR="0098424F">
        <w:rPr>
          <w:color w:val="auto"/>
          <w:highlight w:val="white"/>
        </w:rPr>
        <w:t xml:space="preserve">Nutt, P. and Backoff, R., 1992. </w:t>
      </w:r>
      <w:bookmarkStart w:name="_Int_VQpyKEmy" w:id="967926332"/>
      <w:r w:rsidRPr="545238BC" w:rsidR="0098424F">
        <w:rPr>
          <w:color w:val="auto"/>
          <w:highlight w:val="white"/>
        </w:rPr>
        <w:t xml:space="preserve">Strategic Management of Public and Third Sector Organizations: A Handbook for </w:t>
      </w:r>
      <w:bookmarkStart w:name="_Int_RlgeLeHU" w:id="671247897"/>
      <w:r w:rsidRPr="545238BC" w:rsidR="0098424F">
        <w:rPr>
          <w:color w:val="auto"/>
          <w:highlight w:val="white"/>
        </w:rPr>
        <w:t>Leaders ,</w:t>
      </w:r>
      <w:bookmarkEnd w:id="671247897"/>
      <w:r w:rsidRPr="545238BC" w:rsidR="0098424F">
        <w:rPr>
          <w:color w:val="auto"/>
          <w:highlight w:val="white"/>
        </w:rPr>
        <w:t xml:space="preserve"> p.439, San Francisco, CA: Jossey-Bass.</w:t>
      </w:r>
      <w:bookmarkEnd w:id="967926332"/>
    </w:p>
    <w:p xmlns:wp14="http://schemas.microsoft.com/office/word/2010/wordml" w:rsidRPr="00D654C0" w:rsidR="0098424F" w:rsidRDefault="0098424F" w14:paraId="6AAEF7CC" wp14:textId="77777777">
      <w:pPr>
        <w:pBdr>
          <w:top w:val="nil"/>
          <w:left w:val="nil"/>
          <w:bottom w:val="nil"/>
          <w:right w:val="nil"/>
          <w:between w:val="nil"/>
        </w:pBdr>
        <w:rPr>
          <w:color w:val="auto"/>
          <w:highlight w:val="white"/>
        </w:rPr>
      </w:pPr>
      <w:proofErr w:type="spellStart"/>
      <w:r w:rsidRPr="545238BC" w:rsidR="0098424F">
        <w:rPr>
          <w:color w:val="auto"/>
          <w:highlight w:val="white"/>
        </w:rPr>
        <w:t>Oruamabo</w:t>
      </w:r>
      <w:proofErr w:type="spellEnd"/>
      <w:r w:rsidRPr="545238BC" w:rsidR="0098424F">
        <w:rPr>
          <w:color w:val="auto"/>
          <w:highlight w:val="white"/>
        </w:rPr>
        <w:t xml:space="preserve">, P., 2022. </w:t>
      </w:r>
      <w:bookmarkStart w:name="_Int_tTYFyqZe" w:id="1570559139"/>
      <w:r w:rsidRPr="545238BC" w:rsidR="0098424F">
        <w:rPr>
          <w:i w:val="1"/>
          <w:iCs w:val="1"/>
          <w:color w:val="auto"/>
          <w:highlight w:val="white"/>
        </w:rPr>
        <w:t xml:space="preserve">The Role of Stakeholder Engagement in Mediating </w:t>
      </w:r>
      <w:bookmarkStart w:name="_Int_4gt1828D" w:id="518538438"/>
      <w:r w:rsidRPr="545238BC" w:rsidR="0098424F">
        <w:rPr>
          <w:i w:val="1"/>
          <w:iCs w:val="1"/>
          <w:color w:val="auto"/>
          <w:highlight w:val="white"/>
        </w:rPr>
        <w:t>A</w:t>
      </w:r>
      <w:bookmarkEnd w:id="518538438"/>
      <w:r w:rsidRPr="545238BC" w:rsidR="0098424F">
        <w:rPr>
          <w:i w:val="1"/>
          <w:iCs w:val="1"/>
          <w:color w:val="auto"/>
          <w:highlight w:val="white"/>
        </w:rPr>
        <w:t xml:space="preserve"> Social Licence A Case of The UK Shale Gas</w:t>
      </w:r>
      <w:r w:rsidRPr="545238BC" w:rsidR="0098424F">
        <w:rPr>
          <w:color w:val="auto"/>
          <w:highlight w:val="white"/>
        </w:rPr>
        <w:t xml:space="preserve"> (Doctoral dissertation, University of Dundee).</w:t>
      </w:r>
      <w:bookmarkEnd w:id="1570559139"/>
    </w:p>
    <w:p xmlns:wp14="http://schemas.microsoft.com/office/word/2010/wordml" w:rsidRPr="00D654C0" w:rsidR="0098424F" w:rsidRDefault="0098424F" w14:paraId="2E3E85C4" wp14:textId="77777777">
      <w:pPr>
        <w:pBdr>
          <w:top w:val="nil"/>
          <w:left w:val="nil"/>
          <w:bottom w:val="nil"/>
          <w:right w:val="nil"/>
          <w:between w:val="nil"/>
        </w:pBdr>
        <w:rPr>
          <w:color w:val="auto"/>
          <w:highlight w:val="white"/>
        </w:rPr>
      </w:pPr>
      <w:proofErr w:type="spellStart"/>
      <w:r w:rsidRPr="545238BC" w:rsidR="0098424F">
        <w:rPr>
          <w:color w:val="auto"/>
          <w:highlight w:val="white"/>
        </w:rPr>
        <w:t>Parmaksiz</w:t>
      </w:r>
      <w:proofErr w:type="spellEnd"/>
      <w:r w:rsidRPr="545238BC" w:rsidR="0098424F">
        <w:rPr>
          <w:color w:val="auto"/>
          <w:highlight w:val="white"/>
        </w:rPr>
        <w:t xml:space="preserve">, I., 2019. </w:t>
      </w:r>
      <w:bookmarkStart w:name="_Int_PfHEGobg" w:id="2059944204"/>
      <w:r w:rsidRPr="545238BC" w:rsidR="0098424F">
        <w:rPr>
          <w:color w:val="auto"/>
          <w:highlight w:val="white"/>
        </w:rPr>
        <w:t>Assertiveness as the Predictor of Adjustment to University Life amongst University Students.</w:t>
      </w:r>
      <w:bookmarkEnd w:id="2059944204"/>
      <w:r w:rsidRPr="545238BC" w:rsidR="0098424F">
        <w:rPr>
          <w:color w:val="auto"/>
          <w:highlight w:val="white"/>
        </w:rPr>
        <w:t xml:space="preserve"> </w:t>
      </w:r>
      <w:r w:rsidRPr="545238BC" w:rsidR="0098424F">
        <w:rPr>
          <w:i w:val="1"/>
          <w:iCs w:val="1"/>
          <w:color w:val="auto"/>
          <w:highlight w:val="white"/>
        </w:rPr>
        <w:t>International Journal of Instruction</w:t>
      </w:r>
      <w:r w:rsidRPr="545238BC" w:rsidR="0098424F">
        <w:rPr>
          <w:color w:val="auto"/>
          <w:highlight w:val="white"/>
        </w:rPr>
        <w:t xml:space="preserve">, </w:t>
      </w:r>
      <w:r w:rsidRPr="545238BC" w:rsidR="0098424F">
        <w:rPr>
          <w:i w:val="1"/>
          <w:iCs w:val="1"/>
          <w:color w:val="auto"/>
          <w:highlight w:val="white"/>
        </w:rPr>
        <w:t>12</w:t>
      </w:r>
      <w:r w:rsidRPr="545238BC" w:rsidR="0098424F">
        <w:rPr>
          <w:color w:val="auto"/>
          <w:highlight w:val="white"/>
        </w:rPr>
        <w:t>(4), pp.131-148.</w:t>
      </w:r>
    </w:p>
    <w:p xmlns:wp14="http://schemas.microsoft.com/office/word/2010/wordml" w:rsidRPr="00D654C0" w:rsidR="0098424F" w:rsidRDefault="0098424F" w14:paraId="2E36481D" wp14:textId="77777777">
      <w:pPr>
        <w:pBdr>
          <w:top w:val="nil"/>
          <w:left w:val="nil"/>
          <w:bottom w:val="nil"/>
          <w:right w:val="nil"/>
          <w:between w:val="nil"/>
        </w:pBdr>
        <w:rPr>
          <w:color w:val="auto"/>
          <w:highlight w:val="white"/>
        </w:rPr>
      </w:pPr>
      <w:r w:rsidRPr="545238BC" w:rsidR="0098424F">
        <w:rPr>
          <w:color w:val="auto"/>
          <w:highlight w:val="white"/>
        </w:rPr>
        <w:t xml:space="preserve">Petrovskaya, E., Deterding, S. and </w:t>
      </w:r>
      <w:proofErr w:type="spellStart"/>
      <w:r w:rsidRPr="545238BC" w:rsidR="0098424F">
        <w:rPr>
          <w:color w:val="auto"/>
          <w:highlight w:val="white"/>
        </w:rPr>
        <w:t>Zendle</w:t>
      </w:r>
      <w:proofErr w:type="spellEnd"/>
      <w:r w:rsidRPr="545238BC" w:rsidR="0098424F">
        <w:rPr>
          <w:color w:val="auto"/>
          <w:highlight w:val="white"/>
        </w:rPr>
        <w:t xml:space="preserve">, D.I., 2022, April. </w:t>
      </w:r>
      <w:bookmarkStart w:name="_Int_bOBNngd1" w:id="63617963"/>
      <w:r w:rsidRPr="545238BC" w:rsidR="0098424F">
        <w:rPr>
          <w:color w:val="auto"/>
          <w:highlight w:val="white"/>
        </w:rPr>
        <w:t>Prevalence and Salience of Problematic Microtransactions in Top-Grossing Mobile and PC Games: A Content Analysis of User Reviews.</w:t>
      </w:r>
      <w:bookmarkEnd w:id="63617963"/>
      <w:r w:rsidRPr="545238BC" w:rsidR="0098424F">
        <w:rPr>
          <w:color w:val="auto"/>
          <w:highlight w:val="white"/>
        </w:rPr>
        <w:t xml:space="preserve"> In </w:t>
      </w:r>
      <w:r w:rsidRPr="545238BC" w:rsidR="0098424F">
        <w:rPr>
          <w:i w:val="1"/>
          <w:iCs w:val="1"/>
          <w:color w:val="auto"/>
          <w:highlight w:val="white"/>
        </w:rPr>
        <w:t>CHI Conference on Human Factors in Computing Systems</w:t>
      </w:r>
      <w:r w:rsidRPr="545238BC" w:rsidR="0098424F">
        <w:rPr>
          <w:color w:val="auto"/>
          <w:highlight w:val="white"/>
        </w:rPr>
        <w:t xml:space="preserve"> (pp. 1-12).</w:t>
      </w:r>
    </w:p>
    <w:p xmlns:wp14="http://schemas.microsoft.com/office/word/2010/wordml" w:rsidRPr="00D654C0" w:rsidR="0098424F" w:rsidRDefault="0098424F" w14:paraId="2D989F70" wp14:textId="77777777">
      <w:pPr>
        <w:pBdr>
          <w:top w:val="nil"/>
          <w:left w:val="nil"/>
          <w:bottom w:val="nil"/>
          <w:right w:val="nil"/>
          <w:between w:val="nil"/>
        </w:pBdr>
        <w:rPr>
          <w:color w:val="auto"/>
          <w:highlight w:val="white"/>
        </w:rPr>
      </w:pPr>
      <w:r w:rsidRPr="545238BC" w:rsidR="0098424F">
        <w:rPr>
          <w:color w:val="auto"/>
          <w:highlight w:val="white"/>
        </w:rPr>
        <w:t xml:space="preserve">Rahman, A.E., Jabeen, S., Fernandes, G., Banik, G., Islam, J., Ameen, S., </w:t>
      </w:r>
      <w:proofErr w:type="spellStart"/>
      <w:r w:rsidRPr="545238BC" w:rsidR="0098424F">
        <w:rPr>
          <w:color w:val="auto"/>
          <w:highlight w:val="white"/>
        </w:rPr>
        <w:t>Ashrafee</w:t>
      </w:r>
      <w:proofErr w:type="spellEnd"/>
      <w:r w:rsidRPr="545238BC" w:rsidR="0098424F">
        <w:rPr>
          <w:color w:val="auto"/>
          <w:highlight w:val="white"/>
        </w:rPr>
        <w:t xml:space="preserve">, S., Hossain, A.T., </w:t>
      </w:r>
      <w:proofErr w:type="spellStart"/>
      <w:r w:rsidRPr="545238BC" w:rsidR="0098424F">
        <w:rPr>
          <w:color w:val="auto"/>
          <w:highlight w:val="white"/>
        </w:rPr>
        <w:t>Alam</w:t>
      </w:r>
      <w:proofErr w:type="spellEnd"/>
      <w:r w:rsidRPr="545238BC" w:rsidR="0098424F">
        <w:rPr>
          <w:color w:val="auto"/>
          <w:highlight w:val="white"/>
        </w:rPr>
        <w:t xml:space="preserve">, H.M.S., Majid, T. and </w:t>
      </w:r>
      <w:proofErr w:type="spellStart"/>
      <w:r w:rsidRPr="545238BC" w:rsidR="0098424F">
        <w:rPr>
          <w:color w:val="auto"/>
          <w:highlight w:val="white"/>
        </w:rPr>
        <w:t>Saberin</w:t>
      </w:r>
      <w:proofErr w:type="spellEnd"/>
      <w:r w:rsidRPr="545238BC" w:rsidR="0098424F">
        <w:rPr>
          <w:color w:val="auto"/>
          <w:highlight w:val="white"/>
        </w:rPr>
        <w:t xml:space="preserve">, A., 2022. </w:t>
      </w:r>
      <w:bookmarkStart w:name="_Int_urJlc15H" w:id="1205833593"/>
      <w:r w:rsidRPr="545238BC" w:rsidR="0098424F">
        <w:rPr>
          <w:color w:val="auto"/>
          <w:highlight w:val="white"/>
        </w:rPr>
        <w:t>Introducing pulse oximetry in routine IMCI services in Bangladesh: A context-driven approach to influence policy and programme through stakeholder engagement.</w:t>
      </w:r>
      <w:bookmarkEnd w:id="1205833593"/>
      <w:r w:rsidRPr="545238BC" w:rsidR="0098424F">
        <w:rPr>
          <w:color w:val="auto"/>
          <w:highlight w:val="white"/>
        </w:rPr>
        <w:t xml:space="preserve"> </w:t>
      </w:r>
      <w:r w:rsidRPr="545238BC" w:rsidR="0098424F">
        <w:rPr>
          <w:i w:val="1"/>
          <w:iCs w:val="1"/>
          <w:color w:val="auto"/>
          <w:highlight w:val="white"/>
        </w:rPr>
        <w:t>Journal of global health</w:t>
      </w:r>
      <w:r w:rsidRPr="545238BC" w:rsidR="0098424F">
        <w:rPr>
          <w:color w:val="auto"/>
          <w:highlight w:val="white"/>
        </w:rPr>
        <w:t xml:space="preserve">, </w:t>
      </w:r>
      <w:r w:rsidRPr="545238BC" w:rsidR="0098424F">
        <w:rPr>
          <w:i w:val="1"/>
          <w:iCs w:val="1"/>
          <w:color w:val="auto"/>
          <w:highlight w:val="white"/>
        </w:rPr>
        <w:t>12</w:t>
      </w:r>
      <w:r w:rsidRPr="545238BC" w:rsidR="0098424F">
        <w:rPr>
          <w:color w:val="auto"/>
          <w:highlight w:val="white"/>
        </w:rPr>
        <w:t>, pp.06001-06001.</w:t>
      </w:r>
    </w:p>
    <w:p xmlns:wp14="http://schemas.microsoft.com/office/word/2010/wordml" w:rsidRPr="00D654C0" w:rsidR="0098424F" w:rsidRDefault="0098424F" w14:paraId="170033CE" wp14:textId="77777777">
      <w:pPr>
        <w:pBdr>
          <w:top w:val="nil"/>
          <w:left w:val="nil"/>
          <w:bottom w:val="nil"/>
          <w:right w:val="nil"/>
          <w:between w:val="nil"/>
        </w:pBdr>
        <w:rPr>
          <w:color w:val="auto"/>
          <w:highlight w:val="white"/>
        </w:rPr>
      </w:pPr>
      <w:r w:rsidRPr="00D654C0">
        <w:rPr>
          <w:color w:val="auto"/>
          <w:highlight w:val="white"/>
        </w:rPr>
        <w:t>Raum, S. and Rawlings-Sanaei, F., 2022. WCM: A web content</w:t>
      </w:r>
      <w:r w:rsidRPr="00D654C0">
        <w:rPr>
          <w:rFonts w:ascii="Cambria Math" w:hAnsi="Cambria Math" w:eastAsia="Cambria Math" w:cs="Cambria Math"/>
          <w:color w:val="auto"/>
          <w:highlight w:val="white"/>
        </w:rPr>
        <w:t>‐</w:t>
      </w:r>
      <w:r w:rsidRPr="00D654C0">
        <w:rPr>
          <w:color w:val="auto"/>
          <w:highlight w:val="white"/>
        </w:rPr>
        <w:t xml:space="preserve">based method of stakeholder analysis. </w:t>
      </w:r>
      <w:r w:rsidRPr="00D654C0">
        <w:rPr>
          <w:i/>
          <w:color w:val="auto"/>
          <w:highlight w:val="white"/>
        </w:rPr>
        <w:t>MethodsX</w:t>
      </w:r>
      <w:r w:rsidRPr="00D654C0">
        <w:rPr>
          <w:color w:val="auto"/>
          <w:highlight w:val="white"/>
        </w:rPr>
        <w:t xml:space="preserve">, </w:t>
      </w:r>
      <w:r w:rsidRPr="00D654C0">
        <w:rPr>
          <w:i/>
          <w:color w:val="auto"/>
          <w:highlight w:val="white"/>
        </w:rPr>
        <w:t>9</w:t>
      </w:r>
      <w:r w:rsidRPr="00D654C0">
        <w:rPr>
          <w:color w:val="auto"/>
          <w:highlight w:val="white"/>
        </w:rPr>
        <w:t>, p.101635.</w:t>
      </w:r>
    </w:p>
    <w:p xmlns:wp14="http://schemas.microsoft.com/office/word/2010/wordml" w:rsidRPr="00D654C0" w:rsidR="0098424F" w:rsidRDefault="0098424F" w14:paraId="79324438" wp14:textId="77777777">
      <w:pPr>
        <w:pBdr>
          <w:top w:val="nil"/>
          <w:left w:val="nil"/>
          <w:bottom w:val="nil"/>
          <w:right w:val="nil"/>
          <w:between w:val="nil"/>
        </w:pBdr>
        <w:rPr>
          <w:color w:val="auto"/>
          <w:highlight w:val="white"/>
        </w:rPr>
      </w:pPr>
      <w:r w:rsidRPr="00D654C0">
        <w:rPr>
          <w:color w:val="auto"/>
          <w:highlight w:val="white"/>
        </w:rPr>
        <w:t xml:space="preserve">Rodrigues, D.L., Huic, A., Lopes, D. and Kumashiro, M., 2019. Regulatory focus in relationships and conflict resolution strategies. </w:t>
      </w:r>
      <w:r w:rsidRPr="00D654C0">
        <w:rPr>
          <w:i/>
          <w:color w:val="auto"/>
          <w:highlight w:val="white"/>
        </w:rPr>
        <w:t>Personality and Individual Differences</w:t>
      </w:r>
      <w:r w:rsidRPr="00D654C0">
        <w:rPr>
          <w:color w:val="auto"/>
          <w:highlight w:val="white"/>
        </w:rPr>
        <w:t xml:space="preserve">, </w:t>
      </w:r>
      <w:r w:rsidRPr="00D654C0">
        <w:rPr>
          <w:i/>
          <w:color w:val="auto"/>
          <w:highlight w:val="white"/>
        </w:rPr>
        <w:t>142</w:t>
      </w:r>
      <w:r w:rsidRPr="00D654C0">
        <w:rPr>
          <w:color w:val="auto"/>
          <w:highlight w:val="white"/>
        </w:rPr>
        <w:t>, pp.116-121.</w:t>
      </w:r>
    </w:p>
    <w:p xmlns:wp14="http://schemas.microsoft.com/office/word/2010/wordml" w:rsidRPr="00D654C0" w:rsidR="0098424F" w:rsidRDefault="0098424F" w14:paraId="1EA81C24" wp14:textId="77777777">
      <w:pPr>
        <w:pBdr>
          <w:top w:val="nil"/>
          <w:left w:val="nil"/>
          <w:bottom w:val="nil"/>
          <w:right w:val="nil"/>
          <w:between w:val="nil"/>
        </w:pBdr>
        <w:rPr>
          <w:color w:val="auto"/>
          <w:highlight w:val="white"/>
        </w:rPr>
      </w:pPr>
      <w:r w:rsidRPr="545238BC" w:rsidR="0098424F">
        <w:rPr>
          <w:color w:val="auto"/>
          <w:highlight w:val="white"/>
        </w:rPr>
        <w:t xml:space="preserve">Schell, W.J., 2019. Leadership and change management. In </w:t>
      </w:r>
      <w:r w:rsidRPr="545238BC" w:rsidR="0098424F">
        <w:rPr>
          <w:i w:val="1"/>
          <w:iCs w:val="1"/>
          <w:color w:val="auto"/>
          <w:highlight w:val="white"/>
        </w:rPr>
        <w:t>Traffic Safety Culture</w:t>
      </w:r>
      <w:r w:rsidRPr="545238BC" w:rsidR="0098424F">
        <w:rPr>
          <w:color w:val="auto"/>
          <w:highlight w:val="white"/>
        </w:rPr>
        <w:t>. Emerald Publishing Limited.</w:t>
      </w:r>
    </w:p>
    <w:p w:rsidR="545238BC" w:rsidP="545238BC" w:rsidRDefault="545238BC" w14:paraId="39FEA489" w14:textId="5A707F33">
      <w:pPr>
        <w:pStyle w:val="Normal"/>
        <w:rPr>
          <w:color w:val="000000" w:themeColor="text1" w:themeTint="FF" w:themeShade="FF"/>
          <w:highlight w:val="white"/>
        </w:rPr>
      </w:pPr>
      <w:r w:rsidRPr="545238BC" w:rsidR="545238BC">
        <w:rPr>
          <w:color w:val="auto"/>
          <w:highlight w:val="white"/>
        </w:rPr>
        <w:t xml:space="preserve">Shavell, S., 1995. Alternative dispute resolution: an economic analysis. </w:t>
      </w:r>
      <w:r w:rsidRPr="545238BC" w:rsidR="545238BC">
        <w:rPr>
          <w:i w:val="1"/>
          <w:iCs w:val="1"/>
          <w:color w:val="auto"/>
          <w:highlight w:val="white"/>
        </w:rPr>
        <w:t xml:space="preserve">The Journal of Legal Studies, 24 (1), </w:t>
      </w:r>
      <w:r w:rsidRPr="545238BC" w:rsidR="545238BC">
        <w:rPr>
          <w:i w:val="0"/>
          <w:iCs w:val="0"/>
          <w:color w:val="auto"/>
          <w:highlight w:val="white"/>
        </w:rPr>
        <w:t>pp.1-28.</w:t>
      </w:r>
    </w:p>
    <w:p xmlns:wp14="http://schemas.microsoft.com/office/word/2010/wordml" w:rsidRPr="00D654C0" w:rsidR="0098424F" w:rsidRDefault="0098424F" w14:paraId="014A1D24" wp14:textId="77777777">
      <w:pPr>
        <w:pBdr>
          <w:top w:val="nil"/>
          <w:left w:val="nil"/>
          <w:bottom w:val="nil"/>
          <w:right w:val="nil"/>
          <w:between w:val="nil"/>
        </w:pBdr>
        <w:rPr>
          <w:color w:val="auto"/>
          <w:highlight w:val="white"/>
        </w:rPr>
      </w:pPr>
      <w:proofErr w:type="spellStart"/>
      <w:r w:rsidRPr="545238BC" w:rsidR="0098424F">
        <w:rPr>
          <w:color w:val="auto"/>
          <w:highlight w:val="white"/>
        </w:rPr>
        <w:t>Szolucha</w:t>
      </w:r>
      <w:proofErr w:type="spellEnd"/>
      <w:r w:rsidRPr="545238BC" w:rsidR="0098424F">
        <w:rPr>
          <w:color w:val="auto"/>
          <w:highlight w:val="white"/>
        </w:rPr>
        <w:t xml:space="preserve">, A., 2018. Anticipating fracking: Shale gas developments and the politics of time in Lancashire, UK. </w:t>
      </w:r>
      <w:r w:rsidRPr="545238BC" w:rsidR="0098424F">
        <w:rPr>
          <w:i w:val="1"/>
          <w:iCs w:val="1"/>
          <w:color w:val="auto"/>
          <w:highlight w:val="white"/>
        </w:rPr>
        <w:t>The Extractive Industries and Society</w:t>
      </w:r>
      <w:r w:rsidRPr="545238BC" w:rsidR="0098424F">
        <w:rPr>
          <w:color w:val="auto"/>
          <w:highlight w:val="white"/>
        </w:rPr>
        <w:t xml:space="preserve">, </w:t>
      </w:r>
      <w:r w:rsidRPr="545238BC" w:rsidR="0098424F">
        <w:rPr>
          <w:i w:val="1"/>
          <w:iCs w:val="1"/>
          <w:color w:val="auto"/>
          <w:highlight w:val="white"/>
        </w:rPr>
        <w:t>5</w:t>
      </w:r>
      <w:r w:rsidRPr="545238BC" w:rsidR="0098424F">
        <w:rPr>
          <w:color w:val="auto"/>
          <w:highlight w:val="white"/>
        </w:rPr>
        <w:t>(3), pp.348-355.</w:t>
      </w:r>
    </w:p>
    <w:p w:rsidR="545238BC" w:rsidP="545238BC" w:rsidRDefault="545238BC" w14:paraId="58D0F4C2" w14:textId="4CAC5852">
      <w:pPr>
        <w:pStyle w:val="Normal"/>
        <w:rPr>
          <w:color w:val="auto"/>
          <w:highlight w:val="white"/>
        </w:rPr>
      </w:pPr>
      <w:r w:rsidRPr="545238BC" w:rsidR="545238BC">
        <w:rPr>
          <w:color w:val="auto"/>
          <w:highlight w:val="white"/>
        </w:rPr>
        <w:t xml:space="preserve">The Sun., 2022. Available at: </w:t>
      </w:r>
      <w:hyperlink r:id="Rc62f2f155ec748ea">
        <w:r w:rsidRPr="545238BC" w:rsidR="545238BC">
          <w:rPr>
            <w:rStyle w:val="Hyperlink"/>
            <w:highlight w:val="white"/>
          </w:rPr>
          <w:t>https://www.thesun.co.uk/money/19033589/post-office-strike-location-branch-open/</w:t>
        </w:r>
      </w:hyperlink>
      <w:r w:rsidRPr="545238BC" w:rsidR="545238BC">
        <w:rPr>
          <w:color w:val="auto"/>
          <w:highlight w:val="white"/>
        </w:rPr>
        <w:t xml:space="preserve"> [Accessed: 24 July 2022]</w:t>
      </w:r>
    </w:p>
    <w:p w:rsidR="545238BC" w:rsidP="545238BC" w:rsidRDefault="545238BC" w14:paraId="41ED0104" w14:textId="34A9FE47">
      <w:pPr>
        <w:pStyle w:val="Normal"/>
        <w:rPr>
          <w:color w:val="000000" w:themeColor="text1" w:themeTint="FF" w:themeShade="FF"/>
          <w:highlight w:val="white"/>
        </w:rPr>
      </w:pPr>
      <w:r w:rsidRPr="545238BC" w:rsidR="545238BC">
        <w:rPr>
          <w:color w:val="auto"/>
          <w:highlight w:val="white"/>
        </w:rPr>
        <w:t>Thomas, K.W., 2008. Thomas-</w:t>
      </w:r>
      <w:proofErr w:type="spellStart"/>
      <w:r w:rsidRPr="545238BC" w:rsidR="545238BC">
        <w:rPr>
          <w:color w:val="auto"/>
          <w:highlight w:val="white"/>
        </w:rPr>
        <w:t>kilmann</w:t>
      </w:r>
      <w:proofErr w:type="spellEnd"/>
      <w:r w:rsidRPr="545238BC" w:rsidR="545238BC">
        <w:rPr>
          <w:color w:val="auto"/>
          <w:highlight w:val="white"/>
        </w:rPr>
        <w:t xml:space="preserve"> conflict mode. </w:t>
      </w:r>
      <w:r w:rsidRPr="545238BC" w:rsidR="545238BC">
        <w:rPr>
          <w:i w:val="1"/>
          <w:iCs w:val="1"/>
          <w:color w:val="auto"/>
          <w:highlight w:val="white"/>
        </w:rPr>
        <w:t>TKI Profile and Interpretive Report, 1 (11).</w:t>
      </w:r>
    </w:p>
    <w:p xmlns:wp14="http://schemas.microsoft.com/office/word/2010/wordml" w:rsidRPr="00D654C0" w:rsidR="0098424F" w:rsidRDefault="0098424F" w14:paraId="7CACC8D5" wp14:textId="77777777">
      <w:pPr>
        <w:pBdr>
          <w:top w:val="nil"/>
          <w:left w:val="nil"/>
          <w:bottom w:val="nil"/>
          <w:right w:val="nil"/>
          <w:between w:val="nil"/>
        </w:pBdr>
        <w:rPr>
          <w:color w:val="auto"/>
          <w:highlight w:val="white"/>
        </w:rPr>
      </w:pPr>
      <w:r w:rsidRPr="545238BC" w:rsidR="0098424F">
        <w:rPr>
          <w:color w:val="auto"/>
          <w:highlight w:val="white"/>
        </w:rPr>
        <w:t xml:space="preserve">Todeschini, G., Coles, D., Lewis, M., Popov, I., </w:t>
      </w:r>
      <w:proofErr w:type="spellStart"/>
      <w:r w:rsidRPr="545238BC" w:rsidR="0098424F">
        <w:rPr>
          <w:color w:val="auto"/>
          <w:highlight w:val="white"/>
        </w:rPr>
        <w:t>Angeloudis</w:t>
      </w:r>
      <w:proofErr w:type="spellEnd"/>
      <w:r w:rsidRPr="545238BC" w:rsidR="0098424F">
        <w:rPr>
          <w:color w:val="auto"/>
          <w:highlight w:val="white"/>
        </w:rPr>
        <w:t xml:space="preserve">, A., Fairley, I., Johnson, F., Williams, A.J., Robins, P. and Masters, I., 2022. </w:t>
      </w:r>
      <w:bookmarkStart w:name="_Int_F8KpsP89" w:id="705990489"/>
      <w:r w:rsidRPr="545238BC" w:rsidR="0098424F">
        <w:rPr>
          <w:color w:val="auto"/>
          <w:highlight w:val="white"/>
        </w:rPr>
        <w:t xml:space="preserve">Medium-term variability of the UK's </w:t>
      </w:r>
      <w:bookmarkStart w:name="_Int_iPJyIt9E" w:id="1036435345"/>
      <w:r w:rsidRPr="545238BC" w:rsidR="0098424F">
        <w:rPr>
          <w:color w:val="auto"/>
          <w:highlight w:val="white"/>
        </w:rPr>
        <w:t>combined</w:t>
      </w:r>
      <w:bookmarkEnd w:id="1036435345"/>
      <w:r w:rsidRPr="545238BC" w:rsidR="0098424F">
        <w:rPr>
          <w:color w:val="auto"/>
          <w:highlight w:val="white"/>
        </w:rPr>
        <w:t xml:space="preserve"> tidal energy resource for a net-zero carbon grid.</w:t>
      </w:r>
      <w:bookmarkEnd w:id="705990489"/>
      <w:r w:rsidRPr="545238BC" w:rsidR="0098424F">
        <w:rPr>
          <w:color w:val="auto"/>
          <w:highlight w:val="white"/>
        </w:rPr>
        <w:t xml:space="preserve"> </w:t>
      </w:r>
      <w:r w:rsidRPr="545238BC" w:rsidR="0098424F">
        <w:rPr>
          <w:i w:val="1"/>
          <w:iCs w:val="1"/>
          <w:color w:val="auto"/>
          <w:highlight w:val="white"/>
        </w:rPr>
        <w:t>Energy</w:t>
      </w:r>
      <w:r w:rsidRPr="545238BC" w:rsidR="0098424F">
        <w:rPr>
          <w:color w:val="auto"/>
          <w:highlight w:val="white"/>
        </w:rPr>
        <w:t xml:space="preserve">, </w:t>
      </w:r>
      <w:r w:rsidRPr="545238BC" w:rsidR="0098424F">
        <w:rPr>
          <w:i w:val="1"/>
          <w:iCs w:val="1"/>
          <w:color w:val="auto"/>
          <w:highlight w:val="white"/>
        </w:rPr>
        <w:t>238</w:t>
      </w:r>
      <w:r w:rsidRPr="545238BC" w:rsidR="0098424F">
        <w:rPr>
          <w:color w:val="auto"/>
          <w:highlight w:val="white"/>
        </w:rPr>
        <w:t>, p.121990.</w:t>
      </w:r>
    </w:p>
    <w:p w:rsidR="545238BC" w:rsidP="545238BC" w:rsidRDefault="545238BC" w14:paraId="4E03736F" w14:textId="7117A415">
      <w:pPr>
        <w:pStyle w:val="Normal"/>
        <w:rPr>
          <w:color w:val="000000" w:themeColor="text1" w:themeTint="FF" w:themeShade="FF"/>
          <w:highlight w:val="white"/>
        </w:rPr>
      </w:pPr>
      <w:r w:rsidRPr="545238BC" w:rsidR="545238BC">
        <w:rPr>
          <w:color w:val="auto"/>
          <w:highlight w:val="white"/>
        </w:rPr>
        <w:t xml:space="preserve">Tombs, R.C., 2021. The Bristol Royal Mail: Post, Telegraph, and Telephone. </w:t>
      </w:r>
      <w:r w:rsidRPr="545238BC" w:rsidR="545238BC">
        <w:rPr>
          <w:i w:val="1"/>
          <w:iCs w:val="1"/>
          <w:color w:val="auto"/>
          <w:highlight w:val="white"/>
        </w:rPr>
        <w:t>Good Press 2021.</w:t>
      </w:r>
    </w:p>
    <w:p w:rsidR="545238BC" w:rsidP="545238BC" w:rsidRDefault="545238BC" w14:paraId="4A49288A" w14:textId="4D4C0240">
      <w:pPr>
        <w:pStyle w:val="Normal"/>
        <w:rPr>
          <w:i w:val="0"/>
          <w:iCs w:val="0"/>
          <w:color w:val="auto"/>
          <w:highlight w:val="white"/>
        </w:rPr>
      </w:pPr>
      <w:r w:rsidRPr="545238BC" w:rsidR="545238BC">
        <w:rPr>
          <w:i w:val="0"/>
          <w:iCs w:val="0"/>
          <w:color w:val="auto"/>
          <w:highlight w:val="white"/>
        </w:rPr>
        <w:t xml:space="preserve">Wallace, K., Michopoulou, E., 2019. The stakeholder sandwich: A new stakeholder analysis model for events and festivals. </w:t>
      </w:r>
      <w:r w:rsidRPr="545238BC" w:rsidR="545238BC">
        <w:rPr>
          <w:i w:val="1"/>
          <w:iCs w:val="1"/>
          <w:color w:val="auto"/>
          <w:highlight w:val="white"/>
        </w:rPr>
        <w:t xml:space="preserve">Event Management, 23 (4-5), </w:t>
      </w:r>
      <w:r w:rsidRPr="545238BC" w:rsidR="545238BC">
        <w:rPr>
          <w:i w:val="0"/>
          <w:iCs w:val="0"/>
          <w:color w:val="auto"/>
          <w:highlight w:val="white"/>
        </w:rPr>
        <w:t>pp.541-558.</w:t>
      </w:r>
    </w:p>
    <w:p w:rsidR="545238BC" w:rsidP="545238BC" w:rsidRDefault="545238BC" w14:paraId="375745FE" w14:textId="478C3027">
      <w:pPr>
        <w:pStyle w:val="Normal"/>
        <w:rPr>
          <w:i w:val="1"/>
          <w:iCs w:val="1"/>
          <w:color w:val="auto"/>
          <w:highlight w:val="white"/>
        </w:rPr>
      </w:pPr>
      <w:r w:rsidRPr="545238BC" w:rsidR="545238BC">
        <w:rPr>
          <w:i w:val="0"/>
          <w:iCs w:val="0"/>
          <w:color w:val="auto"/>
          <w:highlight w:val="white"/>
        </w:rPr>
        <w:t xml:space="preserve">Wang, Y., and Elmasry, K., 2021. How to improve Conflict Management in Hospitals in the Healthcare Industry. </w:t>
      </w:r>
      <w:r w:rsidRPr="545238BC" w:rsidR="545238BC">
        <w:rPr>
          <w:i w:val="1"/>
          <w:iCs w:val="1"/>
          <w:color w:val="auto"/>
          <w:highlight w:val="white"/>
        </w:rPr>
        <w:t xml:space="preserve">International Workshop of Advanced Manufacturing and Automation, </w:t>
      </w:r>
      <w:r w:rsidRPr="545238BC" w:rsidR="545238BC">
        <w:rPr>
          <w:i w:val="0"/>
          <w:iCs w:val="0"/>
          <w:color w:val="auto"/>
          <w:highlight w:val="white"/>
        </w:rPr>
        <w:t>pp.495-499.</w:t>
      </w:r>
    </w:p>
    <w:p xmlns:wp14="http://schemas.microsoft.com/office/word/2010/wordml" w:rsidRPr="00D654C0" w:rsidR="0098424F" w:rsidRDefault="0098424F" w14:paraId="11E742FF" wp14:textId="77777777">
      <w:pPr>
        <w:pBdr>
          <w:top w:val="nil"/>
          <w:left w:val="nil"/>
          <w:bottom w:val="nil"/>
          <w:right w:val="nil"/>
          <w:between w:val="nil"/>
        </w:pBdr>
        <w:rPr>
          <w:color w:val="auto"/>
          <w:highlight w:val="white"/>
        </w:rPr>
      </w:pPr>
      <w:r w:rsidRPr="545238BC" w:rsidR="0098424F">
        <w:rPr>
          <w:color w:val="auto"/>
          <w:highlight w:val="white"/>
        </w:rPr>
        <w:t xml:space="preserve">Wang, Y., Wang, J. and He, W., 2022. </w:t>
      </w:r>
      <w:bookmarkStart w:name="_Int_JZMM89r8" w:id="599739656"/>
      <w:r w:rsidRPr="545238BC" w:rsidR="0098424F">
        <w:rPr>
          <w:color w:val="auto"/>
          <w:highlight w:val="white"/>
        </w:rPr>
        <w:t xml:space="preserve">Development of efficient, </w:t>
      </w:r>
      <w:bookmarkStart w:name="_Int_HvBHMmS7" w:id="2106222145"/>
      <w:r w:rsidRPr="545238BC" w:rsidR="0098424F">
        <w:rPr>
          <w:color w:val="auto"/>
          <w:highlight w:val="white"/>
        </w:rPr>
        <w:t>flexible</w:t>
      </w:r>
      <w:bookmarkEnd w:id="2106222145"/>
      <w:r w:rsidRPr="545238BC" w:rsidR="0098424F">
        <w:rPr>
          <w:color w:val="auto"/>
          <w:highlight w:val="white"/>
        </w:rPr>
        <w:t xml:space="preserve"> and affordable heat pumps for supporting heat and power decarbonisation in the UK and beyond: Review and perspectives. </w:t>
      </w:r>
      <w:r w:rsidRPr="545238BC" w:rsidR="0098424F">
        <w:rPr>
          <w:i w:val="1"/>
          <w:iCs w:val="1"/>
          <w:color w:val="auto"/>
          <w:highlight w:val="white"/>
        </w:rPr>
        <w:t>Renewable and Sustainable Energy Reviews</w:t>
      </w:r>
      <w:r w:rsidRPr="545238BC" w:rsidR="0098424F">
        <w:rPr>
          <w:color w:val="auto"/>
          <w:highlight w:val="white"/>
        </w:rPr>
        <w:t xml:space="preserve">, </w:t>
      </w:r>
      <w:r w:rsidRPr="545238BC" w:rsidR="0098424F">
        <w:rPr>
          <w:i w:val="1"/>
          <w:iCs w:val="1"/>
          <w:color w:val="auto"/>
          <w:highlight w:val="white"/>
        </w:rPr>
        <w:t>154</w:t>
      </w:r>
      <w:r w:rsidRPr="545238BC" w:rsidR="0098424F">
        <w:rPr>
          <w:color w:val="auto"/>
          <w:highlight w:val="white"/>
        </w:rPr>
        <w:t>, p.111747.</w:t>
      </w:r>
      <w:bookmarkEnd w:id="599739656"/>
    </w:p>
    <w:p w:rsidR="545238BC" w:rsidP="545238BC" w:rsidRDefault="545238BC" w14:paraId="6F53EBFB" w14:textId="4C85A27D">
      <w:pPr>
        <w:pStyle w:val="Normal"/>
        <w:rPr>
          <w:i w:val="0"/>
          <w:iCs w:val="0"/>
          <w:color w:val="auto"/>
          <w:highlight w:val="white"/>
        </w:rPr>
      </w:pPr>
      <w:r w:rsidRPr="545238BC" w:rsidR="545238BC">
        <w:rPr>
          <w:i w:val="0"/>
          <w:iCs w:val="0"/>
          <w:color w:val="auto"/>
          <w:highlight w:val="white"/>
        </w:rPr>
        <w:t xml:space="preserve">Wu, G., 2019. “Documentary Politics” Hypotheses, process, and case studies. </w:t>
      </w:r>
      <w:r w:rsidRPr="545238BC" w:rsidR="545238BC">
        <w:rPr>
          <w:i w:val="1"/>
          <w:iCs w:val="1"/>
          <w:color w:val="auto"/>
          <w:highlight w:val="white"/>
        </w:rPr>
        <w:t xml:space="preserve">Decision-making in Deng’s China, </w:t>
      </w:r>
      <w:r w:rsidRPr="545238BC" w:rsidR="545238BC">
        <w:rPr>
          <w:i w:val="0"/>
          <w:iCs w:val="0"/>
          <w:color w:val="auto"/>
          <w:highlight w:val="white"/>
        </w:rPr>
        <w:t>pp.24-38</w:t>
      </w:r>
    </w:p>
    <w:p xmlns:wp14="http://schemas.microsoft.com/office/word/2010/wordml" w:rsidRPr="00D654C0" w:rsidR="001B1A4E" w:rsidRDefault="001B1A4E" w14:paraId="41C8F396" wp14:textId="77777777">
      <w:pPr>
        <w:pBdr>
          <w:top w:val="nil"/>
          <w:left w:val="nil"/>
          <w:bottom w:val="nil"/>
          <w:right w:val="nil"/>
          <w:between w:val="nil"/>
        </w:pBdr>
        <w:rPr>
          <w:color w:val="auto"/>
          <w:highlight w:val="white"/>
        </w:rPr>
      </w:pPr>
    </w:p>
    <w:p xmlns:wp14="http://schemas.microsoft.com/office/word/2010/wordml" w:rsidRPr="00D654C0" w:rsidR="001B1A4E" w:rsidRDefault="001B1A4E" w14:paraId="72A3D3EC" wp14:textId="77777777">
      <w:pPr>
        <w:pBdr>
          <w:top w:val="nil"/>
          <w:left w:val="nil"/>
          <w:bottom w:val="nil"/>
          <w:right w:val="nil"/>
          <w:between w:val="nil"/>
        </w:pBdr>
        <w:rPr>
          <w:color w:val="auto"/>
          <w:highlight w:val="white"/>
        </w:rPr>
      </w:pPr>
    </w:p>
    <w:p xmlns:wp14="http://schemas.microsoft.com/office/word/2010/wordml" w:rsidRPr="00D654C0" w:rsidR="001B1A4E" w:rsidRDefault="001B1A4E" w14:paraId="0D0B940D" wp14:textId="77777777">
      <w:pPr>
        <w:pBdr>
          <w:top w:val="nil"/>
          <w:left w:val="nil"/>
          <w:bottom w:val="nil"/>
          <w:right w:val="nil"/>
          <w:between w:val="nil"/>
        </w:pBdr>
        <w:rPr>
          <w:color w:val="auto"/>
          <w:highlight w:val="white"/>
        </w:rPr>
      </w:pPr>
    </w:p>
    <w:sectPr w:rsidRPr="00D654C0" w:rsidR="001B1A4E" w:rsidSect="001B1A4E">
      <w:footerReference w:type="default" r:id="rId10"/>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073F1" w:rsidP="001B1A4E" w:rsidRDefault="00C073F1" w14:paraId="0E27B00A" wp14:textId="77777777">
      <w:pPr>
        <w:spacing w:after="0" w:line="240" w:lineRule="auto"/>
      </w:pPr>
      <w:r>
        <w:separator/>
      </w:r>
    </w:p>
  </w:endnote>
  <w:endnote w:type="continuationSeparator" w:id="0">
    <w:p xmlns:wp14="http://schemas.microsoft.com/office/word/2010/wordml" w:rsidR="00C073F1" w:rsidP="001B1A4E" w:rsidRDefault="00C073F1" w14:paraId="60061E4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B1A4E" w:rsidRDefault="001B1A4E" w14:paraId="3D562953" wp14:textId="7777777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A2126F">
      <w:rPr>
        <w:color w:val="000000"/>
      </w:rPr>
      <w:instrText>PAGE</w:instrText>
    </w:r>
    <w:r>
      <w:rPr>
        <w:color w:val="000000"/>
      </w:rPr>
      <w:fldChar w:fldCharType="separate"/>
    </w:r>
    <w:r w:rsidR="00D654C0">
      <w:rPr>
        <w:noProof/>
        <w:color w:val="000000"/>
      </w:rPr>
      <w:t>1</w:t>
    </w:r>
    <w:r>
      <w:rPr>
        <w:color w:val="000000"/>
      </w:rPr>
      <w:fldChar w:fldCharType="end"/>
    </w:r>
  </w:p>
  <w:p xmlns:wp14="http://schemas.microsoft.com/office/word/2010/wordml" w:rsidR="001B1A4E" w:rsidRDefault="001B1A4E" w14:paraId="3DEEC669" wp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073F1" w:rsidP="001B1A4E" w:rsidRDefault="00C073F1" w14:paraId="44EAFD9C" wp14:textId="77777777">
      <w:pPr>
        <w:spacing w:after="0" w:line="240" w:lineRule="auto"/>
      </w:pPr>
      <w:r>
        <w:separator/>
      </w:r>
    </w:p>
  </w:footnote>
  <w:footnote w:type="continuationSeparator" w:id="0">
    <w:p xmlns:wp14="http://schemas.microsoft.com/office/word/2010/wordml" w:rsidR="00C073F1" w:rsidP="001B1A4E" w:rsidRDefault="00C073F1" w14:paraId="4B94D5A5" wp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laeBoZ9PVKtSmq" int2:id="Fvu8piNM">
      <int2:state int2:type="LegacyProofing" int2:value="Rejected"/>
    </int2:textHash>
    <int2:textHash int2:hashCode="T7quY42BY3CJWw" int2:id="DWr7hCV0">
      <int2:state int2:type="LegacyProofing" int2:value="Rejected"/>
    </int2:textHash>
    <int2:textHash int2:hashCode="ZBbsWmwSV1DzDx" int2:id="zJ4Ya0IN">
      <int2:state int2:type="LegacyProofing" int2:value="Rejected"/>
    </int2:textHash>
    <int2:textHash int2:hashCode="9+N+0zggMzles6" int2:id="FAu8chec">
      <int2:state int2:type="LegacyProofing" int2:value="Rejected"/>
    </int2:textHash>
    <int2:textHash int2:hashCode="a/VQTEss2/JpnW" int2:id="SApjoDoJ">
      <int2:state int2:type="LegacyProofing" int2:value="Rejected"/>
    </int2:textHash>
    <int2:textHash int2:hashCode="m/fLHkdorv2D0R" int2:id="2rLkgvOQ">
      <int2:state int2:type="LegacyProofing" int2:value="Rejected"/>
    </int2:textHash>
    <int2:textHash int2:hashCode="fAslwH9tPP3aLq" int2:id="2wqZhIz6">
      <int2:state int2:type="LegacyProofing" int2:value="Rejected"/>
    </int2:textHash>
    <int2:textHash int2:hashCode="Cb/FS6Sbt0dI9y" int2:id="9MnhtpXp">
      <int2:state int2:type="LegacyProofing" int2:value="Rejected"/>
    </int2:textHash>
    <int2:textHash int2:hashCode="/gqAXX3e5UxRjs" int2:id="gq5IBtI2">
      <int2:state int2:type="LegacyProofing" int2:value="Rejected"/>
    </int2:textHash>
    <int2:textHash int2:hashCode="x2jiZTmwZLAL4e" int2:id="zfPFYzdQ">
      <int2:state int2:type="LegacyProofing" int2:value="Rejected"/>
    </int2:textHash>
    <int2:textHash int2:hashCode="Y+qwtrBrDPMwPd" int2:id="GuuKpqxs">
      <int2:state int2:type="LegacyProofing" int2:value="Rejected"/>
    </int2:textHash>
    <int2:textHash int2:hashCode="IUOIbfSIA7h60m" int2:id="I1XPYHEW">
      <int2:state int2:type="LegacyProofing" int2:value="Rejected"/>
    </int2:textHash>
    <int2:textHash int2:hashCode="DTqKgbVl9zV6Pm" int2:id="ebhv8V1m">
      <int2:state int2:type="LegacyProofing" int2:value="Rejected"/>
    </int2:textHash>
    <int2:textHash int2:hashCode="na5nAbXdphbbX8" int2:id="ACwd6jIa">
      <int2:state int2:type="LegacyProofing" int2:value="Rejected"/>
    </int2:textHash>
    <int2:textHash int2:hashCode="Y7rxyEYEGk+h8X" int2:id="6RJ4P4DP">
      <int2:state int2:type="LegacyProofing" int2:value="Rejected"/>
    </int2:textHash>
    <int2:textHash int2:hashCode="y+vd7bOJ7gEun3" int2:id="xDxfrBBw">
      <int2:state int2:type="LegacyProofing" int2:value="Rejected"/>
    </int2:textHash>
    <int2:textHash int2:hashCode="nIzuOLGi1s46B0" int2:id="pIcH0Pu9">
      <int2:state int2:type="LegacyProofing" int2:value="Rejected"/>
    </int2:textHash>
    <int2:textHash int2:hashCode="ooDjGMmGoW5uzL" int2:id="WnBv7SlF">
      <int2:state int2:type="LegacyProofing" int2:value="Rejected"/>
    </int2:textHash>
    <int2:textHash int2:hashCode="Wt+FrMSBRL8NtA" int2:id="zmSA8qy2">
      <int2:state int2:type="LegacyProofing" int2:value="Rejected"/>
    </int2:textHash>
    <int2:textHash int2:hashCode="qhVTvu1dgXPTV7" int2:id="A61kkq9H">
      <int2:state int2:type="LegacyProofing" int2:value="Rejected"/>
    </int2:textHash>
    <int2:textHash int2:hashCode="nU3tEv8CY/SRk+" int2:id="MvffJtdh">
      <int2:state int2:type="LegacyProofing" int2:value="Rejected"/>
    </int2:textHash>
    <int2:textHash int2:hashCode="kEREjfydEKdH5A" int2:id="Ti4gu4FD">
      <int2:state int2:type="LegacyProofing" int2:value="Rejected"/>
    </int2:textHash>
    <int2:textHash int2:hashCode="IffQWLlp4MRTxn" int2:id="SL5RvUH8">
      <int2:state int2:type="LegacyProofing" int2:value="Rejected"/>
    </int2:textHash>
    <int2:textHash int2:hashCode="AXZSC4emUoE3fU" int2:id="AOKpdfxL">
      <int2:state int2:type="LegacyProofing" int2:value="Rejected"/>
    </int2:textHash>
    <int2:textHash int2:hashCode="h2ujYVGkUbbIwj" int2:id="YetTtHVs">
      <int2:state int2:type="LegacyProofing" int2:value="Rejected"/>
    </int2:textHash>
    <int2:textHash int2:hashCode="1kCY09YaJPW0TV" int2:id="lHImFjFg">
      <int2:state int2:type="LegacyProofing" int2:value="Rejected"/>
    </int2:textHash>
    <int2:textHash int2:hashCode="ppdngn610fuUuB" int2:id="wuDcqps2">
      <int2:state int2:type="LegacyProofing" int2:value="Rejected"/>
    </int2:textHash>
    <int2:textHash int2:hashCode="78CyYZW3YxH3eb" int2:id="gRUwL8MX">
      <int2:state int2:type="LegacyProofing" int2:value="Rejected"/>
    </int2:textHash>
    <int2:textHash int2:hashCode="q/tO/uLmNyyskp" int2:id="LdSc25ke">
      <int2:state int2:type="LegacyProofing" int2:value="Rejected"/>
    </int2:textHash>
    <int2:textHash int2:hashCode="pFr/BcZ7ITb9LX" int2:id="UDd5soKu">
      <int2:state int2:type="LegacyProofing" int2:value="Rejected"/>
    </int2:textHash>
    <int2:textHash int2:hashCode="bbvE7thgtYETBU" int2:id="JqiYbA4l">
      <int2:state int2:type="LegacyProofing" int2:value="Rejected"/>
    </int2:textHash>
    <int2:textHash int2:hashCode="A5p6VeMejXC8Xj" int2:id="Svt2OIFY">
      <int2:state int2:type="LegacyProofing" int2:value="Rejected"/>
    </int2:textHash>
    <int2:textHash int2:hashCode="j0b5jHW7dYTTJU" int2:id="SXv2xKRT">
      <int2:state int2:type="LegacyProofing" int2:value="Rejected"/>
    </int2:textHash>
    <int2:textHash int2:hashCode="+ss59LcuvjIZQH" int2:id="mE5k7PYI">
      <int2:state int2:type="LegacyProofing" int2:value="Rejected"/>
    </int2:textHash>
    <int2:bookmark int2:bookmarkName="_Int_S8RoPKxI" int2:invalidationBookmarkName="" int2:hashCode="a7X/VNNYq0VXgz" int2:id="lmb1uc11">
      <int2:state int2:type="AugLoop_Text_Critique" int2:value="Rejected"/>
    </int2:bookmark>
    <int2:bookmark int2:bookmarkName="_Int_bENUKMoW" int2:invalidationBookmarkName="" int2:hashCode="T4DS3/9XZYoQdv" int2:id="cL5ZDGPR"/>
    <int2:bookmark int2:bookmarkName="_Int_io9LP8u9" int2:invalidationBookmarkName="" int2:hashCode="43K/JlIt1QZTyM" int2:id="XU5Fkmxt"/>
    <int2:bookmark int2:bookmarkName="_Int_knWZlYIS" int2:invalidationBookmarkName="" int2:hashCode="FOsU7OUt+ZwoS4" int2:id="QE1FfEwe"/>
    <int2:bookmark int2:bookmarkName="_Int_l1lc9bvn" int2:invalidationBookmarkName="" int2:hashCode="uVK4Q7JwAl1pbC" int2:id="1hyYhVbE">
      <int2:state int2:type="LegacyProofing" int2:value="Rejected"/>
    </int2:bookmark>
    <int2:bookmark int2:bookmarkName="_Int_lvlm2ajE" int2:invalidationBookmarkName="" int2:hashCode="sUELGQMj61Dx0g" int2:id="XlqXISe6">
      <int2:state int2:type="LegacyProofing" int2:value="Rejected"/>
    </int2:bookmark>
    <int2:bookmark int2:bookmarkName="_Int_FOdOu9PZ" int2:invalidationBookmarkName="" int2:hashCode="Sr5jvXX8M6Om6A" int2:id="v1oeCGj3"/>
    <int2:bookmark int2:bookmarkName="_Int_Gh7z3Zp7" int2:invalidationBookmarkName="" int2:hashCode="krDMLbUWoFaILM" int2:id="v1411jKB"/>
    <int2:bookmark int2:bookmarkName="_Int_9FwaDl2R" int2:invalidationBookmarkName="" int2:hashCode="KDOsmJJ/iKuLvY" int2:id="BTMSaQNK"/>
    <int2:bookmark int2:bookmarkName="_Int_OenPFnJW" int2:invalidationBookmarkName="" int2:hashCode="gRg+Ewpr1g5/o3" int2:id="feFKiAvT">
      <int2:state int2:type="AugLoop_Text_Critique" int2:value="Rejected"/>
    </int2:bookmark>
    <int2:bookmark int2:bookmarkName="_Int_dhkWmOun" int2:invalidationBookmarkName="" int2:hashCode="qaWBAF6WNNovtB" int2:id="j6fHuMlU"/>
    <int2:bookmark int2:bookmarkName="_Int_JZMM89r8" int2:invalidationBookmarkName="" int2:hashCode="zbTvnBvYG1DVy+" int2:id="MmZFLjWB">
      <int2:extLst>
        <oel:ext uri="426473B9-03D8-482F-96C9-C2C85392BACA">
          <int2:similarityCritique int2:version="1" int2:context="Development of efficient, flexible and affordable heat pumps for supporting heat and power decarbonisation in the UK and beyond: Review and perspectives. Renewable and Sustainable Energy Reviews, 154, p.111747.">
            <int2:source int2:sourceType="Online" int2:sourceTitle="Dissertation - Engineering bibliographies - Cite This For Me" int2:sourceUrl="https://www.citethisforme.com/topic-ideas/engineering/Dissertation-143195562" int2:sourceSnippet="Dissertation - Engineering bibliographies - in Harvard style . Change style powered by CSL. Popular AMA APA ... Wang, J. and He, W., 2022. Development of efficient, flexible and affordable heat pumps for supporting heat and power decarbonisation in the UK and beyond: Review and perspectives. Renewable and Sustainable Energy Reviews, ...">
              <int2:suggestions int2:citationType="Inline">
                <int2:suggestion int2:citationStyle="Mla" int2:isIdentical="0">
                  <int2:citationText>(“Dissertation - Engineering bibliographies - Cite This For Me”)</int2:citationText>
                </int2:suggestion>
                <int2:suggestion int2:citationStyle="Apa" int2:isIdentical="0">
                  <int2:citationText>(“Dissertation - Engineering bibliographies - Cite This For Me”)</int2:citationText>
                </int2:suggestion>
                <int2:suggestion int2:citationStyle="Chicago" int2:isIdentical="0">
                  <int2:citationText>(“Dissertation - Engineering bibliographies - Cite This For Me”)</int2:citationText>
                </int2:suggestion>
              </int2:suggestions>
              <int2:suggestions int2:citationType="Full">
                <int2:suggestion int2:citationStyle="Mla" int2:isIdentical="0">
                  <int2:citationText>&lt;i&gt;Dissertation - Engineering bibliographies - Cite This For Me&lt;/i&gt;, https://www.citethisforme.com/topic-ideas/engineering/Dissertation-143195562.</int2:citationText>
                </int2:suggestion>
                <int2:suggestion int2:citationStyle="Apa" int2:isIdentical="0">
                  <int2:citationText>&lt;i&gt;Dissertation - Engineering bibliographies - Cite This For Me&lt;/i&gt;. (n.d.). Retrieved from https://www.citethisforme.com/topic-ideas/engineering/Dissertation-143195562</int2:citationText>
                </int2:suggestion>
                <int2:suggestion int2:citationStyle="Chicago" int2:isIdentical="0">
                  <int2:citationText>“Dissertation - Engineering bibliographies - Cite This For Me” n.d., https://www.citethisforme.com/topic-ideas/engineering/Dissertation-143195562.</int2:citationText>
                </int2:suggestion>
              </int2:suggestions>
            </int2:source>
          </int2:similarityCritique>
        </oel:ext>
      </int2:extLst>
    </int2:bookmark>
    <int2:bookmark int2:bookmarkName="_Int_F8KpsP89" int2:invalidationBookmarkName="" int2:hashCode="wQsDuBgu2S5i3u" int2:id="NzCJjNRX">
      <int2:extLst>
        <oel:ext uri="426473B9-03D8-482F-96C9-C2C85392BACA">
          <int2:similarityCritique int2:version="1" int2:context="Medium-term variability of the UK's combined tidal energy resource for a net-zero carbon grid.">
            <int2:source int2:sourceType="Online" int2:sourceTitle="Medium-term variability of the UK's combined tidal energy resource for ..." int2:sourceUrl="https://www.sciencedirect.com/science/article/abs/pii/S0360544221022386" int2:sourceSnippet="Medium-term variability of the UK's combined tidal energy resource for a net-zero carbon grid. ... In this work, we address how tidal energy can contribute to reducing medium-term variability in the future UK energy mix. Two tidal integration scenarios are defined for 2050: for each scenario, a 5-min interval generation profile is calculated ...">
              <int2:suggestions int2:citationType="Inline">
                <int2:suggestion int2:citationStyle="Mla" int2:isIdentical="1">
                  <int2:citationText>(“Medium-term variability of the UK's combined tidal energy resource for ...”)</int2:citationText>
                </int2:suggestion>
                <int2:suggestion int2:citationStyle="Apa" int2:isIdentical="1">
                  <int2:citationText>(“Medium-term variability of the UK's combined tidal energy resource for ...”)</int2:citationText>
                </int2:suggestion>
                <int2:suggestion int2:citationStyle="Chicago" int2:isIdentical="1">
                  <int2:citationText>(“Medium-term variability of the UK's combined tidal energy resource for ...”)</int2:citationText>
                </int2:suggestion>
              </int2:suggestions>
              <int2:suggestions int2:citationType="Full">
                <int2:suggestion int2:citationStyle="Mla" int2:isIdentical="1">
                  <int2:citationText>&lt;i&gt;Medium-term variability of the UK's combined tidal energy resource for ...&lt;/i&gt;, https://www.sciencedirect.com/science/article/abs/pii/S0360544221022386.</int2:citationText>
                </int2:suggestion>
                <int2:suggestion int2:citationStyle="Apa" int2:isIdentical="1">
                  <int2:citationText>&lt;i&gt;Medium-term variability of the UK's combined tidal energy resource for ...&lt;/i&gt;. (n.d.). Retrieved from https://www.sciencedirect.com/science/article/abs/pii/S0360544221022386</int2:citationText>
                </int2:suggestion>
                <int2:suggestion int2:citationStyle="Chicago" int2:isIdentical="1">
                  <int2:citationText>“Medium-term variability of the UK's combined tidal energy resource for ...” n.d., https://www.sciencedirect.com/science/article/abs/pii/S0360544221022386.</int2:citationText>
                </int2:suggestion>
              </int2:suggestions>
            </int2:source>
            <int2:source int2:sourceType="Online" int2:sourceTitle="Medium-term variability of the UK's combined tidal energy resource for ..." int2:sourceUrl="https://research.bangor.ac.uk/portal/en/researchoutputs/mediumterm-variability-of-the-uks-combined-tidal-energy-resource-for-a-netzero-carbon-grid(76a6cba7-82f9-4b3b-9733-b7fb36ec6909).html" int2:sourceSnippet="Medium-term variability of the UK's combined tidal energy resource for a net-zero carbon grid. Research output: Contribution to journal › Article › peer-review. Overview; Cite Electronic versions. Documents. GTodeschini_TidalEnergyVariability3. Accepted author ...">
              <int2:suggestions int2:citationType="Inline">
                <int2:suggestion int2:citationStyle="Mla" int2:isIdentical="1">
                  <int2:citationText>(“Medium-term variability of the UK's combined tidal energy resource for ...”)</int2:citationText>
                </int2:suggestion>
                <int2:suggestion int2:citationStyle="Apa" int2:isIdentical="1">
                  <int2:citationText>(“Medium-term variability of the UK's combined tidal energy resource for ...”)</int2:citationText>
                </int2:suggestion>
                <int2:suggestion int2:citationStyle="Chicago" int2:isIdentical="1">
                  <int2:citationText>(“Medium-term variability of the UK's combined tidal energy resource for ...”)</int2:citationText>
                </int2:suggestion>
              </int2:suggestions>
              <int2:suggestions int2:citationType="Full">
                <int2:suggestion int2:citationStyle="Mla" int2:isIdentical="1">
                  <int2:citationText>&lt;i&gt;Medium-term variability of the UK's combined tidal energy resource for ...&lt;/i&gt;, https://research.bangor.ac.uk/portal/en/researchoutputs/mediumterm-variability-of-the-uks-combined-tidal-energy-resource-for-a-netzero-carbon-grid(76a6cba7-82f9-4b3b-9733-b7fb36ec6909).html.</int2:citationText>
                </int2:suggestion>
                <int2:suggestion int2:citationStyle="Apa" int2:isIdentical="1">
                  <int2:citationText>&lt;i&gt;Medium-term variability of the UK's combined tidal energy resource for ...&lt;/i&gt;. (n.d.). Retrieved from https://research.bangor.ac.uk/portal/en/researchoutputs/mediumterm-variability-of-the-uks-combined-tidal-energy-resource-for-a-netzero-carbon-grid(76a6cba7-82f9-4b3b-9733-b7fb36ec6909).html</int2:citationText>
                </int2:suggestion>
                <int2:suggestion int2:citationStyle="Chicago" int2:isIdentical="1">
                  <int2:citationText>“Medium-term variability of the UK's combined tidal energy resource for ...” n.d., https://research.bangor.ac.uk/portal/en/researchoutputs/mediumterm-variability-of-the-uks-combined-tidal-energy-resource-for-a-netzero-carbon-grid(76a6cba7-82f9-4b3b-9733-b7fb36ec6909).html.</int2:citationText>
                </int2:suggestion>
              </int2:suggestions>
            </int2:source>
            <int2:source int2:sourceType="Online" int2:sourceTitle="Impact - Supergen ORE | Supergen ORE" int2:sourceUrl="https://supergen-ore.net/impact" int2:sourceSnippet="Medium-term variability of the UK's combined tidal energy resource for a net-zero carbon grid. ... Research activities should be aligned with the objectives of the Supergen ORE Hub and funded research is directed at offshore wind, wave or tidal energy research. 2022 (March) 2021 (October) 2021 (March) 2020 (October) ...">
              <int2:suggestions int2:citationType="Inline">
                <int2:suggestion int2:citationStyle="Mla" int2:isIdentical="1">
                  <int2:citationText>(“Impact - Supergen ORE | Supergen ORE”)</int2:citationText>
                </int2:suggestion>
                <int2:suggestion int2:citationStyle="Apa" int2:isIdentical="1">
                  <int2:citationText>(“Impact - Supergen ORE | Supergen ORE”)</int2:citationText>
                </int2:suggestion>
                <int2:suggestion int2:citationStyle="Chicago" int2:isIdentical="1">
                  <int2:citationText>(“Impact - Supergen ORE | Supergen ORE”)</int2:citationText>
                </int2:suggestion>
              </int2:suggestions>
              <int2:suggestions int2:citationType="Full">
                <int2:suggestion int2:citationStyle="Mla" int2:isIdentical="1">
                  <int2:citationText>&lt;i&gt;Impact - Supergen ORE | Supergen ORE&lt;/i&gt;, https://supergen-ore.net/impact.</int2:citationText>
                </int2:suggestion>
                <int2:suggestion int2:citationStyle="Apa" int2:isIdentical="1">
                  <int2:citationText>&lt;i&gt;Impact - Supergen ORE | Supergen ORE&lt;/i&gt;. (n.d.). Retrieved from https://supergen-ore.net/impact</int2:citationText>
                </int2:suggestion>
                <int2:suggestion int2:citationStyle="Chicago" int2:isIdentical="1">
                  <int2:citationText>“Impact - Supergen ORE | Supergen ORE” n.d., https://supergen-ore.net/impact.</int2:citationText>
                </int2:suggestion>
              </int2:suggestions>
            </int2:source>
          </int2:similarityCritique>
        </oel:ext>
      </int2:extLst>
    </int2:bookmark>
    <int2:bookmark int2:bookmarkName="_Int_urJlc15H" int2:invalidationBookmarkName="" int2:hashCode="ldLypY+/BIe1ou" int2:id="IaAq7bW1">
      <int2:extLst>
        <oel:ext uri="426473B9-03D8-482F-96C9-C2C85392BACA">
          <int2:similarityCritique int2:version="1" int2:context="Introducing pulse oximetry in routine IMCI services in Bangladesh: A context-driven approach to influence policy and programme through stakeholder engagement.">
            <int2:source int2:sourceType="Online" int2:sourceTitle="Success and time implications of SpO2 measurement through pulse ..." int2:sourceUrl="https://www.ncbi.nlm.nih.gov/pmc/articles/PMC9041243/" int2:sourceSnippet="Rahman AE, Jabeen S, Genevie F, Banik G, Islam J, Ameen S, et al. Introducing pulse oximetry in routine IMCI services in Bangladesh: a context-driven approach to influence policy and programme through stakeholder engagement. J Glob Health. 2022; 12:06001. 10.7189/jogh.12.06001 [PMC free article] [Google Scholar]">
              <int2:suggestions int2:citationType="Inline">
                <int2:suggestion int2:citationStyle="Mla" int2:isIdentical="1">
                  <int2:citationText>(“Success and time implications of SpO2 measurement through pulse ...”)</int2:citationText>
                </int2:suggestion>
                <int2:suggestion int2:citationStyle="Apa" int2:isIdentical="1">
                  <int2:citationText>(“Success and time implications of SpO2 measurement through pulse ...”)</int2:citationText>
                </int2:suggestion>
                <int2:suggestion int2:citationStyle="Chicago" int2:isIdentical="1">
                  <int2:citationText>(“Success and time implications of SpO2 measurement through pulse ...”)</int2:citationText>
                </int2:suggestion>
              </int2:suggestions>
              <int2:suggestions int2:citationType="Full">
                <int2:suggestion int2:citationStyle="Mla" int2:isIdentical="1">
                  <int2:citationText>&lt;i&gt;Success and time implications of SpO2 measurement through pulse ...&lt;/i&gt;, https://www.ncbi.nlm.nih.gov/pmc/articles/PMC9041243/.</int2:citationText>
                </int2:suggestion>
                <int2:suggestion int2:citationStyle="Apa" int2:isIdentical="1">
                  <int2:citationText>&lt;i&gt;Success and time implications of SpO2 measurement through pulse ...&lt;/i&gt;. (n.d.). Retrieved from https://www.ncbi.nlm.nih.gov/pmc/articles/PMC9041243/</int2:citationText>
                </int2:suggestion>
                <int2:suggestion int2:citationStyle="Chicago" int2:isIdentical="1">
                  <int2:citationText>“Success and time implications of SpO2 measurement through pulse ...” n.d., https://www.ncbi.nlm.nih.gov/pmc/articles/PMC9041243/.</int2:citationText>
                </int2:suggestion>
              </int2:suggestions>
            </int2:source>
            <int2:source int2:sourceType="Online" int2:sourceTitle="Engaging stakeholders and communities to improve respiratory health in ..." int2:sourceUrl="https://www.ncbi.nlm.nih.gov/pmc/articles/PMC9078154/" int2:sourceSnippet="Rahman AE, Jabeen S, Fernandes G, Banik G, Islam J, Ameen S, et al. Introducing pulse oximetry in routine IMCI services in Bangladesh: a context-driven approach to influence policy and programme through stakeholder engagement. J Glob Health. 2022; 12:06001. 10.7189/jogh.12.06001 [PMC free article] [Google Scholar]">
              <int2:suggestions int2:citationType="Inline">
                <int2:suggestion int2:citationStyle="Mla" int2:isIdentical="1">
                  <int2:citationText>(“Engaging stakeholders and communities to improve respiratory health in ...”)</int2:citationText>
                </int2:suggestion>
                <int2:suggestion int2:citationStyle="Apa" int2:isIdentical="1">
                  <int2:citationText>(“Engaging stakeholders and communities to improve respiratory health in ...”)</int2:citationText>
                </int2:suggestion>
                <int2:suggestion int2:citationStyle="Chicago" int2:isIdentical="1">
                  <int2:citationText>(“Engaging stakeholders and communities to improve respiratory health in ...”)</int2:citationText>
                </int2:suggestion>
              </int2:suggestions>
              <int2:suggestions int2:citationType="Full">
                <int2:suggestion int2:citationStyle="Mla" int2:isIdentical="1">
                  <int2:citationText>&lt;i&gt;Engaging stakeholders and communities to improve respiratory health in ...&lt;/i&gt;, https://www.ncbi.nlm.nih.gov/pmc/articles/PMC9078154/.</int2:citationText>
                </int2:suggestion>
                <int2:suggestion int2:citationStyle="Apa" int2:isIdentical="1">
                  <int2:citationText>&lt;i&gt;Engaging stakeholders and communities to improve respiratory health in ...&lt;/i&gt;. (n.d.). Retrieved from https://www.ncbi.nlm.nih.gov/pmc/articles/PMC9078154/</int2:citationText>
                </int2:suggestion>
                <int2:suggestion int2:citationStyle="Chicago" int2:isIdentical="1">
                  <int2:citationText>“Engaging stakeholders and communities to improve respiratory health in ...” n.d., https://www.ncbi.nlm.nih.gov/pmc/articles/PMC9078154/.</int2:citationText>
                </int2:suggestion>
              </int2:suggestions>
            </int2:source>
            <int2:source int2:sourceType="Online" int2:sourceTitle="Introducing pulse oximetry for outpatient management of childhood ..." int2:sourceUrl="https://www.thelancet.com/journals/eclinm/article/PIIS2589-5370(22)00241-3/fulltext" int2:sourceSnippet="Introducing pulse oximetry in routine IMCI services in Bangladesh: a context-driven approach to influence policy and programme through stakeholder engagement. J Glob Health. 2021; (in press) Google Scholar; The first wave of the COVID-19 pandemic started a few months before the round-1 assessments. Although the pandemic created barriers in ...">
              <int2:suggestions int2:citationType="Inline">
                <int2:suggestion int2:citationStyle="Mla" int2:isIdentical="1">
                  <int2:citationText>(“Introducing pulse oximetry for outpatient management of childhood ...”)</int2:citationText>
                </int2:suggestion>
                <int2:suggestion int2:citationStyle="Apa" int2:isIdentical="1">
                  <int2:citationText>(“Introducing pulse oximetry for outpatient management of childhood ...”)</int2:citationText>
                </int2:suggestion>
                <int2:suggestion int2:citationStyle="Chicago" int2:isIdentical="1">
                  <int2:citationText>(“Introducing pulse oximetry for outpatient management of childhood ...”)</int2:citationText>
                </int2:suggestion>
              </int2:suggestions>
              <int2:suggestions int2:citationType="Full">
                <int2:suggestion int2:citationStyle="Mla" int2:isIdentical="1">
                  <int2:citationText>&lt;i&gt;Introducing pulse oximetry for outpatient management of childhood ...&lt;/i&gt;, https://www.thelancet.com/journals/eclinm/article/PIIS2589-5370(22)00241-3/fulltext.</int2:citationText>
                </int2:suggestion>
                <int2:suggestion int2:citationStyle="Apa" int2:isIdentical="1">
                  <int2:citationText>&lt;i&gt;Introducing pulse oximetry for outpatient management of childhood ...&lt;/i&gt;. (n.d.). Retrieved from https://www.thelancet.com/journals/eclinm/article/PIIS2589-5370(22)00241-3/fulltext</int2:citationText>
                </int2:suggestion>
                <int2:suggestion int2:citationStyle="Chicago" int2:isIdentical="1">
                  <int2:citationText>“Introducing pulse oximetry for outpatient management of childhood ...” n.d., https://www.thelancet.com/journals/eclinm/article/PIIS2589-5370(22)00241-3/fulltext.</int2:citationText>
                </int2:suggestion>
              </int2:suggestions>
            </int2:source>
          </int2:similarityCritique>
        </oel:ext>
      </int2:extLst>
    </int2:bookmark>
    <int2:bookmark int2:bookmarkName="_Int_bOBNngd1" int2:invalidationBookmarkName="" int2:hashCode="93xZfjnjk/g7Al" int2:id="mQoDFvqd">
      <int2:extLst>
        <oel:ext uri="426473B9-03D8-482F-96C9-C2C85392BACA">
          <int2:similarityCritique int2:version="1" int2:context="Prevalence and Salience of Problematic Microtransactions in Top-Grossing Mobile and PC Games: A Content Analysis of User Reviews.">
            <int2:source int2:sourceType="Online" int2:sourceTitle="Prevalence and Salience of Problematic Microtransactions in Top ..." int2:sourceUrl="https://dl.acm.org/doi/10.1145/3491102.3502056" int2:sourceSnippet="Prevalence and Salience of Problematic Microtransactions in Top-Grossing Mobile and PC Games: A Content Analysis of User Reviews. Pages 1–12. Previous Chapter Next Chapter. ABSTRACT. Microtransactions have become a major monetisation model in digital games, shaping their design, impacting player experience, and raising ethical concerns ...">
              <int2:suggestions int2:citationType="Inline">
                <int2:suggestion int2:citationStyle="Mla" int2:isIdentical="1">
                  <int2:citationText>(“Prevalence and Salience of Problematic Microtransactions in Top ...”)</int2:citationText>
                </int2:suggestion>
                <int2:suggestion int2:citationStyle="Apa" int2:isIdentical="1">
                  <int2:citationText>(“Prevalence and Salience of Problematic Microtransactions in Top ...”)</int2:citationText>
                </int2:suggestion>
                <int2:suggestion int2:citationStyle="Chicago" int2:isIdentical="1">
                  <int2:citationText>(“Prevalence and Salience of Problematic Microtransactions in Top ...”)</int2:citationText>
                </int2:suggestion>
              </int2:suggestions>
              <int2:suggestions int2:citationType="Full">
                <int2:suggestion int2:citationStyle="Mla" int2:isIdentical="1">
                  <int2:citationText>&lt;i&gt;Prevalence and Salience of Problematic Microtransactions in Top ...&lt;/i&gt;, https://dl.acm.org/doi/10.1145/3491102.3502056.</int2:citationText>
                </int2:suggestion>
                <int2:suggestion int2:citationStyle="Apa" int2:isIdentical="1">
                  <int2:citationText>&lt;i&gt;Prevalence and Salience of Problematic Microtransactions in Top ...&lt;/i&gt;. (n.d.). Retrieved from https://dl.acm.org/doi/10.1145/3491102.3502056</int2:citationText>
                </int2:suggestion>
                <int2:suggestion int2:citationStyle="Chicago" int2:isIdentical="1">
                  <int2:citationText>“Prevalence and Salience of Problematic Microtransactions in Top ...” n.d., https://dl.acm.org/doi/10.1145/3491102.3502056.</int2:citationText>
                </int2:suggestion>
              </int2:suggestions>
            </int2:source>
            <int2:source int2:sourceType="Online" int2:sourceTitle="Prevalence and Salience of Problematic Microtransactions in Top ..." int2:sourceUrl="https://www.academia.edu/83007340/Prevalence_and_Salience_of_Problematic_Microtransactions_in_Top_Grossing_Mobile_and_PC_Games_A_Content_Analysis_of_User_Reviews" int2:sourceSnippet="Prevalence and Salience of Problematic Microtransactions in Top-Grossing Mobile and PC Games: A Content Analysis of User Reviews. 2022. Elena Petrovskaya. Download Download PDF. Full PDF Package Download Full PDF Package. This Paper. A short summary of this paper. 7 Full PDFs related to this paper.">
              <int2:suggestions int2:citationType="Inline">
                <int2:suggestion int2:citationStyle="Mla" int2:isIdentical="1">
                  <int2:citationText>(“Prevalence and Salience of Problematic Microtransactions in Top ...”)</int2:citationText>
                </int2:suggestion>
                <int2:suggestion int2:citationStyle="Apa" int2:isIdentical="1">
                  <int2:citationText>(“Prevalence and Salience of Problematic Microtransactions in Top ...”)</int2:citationText>
                </int2:suggestion>
                <int2:suggestion int2:citationStyle="Chicago" int2:isIdentical="1">
                  <int2:citationText>(“Prevalence and Salience of Problematic Microtransactions in Top ...”)</int2:citationText>
                </int2:suggestion>
              </int2:suggestions>
              <int2:suggestions int2:citationType="Full">
                <int2:suggestion int2:citationStyle="Mla" int2:isIdentical="1">
                  <int2:citationText>&lt;i&gt;Prevalence and Salience of Problematic Microtransactions in Top ...&lt;/i&gt;, https://www.academia.edu/83007340/Prevalence_and_Salience_of_Problematic_Microtransactions_in_Top_Grossing_Mobile_and_PC_Games_A_Content_Analysis_of_User_Reviews.</int2:citationText>
                </int2:suggestion>
                <int2:suggestion int2:citationStyle="Apa" int2:isIdentical="1">
                  <int2:citationText>&lt;i&gt;Prevalence and Salience of Problematic Microtransactions in Top ...&lt;/i&gt;. (n.d.). Retrieved from https://www.academia.edu/83007340/Prevalence_and_Salience_of_Problematic_Microtransactions_in_Top_Grossing_Mobile_and_PC_Games_A_Content_Analysis_of_User_Reviews</int2:citationText>
                </int2:suggestion>
                <int2:suggestion int2:citationStyle="Chicago" int2:isIdentical="1">
                  <int2:citationText>“Prevalence and Salience of Problematic Microtransactions in Top ...” n.d., https://www.academia.edu/83007340/Prevalence_and_Salience_of_Problematic_Microtransactions_in_Top_Grossing_Mobile_and_PC_Games_A_Content_Analysis_of_User_Reviews.</int2:citationText>
                </int2:suggestion>
              </int2:suggestions>
            </int2:source>
            <int2:source int2:sourceType="Online" int2:sourceTitle="Prevalence and Salience of Problematic Microtransactions in Top ..." int2:sourceUrl="https://dl.acm.org/doi/fullHtml/10.1145/3491102.3502056" int2:sourceSnippet="Elena Petrovskaya, Sebastian Deterding, and David I Zendle. 2022. Prevalence and Salience of Problematic Microtransactions in Top-Grossing Mobile and PC Games: A Content Analysis of User Reviews. In CHI Conference on Human Factors in Computing Systems (CHI '22), April 29-May 5, 2022, New Orleans, LA, USA. ACM, New York, NY, USA 12 Pages.">
              <int2:suggestions int2:citationType="Inline">
                <int2:suggestion int2:citationStyle="Mla" int2:isIdentical="1">
                  <int2:citationText>(“Prevalence and Salience of Problematic Microtransactions in Top ...”)</int2:citationText>
                </int2:suggestion>
                <int2:suggestion int2:citationStyle="Apa" int2:isIdentical="1">
                  <int2:citationText>(“Prevalence and Salience of Problematic Microtransactions in Top ...”)</int2:citationText>
                </int2:suggestion>
                <int2:suggestion int2:citationStyle="Chicago" int2:isIdentical="1">
                  <int2:citationText>(“Prevalence and Salience of Problematic Microtransactions in Top ...”)</int2:citationText>
                </int2:suggestion>
              </int2:suggestions>
              <int2:suggestions int2:citationType="Full">
                <int2:suggestion int2:citationStyle="Mla" int2:isIdentical="1">
                  <int2:citationText>&lt;i&gt;Prevalence and Salience of Problematic Microtransactions in Top ...&lt;/i&gt;, https://dl.acm.org/doi/fullHtml/10.1145/3491102.3502056.</int2:citationText>
                </int2:suggestion>
                <int2:suggestion int2:citationStyle="Apa" int2:isIdentical="1">
                  <int2:citationText>&lt;i&gt;Prevalence and Salience of Problematic Microtransactions in Top ...&lt;/i&gt;. (n.d.). Retrieved from https://dl.acm.org/doi/fullHtml/10.1145/3491102.3502056</int2:citationText>
                </int2:suggestion>
                <int2:suggestion int2:citationStyle="Chicago" int2:isIdentical="1">
                  <int2:citationText>“Prevalence and Salience of Problematic Microtransactions in Top ...” n.d., https://dl.acm.org/doi/fullHtml/10.1145/3491102.3502056.</int2:citationText>
                </int2:suggestion>
              </int2:suggestions>
            </int2:source>
          </int2:similarityCritique>
        </oel:ext>
      </int2:extLst>
    </int2:bookmark>
    <int2:bookmark int2:bookmarkName="_Int_PfHEGobg" int2:invalidationBookmarkName="" int2:hashCode="EipLEuDJGv0IiM" int2:id="G8kXoP6J">
      <int2:extLst>
        <oel:ext uri="426473B9-03D8-482F-96C9-C2C85392BACA">
          <int2:similarityCritique int2:version="1" int2:context="Assertiveness as the Predictor of Adjustment to University Life amongst University Students.">
            <int2:source int2:sourceType="Online" int2:sourceTitle="Personality Models - Life Sciences bibliographies - Cite This For Me" int2:sourceUrl="https://www.citethisforme.com/topic-ideas/life-sciences/Personality%20Models-122296927" int2:sourceSnippet="Assertiveness as the Predictor of Adjustment to University Life amongst University Students. International Journal of Instruction, 12(4), pp.131-148. Journal. Paunonen, S. V., Haddock, G., Forsterling, F. and Keinonen, M. Broad versus narrow personality measures and the prediction of behaviour across cultures">
              <int2:suggestions int2:citationType="Inline">
                <int2:suggestion int2:citationStyle="Mla" int2:isIdentical="1">
                  <int2:citationText>(“Personality Models - Life Sciences bibliographies - Cite This For Me”)</int2:citationText>
                </int2:suggestion>
                <int2:suggestion int2:citationStyle="Apa" int2:isIdentical="1">
                  <int2:citationText>(“Personality Models - Life Sciences bibliographies - Cite This For Me”)</int2:citationText>
                </int2:suggestion>
                <int2:suggestion int2:citationStyle="Chicago" int2:isIdentical="1">
                  <int2:citationText>(“Personality Models - Life Sciences bibliographies - Cite This For Me”)</int2:citationText>
                </int2:suggestion>
              </int2:suggestions>
              <int2:suggestions int2:citationType="Full">
                <int2:suggestion int2:citationStyle="Mla" int2:isIdentical="1">
                  <int2:citationText>&lt;i&gt;Personality Models - Life Sciences bibliographies - Cite This For Me&lt;/i&gt;, https://www.citethisforme.com/topic-ideas/life-sciences/Personality%20Models-122296927.</int2:citationText>
                </int2:suggestion>
                <int2:suggestion int2:citationStyle="Apa" int2:isIdentical="1">
                  <int2:citationText>&lt;i&gt;Personality Models - Life Sciences bibliographies - Cite This For Me&lt;/i&gt;. (n.d.). Retrieved from https://www.citethisforme.com/topic-ideas/life-sciences/Personality%20Models-122296927</int2:citationText>
                </int2:suggestion>
                <int2:suggestion int2:citationStyle="Chicago" int2:isIdentical="1">
                  <int2:citationText>“Personality Models - Life Sciences bibliographies - Cite This For Me” n.d., https://www.citethisforme.com/topic-ideas/life-sciences/Personality%20Models-122296927.</int2:citationText>
                </int2:suggestion>
              </int2:suggestions>
            </int2:source>
            <int2:source int2:sourceType="Online" int2:sourceTitle="واکاوی تجربه زیسته دانشجویان ناسازگار از ابعاد ناسازگاری در دانشگاه ..." int2:sourceUrl="https://apsy.sbu.ac.ir/article_101827.html" int2:sourceSnippet="Assertiveness as the predictor of adjustment to university life amongst university students. International Journal of Instruction, 12(4): 131-148. Raza, S. A., Qazi, W., &amp; Yousufi, S. Q. (2021). The influence of psychological, motivational, and behavioral factors on university students' achievements: the mediating effect of academic adjustment.">
              <int2:suggestions int2:citationType="Inline">
                <int2:suggestion int2:citationStyle="Mla" int2:isIdentical="1">
                  <int2:citationText>(“واکاوی تجربه زیسته دانشجویان ناسازگار از ابعاد ناسازگاری در دانشگاه ...”)</int2:citationText>
                </int2:suggestion>
                <int2:suggestion int2:citationStyle="Apa" int2:isIdentical="1">
                  <int2:citationText>(“واکاوی تجربه زیسته دانشجویان ناسازگار از ابعاد ناسازگاری در دانشگاه ...”)</int2:citationText>
                </int2:suggestion>
                <int2:suggestion int2:citationStyle="Chicago" int2:isIdentical="1">
                  <int2:citationText>(“واکاوی تجربه زیسته دانشجویان ناسازگار از ابعاد ناسازگاری در دانشگاه ...”)</int2:citationText>
                </int2:suggestion>
              </int2:suggestions>
              <int2:suggestions int2:citationType="Full">
                <int2:suggestion int2:citationStyle="Mla" int2:isIdentical="1">
                  <int2:citationText>&lt;i&gt;واکاوی تجربه زیسته دانشجویان ناسازگار از ابعاد ناسازگاری در دانشگاه ...&lt;/i&gt;, https://apsy.sbu.ac.ir/article_101827.html.</int2:citationText>
                </int2:suggestion>
                <int2:suggestion int2:citationStyle="Apa" int2:isIdentical="1">
                  <int2:citationText>&lt;i&gt;واکاوی تجربه زیسته دانشجویان ناسازگار از ابعاد ناسازگاری در دانشگاه ...&lt;/i&gt;. (n.d.). Retrieved from https://apsy.sbu.ac.ir/article_101827.html</int2:citationText>
                </int2:suggestion>
                <int2:suggestion int2:citationStyle="Chicago" int2:isIdentical="1">
                  <int2:citationText>“واکاوی تجربه زیسته دانشجویان ناسازگار از ابعاد ناسازگاری در دانشگاه ...” n.d., https://apsy.sbu.ac.ir/article_101827.html.</int2:citationText>
                </int2:suggestion>
              </int2:suggestions>
            </int2:source>
            <int2:source int2:sourceType="Online" int2:sourceTitle="Assertiveness as the Predictor of Adjustment to University Life amongst ..." int2:sourceUrl="https://files.eric.ed.gov/fulltext/EJ1230095.pdf" int2:sourceSnippet="132 Assertiveness as the Predictor of Adjustment to University … International Journal of Instruction, October 2019 Vol.12, No.4 can have great experiences and achieve their dreams (Gökkaya, 2016). This period, between the ages of 18 and 25 after high school, is a period in which the individuals feel">
              <int2:suggestions int2:citationType="Inline">
                <int2:suggestion int2:citationStyle="Mla" int2:isIdentical="0">
                  <int2:citationText>(“Assertiveness as the Predictor of Adjustment to University Life amongst ...”)</int2:citationText>
                </int2:suggestion>
                <int2:suggestion int2:citationStyle="Apa" int2:isIdentical="0">
                  <int2:citationText>(“Assertiveness as the Predictor of Adjustment to University Life amongst ...”)</int2:citationText>
                </int2:suggestion>
                <int2:suggestion int2:citationStyle="Chicago" int2:isIdentical="0">
                  <int2:citationText>(“Assertiveness as the Predictor of Adjustment to University Life amongst ...”)</int2:citationText>
                </int2:suggestion>
              </int2:suggestions>
              <int2:suggestions int2:citationType="Full">
                <int2:suggestion int2:citationStyle="Mla" int2:isIdentical="0">
                  <int2:citationText>&lt;i&gt;Assertiveness as the Predictor of Adjustment to University Life amongst ...&lt;/i&gt;, https://files.eric.ed.gov/fulltext/EJ1230095.pdf.</int2:citationText>
                </int2:suggestion>
                <int2:suggestion int2:citationStyle="Apa" int2:isIdentical="0">
                  <int2:citationText>&lt;i&gt;Assertiveness as the Predictor of Adjustment to University Life amongst ...&lt;/i&gt;. (n.d.). Retrieved from https://files.eric.ed.gov/fulltext/EJ1230095.pdf</int2:citationText>
                </int2:suggestion>
                <int2:suggestion int2:citationStyle="Chicago" int2:isIdentical="0">
                  <int2:citationText>“Assertiveness as the Predictor of Adjustment to University Life amongst ...” n.d., https://files.eric.ed.gov/fulltext/EJ1230095.pdf.</int2:citationText>
                </int2:suggestion>
              </int2:suggestions>
            </int2:source>
          </int2:similarityCritique>
        </oel:ext>
      </int2:extLst>
    </int2:bookmark>
    <int2:bookmark int2:bookmarkName="_Int_tTYFyqZe" int2:invalidationBookmarkName="" int2:hashCode="nh6ww5IdRtYYiU" int2:id="Qq3iyn2W">
      <int2:extLst>
        <oel:ext uri="426473B9-03D8-482F-96C9-C2C85392BACA">
          <int2:similarityCritique int2:version="1" int2:context="The Role of Stakeholder Engagement in Mediating A Social Licence A Case of The UK Shale Gas (Doctoral dissertation, University of Dundee).">
            <int2:source int2:sourceType="Online" int2:sourceTitle="British Library EThOS: The role of stakeholder engagement in mediating ..." int2:sourceUrl="https://ethos.bl.uk/OrderDetails.do?uin=uk.bl.ethos.845375" int2:sourceSnippet="The role of stakeholder engagement in mediating a social licence : a case of the UK shale gas Author: Oruamabo, Pearl ISNI: 0000 0005 0672 7611 Awarding Body: University of Dundee Current Institution: University of Dundee Date of Award: 2022 ...">
              <int2:suggestions int2:citationType="Inline">
                <int2:suggestion int2:citationStyle="Mla" int2:isIdentical="0">
                  <int2:citationText>(“British Library EThOS: The role of stakeholder engagement in mediating ...”)</int2:citationText>
                </int2:suggestion>
                <int2:suggestion int2:citationStyle="Apa" int2:isIdentical="0">
                  <int2:citationText>(“British Library EThOS: The role of stakeholder engagement in mediating ...”)</int2:citationText>
                </int2:suggestion>
                <int2:suggestion int2:citationStyle="Chicago" int2:isIdentical="0">
                  <int2:citationText>(“British Library EThOS: The role of stakeholder engagement in mediating ...”)</int2:citationText>
                </int2:suggestion>
              </int2:suggestions>
              <int2:suggestions int2:citationType="Full">
                <int2:suggestion int2:citationStyle="Mla" int2:isIdentical="0">
                  <int2:citationText>&lt;i&gt;British Library EThOS: The role of stakeholder engagement in mediating ...&lt;/i&gt;, https://ethos.bl.uk/OrderDetails.do?uin=uk.bl.ethos.845375.</int2:citationText>
                </int2:suggestion>
                <int2:suggestion int2:citationStyle="Apa" int2:isIdentical="0">
                  <int2:citationText>&lt;i&gt;British Library EThOS: The role of stakeholder engagement in mediating ...&lt;/i&gt;. (n.d.). Retrieved from https://ethos.bl.uk/OrderDetails.do?uin=uk.bl.ethos.845375</int2:citationText>
                </int2:suggestion>
                <int2:suggestion int2:citationStyle="Chicago" int2:isIdentical="0">
                  <int2:citationText>“British Library EThOS: The role of stakeholder engagement in mediating ...” n.d., https://ethos.bl.uk/OrderDetails.do?uin=uk.bl.ethos.845375.</int2:citationText>
                </int2:suggestion>
              </int2:suggestions>
            </int2:source>
          </int2:similarityCritique>
        </oel:ext>
      </int2:extLst>
    </int2:bookmark>
    <int2:bookmark int2:bookmarkName="_Int_VQpyKEmy" int2:invalidationBookmarkName="" int2:hashCode="xntZplZIOIXIKu" int2:id="2Ql7YeBP">
      <int2:extLst>
        <oel:ext uri="426473B9-03D8-482F-96C9-C2C85392BACA">
          <int2:similarityCritique int2:version="1" int2:context="Strategic Management of Public and Third Sector Organizations: A Handbook for Leaders , p.439, San Francisco, CA: Jossey-Bass.">
            <int2:source int2:sourceType="Online" int2:sourceTitle="What is a Stakeholder? - Definitions of a Stakeholder" int2:sourceUrl="https://www.stakeholdermap.com/what-is-a-stakeholder.html" int2:sourceSnippet="1: a person entrusted with the stakes of bettors. 2: one that has a stake in an enterprise. 3: one who is involved in or affected by a course of action. Mirriam-Webster. A person or group of people who have a vested interest in the success of an organization and the environment in which the organization operates. APMP.">
              <int2:suggestions int2:citationType="Inline">
                <int2:suggestion int2:citationStyle="Mla" int2:isIdentical="0">
                  <int2:citationText>(“What is a Stakeholder? - Definitions of a Stakeholder”)</int2:citationText>
                </int2:suggestion>
                <int2:suggestion int2:citationStyle="Apa" int2:isIdentical="0">
                  <int2:citationText>(“What is a Stakeholder? - Definitions of a Stakeholder”)</int2:citationText>
                </int2:suggestion>
                <int2:suggestion int2:citationStyle="Chicago" int2:isIdentical="0">
                  <int2:citationText>(“What is a Stakeholder? - Definitions of a Stakeholder”)</int2:citationText>
                </int2:suggestion>
              </int2:suggestions>
              <int2:suggestions int2:citationType="Full">
                <int2:suggestion int2:citationStyle="Mla" int2:isIdentical="0">
                  <int2:citationText>&lt;i&gt;What is a Stakeholder? - Definitions of a Stakeholder&lt;/i&gt;, https://www.stakeholdermap.com/what-is-a-stakeholder.html.</int2:citationText>
                </int2:suggestion>
                <int2:suggestion int2:citationStyle="Apa" int2:isIdentical="0">
                  <int2:citationText>&lt;i&gt;What is a Stakeholder? - Definitions of a Stakeholder&lt;/i&gt;. (n.d.). Retrieved from https://www.stakeholdermap.com/what-is-a-stakeholder.html</int2:citationText>
                </int2:suggestion>
                <int2:suggestion int2:citationStyle="Chicago" int2:isIdentical="0">
                  <int2:citationText>“What is a Stakeholder? - Definitions of a Stakeholder” n.d., https://www.stakeholdermap.com/what-is-a-stakeholder.html.</int2:citationText>
                </int2:suggestion>
              </int2:suggestions>
            </int2:source>
          </int2:similarityCritique>
        </oel:ext>
      </int2:extLst>
    </int2:bookmark>
    <int2:bookmark int2:bookmarkName="_Int_aXwrJrRu" int2:invalidationBookmarkName="" int2:hashCode="FWNvx0CcCEtVDb" int2:id="Mb6MCiu8">
      <int2:extLst>
        <oel:ext uri="426473B9-03D8-482F-96C9-C2C85392BACA">
          <int2:similarityCritique int2:version="1" int2:context="What is an appropriate measure of litigation? Quantification, qualification and differentiation of dispute resolution. Quantification, Qualification and Differentiation of Dispute Resolution (July 29, 2020).">
            <int2:source int2:sourceType="Online" int2:sourceTitle="What is an Appropriate Measure of Litigation? Quantification ... - SSRN" int2:sourceUrl="https://papers.ssrn.com/sol3/papers.cfm?abstract_id=3663304" int2:sourceSnippet="What is an Appropriate Measure of Litigation? Quantification, Qualification and Differentiation of Dispute Resolution. Oñati Socio-Legal Series, Vol.11, No.2, 2021. UC Irvine School of Law Research Paper No. 2020-54. 35 Pages Posted: 6 Aug 2020 Last revised: 6 Apr 2021.">
              <int2:suggestions int2:citationType="Inline">
                <int2:suggestion int2:citationStyle="Mla" int2:isIdentical="0">
                  <int2:citationText>(“What is an Appropriate Measure of Litigation? Quantification ... - SSRN”)</int2:citationText>
                </int2:suggestion>
                <int2:suggestion int2:citationStyle="Apa" int2:isIdentical="0">
                  <int2:citationText>(“What is an Appropriate Measure of Litigation? Quantification ... - SSRN”)</int2:citationText>
                </int2:suggestion>
                <int2:suggestion int2:citationStyle="Chicago" int2:isIdentical="0">
                  <int2:citationText>(“What is an Appropriate Measure of Litigation? Quantification ... - SSRN”)</int2:citationText>
                </int2:suggestion>
              </int2:suggestions>
              <int2:suggestions int2:citationType="Full">
                <int2:suggestion int2:citationStyle="Mla" int2:isIdentical="0">
                  <int2:citationText>&lt;i&gt;What is an Appropriate Measure of Litigation? Quantification ... - SSRN&lt;/i&gt;, https://papers.ssrn.com/sol3/papers.cfm?abstract_id=3663304.</int2:citationText>
                </int2:suggestion>
                <int2:suggestion int2:citationStyle="Apa" int2:isIdentical="0">
                  <int2:citationText>&lt;i&gt;What is an Appropriate Measure of Litigation? Quantification ... - SSRN&lt;/i&gt;. (n.d.). Retrieved from https://papers.ssrn.com/sol3/papers.cfm?abstract_id=3663304</int2:citationText>
                </int2:suggestion>
                <int2:suggestion int2:citationStyle="Chicago" int2:isIdentical="0">
                  <int2:citationText>“What is an Appropriate Measure of Litigation? Quantification ... - SSRN” n.d., https://papers.ssrn.com/sol3/papers.cfm?abstract_id=3663304.</int2:citationText>
                </int2:suggestion>
              </int2:suggestions>
            </int2:source>
          </int2:similarityCritique>
        </oel:ext>
      </int2:extLst>
    </int2:bookmark>
    <int2:bookmark int2:bookmarkName="_Int_kHYGXiaV" int2:invalidationBookmarkName="" int2:hashCode="kGOPOXZGA7NUbw" int2:id="nA8BSZoF">
      <int2:extLst>
        <oel:ext uri="426473B9-03D8-482F-96C9-C2C85392BACA">
          <int2:similarityCritique int2:version="1" int2:context="Collaboration or negotiation: Two ways of interacting suggest how shared thinking develops.">
            <int2:source int2:sourceType="Online" int2:sourceTitle="Collaboration or negotiation: two ways of interacting suggest how ..." int2:sourceUrl="https://www.ncbi.nlm.nih.gov/pubmed/29597145" int2:sourceSnippet="Collaboration or negotiation: two ways of interacting suggest how shared thinking develops. Mejía-Arauz R(1), Rogoff B(2), Dayton A(2), Henne-Ochoa R(3). Author information: (1)ITESO University, Periférico Sur Manuel Gómez Morin 8585, Tlaquepaque, Jalisco 45604, Mexico. Electronic address: rebmejia@iteso.mx.">
              <int2:suggestions int2:citationType="Inline">
                <int2:suggestion int2:citationStyle="Mla" int2:isIdentical="1">
                  <int2:citationText>(“Collaboration or negotiation: two ways of interacting suggest how ...”)</int2:citationText>
                </int2:suggestion>
                <int2:suggestion int2:citationStyle="Apa" int2:isIdentical="1">
                  <int2:citationText>(“Collaboration or negotiation: two ways of interacting suggest how ...”)</int2:citationText>
                </int2:suggestion>
                <int2:suggestion int2:citationStyle="Chicago" int2:isIdentical="1">
                  <int2:citationText>(“Collaboration or negotiation: two ways of interacting suggest how ...”)</int2:citationText>
                </int2:suggestion>
              </int2:suggestions>
              <int2:suggestions int2:citationType="Full">
                <int2:suggestion int2:citationStyle="Mla" int2:isIdentical="1">
                  <int2:citationText>&lt;i&gt;Collaboration or negotiation: two ways of interacting suggest how ...&lt;/i&gt;, https://www.ncbi.nlm.nih.gov/pubmed/29597145.</int2:citationText>
                </int2:suggestion>
                <int2:suggestion int2:citationStyle="Apa" int2:isIdentical="1">
                  <int2:citationText>&lt;i&gt;Collaboration or negotiation: two ways of interacting suggest how ...&lt;/i&gt;. (n.d.). Retrieved from https://www.ncbi.nlm.nih.gov/pubmed/29597145</int2:citationText>
                </int2:suggestion>
                <int2:suggestion int2:citationStyle="Chicago" int2:isIdentical="1">
                  <int2:citationText>“Collaboration or negotiation: two ways of interacting suggest how ...” n.d., https://www.ncbi.nlm.nih.gov/pubmed/29597145.</int2:citationText>
                </int2:suggestion>
              </int2:suggestions>
            </int2:source>
            <int2:source int2:sourceType="Online" int2:sourceTitle="Richard Henne-Ochoa, Ph.D.: Director &amp; Affiliates: People: American ..." int2:sourceUrl="https://aisri.indiana.edu/profiles/staff/henne-ochoa.html" int2:sourceSnippet="Collaboration or negotiation: Two ways of interacting suggest how shared thinking develops. Current Opinion in Psychology, 23, 117-123. 2015 Henne-Ochoa, R., &amp; R. Bauman. Who is responsible for saving the language? Performing generation in the face of language shift. Journal of Linguistic Anthropology, 25(2), 128-149.">
              <int2:suggestions int2:citationType="Inline">
                <int2:suggestion int2:citationStyle="Mla" int2:isIdentical="1">
                  <int2:citationText>(“Richard Henne-Ochoa, Ph.D.: Director &amp; Affiliates: People: American ...”)</int2:citationText>
                </int2:suggestion>
                <int2:suggestion int2:citationStyle="Apa" int2:isIdentical="1">
                  <int2:citationText>(“Richard Henne-Ochoa, Ph.D.: Director &amp; Affiliates: People: American ...”)</int2:citationText>
                </int2:suggestion>
                <int2:suggestion int2:citationStyle="Chicago" int2:isIdentical="1">
                  <int2:citationText>(“Richard Henne-Ochoa, Ph.D.: Director &amp; Affiliates: People: American ...”)</int2:citationText>
                </int2:suggestion>
              </int2:suggestions>
              <int2:suggestions int2:citationType="Full">
                <int2:suggestion int2:citationStyle="Mla" int2:isIdentical="1">
                  <int2:citationText>&lt;i&gt;Richard Henne-Ochoa, Ph.D.: Director &amp; Affiliates: People: American ...&lt;/i&gt;, https://aisri.indiana.edu/profiles/staff/henne-ochoa.html.</int2:citationText>
                </int2:suggestion>
                <int2:suggestion int2:citationStyle="Apa" int2:isIdentical="1">
                  <int2:citationText>&lt;i&gt;Richard Henne-Ochoa, Ph.D.: Director &amp; Affiliates: People: American ...&lt;/i&gt;. (n.d.). Retrieved from https://aisri.indiana.edu/profiles/staff/henne-ochoa.html</int2:citationText>
                </int2:suggestion>
                <int2:suggestion int2:citationStyle="Chicago" int2:isIdentical="1">
                  <int2:citationText>“Richard Henne-Ochoa, Ph.D.: Director &amp; Affiliates: People: American ...” n.d., https://aisri.indiana.edu/profiles/staff/henne-ochoa.html.</int2:citationText>
                </int2:suggestion>
              </int2:suggestions>
            </int2:source>
            <int2:source int2:sourceType="Online" int2:sourceTitle="Culture and participation: a paradigm shift. - Semantic Scholar" int2:sourceUrl="https://www.semanticscholar.org/paper/Culture-and-participation%3A-a-paradigm-shift.-Rogoff/d131e9a0aa974a480f1333928c2509be6e4b6a52" int2:sourceSnippet="Collaboration or negotiation: two ways of interacting suggest how shared thinking develops. Rebeca Mejía-Arauz , B. Rogoff , Andrew Dayton , Richard Henne-Ochoa Sociology">
              <int2:suggestions int2:citationType="Inline">
                <int2:suggestion int2:citationStyle="Mla" int2:isIdentical="1">
                  <int2:citationText>(“Culture and participation: a paradigm shift. - Semantic Scholar”)</int2:citationText>
                </int2:suggestion>
                <int2:suggestion int2:citationStyle="Apa" int2:isIdentical="1">
                  <int2:citationText>(“Culture and participation: a paradigm shift. - Semantic Scholar”)</int2:citationText>
                </int2:suggestion>
                <int2:suggestion int2:citationStyle="Chicago" int2:isIdentical="1">
                  <int2:citationText>(“Culture and participation: a paradigm shift. - Semantic Scholar”)</int2:citationText>
                </int2:suggestion>
              </int2:suggestions>
              <int2:suggestions int2:citationType="Full">
                <int2:suggestion int2:citationStyle="Mla" int2:isIdentical="1">
                  <int2:citationText>&lt;i&gt;Culture and participation: a paradigm shift. - Semantic Scholar&lt;/i&gt;, https://www.semanticscholar.org/paper/Culture-and-participation%3A-a-paradigm-shift.-Rogoff/d131e9a0aa974a480f1333928c2509be6e4b6a52.</int2:citationText>
                </int2:suggestion>
                <int2:suggestion int2:citationStyle="Apa" int2:isIdentical="1">
                  <int2:citationText>&lt;i&gt;Culture and participation: a paradigm shift. - Semantic Scholar&lt;/i&gt;. (n.d.). Retrieved from https://www.semanticscholar.org/paper/Culture-and-participation%3A-a-paradigm-shift.-Rogoff/d131e9a0aa974a480f1333928c2509be6e4b6a52</int2:citationText>
                </int2:suggestion>
                <int2:suggestion int2:citationStyle="Chicago" int2:isIdentical="1">
                  <int2:citationText>“Culture and participation: a paradigm shift. - Semantic Scholar” n.d., https://www.semanticscholar.org/paper/Culture-and-participation%3A-a-paradigm-shift.-Rogoff/d131e9a0aa974a480f1333928c2509be6e4b6a52.</int2:citationText>
                </int2:suggestion>
              </int2:suggestions>
            </int2:source>
          </int2:similarityCritique>
        </oel:ext>
      </int2:extLst>
    </int2:bookmark>
    <int2:bookmark int2:bookmarkName="_Int_oby1TIJT" int2:invalidationBookmarkName="" int2:hashCode="TueWU7OPfJxXZS" int2:id="vkWsc6RT">
      <int2:extLst>
        <oel:ext uri="426473B9-03D8-482F-96C9-C2C85392BACA">
          <int2:similarityCritique int2:version="1" int2:context="Operational and economic advantages of autonomous ships and their perceived impacts on port operations.">
            <int2:source int2:sourceType="Online" int2:sourceTitle="[PDF] Analyzing the economic benefit of unmanned autonomous ships: An ..." int2:sourceUrl="https://www.semanticscholar.org/paper/Analyzing-the-economic-benefit-of-unmanned-ships%3A-a-Kretschmann-Burmeister/3bf3599c543cdaac0b5980a836276d86957024f4" int2:sourceSnippet="Operational and economic advantages of autonomous ships and their perceived impacts on port operations. Ismail Kurt, M. Aymelek; Business. Maritime Economics &amp; Logistics. 2022; Autonomous shipping has been on the agenda of the shipping industry for the last decade, and is now closer to becoming a reality more than ever.">
              <int2:suggestions int2:citationType="Inline">
                <int2:suggestion int2:citationStyle="Mla" int2:isIdentical="1">
                  <int2:citationText>(“[PDF] Analyzing the economic benefit of unmanned autonomous ships: An ...”)</int2:citationText>
                </int2:suggestion>
                <int2:suggestion int2:citationStyle="Apa" int2:isIdentical="1">
                  <int2:citationText>(“[PDF] Analyzing the economic benefit of unmanned autonomous ships: An ...”)</int2:citationText>
                </int2:suggestion>
                <int2:suggestion int2:citationStyle="Chicago" int2:isIdentical="1">
                  <int2:citationText>(“[PDF] Analyzing the economic benefit of unmanned autonomous ships: An ...”)</int2:citationText>
                </int2:suggestion>
              </int2:suggestions>
              <int2:suggestions int2:citationType="Full">
                <int2:suggestion int2:citationStyle="Mla" int2:isIdentical="1">
                  <int2:citationText>&lt;i&gt;[PDF] Analyzing the economic benefit of unmanned autonomous ships: An ...&lt;/i&gt;, https://www.semanticscholar.org/paper/Analyzing-the-economic-benefit-of-unmanned-ships%3A-a-Kretschmann-Burmeister/3bf3599c543cdaac0b5980a836276d86957024f4.</int2:citationText>
                </int2:suggestion>
                <int2:suggestion int2:citationStyle="Apa" int2:isIdentical="1">
                  <int2:citationText>&lt;i&gt;[PDF] Analyzing the economic benefit of unmanned autonomous ships: An ...&lt;/i&gt;. (n.d.). Retrieved from https://www.semanticscholar.org/paper/Analyzing-the-economic-benefit-of-unmanned-ships%3A-a-Kretschmann-Burmeister/3bf3599c543cdaac0b5980a836276d86957024f4</int2:citationText>
                </int2:suggestion>
                <int2:suggestion int2:citationStyle="Chicago" int2:isIdentical="1">
                  <int2:citationText>“[PDF] Analyzing the economic benefit of unmanned autonomous ships: An ...” n.d., https://www.semanticscholar.org/paper/Analyzing-the-economic-benefit-of-unmanned-ships%3A-a-Kretschmann-Burmeister/3bf3599c543cdaac0b5980a836276d86957024f4.</int2:citationText>
                </int2:suggestion>
              </int2:suggestions>
            </int2:source>
            <int2:source int2:sourceType="Online" int2:sourceTitle="Issues &amp; Articles / Latest Issue | Maritime Economics ... - Palgrave" int2:sourceUrl="https://www.palgrave.com/gp/journal/41278/volumes-issues/latest-issue" int2:sourceSnippet="Operational and economic advantages of autonomous ships and their perceived impacts on port operations. Ismail Kurt, Murat Aymelek. Special Issue - Autonomous Shipping. Implications of autonomous shipping for maritime education and training: the cadet’s perspective.">
              <int2:suggestions int2:citationType="Inline">
                <int2:suggestion int2:citationStyle="Mla" int2:isIdentical="1">
                  <int2:citationText>(“Issues &amp; Articles / Latest Issue | Maritime Economics ... - Palgrave”)</int2:citationText>
                </int2:suggestion>
                <int2:suggestion int2:citationStyle="Apa" int2:isIdentical="1">
                  <int2:citationText>(“Issues &amp; Articles / Latest Issue | Maritime Economics ... - Palgrave”)</int2:citationText>
                </int2:suggestion>
                <int2:suggestion int2:citationStyle="Chicago" int2:isIdentical="1">
                  <int2:citationText>(“Issues &amp; Articles / Latest Issue | Maritime Economics ... - Palgrave”)</int2:citationText>
                </int2:suggestion>
              </int2:suggestions>
              <int2:suggestions int2:citationType="Full">
                <int2:suggestion int2:citationStyle="Mla" int2:isIdentical="1">
                  <int2:citationText>&lt;i&gt;Issues &amp; Articles / Latest Issue | Maritime Economics ... - Palgrave&lt;/i&gt;, https://www.palgrave.com/gp/journal/41278/volumes-issues/latest-issue.</int2:citationText>
                </int2:suggestion>
                <int2:suggestion int2:citationStyle="Apa" int2:isIdentical="1">
                  <int2:citationText>&lt;i&gt;Issues &amp; Articles / Latest Issue | Maritime Economics ... - Palgrave&lt;/i&gt;. (n.d.). Retrieved from https://www.palgrave.com/gp/journal/41278/volumes-issues/latest-issue</int2:citationText>
                </int2:suggestion>
                <int2:suggestion int2:citationStyle="Chicago" int2:isIdentical="1">
                  <int2:citationText>“Issues &amp; Articles / Latest Issue | Maritime Economics ... - Palgrave” n.d., https://www.palgrave.com/gp/journal/41278/volumes-issues/latest-issue.</int2:citationText>
                </int2:suggestion>
              </int2:suggestions>
            </int2:source>
            <int2:source int2:sourceType="Online" int2:sourceTitle="Operational and economic advantages of autonomous ships and their ..." int2:sourceUrl="https://www.semanticscholar.org/paper/Operational-and-economic-advantages-of-autonomous-Kurt-Aymelek/608f3cdf38a987301e0090ac229ea1be0c926a6d" int2:sourceSnippet="DOI: 10.1057/s41278-022-00213-1 Corpus ID: 246292037; Operational and economic advantages of autonomous ships and their perceived impacts on port operations @article{Kurt2022OperationalAE, title={Operational and economic advantages of autonomous ships and their perceived impacts on port operations}, author={Ismail Kurt and Murat Aymelek}, journal={Maritime Economics \&amp; Logistics}, year={2022 ...">
              <int2:suggestions int2:citationType="Inline">
                <int2:suggestion int2:citationStyle="Mla" int2:isIdentical="0">
                  <int2:citationText>(“Operational and economic advantages of autonomous ships and their ...”)</int2:citationText>
                </int2:suggestion>
                <int2:suggestion int2:citationStyle="Apa" int2:isIdentical="0">
                  <int2:citationText>(“Operational and economic advantages of autonomous ships and their ...”)</int2:citationText>
                </int2:suggestion>
                <int2:suggestion int2:citationStyle="Chicago" int2:isIdentical="0">
                  <int2:citationText>(“Operational and economic advantages of autonomous ships and their ...”)</int2:citationText>
                </int2:suggestion>
              </int2:suggestions>
              <int2:suggestions int2:citationType="Full">
                <int2:suggestion int2:citationStyle="Mla" int2:isIdentical="0">
                  <int2:citationText>&lt;i&gt;Operational and economic advantages of autonomous ships and their ...&lt;/i&gt;, https://www.semanticscholar.org/paper/Operational-and-economic-advantages-of-autonomous-Kurt-Aymelek/608f3cdf38a987301e0090ac229ea1be0c926a6d.</int2:citationText>
                </int2:suggestion>
                <int2:suggestion int2:citationStyle="Apa" int2:isIdentical="0">
                  <int2:citationText>&lt;i&gt;Operational and economic advantages of autonomous ships and their ...&lt;/i&gt;. (n.d.). Retrieved from https://www.semanticscholar.org/paper/Operational-and-economic-advantages-of-autonomous-Kurt-Aymelek/608f3cdf38a987301e0090ac229ea1be0c926a6d</int2:citationText>
                </int2:suggestion>
                <int2:suggestion int2:citationStyle="Chicago" int2:isIdentical="0">
                  <int2:citationText>“Operational and economic advantages of autonomous ships and their ...” n.d., https://www.semanticscholar.org/paper/Operational-and-economic-advantages-of-autonomous-Kurt-Aymelek/608f3cdf38a987301e0090ac229ea1be0c926a6d.</int2:citationText>
                </int2:suggestion>
              </int2:suggestions>
            </int2:source>
          </int2:similarityCritique>
        </oel:ext>
      </int2:extLst>
    </int2:bookmark>
    <int2:bookmark int2:bookmarkName="_Int_QvFSGeeR" int2:invalidationBookmarkName="" int2:hashCode="4j/17Al5TfhWCT" int2:id="6NHdiM24">
      <int2:extLst>
        <oel:ext uri="426473B9-03D8-482F-96C9-C2C85392BACA">
          <int2:similarityCritique int2:version="1" int2:context="UK state identity-making and British overseas territories’ environments in times of ecological crisis and geopolitical change.">
            <int2:source int2:sourceType="Online" int2:sourceTitle="OAR@UM: UK state identity-making and British overseas territories ..." int2:sourceUrl="https://www.um.edu.mt/library/oar/handle/123456789/94161" int2:sourceSnippet="UK state identity-making and British overseas territories’ environments in times of ecological crisis and geopolitical change. Small States &amp; Territories, 5(1), 31-54. Abstract: Analysis of state identity constructions can provide important insights into the ideologies, values, ambitions and policies of influential state actors. Existing ...">
              <int2:suggestions int2:citationType="Inline">
                <int2:suggestion int2:citationStyle="Mla" int2:isIdentical="1">
                  <int2:citationText>(“OAR@UM: UK state identity-making and British overseas territories ...”)</int2:citationText>
                </int2:suggestion>
                <int2:suggestion int2:citationStyle="Apa" int2:isIdentical="1">
                  <int2:citationText>(“OAR@UM: UK state identity-making and British overseas territories ...”)</int2:citationText>
                </int2:suggestion>
                <int2:suggestion int2:citationStyle="Chicago" int2:isIdentical="1">
                  <int2:citationText>(“OAR@UM: UK state identity-making and British overseas territories ...”)</int2:citationText>
                </int2:suggestion>
              </int2:suggestions>
              <int2:suggestions int2:citationType="Full">
                <int2:suggestion int2:citationStyle="Mla" int2:isIdentical="1">
                  <int2:citationText>&lt;i&gt;OAR@UM: UK state identity-making and British overseas territories ...&lt;/i&gt;, https://www.um.edu.mt/library/oar/handle/123456789/94161.</int2:citationText>
                </int2:suggestion>
                <int2:suggestion int2:citationStyle="Apa" int2:isIdentical="1">
                  <int2:citationText>&lt;i&gt;OAR@UM: UK state identity-making and British overseas territories ...&lt;/i&gt;. (n.d.). Retrieved from https://www.um.edu.mt/library/oar/handle/123456789/94161</int2:citationText>
                </int2:suggestion>
                <int2:suggestion int2:citationStyle="Chicago" int2:isIdentical="1">
                  <int2:citationText>“OAR@UM: UK state identity-making and British overseas territories ...” n.d., https://www.um.edu.mt/library/oar/handle/123456789/94161.</int2:citationText>
                </int2:suggestion>
              </int2:suggestions>
            </int2:source>
            <int2:source int2:sourceType="Online" int2:sourceTitle="School of Geography, Earth and Environmental Sciences" int2:sourceUrl="https://pearl.plymouth.ac.uk/handle/10026.1/11771" int2:sourceSnippet="UK state identity-making and British overseas territories’ environments in times of ecological crisis and geopolitical change ﻿ Harmer, N ; Bailey, I ; Hart, N Distribution of pelagic phytoplankton-derived lipid biomarkers along a transect from the East Sea to the Bering Sea: insights into their suitability as open-water indicators ﻿">
              <int2:suggestions int2:citationType="Inline">
                <int2:suggestion int2:citationStyle="Mla" int2:isIdentical="0">
                  <int2:citationText>(“School of Geography, Earth and Environmental Sciences”)</int2:citationText>
                </int2:suggestion>
                <int2:suggestion int2:citationStyle="Apa" int2:isIdentical="0">
                  <int2:citationText>(“School of Geography, Earth and Environmental Sciences”)</int2:citationText>
                </int2:suggestion>
                <int2:suggestion int2:citationStyle="Chicago" int2:isIdentical="0">
                  <int2:citationText>(“School of Geography, Earth and Environmental Sciences”)</int2:citationText>
                </int2:suggestion>
              </int2:suggestions>
              <int2:suggestions int2:citationType="Full">
                <int2:suggestion int2:citationStyle="Mla" int2:isIdentical="0">
                  <int2:citationText>&lt;i&gt;School of Geography, Earth and Environmental Sciences&lt;/i&gt;, https://pearl.plymouth.ac.uk/handle/10026.1/11771.</int2:citationText>
                </int2:suggestion>
                <int2:suggestion int2:citationStyle="Apa" int2:isIdentical="0">
                  <int2:citationText>&lt;i&gt;School of Geography, Earth and Environmental Sciences&lt;/i&gt;. (n.d.). Retrieved from https://pearl.plymouth.ac.uk/handle/10026.1/11771</int2:citationText>
                </int2:suggestion>
                <int2:suggestion int2:citationStyle="Chicago" int2:isIdentical="0">
                  <int2:citationText>“School of Geography, Earth and Environmental Sciences” n.d., https://pearl.plymouth.ac.uk/handle/10026.1/11771.</int2:citationText>
                </int2:suggestion>
              </int2:suggestions>
            </int2:source>
            <int2:source int2:sourceType="Online" int2:sourceTitle="Professor Ian Bailey - University of Plymouth" int2:sourceUrl="https://www.plymouth.ac.uk/staff/ian-bailey" int2:sourceSnippet="Professor Ian Bailey Professor of Environmental Politics School of Geography, Earth and Environmental Sciences (Faculty of Science and Engineering) ... Harmer, N., Bailey, I. and Hart, N. (2022) UK state identity-making and British overseas territories’ environments in times of ecological crisis and geopolitical change, Small States and ...">
              <int2:suggestions int2:citationType="Inline">
                <int2:suggestion int2:citationStyle="Mla" int2:isIdentical="0">
                  <int2:citationText>(“Professor Ian Bailey - University of Plymouth”)</int2:citationText>
                </int2:suggestion>
                <int2:suggestion int2:citationStyle="Apa" int2:isIdentical="0">
                  <int2:citationText>(“Professor Ian Bailey - University of Plymouth”)</int2:citationText>
                </int2:suggestion>
                <int2:suggestion int2:citationStyle="Chicago" int2:isIdentical="0">
                  <int2:citationText>(“Professor Ian Bailey - University of Plymouth”)</int2:citationText>
                </int2:suggestion>
              </int2:suggestions>
              <int2:suggestions int2:citationType="Full">
                <int2:suggestion int2:citationStyle="Mla" int2:isIdentical="0">
                  <int2:citationText>&lt;i&gt;Professor Ian Bailey - University of Plymouth&lt;/i&gt;, https://www.plymouth.ac.uk/staff/ian-bailey.</int2:citationText>
                </int2:suggestion>
                <int2:suggestion int2:citationStyle="Apa" int2:isIdentical="0">
                  <int2:citationText>&lt;i&gt;Professor Ian Bailey - University of Plymouth&lt;/i&gt;. (n.d.). Retrieved from https://www.plymouth.ac.uk/staff/ian-bailey</int2:citationText>
                </int2:suggestion>
                <int2:suggestion int2:citationStyle="Chicago" int2:isIdentical="0">
                  <int2:citationText>“Professor Ian Bailey - University of Plymouth” n.d., https://www.plymouth.ac.uk/staff/ian-bailey.</int2:citationText>
                </int2:suggestion>
              </int2:suggestions>
            </int2:source>
          </int2:similarityCritique>
        </oel:ext>
      </int2:extLst>
    </int2:bookmark>
    <int2:bookmark int2:bookmarkName="_Int_8dC10F9x" int2:invalidationBookmarkName="" int2:hashCode="3tNdsUj5tvByoB" int2:id="MUcfpw3o">
      <int2:extLst>
        <oel:ext uri="426473B9-03D8-482F-96C9-C2C85392BACA">
          <int2:similarityCritique int2:version="1" int2:context="The power of the word: students’ and school staff’s use of the established bullying definition.">
            <int2:source int2:sourceType="Online" int2:sourceTitle="The power of the word: students’ and school staff’s use of the ..." int2:sourceUrl="https://www.tandfonline.com/doi/full/10.1080/00131881.2018.1454263" int2:sourceSnippet="(2018). The power of the word: students’ and school staff’s use of the established bullying definition. Educational Research: Vol. 60, No. 2, pp. 157-170.">
              <int2:suggestions int2:citationType="Inline">
                <int2:suggestion int2:citationStyle="Mla" int2:isIdentical="1">
                  <int2:citationText>(“The power of the word: students’ and school staff’s use of the ...”)</int2:citationText>
                </int2:suggestion>
                <int2:suggestion int2:citationStyle="Apa" int2:isIdentical="1">
                  <int2:citationText>(“The power of the word: students’ and school staff’s use of the ...”)</int2:citationText>
                </int2:suggestion>
                <int2:suggestion int2:citationStyle="Chicago" int2:isIdentical="1">
                  <int2:citationText>(“The power of the word: students’ and school staff’s use of the ...”)</int2:citationText>
                </int2:suggestion>
              </int2:suggestions>
              <int2:suggestions int2:citationType="Full">
                <int2:suggestion int2:citationStyle="Mla" int2:isIdentical="1">
                  <int2:citationText>&lt;i&gt;The power of the word: students’ and school staff’s use of the ...&lt;/i&gt;, https://www.tandfonline.com/doi/full/10.1080/00131881.2018.1454263.</int2:citationText>
                </int2:suggestion>
                <int2:suggestion int2:citationStyle="Apa" int2:isIdentical="1">
                  <int2:citationText>&lt;i&gt;The power of the word: students’ and school staff’s use of the ...&lt;/i&gt;. (n.d.). Retrieved from https://www.tandfonline.com/doi/full/10.1080/00131881.2018.1454263</int2:citationText>
                </int2:suggestion>
                <int2:suggestion int2:citationStyle="Chicago" int2:isIdentical="1">
                  <int2:citationText>“The power of the word: students’ and school staff’s use of the ...” n.d., https://www.tandfonline.com/doi/full/10.1080/00131881.2018.1454263.</int2:citationText>
                </int2:suggestion>
              </int2:suggestions>
            </int2:source>
            <int2:source int2:sourceType="Online" int2:sourceTitle="The power of the word: students’ and school staff’s use of the ..." int2:sourceUrl="https://www.tandfonline.com/doi/abs/10.1080/00131881.2018.1454263" int2:sourceSnippet="The power of the word: students’ and school staff’s use of the established bullying definition. Ingunn Marie Eriksen Norwegian Social Research, Oslo Metropolitan University , Oslo, ... The power of the word: students’ and school staff’s use of the established bullying definition Full Article Figures &amp; data; References; Citations Metrics;">
              <int2:suggestions int2:citationType="Inline">
                <int2:suggestion int2:citationStyle="Mla" int2:isIdentical="1">
                  <int2:citationText>(“The power of the word: students’ and school staff’s use of the ...”)</int2:citationText>
                </int2:suggestion>
                <int2:suggestion int2:citationStyle="Apa" int2:isIdentical="1">
                  <int2:citationText>(“The power of the word: students’ and school staff’s use of the ...”)</int2:citationText>
                </int2:suggestion>
                <int2:suggestion int2:citationStyle="Chicago" int2:isIdentical="1">
                  <int2:citationText>(“The power of the word: students’ and school staff’s use of the ...”)</int2:citationText>
                </int2:suggestion>
              </int2:suggestions>
              <int2:suggestions int2:citationType="Full">
                <int2:suggestion int2:citationStyle="Mla" int2:isIdentical="1">
                  <int2:citationText>&lt;i&gt;The power of the word: students’ and school staff’s use of the ...&lt;/i&gt;, https://www.tandfonline.com/doi/abs/10.1080/00131881.2018.1454263.</int2:citationText>
                </int2:suggestion>
                <int2:suggestion int2:citationStyle="Apa" int2:isIdentical="1">
                  <int2:citationText>&lt;i&gt;The power of the word: students’ and school staff’s use of the ...&lt;/i&gt;. (n.d.). Retrieved from https://www.tandfonline.com/doi/abs/10.1080/00131881.2018.1454263</int2:citationText>
                </int2:suggestion>
                <int2:suggestion int2:citationStyle="Chicago" int2:isIdentical="1">
                  <int2:citationText>“The power of the word: students’ and school staff’s use of the ...” n.d., https://www.tandfonline.com/doi/abs/10.1080/00131881.2018.1454263.</int2:citationText>
                </int2:suggestion>
              </int2:suggestions>
            </int2:source>
            <int2:source int2:sourceType="Online" int2:sourceTitle="Bullying in school: Perspectives from school staff, students, and parents" int2:sourceUrl="https://www.researchgate.net/publication/317747621_Bullying_in_school_Perspectives_from_school_staff_students_and_parents" int2:sourceSnippet="The power of the word: students’ and school staff’s use of the established bullying definition. Article. Full-text available. Apr 2018; Ingunn Marie Eriksen;">
              <int2:suggestions int2:citationType="Inline">
                <int2:suggestion int2:citationStyle="Mla" int2:isIdentical="1">
                  <int2:citationText>(“Bullying in school: Perspectives from school staff, students, and parents”)</int2:citationText>
                </int2:suggestion>
                <int2:suggestion int2:citationStyle="Apa" int2:isIdentical="1">
                  <int2:citationText>(“Bullying in school: Perspectives from school staff, students, and parents”)</int2:citationText>
                </int2:suggestion>
                <int2:suggestion int2:citationStyle="Chicago" int2:isIdentical="1">
                  <int2:citationText>(“Bullying in school: Perspectives from school staff, students, and parents”)</int2:citationText>
                </int2:suggestion>
              </int2:suggestions>
              <int2:suggestions int2:citationType="Full">
                <int2:suggestion int2:citationStyle="Mla" int2:isIdentical="1">
                  <int2:citationText>&lt;i&gt;Bullying in school: Perspectives from school staff, students, and parents&lt;/i&gt;, https://www.researchgate.net/publication/317747621_Bullying_in_school_Perspectives_from_school_staff_students_and_parents.</int2:citationText>
                </int2:suggestion>
                <int2:suggestion int2:citationStyle="Apa" int2:isIdentical="1">
                  <int2:citationText>&lt;i&gt;Bullying in school: Perspectives from school staff, students, and parents&lt;/i&gt;. (n.d.). Retrieved from https://www.researchgate.net/publication/317747621_Bullying_in_school_Perspectives_from_school_staff_students_and_parents</int2:citationText>
                </int2:suggestion>
                <int2:suggestion int2:citationStyle="Chicago" int2:isIdentical="1">
                  <int2:citationText>“Bullying in school: Perspectives from school staff, students, and parents” n.d., https://www.researchgate.net/publication/317747621_Bullying_in_school_Perspectives_from_school_staff_students_and_parents.</int2:citationText>
                </int2:suggestion>
              </int2:suggestions>
            </int2:source>
          </int2:similarityCritique>
        </oel:ext>
      </int2:extLst>
    </int2:bookmark>
    <int2:bookmark int2:bookmarkName="_Int_lojizfeZ" int2:invalidationBookmarkName="" int2:hashCode="QKe9hEae0+LdQ+" int2:id="PMhRWIjg">
      <int2:extLst>
        <oel:ext uri="426473B9-03D8-482F-96C9-C2C85392BACA">
          <int2:similarityCritique int2:version="1" int2:context="A survey of moral distress in staff working in intensive care in the UK.">
            <int2:source int2:sourceType="Online" int2:sourceTitle="A surveyof moral distress in staff working in intensive care in the UK ..." int2:sourceUrl="https://journals.sagepub.com/doi/pdf/10.1177/1751143719875685" int2:sourceSnippet="1. Colville G, Dawson D, Rabinthiran S, et al. A survey of moral distress in staff working in intensive care in the UK. J Intens Care Soc 2019; 20: 196–203. 2. Corley MC, Elswick RK, Gorman M, et al. Development and evaluation of a moral distress scale. J Adv Nurs 2001; 33: 250–256. 3. Corley MC, Minick P, Elswick RK, et al. Nurse moral">
              <int2:suggestions int2:citationType="Inline">
                <int2:suggestion int2:citationStyle="Mla" int2:isIdentical="1">
                  <int2:citationText>(“A surveyof moral distress in staff working in intensive care in the UK ...”)</int2:citationText>
                </int2:suggestion>
                <int2:suggestion int2:citationStyle="Apa" int2:isIdentical="1">
                  <int2:citationText>(“A surveyof moral distress in staff working in intensive care in the UK ...”)</int2:citationText>
                </int2:suggestion>
                <int2:suggestion int2:citationStyle="Chicago" int2:isIdentical="1">
                  <int2:citationText>(“A surveyof moral distress in staff working in intensive care in the UK ...”)</int2:citationText>
                </int2:suggestion>
              </int2:suggestions>
              <int2:suggestions int2:citationType="Full">
                <int2:suggestion int2:citationStyle="Mla" int2:isIdentical="1">
                  <int2:citationText>&lt;i&gt;A surveyof moral distress in staff working in intensive care in the UK ...&lt;/i&gt;, https://journals.sagepub.com/doi/pdf/10.1177/1751143719875685.</int2:citationText>
                </int2:suggestion>
                <int2:suggestion int2:citationStyle="Apa" int2:isIdentical="1">
                  <int2:citationText>&lt;i&gt;A surveyof moral distress in staff working in intensive care in the UK ...&lt;/i&gt;. (n.d.). Retrieved from https://journals.sagepub.com/doi/pdf/10.1177/1751143719875685</int2:citationText>
                </int2:suggestion>
                <int2:suggestion int2:citationStyle="Chicago" int2:isIdentical="1">
                  <int2:citationText>“A surveyof moral distress in staff working in intensive care in the UK ...” n.d., https://journals.sagepub.com/doi/pdf/10.1177/1751143719875685.</int2:citationText>
                </int2:suggestion>
              </int2:suggestions>
            </int2:source>
            <int2:source int2:sourceType="Online" int2:sourceTitle="Moral distress among residents in neurology: a pilot study" int2:sourceUrl="https://www.ncbi.nlm.nih.gov/pmc/articles/PMC7849144/" int2:sourceSnippet="Colville GA, Dawson D, Rabinthiran S, Chaudry-Daley Z, Perkins-Porras L. A survey of moral distress in staff working in intensive care in the UK. Journal of the Intensive Care Society. 2018; 20 (1):175114371878775. [PMC free article] [Google Scholar]">
              <int2:suggestions int2:citationType="Inline">
                <int2:suggestion int2:citationStyle="Mla" int2:isIdentical="1">
                  <int2:citationText>(“Moral distress among residents in neurology: a pilot study”)</int2:citationText>
                </int2:suggestion>
                <int2:suggestion int2:citationStyle="Apa" int2:isIdentical="1">
                  <int2:citationText>(“Moral distress among residents in neurology: a pilot study”)</int2:citationText>
                </int2:suggestion>
                <int2:suggestion int2:citationStyle="Chicago" int2:isIdentical="1">
                  <int2:citationText>(“Moral distress among residents in neurology: a pilot study”)</int2:citationText>
                </int2:suggestion>
              </int2:suggestions>
              <int2:suggestions int2:citationType="Full">
                <int2:suggestion int2:citationStyle="Mla" int2:isIdentical="1">
                  <int2:citationText>&lt;i&gt;Moral distress among residents in neurology: a pilot study&lt;/i&gt;, https://www.ncbi.nlm.nih.gov/pmc/articles/PMC7849144/.</int2:citationText>
                </int2:suggestion>
                <int2:suggestion int2:citationStyle="Apa" int2:isIdentical="1">
                  <int2:citationText>&lt;i&gt;Moral distress among residents in neurology: a pilot study&lt;/i&gt;. (n.d.). Retrieved from https://www.ncbi.nlm.nih.gov/pmc/articles/PMC7849144/</int2:citationText>
                </int2:suggestion>
                <int2:suggestion int2:citationStyle="Chicago" int2:isIdentical="1">
                  <int2:citationText>“Moral distress among residents in neurology: a pilot study” n.d., https://www.ncbi.nlm.nih.gov/pmc/articles/PMC7849144/.</int2:citationText>
                </int2:suggestion>
              </int2:suggestions>
            </int2:source>
            <int2:source int2:sourceType="Online" int2:sourceTitle="A survey of moral distress in staff working in intensive care ... - PubMed" int2:sourceUrl="https://pubmed.ncbi.nlm.nih.gov/31695743/" int2:sourceSnippet="A survey of moral distress in staff working in intensive care in the UK - A reply J Intensive Care Soc. 2019 Nov;20(4):NP1. doi: 10.1177/1751143719875685. Epub 2019 Sep 12. Authors Adam J Boulton 1 2 , Joyce Yeung 1 2 , Anne-Marie Slowther 2 Affiliations 1 Academic Department of Anaesthesia, Critical Care ...">
              <int2:suggestions int2:citationType="Inline">
                <int2:suggestion int2:citationStyle="Mla" int2:isIdentical="0">
                  <int2:citationText>(“A survey of moral distress in staff working in intensive care ... - PubMed”)</int2:citationText>
                </int2:suggestion>
                <int2:suggestion int2:citationStyle="Apa" int2:isIdentical="0">
                  <int2:citationText>(“A survey of moral distress in staff working in intensive care ... - PubMed”)</int2:citationText>
                </int2:suggestion>
                <int2:suggestion int2:citationStyle="Chicago" int2:isIdentical="0">
                  <int2:citationText>(“A survey of moral distress in staff working in intensive care ... - PubMed”)</int2:citationText>
                </int2:suggestion>
              </int2:suggestions>
              <int2:suggestions int2:citationType="Full">
                <int2:suggestion int2:citationStyle="Mla" int2:isIdentical="0">
                  <int2:citationText>&lt;i&gt;A survey of moral distress in staff working in intensive care ... - PubMed&lt;/i&gt;, https://pubmed.ncbi.nlm.nih.gov/31695743/.</int2:citationText>
                </int2:suggestion>
                <int2:suggestion int2:citationStyle="Apa" int2:isIdentical="0">
                  <int2:citationText>&lt;i&gt;A survey of moral distress in staff working in intensive care ... - PubMed&lt;/i&gt;. (n.d.). Retrieved from https://pubmed.ncbi.nlm.nih.gov/31695743/</int2:citationText>
                </int2:suggestion>
                <int2:suggestion int2:citationStyle="Chicago" int2:isIdentical="0">
                  <int2:citationText>“A survey of moral distress in staff working in intensive care ... - PubMed” n.d., https://pubmed.ncbi.nlm.nih.gov/31695743/.</int2:citationText>
                </int2:suggestion>
              </int2:suggestions>
            </int2:source>
          </int2:similarityCritique>
        </oel:ext>
      </int2:extLst>
    </int2:bookmark>
    <int2:bookmark int2:bookmarkName="_Int_W0wQaddi" int2:invalidationBookmarkName="" int2:hashCode="IRkcs8ytHvfLww" int2:id="2XknlYyi">
      <int2:extLst>
        <oel:ext uri="426473B9-03D8-482F-96C9-C2C85392BACA">
          <int2:similarityCritique int2:version="1" int2:context="Colville, G.A., Dawson, D., Rabinthiran, S., Chaudry-Daley, Z. and Perkins-Porras, L., 2019.">
            <int2:source int2:sourceType="Online" int2:sourceTitle="How Can I Survive This? - CHEST" int2:sourceUrl="https://journal.chestnet.org/article/S0012-3692(20)35159-X/fulltext" int2:sourceSnippet="How Can I Survive This? Coping During Coronavirus Disease 2019 Pandemic. Daniel Garros, MD . Daniel Garros. Correspondence. ... Colville G.A. Dawson D. Rabinthiran S. Chaudry-Daley Z. Perkins-Porras L. A survey of moral distress in staff working in intensive care in the UK. J Intensive Care Soc. 2019; 20: 196-203.">
              <int2:suggestions int2:citationType="Inline">
                <int2:suggestion int2:citationStyle="Mla" int2:isIdentical="0">
                  <int2:citationText>(“How Can I Survive This? - CHEST”)</int2:citationText>
                </int2:suggestion>
                <int2:suggestion int2:citationStyle="Apa" int2:isIdentical="0">
                  <int2:citationText>(“How Can I Survive This? - CHEST”)</int2:citationText>
                </int2:suggestion>
                <int2:suggestion int2:citationStyle="Chicago" int2:isIdentical="0">
                  <int2:citationText>(“How Can I Survive This? - CHEST”)</int2:citationText>
                </int2:suggestion>
              </int2:suggestions>
              <int2:suggestions int2:citationType="Full">
                <int2:suggestion int2:citationStyle="Mla" int2:isIdentical="0">
                  <int2:citationText>&lt;i&gt;How Can I Survive This? - CHEST&lt;/i&gt;, https://journal.chestnet.org/article/S0012-3692(20)35159-X/fulltext.</int2:citationText>
                </int2:suggestion>
                <int2:suggestion int2:citationStyle="Apa" int2:isIdentical="0">
                  <int2:citationText>&lt;i&gt;How Can I Survive This? - CHEST&lt;/i&gt;. (n.d.). Retrieved from https://journal.chestnet.org/article/S0012-3692(20)35159-X/fulltext</int2:citationText>
                </int2:suggestion>
                <int2:suggestion int2:citationStyle="Chicago" int2:isIdentical="0">
                  <int2:citationText>“How Can I Survive This? - CHEST” n.d., https://journal.chestnet.org/article/S0012-3692(20)35159-X/fulltext.</int2:citationText>
                </int2:suggestion>
              </int2:suggestions>
            </int2:source>
          </int2:similarityCritique>
        </oel:ext>
      </int2:extLst>
    </int2:bookmark>
    <int2:bookmark int2:bookmarkName="_Int_9sujTbCO" int2:invalidationBookmarkName="" int2:hashCode="VLrewWOldKd4EA" int2:id="oz7K4LDI">
      <int2:extLst>
        <oel:ext uri="426473B9-03D8-482F-96C9-C2C85392BACA">
          <int2:similarityCritique int2:version="1" int2:context="Supporting construction stakeholders with the circular economy: A trans-scaler framework to understand the holistic approach.">
            <int2:source int2:sourceType="Online" int2:sourceTitle="Source Evaluation of Solid Waste in Building Construction" int2:sourceUrl="https://www.wizdom.ai/publication/10.1061/(ASCE)0733-9364(1994)120:3(536)/title/source_evaluation_of_solid_waste_in_building_construction" int2:sourceSnippet="Supporting construction stakeholders with the circular economy: A trans-scaler framework to understand the holistic approach. Rabia Charef. 2022, Cleaner Engineering and Technology. References . Methods for Environmental Impact Assessment: Theory and Application (Emphasis on Weighting-Scaling Checklists and Networks)">
              <int2:suggestions int2:citationType="Inline">
                <int2:suggestion int2:citationStyle="Mla" int2:isIdentical="1">
                  <int2:citationText>(“Source Evaluation of Solid Waste in Building Construction”)</int2:citationText>
                </int2:suggestion>
                <int2:suggestion int2:citationStyle="Apa" int2:isIdentical="1">
                  <int2:citationText>(“Source Evaluation of Solid Waste in Building Construction”)</int2:citationText>
                </int2:suggestion>
                <int2:suggestion int2:citationStyle="Chicago" int2:isIdentical="1">
                  <int2:citationText>(“Source Evaluation of Solid Waste in Building Construction”)</int2:citationText>
                </int2:suggestion>
              </int2:suggestions>
              <int2:suggestions int2:citationType="Full">
                <int2:suggestion int2:citationStyle="Mla" int2:isIdentical="1">
                  <int2:citationText>&lt;i&gt;Source Evaluation of Solid Waste in Building Construction&lt;/i&gt;, https://www.wizdom.ai/publication/10.1061/(ASCE)0733-9364(1994)120:3(536)/title/source_evaluation_of_solid_waste_in_building_construction.</int2:citationText>
                </int2:suggestion>
                <int2:suggestion int2:citationStyle="Apa" int2:isIdentical="1">
                  <int2:citationText>&lt;i&gt;Source Evaluation of Solid Waste in Building Construction&lt;/i&gt;. (n.d.). Retrieved from https://www.wizdom.ai/publication/10.1061/(ASCE)0733-9364(1994)120:3(536)/title/source_evaluation_of_solid_waste_in_building_construction</int2:citationText>
                </int2:suggestion>
                <int2:suggestion int2:citationStyle="Chicago" int2:isIdentical="1">
                  <int2:citationText>“Source Evaluation of Solid Waste in Building Construction” n.d., https://www.wizdom.ai/publication/10.1061/(ASCE)0733-9364(1994)120:3(536)/title/source_evaluation_of_solid_waste_in_building_construction.</int2:citationText>
                </int2:suggestion>
              </int2:suggestions>
            </int2:source>
            <int2:source int2:sourceType="Online" int2:sourceTitle="Digitizing material passport for sustainable construction projects ..." int2:sourceUrl="https://www.semanticscholar.org/paper/Digitizing-material-passport-for-sustainable-using-Atta-Bakhoum/b56ae87b528c9e0accd2a4d9fc2661ba940384b1" int2:sourceSnippet="Supporting construction stakeholders with the circular economy: A trans-scaler framework to understand the holistic approach. R. Charef; Cleaner Engineering and Technology. 2022; 2. Save. Alert. References. SHOWING 1-10 OF 73 REFERENCES. SORT BY. An integrated BIM-LEED application to automate sustainable design assessment framework at the ...">
              <int2:suggestions int2:citationType="Inline">
                <int2:suggestion int2:citationStyle="Mla" int2:isIdentical="1">
                  <int2:citationText>(“Digitizing material passport for sustainable construction projects ...”)</int2:citationText>
                </int2:suggestion>
                <int2:suggestion int2:citationStyle="Apa" int2:isIdentical="1">
                  <int2:citationText>(“Digitizing material passport for sustainable construction projects ...”)</int2:citationText>
                </int2:suggestion>
                <int2:suggestion int2:citationStyle="Chicago" int2:isIdentical="1">
                  <int2:citationText>(“Digitizing material passport for sustainable construction projects ...”)</int2:citationText>
                </int2:suggestion>
              </int2:suggestions>
              <int2:suggestions int2:citationType="Full">
                <int2:suggestion int2:citationStyle="Mla" int2:isIdentical="1">
                  <int2:citationText>&lt;i&gt;Digitizing material passport for sustainable construction projects ...&lt;/i&gt;, https://www.semanticscholar.org/paper/Digitizing-material-passport-for-sustainable-using-Atta-Bakhoum/b56ae87b528c9e0accd2a4d9fc2661ba940384b1.</int2:citationText>
                </int2:suggestion>
                <int2:suggestion int2:citationStyle="Apa" int2:isIdentical="1">
                  <int2:citationText>&lt;i&gt;Digitizing material passport for sustainable construction projects ...&lt;/i&gt;. (n.d.). Retrieved from https://www.semanticscholar.org/paper/Digitizing-material-passport-for-sustainable-using-Atta-Bakhoum/b56ae87b528c9e0accd2a4d9fc2661ba940384b1</int2:citationText>
                </int2:suggestion>
                <int2:suggestion int2:citationStyle="Chicago" int2:isIdentical="1">
                  <int2:citationText>“Digitizing material passport for sustainable construction projects ...” n.d., https://www.semanticscholar.org/paper/Digitizing-material-passport-for-sustainable-using-Atta-Bakhoum/b56ae87b528c9e0accd2a4d9fc2661ba940384b1.</int2:citationText>
                </int2:suggestion>
              </int2:suggestions>
            </int2:source>
            <int2:source int2:sourceType="Online" int2:sourceTitle="Supporting construction stakeholders with the circular economy: A trans ..." int2:sourceUrl="https://www.semanticscholar.org/paper/Supporting-construction-stakeholders-with-the-A-to-Charef/e8bb0992f8885f6fce1c9686ffa80375390e40d7" int2:sourceSnippet="@article{Charef2022SupportingCS, title={Supporting construction stakeholders with the circular economy: A trans-scaler framework to understand the holistic approach}, author={Rabia Charef}, journal={Cleaner Engineering and Technology}, year={2022} } R. Charef; Published 1 March 2022; Cleaner Engineering and Technology">
              <int2:suggestions int2:citationType="Inline">
                <int2:suggestion int2:citationStyle="Mla" int2:isIdentical="0">
                  <int2:citationText>(“Supporting construction stakeholders with the circular economy: A trans ...”)</int2:citationText>
                </int2:suggestion>
                <int2:suggestion int2:citationStyle="Apa" int2:isIdentical="0">
                  <int2:citationText>(“Supporting construction stakeholders with the circular economy: A trans ...”)</int2:citationText>
                </int2:suggestion>
                <int2:suggestion int2:citationStyle="Chicago" int2:isIdentical="0">
                  <int2:citationText>(“Supporting construction stakeholders with the circular economy: A trans ...”)</int2:citationText>
                </int2:suggestion>
              </int2:suggestions>
              <int2:suggestions int2:citationType="Full">
                <int2:suggestion int2:citationStyle="Mla" int2:isIdentical="0">
                  <int2:citationText>&lt;i&gt;Supporting construction stakeholders with the circular economy: A trans ...&lt;/i&gt;, https://www.semanticscholar.org/paper/Supporting-construction-stakeholders-with-the-A-to-Charef/e8bb0992f8885f6fce1c9686ffa80375390e40d7.</int2:citationText>
                </int2:suggestion>
                <int2:suggestion int2:citationStyle="Apa" int2:isIdentical="0">
                  <int2:citationText>&lt;i&gt;Supporting construction stakeholders with the circular economy: A trans ...&lt;/i&gt;. (n.d.). Retrieved from https://www.semanticscholar.org/paper/Supporting-construction-stakeholders-with-the-A-to-Charef/e8bb0992f8885f6fce1c9686ffa80375390e40d7</int2:citationText>
                </int2:suggestion>
                <int2:suggestion int2:citationStyle="Chicago" int2:isIdentical="0">
                  <int2:citationText>“Supporting construction stakeholders with the circular economy: A trans ...” n.d., https://www.semanticscholar.org/paper/Supporting-construction-stakeholders-with-the-A-to-Charef/e8bb0992f8885f6fce1c9686ffa80375390e40d7.</int2:citationText>
                </int2:suggestion>
              </int2:suggestions>
            </int2:source>
          </int2:similarityCritique>
        </oel:ext>
      </int2:extLst>
    </int2:bookmark>
    <int2:bookmark int2:bookmarkName="_Int_uK323vDa" int2:invalidationBookmarkName="" int2:hashCode="bsiMr3VzpkUQLH" int2:id="Cb8XAPiz">
      <int2:extLst>
        <oel:ext uri="426473B9-03D8-482F-96C9-C2C85392BACA">
          <int2:similarityCritique int2:version="1" int2:context="Bryan W. Husted and David Bruce Allen, 2010. Corporate Social Strategy: Stakeholder Engagement and Competitive Advantage, Cambridge University Press.">
            <int2:source int2:sourceType="Online" int2:sourceTitle="Stakeholder Engagement - Definition and Overview" int2:sourceUrl="https://www.stakeholdermap.com/stakeholder-engagement.html" int2:sourceSnippet="Stakeholder Engagement Planning Overview [pdf] Available at: PDF Download [Accessed 13 February 2021] Bryan W. Husted and David Bruce Allen, (2010).Corporate Social Strategy: Stakeholder Engagement and Competitive Advantage, Cambridge University Press. Stakeholder Engagement resources 5 Key Ways to Engage with Stakeholder">
              <int2:suggestions int2:citationType="Inline">
                <int2:suggestion int2:citationStyle="Mla" int2:isIdentical="0">
                  <int2:citationText>(“Stakeholder Engagement - Definition and Overview”)</int2:citationText>
                </int2:suggestion>
                <int2:suggestion int2:citationStyle="Apa" int2:isIdentical="0">
                  <int2:citationText>(“Stakeholder Engagement - Definition and Overview”)</int2:citationText>
                </int2:suggestion>
                <int2:suggestion int2:citationStyle="Chicago" int2:isIdentical="0">
                  <int2:citationText>(“Stakeholder Engagement - Definition and Overview”)</int2:citationText>
                </int2:suggestion>
              </int2:suggestions>
              <int2:suggestions int2:citationType="Full">
                <int2:suggestion int2:citationStyle="Mla" int2:isIdentical="0">
                  <int2:citationText>&lt;i&gt;Stakeholder Engagement - Definition and Overview&lt;/i&gt;, https://www.stakeholdermap.com/stakeholder-engagement.html.</int2:citationText>
                </int2:suggestion>
                <int2:suggestion int2:citationStyle="Apa" int2:isIdentical="0">
                  <int2:citationText>&lt;i&gt;Stakeholder Engagement - Definition and Overview&lt;/i&gt;. (n.d.). Retrieved from https://www.stakeholdermap.com/stakeholder-engagement.html</int2:citationText>
                </int2:suggestion>
                <int2:suggestion int2:citationStyle="Chicago" int2:isIdentical="0">
                  <int2:citationText>“Stakeholder Engagement - Definition and Overview” n.d., https://www.stakeholdermap.com/stakeholder-engagement.html.</int2:citationText>
                </int2:suggestion>
              </int2:suggestions>
            </int2:source>
          </int2:similarityCritique>
        </oel:ext>
      </int2:extLst>
    </int2:bookmark>
    <int2:bookmark int2:bookmarkName="_Int_lKLJVNpD" int2:invalidationBookmarkName="" int2:hashCode="NxWHiFTQM0o1KA" int2:id="mIu1yD1O">
      <int2:extLst>
        <oel:ext uri="426473B9-03D8-482F-96C9-C2C85392BACA">
          <int2:similarityCritique int2:version="1" int2:context="An investigation of stakeholder prioritization and engagement: who or what really counts.">
            <int2:source int2:sourceType="Online" int2:sourceTitle="Stakeholder Engagement | SpringerLink" int2:sourceUrl="https://link.springer.com/referenceworkentry/10.1007/978-3-030-02006-4_172-1" int2:sourceSnippet="Stakeholder involvement Stakeholder engagement (SE) is the process used by an organization to engage relevant stakeholders for a clear purpose to achieve agreed outcomes. ... An investigation of stakeholder prioritization and engagement: who or what really counts. Journal of Accounting &amp; Organizational Change, 5(1), 62–80. CrossRef Google ...">
              <int2:suggestions int2:citationType="Inline">
                <int2:suggestion int2:citationStyle="Mla" int2:isIdentical="1">
                  <int2:citationText>(“Stakeholder Engagement | SpringerLink”)</int2:citationText>
                </int2:suggestion>
                <int2:suggestion int2:citationStyle="Apa" int2:isIdentical="1">
                  <int2:citationText>(“Stakeholder Engagement | SpringerLink”)</int2:citationText>
                </int2:suggestion>
                <int2:suggestion int2:citationStyle="Chicago" int2:isIdentical="1">
                  <int2:citationText>(“Stakeholder Engagement | SpringerLink”)</int2:citationText>
                </int2:suggestion>
              </int2:suggestions>
              <int2:suggestions int2:citationType="Full">
                <int2:suggestion int2:citationStyle="Mla" int2:isIdentical="1">
                  <int2:citationText>&lt;i&gt;Stakeholder Engagement | SpringerLink&lt;/i&gt;, https://link.springer.com/referenceworkentry/10.1007/978-3-030-02006-4_172-1.</int2:citationText>
                </int2:suggestion>
                <int2:suggestion int2:citationStyle="Apa" int2:isIdentical="1">
                  <int2:citationText>&lt;i&gt;Stakeholder Engagement | SpringerLink&lt;/i&gt;. (n.d.). Retrieved from https://link.springer.com/referenceworkentry/10.1007/978-3-030-02006-4_172-1</int2:citationText>
                </int2:suggestion>
                <int2:suggestion int2:citationStyle="Chicago" int2:isIdentical="1">
                  <int2:citationText>“Stakeholder Engagement | SpringerLink” n.d., https://link.springer.com/referenceworkentry/10.1007/978-3-030-02006-4_172-1.</int2:citationText>
                </int2:suggestion>
              </int2:suggestions>
            </int2:source>
            <int2:source int2:sourceType="Online" int2:sourceTitle="Stakeholder Engagement: Achieving Sustainability in the ... - MDPI" int2:sourceUrl="https://www.mdpi.com/2071-1050/5/2/695/htm" int2:sourceSnippet="Achieving sustainability-related targets in construction projects is increasingly becoming a key performance driver. Yet sustainability is a complex concept in projects and there are many diverse stakeholders. ... An investigation of stakeholder prioritization and engagement: Who or what really counts. J. Account Organ. Change. 2009, 5, 62–80 ...">
              <int2:suggestions int2:citationType="Inline">
                <int2:suggestion int2:citationStyle="Mla" int2:isIdentical="1">
                  <int2:citationText>(“Stakeholder Engagement: Achieving Sustainability in the ... - MDPI”)</int2:citationText>
                </int2:suggestion>
                <int2:suggestion int2:citationStyle="Apa" int2:isIdentical="1">
                  <int2:citationText>(“Stakeholder Engagement: Achieving Sustainability in the ... - MDPI”)</int2:citationText>
                </int2:suggestion>
                <int2:suggestion int2:citationStyle="Chicago" int2:isIdentical="1">
                  <int2:citationText>(“Stakeholder Engagement: Achieving Sustainability in the ... - MDPI”)</int2:citationText>
                </int2:suggestion>
              </int2:suggestions>
              <int2:suggestions int2:citationType="Full">
                <int2:suggestion int2:citationStyle="Mla" int2:isIdentical="1">
                  <int2:citationText>&lt;i&gt;Stakeholder Engagement: Achieving Sustainability in the ... - MDPI&lt;/i&gt;, https://www.mdpi.com/2071-1050/5/2/695/htm.</int2:citationText>
                </int2:suggestion>
                <int2:suggestion int2:citationStyle="Apa" int2:isIdentical="1">
                  <int2:citationText>&lt;i&gt;Stakeholder Engagement: Achieving Sustainability in the ... - MDPI&lt;/i&gt;. (n.d.). Retrieved from https://www.mdpi.com/2071-1050/5/2/695/htm</int2:citationText>
                </int2:suggestion>
                <int2:suggestion int2:citationStyle="Chicago" int2:isIdentical="1">
                  <int2:citationText>“Stakeholder Engagement: Achieving Sustainability in the ... - MDPI” n.d., https://www.mdpi.com/2071-1050/5/2/695/htm.</int2:citationText>
                </int2:suggestion>
              </int2:suggestions>
            </int2:source>
            <int2:source int2:sourceType="Online" int2:sourceTitle="‪Kamalesh Kumar‬ - ‪Google Scholar‬" int2:sourceUrl="https://scholar.google.com/citations?user=9D5v_7QAAAAJ" int2:sourceSnippet="An investigation of stakeholder prioritization and engagement: who or what really counts. G Boesso, K Kumar. Journal of Accounting &amp; Organizational Change, 2009. 112: 2009: Stakeholder prioritization and reporting: Evidence from Italy and the US. G Boesso, K Kumar. Accounting Forum 33 (2), 162-175, 2009. 102:">
              <int2:suggestions int2:citationType="Inline">
                <int2:suggestion int2:citationStyle="Mla" int2:isIdentical="1">
                  <int2:citationText>(“‪Kamalesh Kumar‬ - ‪Google Scholar‬”)</int2:citationText>
                </int2:suggestion>
                <int2:suggestion int2:citationStyle="Apa" int2:isIdentical="1">
                  <int2:citationText>(“‪Kamalesh Kumar‬ - ‪Google Scholar‬”)</int2:citationText>
                </int2:suggestion>
                <int2:suggestion int2:citationStyle="Chicago" int2:isIdentical="1">
                  <int2:citationText>(“‪Kamalesh Kumar‬ - ‪Google Scholar‬”)</int2:citationText>
                </int2:suggestion>
              </int2:suggestions>
              <int2:suggestions int2:citationType="Full">
                <int2:suggestion int2:citationStyle="Mla" int2:isIdentical="1">
                  <int2:citationText>&lt;i&gt;‪Kamalesh Kumar‬ - ‪Google Scholar‬&lt;/i&gt;, https://scholar.google.com/citations?user=9D5v_7QAAAAJ.</int2:citationText>
                </int2:suggestion>
                <int2:suggestion int2:citationStyle="Apa" int2:isIdentical="1">
                  <int2:citationText>&lt;i&gt;‪Kamalesh Kumar‬ - ‪Google Scholar‬&lt;/i&gt;. (n.d.). Retrieved from https://scholar.google.com/citations?user=9D5v_7QAAAAJ</int2:citationText>
                </int2:suggestion>
                <int2:suggestion int2:citationStyle="Chicago" int2:isIdentical="1">
                  <int2:citationText>“‪Kamalesh Kumar‬ - ‪Google Scholar‬” n.d., https://scholar.google.com/citations?user=9D5v_7QAAAAJ.</int2:citationText>
                </int2:suggestion>
              </int2:suggestions>
            </int2:source>
          </int2:similarityCritique>
        </oel:ext>
      </int2:extLst>
    </int2:bookmark>
    <int2:bookmark int2:bookmarkName="_Int_KUzofWTC" int2:invalidationBookmarkName="" int2:hashCode="HHfuXy2MH33ZE0" int2:id="yp8oGX6w">
      <int2:extLst>
        <oel:ext uri="426473B9-03D8-482F-96C9-C2C85392BACA">
          <int2:similarityCritique int2:version="1" int2:context="Linking parent–child and peer relationship quality to empathy in adolescence: A multilevel meta-analysis.">
            <int2:source int2:sourceType="Online" int2:sourceTitle="Linking parent–child and peer relationship quality to empathy in ..." int2:sourceUrl="https://research.tilburguniversity.edu/en/publications/linking-parentchild-and-peer-relationship-quality-to-empathy-in-a" int2:sourceSnippet="Linking parent–child and peer relationship quality to empathy in adolescence: A multilevel meta-analysis. Savannah Boele *, Jolien Van der Graaff, Minet de Wied, Inge Van der Valk, Elisabetta Crocetti, Susan Branje * Corresponding author for this work. Developmental Psychology;">
              <int2:suggestions int2:citationType="Inline">
                <int2:suggestion int2:citationStyle="Mla" int2:isIdentical="1">
                  <int2:citationText>(“Linking parent–child and peer relationship quality to empathy in ...”)</int2:citationText>
                </int2:suggestion>
                <int2:suggestion int2:citationStyle="Apa" int2:isIdentical="1">
                  <int2:citationText>(“Linking parent–child and peer relationship quality to empathy in ...”)</int2:citationText>
                </int2:suggestion>
                <int2:suggestion int2:citationStyle="Chicago" int2:isIdentical="1">
                  <int2:citationText>(“Linking parent–child and peer relationship quality to empathy in ...”)</int2:citationText>
                </int2:suggestion>
              </int2:suggestions>
              <int2:suggestions int2:citationType="Full">
                <int2:suggestion int2:citationStyle="Mla" int2:isIdentical="1">
                  <int2:citationText>&lt;i&gt;Linking parent–child and peer relationship quality to empathy in ...&lt;/i&gt;, https://research.tilburguniversity.edu/en/publications/linking-parentchild-and-peer-relationship-quality-to-empathy-in-a.</int2:citationText>
                </int2:suggestion>
                <int2:suggestion int2:citationStyle="Apa" int2:isIdentical="1">
                  <int2:citationText>&lt;i&gt;Linking parent–child and peer relationship quality to empathy in ...&lt;/i&gt;. (n.d.). Retrieved from https://research.tilburguniversity.edu/en/publications/linking-parentchild-and-peer-relationship-quality-to-empathy-in-a</int2:citationText>
                </int2:suggestion>
                <int2:suggestion int2:citationStyle="Chicago" int2:isIdentical="1">
                  <int2:citationText>“Linking parent–child and peer relationship quality to empathy in ...” n.d., https://research.tilburguniversity.edu/en/publications/linking-parentchild-and-peer-relationship-quality-to-empathy-in-a.</int2:citationText>
                </int2:suggestion>
              </int2:suggestions>
            </int2:source>
            <int2:source int2:sourceType="Online" int2:sourceTitle="‪Jolien Van der Graaff‬ - ‪Google Scholar‬" int2:sourceUrl="https://scholar.google.com/citations?user=NsTdvAsAAAAJ" int2:sourceSnippet="Linking parent–child and peer relationship quality to empathy in adolescence: A multilevel meta-analysis. ... J Van der Graaff, W Meeus, M de Wied, A van Boxtel, P van Lier, S Branje. Journal of abnormal child psychology 44 (2), 269-281, 2016. 22: 2016:">
              <int2:suggestions int2:citationType="Inline">
                <int2:suggestion int2:citationStyle="Mla" int2:isIdentical="1">
                  <int2:citationText>(“‪Jolien Van der Graaff‬ - ‪Google Scholar‬”)</int2:citationText>
                </int2:suggestion>
                <int2:suggestion int2:citationStyle="Apa" int2:isIdentical="1">
                  <int2:citationText>(“‪Jolien Van der Graaff‬ - ‪Google Scholar‬”)</int2:citationText>
                </int2:suggestion>
                <int2:suggestion int2:citationStyle="Chicago" int2:isIdentical="1">
                  <int2:citationText>(“‪Jolien Van der Graaff‬ - ‪Google Scholar‬”)</int2:citationText>
                </int2:suggestion>
              </int2:suggestions>
              <int2:suggestions int2:citationType="Full">
                <int2:suggestion int2:citationStyle="Mla" int2:isIdentical="1">
                  <int2:citationText>&lt;i&gt;‪Jolien Van der Graaff‬ - ‪Google Scholar‬&lt;/i&gt;, https://scholar.google.com/citations?user=NsTdvAsAAAAJ.</int2:citationText>
                </int2:suggestion>
                <int2:suggestion int2:citationStyle="Apa" int2:isIdentical="1">
                  <int2:citationText>&lt;i&gt;‪Jolien Van der Graaff‬ - ‪Google Scholar‬&lt;/i&gt;. (n.d.). Retrieved from https://scholar.google.com/citations?user=NsTdvAsAAAAJ</int2:citationText>
                </int2:suggestion>
                <int2:suggestion int2:citationStyle="Chicago" int2:isIdentical="1">
                  <int2:citationText>“‪Jolien Van der Graaff‬ - ‪Google Scholar‬” n.d., https://scholar.google.com/citations?user=NsTdvAsAAAAJ.</int2:citationText>
                </int2:suggestion>
              </int2:suggestions>
            </int2:source>
            <int2:source int2:sourceType="Online" int2:sourceTitle="Linking Parent–Child and Peer Relationship Quality to Empathy in ..." int2:sourceUrl="https://dspace.library.uu.nl/handle/1874/380643" int2:sourceSnippet="Linking Parent–Child and Peer Relationship Quality to Empathy in Adolescence: A Multilevel Meta-Analysis Boele, Savannah; Van Der Graaff, Jolien; De Wied, Minet; Van Der Valk, Inge E.; Crocetti, Elisabetta; Branje, Susan">
              <int2:suggestions int2:citationType="Inline">
                <int2:suggestion int2:citationStyle="Mla" int2:isIdentical="0">
                  <int2:citationText>(“Linking Parent–Child and Peer Relationship Quality to Empathy in ...”)</int2:citationText>
                </int2:suggestion>
                <int2:suggestion int2:citationStyle="Apa" int2:isIdentical="0">
                  <int2:citationText>(“Linking Parent–Child and Peer Relationship Quality to Empathy in ...”)</int2:citationText>
                </int2:suggestion>
                <int2:suggestion int2:citationStyle="Chicago" int2:isIdentical="0">
                  <int2:citationText>(“Linking Parent–Child and Peer Relationship Quality to Empathy in ...”)</int2:citationText>
                </int2:suggestion>
              </int2:suggestions>
              <int2:suggestions int2:citationType="Full">
                <int2:suggestion int2:citationStyle="Mla" int2:isIdentical="0">
                  <int2:citationText>&lt;i&gt;Linking Parent–Child and Peer Relationship Quality to Empathy in ...&lt;/i&gt;, https://dspace.library.uu.nl/handle/1874/380643.</int2:citationText>
                </int2:suggestion>
                <int2:suggestion int2:citationStyle="Apa" int2:isIdentical="0">
                  <int2:citationText>&lt;i&gt;Linking Parent–Child and Peer Relationship Quality to Empathy in ...&lt;/i&gt;. (n.d.). Retrieved from https://dspace.library.uu.nl/handle/1874/380643</int2:citationText>
                </int2:suggestion>
                <int2:suggestion int2:citationStyle="Chicago" int2:isIdentical="0">
                  <int2:citationText>“Linking Parent–Child and Peer Relationship Quality to Empathy in ...” n.d., https://dspace.library.uu.nl/handle/1874/380643.</int2:citationText>
                </int2:suggestion>
              </int2:suggestions>
            </int2:source>
          </int2:similarityCritique>
        </oel:ext>
      </int2:extLst>
    </int2:bookmark>
    <int2:bookmark int2:bookmarkName="_Int_5XSrMcQD" int2:invalidationBookmarkName="" int2:hashCode="KG1Cm1jpskUpqe" int2:id="L8XXyJpd">
      <int2:extLst>
        <oel:ext uri="426473B9-03D8-482F-96C9-C2C85392BACA">
          <int2:similarityCritique int2:version="1" int2:context="Boele, S., Van der Graaff, J., De Wied, M., Van der Valk, I.E., Crocetti, E. and Branje, S., 2019.">
            <int2:source int2:sourceType="Online" int2:sourceTitle="Elisabetta Crocetti — University of Bologna — Publications" int2:sourceUrl="https://www.unibo.it/sitoweb/elisabetta.crocetti/publications?page=3" int2:sourceSnippet="Boele S.; Van der Graaff J.; de Wied M.; Van der Valk I.E.; Crocetti E.; Branje S., Linking Parent–Child and Peer Relationship Quality to Empathy in Adolescence: A Multilevel Meta-Analysis, «JOURNAL OF YOUTH AND ADOLESCENCE», 2019, 48, pp. 1033 - 1055 [Scientific article] Open Access Erentaite R.; Vosylis R.; Crocetti E., Longitudinal Associations of Identity Processing Styles With ...">
              <int2:suggestions int2:citationType="Inline">
                <int2:suggestion int2:citationStyle="Mla" int2:isIdentical="0">
                  <int2:citationText>(“Elisabetta Crocetti — University of Bologna — Publications”)</int2:citationText>
                </int2:suggestion>
                <int2:suggestion int2:citationStyle="Apa" int2:isIdentical="0">
                  <int2:citationText>(“Elisabetta Crocetti — University of Bologna — Publications”)</int2:citationText>
                </int2:suggestion>
                <int2:suggestion int2:citationStyle="Chicago" int2:isIdentical="0">
                  <int2:citationText>(“Elisabetta Crocetti — University of Bologna — Publications”)</int2:citationText>
                </int2:suggestion>
              </int2:suggestions>
              <int2:suggestions int2:citationType="Full">
                <int2:suggestion int2:citationStyle="Mla" int2:isIdentical="0">
                  <int2:citationText>&lt;i&gt;Elisabetta Crocetti — University of Bologna — Publications&lt;/i&gt;, https://www.unibo.it/sitoweb/elisabetta.crocetti/publications?page=3.</int2:citationText>
                </int2:suggestion>
                <int2:suggestion int2:citationStyle="Apa" int2:isIdentical="0">
                  <int2:citationText>&lt;i&gt;Elisabetta Crocetti — University of Bologna — Publications&lt;/i&gt;. (n.d.). Retrieved from https://www.unibo.it/sitoweb/elisabetta.crocetti/publications?page=3</int2:citationText>
                </int2:suggestion>
                <int2:suggestion int2:citationStyle="Chicago" int2:isIdentical="0">
                  <int2:citationText>“Elisabetta Crocetti — University of Bologna — Publications” n.d., https://www.unibo.it/sitoweb/elisabetta.crocetti/publications?page=3.</int2:citationText>
                </int2:suggestion>
              </int2:suggestions>
            </int2:source>
          </int2:similarityCritique>
        </oel:ext>
      </int2:extLst>
    </int2:bookmark>
    <int2:bookmark int2:bookmarkName="_Int_VXHx5nLu" int2:invalidationBookmarkName="" int2:hashCode="ogSZAQVnMkakgq" int2:id="ZpGO8jZv">
      <int2:extLst>
        <oel:ext uri="426473B9-03D8-482F-96C9-C2C85392BACA">
          <int2:similarityCritique int2:version="1" int2:context="VR-Based Evaluation of Adaptive Robot Conflict Resolution Strategies for Domestic Service Robots.">
            <int2:source int2:sourceType="Online" int2:sourceTitle="International Journal of Social Robotics | Volume 14, issue 5" int2:sourceUrl="https://link.springer.com/journal/12369/volumes-and-issues/14-5" int2:sourceSnippet="VR-Based Evaluation of Adaptive Robot Conflict Resolution Strategies for Domestic Service Robots. Franziska Babel. Andrea Vogt. Martin Baumann. OriginalPaper. Open Access. Published: 02 February 2022. Pages: 1239 - 1260.">
              <int2:suggestions int2:citationType="Inline">
                <int2:suggestion int2:citationStyle="Mla" int2:isIdentical="1">
                  <int2:citationText>(“International Journal of Social Robotics | Volume 14, issue 5”)</int2:citationText>
                </int2:suggestion>
                <int2:suggestion int2:citationStyle="Apa" int2:isIdentical="1">
                  <int2:citationText>(“International Journal of Social Robotics | Volume 14, issue 5”)</int2:citationText>
                </int2:suggestion>
                <int2:suggestion int2:citationStyle="Chicago" int2:isIdentical="1">
                  <int2:citationText>(“International Journal of Social Robotics | Volume 14, issue 5”)</int2:citationText>
                </int2:suggestion>
              </int2:suggestions>
              <int2:suggestions int2:citationType="Full">
                <int2:suggestion int2:citationStyle="Mla" int2:isIdentical="1">
                  <int2:citationText>&lt;i&gt;International Journal of Social Robotics | Volume 14, issue 5&lt;/i&gt;, https://link.springer.com/journal/12369/volumes-and-issues/14-5.</int2:citationText>
                </int2:suggestion>
                <int2:suggestion int2:citationStyle="Apa" int2:isIdentical="1">
                  <int2:citationText>&lt;i&gt;International Journal of Social Robotics | Volume 14, issue 5&lt;/i&gt;. (n.d.). Retrieved from https://link.springer.com/journal/12369/volumes-and-issues/14-5</int2:citationText>
                </int2:suggestion>
                <int2:suggestion int2:citationStyle="Chicago" int2:isIdentical="1">
                  <int2:citationText>“International Journal of Social Robotics | Volume 14, issue 5” n.d., https://link.springer.com/journal/12369/volumes-and-issues/14-5.</int2:citationText>
                </int2:suggestion>
              </int2:suggestions>
            </int2:source>
            <int2:source int2:sourceType="Online" int2:sourceTitle="‪Johannes Kraus‬ - ‪Google Scholar‬" int2:sourceUrl="https://scholar.google.com/citations?user=b-hu548AAAAJ" int2:sourceSnippet="VR-Based Evaluation of Adaptive Robot Conflict Resolution Strategies for Domestic Service Robots. F Babel, A Vogt, P Hock, J Kraus, F Angerer, T Seufert, M Baumann. International Journal of Social Robotics, 1-22, 2022. 7: 2022:">
              <int2:suggestions int2:citationType="Inline">
                <int2:suggestion int2:citationStyle="Mla" int2:isIdentical="1">
                  <int2:citationText>(“‪Johannes Kraus‬ - ‪Google Scholar‬”)</int2:citationText>
                </int2:suggestion>
                <int2:suggestion int2:citationStyle="Apa" int2:isIdentical="1">
                  <int2:citationText>(“‪Johannes Kraus‬ - ‪Google Scholar‬”)</int2:citationText>
                </int2:suggestion>
                <int2:suggestion int2:citationStyle="Chicago" int2:isIdentical="1">
                  <int2:citationText>(“‪Johannes Kraus‬ - ‪Google Scholar‬”)</int2:citationText>
                </int2:suggestion>
              </int2:suggestions>
              <int2:suggestions int2:citationType="Full">
                <int2:suggestion int2:citationStyle="Mla" int2:isIdentical="1">
                  <int2:citationText>&lt;i&gt;‪Johannes Kraus‬ - ‪Google Scholar‬&lt;/i&gt;, https://scholar.google.com/citations?user=b-hu548AAAAJ.</int2:citationText>
                </int2:suggestion>
                <int2:suggestion int2:citationStyle="Apa" int2:isIdentical="1">
                  <int2:citationText>&lt;i&gt;‪Johannes Kraus‬ - ‪Google Scholar‬&lt;/i&gt;. (n.d.). Retrieved from https://scholar.google.com/citations?user=b-hu548AAAAJ</int2:citationText>
                </int2:suggestion>
                <int2:suggestion int2:citationStyle="Chicago" int2:isIdentical="1">
                  <int2:citationText>“‪Johannes Kraus‬ - ‪Google Scholar‬” n.d., https://scholar.google.com/citations?user=b-hu548AAAAJ.</int2:citationText>
                </int2:suggestion>
              </int2:suggestions>
            </int2:source>
            <int2:source int2:sourceType="Online" int2:sourceTitle="[PDF] Would You Mind Me if I Pass by You? - Semantic Scholar" int2:sourceUrl="https://www.semanticscholar.org/paper/Would-You-Mind-Me-if-I-Pass-by-You-%3A-Behaviour-for-Senft-Satake/58b2f325c9229128aa65df7e4176478a6c892115" int2:sourceSnippet="VR-Based Evaluation of Adaptive Robot Conflict Resolution Strategies for Domestic Service Robots. Franziska Babel, Andrea Vogt, +4 authors M. Baumann; Psychology. International Journal of Social Robotics. 2022; As domestic service robots become more prevalent and act autonomously, conflicts of interest between humans and robots become more likely.">
              <int2:suggestions int2:citationType="Inline">
                <int2:suggestion int2:citationStyle="Mla" int2:isIdentical="1">
                  <int2:citationText>(“[PDF] Would You Mind Me if I Pass by You? - Semantic Scholar”)</int2:citationText>
                </int2:suggestion>
                <int2:suggestion int2:citationStyle="Apa" int2:isIdentical="1">
                  <int2:citationText>(“[PDF] Would You Mind Me if I Pass by You? - Semantic Scholar”)</int2:citationText>
                </int2:suggestion>
                <int2:suggestion int2:citationStyle="Chicago" int2:isIdentical="1">
                  <int2:citationText>(“[PDF] Would You Mind Me if I Pass by You? - Semantic Scholar”)</int2:citationText>
                </int2:suggestion>
              </int2:suggestions>
              <int2:suggestions int2:citationType="Full">
                <int2:suggestion int2:citationStyle="Mla" int2:isIdentical="1">
                  <int2:citationText>&lt;i&gt;[PDF] Would You Mind Me if I Pass by You? - Semantic Scholar&lt;/i&gt;, https://www.semanticscholar.org/paper/Would-You-Mind-Me-if-I-Pass-by-You-%3A-Behaviour-for-Senft-Satake/58b2f325c9229128aa65df7e4176478a6c892115.</int2:citationText>
                </int2:suggestion>
                <int2:suggestion int2:citationStyle="Apa" int2:isIdentical="1">
                  <int2:citationText>&lt;i&gt;[PDF] Would You Mind Me if I Pass by You? - Semantic Scholar&lt;/i&gt;. (n.d.). Retrieved from https://www.semanticscholar.org/paper/Would-You-Mind-Me-if-I-Pass-by-You-%3A-Behaviour-for-Senft-Satake/58b2f325c9229128aa65df7e4176478a6c892115</int2:citationText>
                </int2:suggestion>
                <int2:suggestion int2:citationStyle="Chicago" int2:isIdentical="1">
                  <int2:citationText>“[PDF] Would You Mind Me if I Pass by You? - Semantic Scholar” n.d., https://www.semanticscholar.org/paper/Would-You-Mind-Me-if-I-Pass-by-You-%3A-Behaviour-for-Senft-Satake/58b2f325c9229128aa65df7e4176478a6c892115.</int2:citationText>
                </int2:suggestion>
              </int2:suggestions>
            </int2:source>
          </int2:similarityCritique>
        </oel:ext>
      </int2:extLst>
    </int2:bookmark>
    <int2:bookmark int2:bookmarkName="_Int_aGjRjWb3" int2:invalidationBookmarkName="" int2:hashCode="k1m27B3/5WvjVe" int2:id="oKi6oKOQ">
      <int2:extLst>
        <oel:ext uri="426473B9-03D8-482F-96C9-C2C85392BACA">
          <int2:similarityCritique int2:version="1" int2:context="Babel, F., Vogt, A., Hock, P., Kraus, J., Angerer, F., Seufert, T. and Baumann, M., 2022.">
            <int2:source int2:sourceType="Online" int2:sourceTitle="Publications - Ulm University" int2:sourceUrl="https://www.uni-ulm.de/en/in/psy-llf/publications/publications/" int2:sourceSnippet="Babel, F., Vogt, A., Hock, P., Kraus, J., Angerer, F., Seufert, T., &amp; Baumann, M. (2022). Step Aside! VR-Based Evaluation of Adaptive Robot Conflict Resolution ...">
              <int2:suggestions int2:citationType="Inline">
                <int2:suggestion int2:citationStyle="Mla" int2:isIdentical="0">
                  <int2:citationText>(“Publications - Ulm University”)</int2:citationText>
                </int2:suggestion>
                <int2:suggestion int2:citationStyle="Apa" int2:isIdentical="0">
                  <int2:citationText>(“Publications - Ulm University”)</int2:citationText>
                </int2:suggestion>
                <int2:suggestion int2:citationStyle="Chicago" int2:isIdentical="0">
                  <int2:citationText>(“Publications - Ulm University”)</int2:citationText>
                </int2:suggestion>
              </int2:suggestions>
              <int2:suggestions int2:citationType="Full">
                <int2:suggestion int2:citationStyle="Mla" int2:isIdentical="0">
                  <int2:citationText>&lt;i&gt;Publications - Ulm University&lt;/i&gt;, https://www.uni-ulm.de/en/in/psy-llf/publications/publications/.</int2:citationText>
                </int2:suggestion>
                <int2:suggestion int2:citationStyle="Apa" int2:isIdentical="0">
                  <int2:citationText>&lt;i&gt;Publications - Ulm University&lt;/i&gt;. (n.d.). Retrieved from https://www.uni-ulm.de/en/in/psy-llf/publications/publications/</int2:citationText>
                </int2:suggestion>
                <int2:suggestion int2:citationStyle="Chicago" int2:isIdentical="0">
                  <int2:citationText>“Publications - Ulm University” n.d., https://www.uni-ulm.de/en/in/psy-llf/publications/publications/.</int2:citationText>
                </int2:suggestion>
              </int2:suggestions>
            </int2:source>
            <int2:source int2:sourceType="Online" int2:sourceTitle="Publikationen - Universität Ulm" int2:sourceUrl="https://www.uni-ulm.de/in/psy-llf/publikationen/publikationen/" int2:sourceSnippet="Babel, F., Vogt, A., Hock, P., Kraus, J., Angerer, F., Seufert, T., &amp; Baumann, M. (2022). Step Aside! VR-Based Evaluation of Adaptive Robot Conflict Resolution ...">
              <int2:suggestions int2:citationType="Inline">
                <int2:suggestion int2:citationStyle="Mla" int2:isIdentical="0">
                  <int2:citationText>(“Publikationen - Universität Ulm”)</int2:citationText>
                </int2:suggestion>
                <int2:suggestion int2:citationStyle="Apa" int2:isIdentical="0">
                  <int2:citationText>(“Publikationen - Universität Ulm”)</int2:citationText>
                </int2:suggestion>
                <int2:suggestion int2:citationStyle="Chicago" int2:isIdentical="0">
                  <int2:citationText>(“Publikationen - Universität Ulm”)</int2:citationText>
                </int2:suggestion>
              </int2:suggestions>
              <int2:suggestions int2:citationType="Full">
                <int2:suggestion int2:citationStyle="Mla" int2:isIdentical="0">
                  <int2:citationText>&lt;i&gt;Publikationen - Universität Ulm&lt;/i&gt;, https://www.uni-ulm.de/in/psy-llf/publikationen/publikationen/.</int2:citationText>
                </int2:suggestion>
                <int2:suggestion int2:citationStyle="Apa" int2:isIdentical="0">
                  <int2:citationText>&lt;i&gt;Publikationen - Universität Ulm&lt;/i&gt;. (n.d.). Retrieved from https://www.uni-ulm.de/in/psy-llf/publikationen/publikationen/</int2:citationText>
                </int2:suggestion>
                <int2:suggestion int2:citationStyle="Chicago" int2:isIdentical="0">
                  <int2:citationText>“Publikationen - Universität Ulm” n.d., https://www.uni-ulm.de/in/psy-llf/publikationen/publikationen/.</int2:citationText>
                </int2:suggestion>
              </int2:suggestions>
            </int2:source>
            <int2:source int2:sourceType="Online" int2:sourceTitle="Tina Seufert, Publikationsliste" int2:sourceUrl="https://www.psychauthors.de/psychauthors/index.php?wahl=forschung&amp;uwahl=psychauthors&amp;uuwahl=p00928TS_pub" int2:sourceSnippet="Babel, F., Vogt, A., Hock, P., Kraus, J., Angerer, F., Seufert, T. &amp; Baumann, M. (2022). Step aside! VR-based evaluation of adaptive robot conflict resolution ...">
              <int2:suggestions int2:citationType="Inline">
                <int2:suggestion int2:citationStyle="Mla" int2:isIdentical="0">
                  <int2:citationText>(“Tina Seufert, Publikationsliste”)</int2:citationText>
                </int2:suggestion>
                <int2:suggestion int2:citationStyle="Apa" int2:isIdentical="0">
                  <int2:citationText>(“Tina Seufert, Publikationsliste”)</int2:citationText>
                </int2:suggestion>
                <int2:suggestion int2:citationStyle="Chicago" int2:isIdentical="0">
                  <int2:citationText>(“Tina Seufert, Publikationsliste”)</int2:citationText>
                </int2:suggestion>
              </int2:suggestions>
              <int2:suggestions int2:citationType="Full">
                <int2:suggestion int2:citationStyle="Mla" int2:isIdentical="0">
                  <int2:citationText>&lt;i&gt;Tina Seufert, Publikationsliste&lt;/i&gt;, https://www.psychauthors.de/psychauthors/index.php?wahl=forschung&amp;uwahl=psychauthors&amp;uuwahl=p00928TS_pub.</int2:citationText>
                </int2:suggestion>
                <int2:suggestion int2:citationStyle="Apa" int2:isIdentical="0">
                  <int2:citationText>&lt;i&gt;Tina Seufert, Publikationsliste&lt;/i&gt;. (n.d.). Retrieved from https://www.psychauthors.de/psychauthors/index.php?wahl=forschung&amp;uwahl=psychauthors&amp;uuwahl=p00928TS_pub</int2:citationText>
                </int2:suggestion>
                <int2:suggestion int2:citationStyle="Chicago" int2:isIdentical="0">
                  <int2:citationText>“Tina Seufert, Publikationsliste” n.d., https://www.psychauthors.de/psychauthors/index.php?wahl=forschung&amp;uwahl=psychauthors&amp;uuwahl=p00928TS_pub.</int2:citationText>
                </int2:suggestion>
              </int2:suggestions>
            </int2:source>
          </int2:similarityCritique>
        </oel:ext>
      </int2:extLst>
    </int2:bookmark>
    <int2:bookmark int2:bookmarkName="_Int_px9Odyva" int2:invalidationBookmarkName="" int2:hashCode="wSarBux87KE2LL" int2:id="a28X0lTe">
      <int2:extLst>
        <oel:ext uri="426473B9-03D8-482F-96C9-C2C85392BACA">
          <int2:similarityCritique int2:version="1" int2:context="Examining the Effects of Negotiation and Peer Mediation on Students' Conflict Resolution and Problem-Solving Skills.">
            <int2:source int2:sourceType="Online" int2:sourceTitle="Journal 4.docx - 1 Running head: NEGOTIATION AND PEER..." int2:sourceUrl="https://www.coursehero.com/file/94158142/Journal-4docx/" int2:sourceSnippet="Examining the Effects of Negotiation and Peer Mediation on Students’ Conflict Resolution and Problem-Solving Skills. International Journal of Instruction, 12 (3), 717–730. doi: 10.29333/iji.2019.12343a Barsky, A. E. (2017). Conflict resolution for the helping professions: negotiation, mediation, advocacy, facilitation, and restorative justice.">
              <int2:suggestions int2:citationType="Inline">
                <int2:suggestion int2:citationStyle="Mla" int2:isIdentical="1">
                  <int2:citationText>(“Journal 4.docx - 1 Running head: NEGOTIATION AND PEER...”)</int2:citationText>
                </int2:suggestion>
                <int2:suggestion int2:citationStyle="Apa" int2:isIdentical="1">
                  <int2:citationText>(“Journal 4.docx - 1 Running head: NEGOTIATION AND PEER...”)</int2:citationText>
                </int2:suggestion>
                <int2:suggestion int2:citationStyle="Chicago" int2:isIdentical="1">
                  <int2:citationText>(“Journal 4.docx - 1 Running head: NEGOTIATION AND PEER...”)</int2:citationText>
                </int2:suggestion>
              </int2:suggestions>
              <int2:suggestions int2:citationType="Full">
                <int2:suggestion int2:citationStyle="Mla" int2:isIdentical="1">
                  <int2:citationText>&lt;i&gt;Journal 4.docx - 1 Running head: NEGOTIATION AND PEER...&lt;/i&gt;, https://www.coursehero.com/file/94158142/Journal-4docx/.</int2:citationText>
                </int2:suggestion>
                <int2:suggestion int2:citationStyle="Apa" int2:isIdentical="1">
                  <int2:citationText>&lt;i&gt;Journal 4.docx - 1 Running head: NEGOTIATION AND PEER...&lt;/i&gt;. (n.d.). Retrieved from https://www.coursehero.com/file/94158142/Journal-4docx/</int2:citationText>
                </int2:suggestion>
                <int2:suggestion int2:citationStyle="Chicago" int2:isIdentical="1">
                  <int2:citationText>“Journal 4.docx - 1 Running head: NEGOTIATION AND PEER...” n.d., https://www.coursehero.com/file/94158142/Journal-4docx/.</int2:citationText>
                </int2:suggestion>
              </int2:suggestions>
            </int2:source>
            <int2:source int2:sourceType="Online" int2:sourceTitle="Distance education and the social literacy of elementary school ..." int2:sourceUrl="https://www.sciencedirect.com/science/article/pii/S2405844022010994" int2:sourceSnippet="Examining the effects of negotiation and peer mediation on students’ conflict resolution and problem-solving skills. Int. J. Instruct., 12 (3) (2019), pp. 717-730. CrossRef View Record in Scopus Google Scholar. Berker, 2021. K. Berker. The effect of Covid-19 pandemic process on the speaking skill of children in distance education and daily life.">
              <int2:suggestions int2:citationType="Inline">
                <int2:suggestion int2:citationStyle="Mla" int2:isIdentical="1">
                  <int2:citationText>(“Distance education and the social literacy of elementary school ...”)</int2:citationText>
                </int2:suggestion>
                <int2:suggestion int2:citationStyle="Apa" int2:isIdentical="1">
                  <int2:citationText>(“Distance education and the social literacy of elementary school ...”)</int2:citationText>
                </int2:suggestion>
                <int2:suggestion int2:citationStyle="Chicago" int2:isIdentical="1">
                  <int2:citationText>(“Distance education and the social literacy of elementary school ...”)</int2:citationText>
                </int2:suggestion>
              </int2:suggestions>
              <int2:suggestions int2:citationType="Full">
                <int2:suggestion int2:citationStyle="Mla" int2:isIdentical="1">
                  <int2:citationText>&lt;i&gt;Distance education and the social literacy of elementary school ...&lt;/i&gt;, https://www.sciencedirect.com/science/article/pii/S2405844022010994.</int2:citationText>
                </int2:suggestion>
                <int2:suggestion int2:citationStyle="Apa" int2:isIdentical="1">
                  <int2:citationText>&lt;i&gt;Distance education and the social literacy of elementary school ...&lt;/i&gt;. (n.d.). Retrieved from https://www.sciencedirect.com/science/article/pii/S2405844022010994</int2:citationText>
                </int2:suggestion>
                <int2:suggestion int2:citationStyle="Chicago" int2:isIdentical="1">
                  <int2:citationText>“Distance education and the social literacy of elementary school ...” n.d., https://www.sciencedirect.com/science/article/pii/S2405844022010994.</int2:citationText>
                </int2:suggestion>
              </int2:suggestions>
            </int2:source>
            <int2:source int2:sourceType="Online" int2:sourceTitle="Teachers’ perceptions of linguistic mediation in the curriculum for ..." int2:sourceUrl="https://journals.sagepub.com/doi/abs/10.1177/13621688211005602" int2:sourceSnippet="Examining the effects of negotiation and peer mediation on students’ conflict resolution and problem-solving skills. International Journal of Instruction, 3, 717 – 730 . Google Scholar | Crossref">
              <int2:suggestions int2:citationType="Inline">
                <int2:suggestion int2:citationStyle="Mla" int2:isIdentical="1">
                  <int2:citationText>(“Teachers’ perceptions of linguistic mediation in the curriculum for ...”)</int2:citationText>
                </int2:suggestion>
                <int2:suggestion int2:citationStyle="Apa" int2:isIdentical="1">
                  <int2:citationText>(“Teachers’ perceptions of linguistic mediation in the curriculum for ...”)</int2:citationText>
                </int2:suggestion>
                <int2:suggestion int2:citationStyle="Chicago" int2:isIdentical="1">
                  <int2:citationText>(“Teachers’ perceptions of linguistic mediation in the curriculum for ...”)</int2:citationText>
                </int2:suggestion>
              </int2:suggestions>
              <int2:suggestions int2:citationType="Full">
                <int2:suggestion int2:citationStyle="Mla" int2:isIdentical="1">
                  <int2:citationText>&lt;i&gt;Teachers’ perceptions of linguistic mediation in the curriculum for ...&lt;/i&gt;, https://journals.sagepub.com/doi/abs/10.1177/13621688211005602.</int2:citationText>
                </int2:suggestion>
                <int2:suggestion int2:citationStyle="Apa" int2:isIdentical="1">
                  <int2:citationText>&lt;i&gt;Teachers’ perceptions of linguistic mediation in the curriculum for ...&lt;/i&gt;. (n.d.). Retrieved from https://journals.sagepub.com/doi/abs/10.1177/13621688211005602</int2:citationText>
                </int2:suggestion>
                <int2:suggestion int2:citationStyle="Chicago" int2:isIdentical="1">
                  <int2:citationText>“Teachers’ perceptions of linguistic mediation in the curriculum for ...” n.d., https://journals.sagepub.com/doi/abs/10.1177/13621688211005602.</int2:citationText>
                </int2:suggestion>
              </int2:suggestions>
            </int2:source>
          </int2:similarityCritique>
        </oel:ext>
      </int2:extLst>
    </int2:bookmark>
    <int2:bookmark int2:bookmarkName="_Int_JeZglCRR" int2:invalidationBookmarkName="" int2:hashCode="7wDw1Rg/0sHOL5" int2:id="AvchcjyT">
      <int2:extLst>
        <oel:ext uri="426473B9-03D8-482F-96C9-C2C85392BACA">
          <int2:similarityCritique int2:version="1" int2:context="Transformational leadership style and its relationship with change management. Verslas: teorija ir praktika, 19(1), pp.17-24.">
            <int2:source int2:sourceType="Online" int2:sourceTitle="LEADERSHIP STYLES: The Impacts of Transformational ... - LinkedIn" int2:sourceUrl="https://www.linkedin.com/pulse/leadership-styles-impacts-transformational-change-mohammed-hamed" int2:sourceSnippet="2.2 Impact of Transactional Leadership on Organisational Performance and Change. ... Alqatawenh, A.S., 2018. Transformational leadership style and its relationship with change management.">
              <int2:suggestions int2:citationType="Inline">
                <int2:suggestion int2:citationStyle="Mla" int2:isIdentical="0">
                  <int2:citationText>(“LEADERSHIP STYLES: The Impacts of Transformational ... - LinkedIn”)</int2:citationText>
                </int2:suggestion>
                <int2:suggestion int2:citationStyle="Apa" int2:isIdentical="0">
                  <int2:citationText>(“LEADERSHIP STYLES: The Impacts of Transformational ... - LinkedIn”)</int2:citationText>
                </int2:suggestion>
                <int2:suggestion int2:citationStyle="Chicago" int2:isIdentical="0">
                  <int2:citationText>(“LEADERSHIP STYLES: The Impacts of Transformational ... - LinkedIn”)</int2:citationText>
                </int2:suggestion>
              </int2:suggestions>
              <int2:suggestions int2:citationType="Full">
                <int2:suggestion int2:citationStyle="Mla" int2:isIdentical="0">
                  <int2:citationText>&lt;i&gt;LEADERSHIP STYLES: The Impacts of Transformational ... - LinkedIn&lt;/i&gt;, https://www.linkedin.com/pulse/leadership-styles-impacts-transformational-change-mohammed-hamed.</int2:citationText>
                </int2:suggestion>
                <int2:suggestion int2:citationStyle="Apa" int2:isIdentical="0">
                  <int2:citationText>&lt;i&gt;LEADERSHIP STYLES: The Impacts of Transformational ... - LinkedIn&lt;/i&gt;. (n.d.). Retrieved from https://www.linkedin.com/pulse/leadership-styles-impacts-transformational-change-mohammed-hamed</int2:citationText>
                </int2:suggestion>
                <int2:suggestion int2:citationStyle="Chicago" int2:isIdentical="0">
                  <int2:citationText>“LEADERSHIP STYLES: The Impacts of Transformational ... - LinkedIn” n.d., https://www.linkedin.com/pulse/leadership-styles-impacts-transformational-change-mohammed-hamed.</int2:citationText>
                </int2:suggestion>
              </int2:suggestions>
            </int2:source>
          </int2:similarityCritique>
        </oel:ext>
      </int2:extLst>
    </int2:bookmark>
    <int2:bookmark int2:bookmarkName="_Int_7KlK6JbM" int2:invalidationBookmarkName="" int2:hashCode="ASipl9SwTQBMfI" int2:id="yI5XiO8a">
      <int2:extLst>
        <oel:ext uri="426473B9-03D8-482F-96C9-C2C85392BACA">
          <int2:similarityCritique int2:version="1" int2:context="The stakeholder salience model is a concept proposed by Ronald K, Mitchell, Bradley R. Agle and Donna J. Wood in the year 1997.">
            <int2:source int2:sourceType="Online" int2:sourceTitle="Salience Model to Analyze Project Stakeholders - PM Study Circle" int2:sourceUrl="https://pmstudycircle.com/salience-model-to-analyze-project-stakeholders/" int2:sourceSnippet="The stakeholder salience model was proposed by Ronald K. Mitchell, Bradley R. Agle, and Donna J. Wood in 1997. Here, a stakeholder has three attributes: Power; Legitimacy; Urgency; Power. Power is the authority or influence of the stakeholder on your project or its objectives. Focus on stakeholders with high power. These stakeholders are fewer ...">
              <int2:suggestions int2:citationType="Inline">
                <int2:suggestion int2:citationStyle="Mla" int2:isIdentical="0">
                  <int2:citationText>(“Salience Model to Analyze Project Stakeholders - PM Study Circle”)</int2:citationText>
                </int2:suggestion>
                <int2:suggestion int2:citationStyle="Apa" int2:isIdentical="0">
                  <int2:citationText>(“Salience Model to Analyze Project Stakeholders - PM Study Circle”)</int2:citationText>
                </int2:suggestion>
                <int2:suggestion int2:citationStyle="Chicago" int2:isIdentical="0">
                  <int2:citationText>(“Salience Model to Analyze Project Stakeholders - PM Study Circle”)</int2:citationText>
                </int2:suggestion>
              </int2:suggestions>
              <int2:suggestions int2:citationType="Full">
                <int2:suggestion int2:citationStyle="Mla" int2:isIdentical="0">
                  <int2:citationText>&lt;i&gt;Salience Model to Analyze Project Stakeholders - PM Study Circle&lt;/i&gt;, https://pmstudycircle.com/salience-model-to-analyze-project-stakeholders/.</int2:citationText>
                </int2:suggestion>
                <int2:suggestion int2:citationStyle="Apa" int2:isIdentical="0">
                  <int2:citationText>&lt;i&gt;Salience Model to Analyze Project Stakeholders - PM Study Circle&lt;/i&gt;. (n.d.). Retrieved from https://pmstudycircle.com/salience-model-to-analyze-project-stakeholders/</int2:citationText>
                </int2:suggestion>
                <int2:suggestion int2:citationStyle="Chicago" int2:isIdentical="0">
                  <int2:citationText>“Salience Model to Analyze Project Stakeholders - PM Study Circle” n.d., https://pmstudycircle.com/salience-model-to-analyze-project-stakeholders/.</int2:citationText>
                </int2:suggestion>
              </int2:suggestions>
            </int2:source>
            <int2:source int2:sourceType="Online" int2:sourceTitle="Managing stakeholders of your project with the Salience Model - GreyCampus" int2:sourceUrl="https://www.greycampus.com/blog/project-management/analyze-your-project-s-stakeholders-with-the-help-of-the-salience-model" int2:sourceSnippet="One of the most successful and thorough approach to stakeholder management is via the Salience Model. Read on to find out more. ... The stakeholder salience model was proposed by Ronald K. Mitchell, Bradley R. Agle, and Donna J. Wood in 1997. You may also like: Make the best out of your project stakeholders. Here, a stakeholder has three ...">
              <int2:suggestions int2:citationType="Inline">
                <int2:suggestion int2:citationStyle="Mla" int2:isIdentical="0">
                  <int2:citationText>(“Managing stakeholders of your project with the Salience Model - GreyCampus”)</int2:citationText>
                </int2:suggestion>
                <int2:suggestion int2:citationStyle="Apa" int2:isIdentical="0">
                  <int2:citationText>(“Managing stakeholders of your project with the Salience Model - GreyCampus”)</int2:citationText>
                </int2:suggestion>
                <int2:suggestion int2:citationStyle="Chicago" int2:isIdentical="0">
                  <int2:citationText>(“Managing stakeholders of your project with the Salience Model - GreyCampus”)</int2:citationText>
                </int2:suggestion>
              </int2:suggestions>
              <int2:suggestions int2:citationType="Full">
                <int2:suggestion int2:citationStyle="Mla" int2:isIdentical="0">
                  <int2:citationText>&lt;i&gt;Managing stakeholders of your project with the Salience Model - GreyCampus&lt;/i&gt;, https://www.greycampus.com/blog/project-management/analyze-your-project-s-stakeholders-with-the-help-of-the-salience-model.</int2:citationText>
                </int2:suggestion>
                <int2:suggestion int2:citationStyle="Apa" int2:isIdentical="0">
                  <int2:citationText>&lt;i&gt;Managing stakeholders of your project with the Salience Model - GreyCampus&lt;/i&gt;. (n.d.). Retrieved from https://www.greycampus.com/blog/project-management/analyze-your-project-s-stakeholders-with-the-help-of-the-salience-model</int2:citationText>
                </int2:suggestion>
                <int2:suggestion int2:citationStyle="Chicago" int2:isIdentical="0">
                  <int2:citationText>“Managing stakeholders of your project with the Salience Model - GreyCampus” n.d., https://www.greycampus.com/blog/project-management/analyze-your-project-s-stakeholders-with-the-help-of-the-salience-model.</int2:citationText>
                </int2:suggestion>
              </int2:suggestions>
            </int2:source>
            <int2:source int2:sourceType="Online" int2:sourceTitle="Salience Model To Analyze Project Stakeholders | PDF | Attention ..." int2:sourceUrl="https://www.scribd.com/document/487639665/Salience-Model-to-Analyze-Project-Stakeholders" int2:sourceSnippet="Source: CNM Wiki The stakeholder salience model was proposed by Ronald K. Mitchell, Bradley R. Agle and Donna J. Wood in 1997. Here, a stakeholder has three attributes: 1. Power 2. Legitimacy 3. Urgency Power Power is the authority or influence of the stakeholder on your project or its objectives.">
              <int2:suggestions int2:citationType="Inline">
                <int2:suggestion int2:citationStyle="Mla" int2:isIdentical="0">
                  <int2:citationText>(“Salience Model To Analyze Project Stakeholders | PDF | Attention ...”)</int2:citationText>
                </int2:suggestion>
                <int2:suggestion int2:citationStyle="Apa" int2:isIdentical="0">
                  <int2:citationText>(“Salience Model To Analyze Project Stakeholders | PDF | Attention ...”)</int2:citationText>
                </int2:suggestion>
                <int2:suggestion int2:citationStyle="Chicago" int2:isIdentical="0">
                  <int2:citationText>(“Salience Model To Analyze Project Stakeholders | PDF | Attention ...”)</int2:citationText>
                </int2:suggestion>
              </int2:suggestions>
              <int2:suggestions int2:citationType="Full">
                <int2:suggestion int2:citationStyle="Mla" int2:isIdentical="0">
                  <int2:citationText>&lt;i&gt;Salience Model To Analyze Project Stakeholders | PDF | Attention ...&lt;/i&gt;, https://www.scribd.com/document/487639665/Salience-Model-to-Analyze-Project-Stakeholders.</int2:citationText>
                </int2:suggestion>
                <int2:suggestion int2:citationStyle="Apa" int2:isIdentical="0">
                  <int2:citationText>&lt;i&gt;Salience Model To Analyze Project Stakeholders | PDF | Attention ...&lt;/i&gt;. (n.d.). Retrieved from https://www.scribd.com/document/487639665/Salience-Model-to-Analyze-Project-Stakeholders</int2:citationText>
                </int2:suggestion>
                <int2:suggestion int2:citationStyle="Chicago" int2:isIdentical="0">
                  <int2:citationText>“Salience Model To Analyze Project Stakeholders | PDF | Attention ...” n.d., https://www.scribd.com/document/487639665/Salience-Model-to-Analyze-Project-Stakeholders.</int2:citationText>
                </int2:suggestion>
              </int2:suggestions>
            </int2:source>
          </int2:similarityCritique>
        </oel:ext>
      </int2:extLst>
    </int2:bookmark>
    <int2:bookmark int2:bookmarkName="_Int_ZI6zZ3Ub" int2:invalidationBookmarkName="" int2:hashCode="gRg+Ewpr1g5/o3" int2:id="7JgIYkpe">
      <int2:state int2:type="AugLoop_Text_Critique" int2:value="Rejected"/>
    </int2:bookmark>
    <int2:bookmark int2:bookmarkName="_Int_7irue6KS" int2:invalidationBookmarkName="" int2:hashCode="6kBannIb6DLz6V" int2:id="6e9i9sQd"/>
    <int2:bookmark int2:bookmarkName="_Int_VvOS24eT" int2:invalidationBookmarkName="" int2:hashCode="m/D4/19di8v/ud" int2:id="Abe08w8t">
      <int2:state int2:type="AugLoop_Text_Critique" int2:value="Rejected"/>
    </int2:bookmark>
    <int2:bookmark int2:bookmarkName="_Int_tqDcT7EH" int2:invalidationBookmarkName="" int2:hashCode="T4DS3/9XZYoQdv" int2:id="pu6sklnt">
      <int2:state int2:type="AugLoop_Text_Critique" int2:value="Rejected"/>
    </int2:bookmark>
    <int2:bookmark int2:bookmarkName="_Int_OeEfOq6J" int2:invalidationBookmarkName="" int2:hashCode="RBjFyz8L4Nuzfa" int2:id="GqPExDLy"/>
    <int2:bookmark int2:bookmarkName="_Int_fmShnGGN" int2:invalidationBookmarkName="" int2:hashCode="Misg/15vGxeaYP" int2:id="j7AWzYJq">
      <int2:state int2:type="AugLoop_Text_Critique" int2:value="Rejected"/>
    </int2:bookmark>
    <int2:bookmark int2:bookmarkName="_Int_JFG1w5Pk" int2:invalidationBookmarkName="" int2:hashCode="ZanletI6wlweVG" int2:id="AnI6uvyy">
      <int2:state int2:type="AugLoop_Text_Critique" int2:value="Rejected"/>
    </int2:bookmark>
    <int2:bookmark int2:bookmarkName="_Int_J5KIWG9s" int2:invalidationBookmarkName="" int2:hashCode="gohF05FOxspz2p" int2:id="5QtxEo9w"/>
    <int2:bookmark int2:bookmarkName="_Int_KnX4BTbE" int2:invalidationBookmarkName="" int2:hashCode="jI2dZKd8NRxqr/" int2:id="bz0Xetel">
      <int2:state int2:type="AugLoop_Text_Critique" int2:value="Rejected"/>
    </int2:bookmark>
    <int2:bookmark int2:bookmarkName="_Int_emyTl5iI" int2:invalidationBookmarkName="" int2:hashCode="SEiQGznzFfZHRw" int2:id="jdfWzRlY">
      <int2:state int2:type="AugLoop_Text_Critique" int2:value="Rejected"/>
    </int2:bookmark>
    <int2:bookmark int2:bookmarkName="_Int_UUm6XRUG" int2:invalidationBookmarkName="" int2:hashCode="w6eFeb/e5gWtUp" int2:id="ZkbBOh2W">
      <int2:state int2:type="AugLoop_Text_Critique" int2:value="Rejected"/>
    </int2:bookmark>
    <int2:bookmark int2:bookmarkName="_Int_iPJyIt9E" int2:invalidationBookmarkName="" int2:hashCode="vZAgQvqt0PDu3A" int2:id="Bf028jp9">
      <int2:state int2:type="AugLoop_Text_Critique" int2:value="Rejected"/>
    </int2:bookmark>
    <int2:bookmark int2:bookmarkName="_Int_HvBHMmS7" int2:invalidationBookmarkName="" int2:hashCode="rGY2429eLwN+pz" int2:id="VNj68eW2">
      <int2:state int2:type="AugLoop_Text_Critique" int2:value="Rejected"/>
    </int2:bookmark>
    <int2:bookmark int2:bookmarkName="_Int_ubLuM9yH" int2:invalidationBookmarkName="" int2:hashCode="AGRCs5BshDF104" int2:id="vhEzZFXu">
      <int2:state int2:type="AugLoop_Text_Critique" int2:value="Rejected"/>
    </int2:bookmark>
    <int2:bookmark int2:bookmarkName="_Int_8ZEpGjoH" int2:invalidationBookmarkName="" int2:hashCode="0pAHZYccTpIoxA" int2:id="ul8JgMZt"/>
    <int2:bookmark int2:bookmarkName="_Int_OvlaXCeV" int2:invalidationBookmarkName="" int2:hashCode="eq6ParIDJ904oT" int2:id="hR8uzm9Z">
      <int2:state int2:type="AugLoop_Text_Critique" int2:value="Rejected"/>
    </int2:bookmark>
    <int2:bookmark int2:bookmarkName="_Int_dUiHgY9D" int2:invalidationBookmarkName="" int2:hashCode="k5Aw83UuIkTZaN" int2:id="ORnCdL6M">
      <int2:state int2:type="LegacyProofing" int2:value="Rejected"/>
    </int2:bookmark>
    <int2:bookmark int2:bookmarkName="_Int_TS03e5Lw" int2:invalidationBookmarkName="" int2:hashCode="O4LCThYWc+jDMJ" int2:id="NqMRxLvf">
      <int2:state int2:type="LegacyProofing" int2:value="Rejected"/>
    </int2:bookmark>
    <int2:bookmark int2:bookmarkName="_Int_RlgeLeHU" int2:invalidationBookmarkName="" int2:hashCode="+XgafdEgIT3KIo" int2:id="wuxs7GpR">
      <int2:state int2:type="LegacyProofing" int2:value="Rejected"/>
    </int2:bookmark>
    <int2:bookmark int2:bookmarkName="_Int_4gt1828D" int2:invalidationBookmarkName="" int2:hashCode="bc1M4j2I4u6VaL" int2:id="nAehFWuo">
      <int2:state int2:type="LegacyProofing" int2:value="Rejected"/>
    </int2:bookmark>
    <int2:bookmark int2:bookmarkName="_Int_gXQnkFvO" int2:invalidationBookmarkName="" int2:hashCode="RoHRJMxsS3O6q/" int2:id="Tamy4EM3">
      <int2:state int2:type="AugLoop_Text_Critique" int2:value="Rejected"/>
    </int2:bookmark>
    <int2:bookmark int2:bookmarkName="_Int_RX7XmgXi" int2:invalidationBookmarkName="" int2:hashCode="RoHRJMxsS3O6q/" int2:id="piu01LdN"/>
    <int2:bookmark int2:bookmarkName="_Int_H35C1QBq" int2:invalidationBookmarkName="" int2:hashCode="RoHRJMxsS3O6q/" int2:id="3Xgtazis"/>
    <int2:bookmark int2:bookmarkName="_Int_rSuaesWf" int2:invalidationBookmarkName="" int2:hashCode="6hGBWNtBIkNFs9" int2:id="FG0QEFIn">
      <int2:state int2:type="LegacyProofing" int2:value="Rejected"/>
    </int2:bookmark>
    <int2:bookmark int2:bookmarkName="_Int_NNR0yFpK" int2:invalidationBookmarkName="" int2:hashCode="+hy8M85sF9u9T4" int2:id="ZJThcKuz"/>
    <int2:bookmark int2:bookmarkName="_Int_HOWaBUR3" int2:invalidationBookmarkName="" int2:hashCode="6KWckmKlp6D6pK" int2:id="wsVLPtwy"/>
    <int2:bookmark int2:bookmarkName="_Int_eGrcfgzy" int2:invalidationBookmarkName="" int2:hashCode="RoHRJMxsS3O6q/" int2:id="F7jX2sPT"/>
    <int2:bookmark int2:bookmarkName="_Int_ul3QuzMZ" int2:invalidationBookmarkName="" int2:hashCode="RoHRJMxsS3O6q/" int2:id="UnoqDg0a"/>
    <int2:bookmark int2:bookmarkName="_Int_2c6Wde6p" int2:invalidationBookmarkName="" int2:hashCode="Jv4u6fHWw5kaYi" int2:id="FSMaviLL"/>
    <int2:bookmark int2:bookmarkName="_Int_v3Gh3eGQ" int2:invalidationBookmarkName="" int2:hashCode="rxqj6X6Aw7dII6" int2:id="pyyzVVxd"/>
    <int2:bookmark int2:bookmarkName="_Int_yPodEwj7" int2:invalidationBookmarkName="" int2:hashCode="lVsVez5/JrMrfs" int2:id="i5orBwnE"/>
    <int2:bookmark int2:bookmarkName="_Int_0Av3yvfn" int2:invalidationBookmarkName="" int2:hashCode="oDKeFME1Nby2NZ" int2:id="cqvogQLr"/>
    <int2:bookmark int2:bookmarkName="_Int_eiuCylT8" int2:invalidationBookmarkName="" int2:hashCode="ek2s6pqZXwtyoo" int2:id="x8xxCcP1"/>
    <int2:bookmark int2:bookmarkName="_Int_sUGpLVbw" int2:invalidationBookmarkName="" int2:hashCode="8O7knVIfCTBWX/" int2:id="wIeyi4xP"/>
    <int2:bookmark int2:bookmarkName="_Int_gcZ3MoP9" int2:invalidationBookmarkName="" int2:hashCode="6KWckmKlp6D6pK" int2:id="qeZvdOoS"/>
    <int2:bookmark int2:bookmarkName="_Int_YAe4isWz" int2:invalidationBookmarkName="" int2:hashCode="6KWckmKlp6D6pK" int2:id="Jfnk3OHQ"/>
    <int2:bookmark int2:bookmarkName="_Int_IGfgjlZX" int2:invalidationBookmarkName="" int2:hashCode="DtrK+00Qb2yOWi" int2:id="2XtM2NCb">
      <int2:state int2:type="AugLoop_Text_Critique" int2:value="Rejected"/>
    </int2:bookmark>
    <int2:bookmark int2:bookmarkName="_Int_22q3AAP7" int2:invalidationBookmarkName="" int2:hashCode="6KWckmKlp6D6pK" int2:id="6SeDkji5"/>
    <int2:bookmark int2:bookmarkName="_Int_xPFLYkuF" int2:invalidationBookmarkName="" int2:hashCode="71LURSUDdsH576" int2:id="G3LWefwi"/>
    <int2:bookmark int2:bookmarkName="_Int_u1qAJME8" int2:invalidationBookmarkName="" int2:hashCode="9iZCnc4Ds4mLMw" int2:id="IT24HLJV"/>
    <int2:bookmark int2:bookmarkName="_Int_osXbSgr7" int2:invalidationBookmarkName="" int2:hashCode="1vWD81u1OtUSN3" int2:id="WWdwWCtS"/>
    <int2:bookmark int2:bookmarkName="_Int_wqhezb8J" int2:invalidationBookmarkName="" int2:hashCode="1vWD81u1OtUSN3" int2:id="Hkg03pjy"/>
    <int2:bookmark int2:bookmarkName="_Int_eZkwdqzE" int2:invalidationBookmarkName="" int2:hashCode="oDKeFME1Nby2NZ" int2:id="FwSYdHqw"/>
    <int2:bookmark int2:bookmarkName="_Int_tFh5Rood" int2:invalidationBookmarkName="" int2:hashCode="DRunjlhC9nv6ho" int2:id="JioyfMFs"/>
    <int2:bookmark int2:bookmarkName="_Int_jcGZBxOV" int2:invalidationBookmarkName="" int2:hashCode="mxXteFm9twSLvt" int2:id="aXmxRWgb"/>
    <int2:bookmark int2:bookmarkName="_Int_5QrV2Ccu" int2:invalidationBookmarkName="" int2:hashCode="29hFWKof6if73g" int2:id="LBdpBaez"/>
    <int2:bookmark int2:bookmarkName="_Int_ahXDOzOi" int2:invalidationBookmarkName="" int2:hashCode="RoDK08Gim3CDxa" int2:id="p25tLF8G">
      <int2:state int2:type="LegacyProofing" int2:value="Rejected"/>
    </int2:bookmark>
    <int2:bookmark int2:bookmarkName="_Int_m8xxIAkN" int2:invalidationBookmarkName="" int2:hashCode="XEbAsqc9Rn7weH" int2:id="UktJaSTr"/>
    <int2:bookmark int2:bookmarkName="_Int_ZtVgX5iv" int2:invalidationBookmarkName="" int2:hashCode="lKcwdNIDL0G5jN" int2:id="lg4SbTPr"/>
    <int2:bookmark int2:bookmarkName="_Int_Ubhak5qU" int2:invalidationBookmarkName="" int2:hashCode="9jhQT3/BXWC+4b" int2:id="GhCT0VFK"/>
    <int2:bookmark int2:bookmarkName="_Int_RBfdAmnb" int2:invalidationBookmarkName="" int2:hashCode="9iZCnc4Ds4mLMw" int2:id="inxHHEeW"/>
    <int2:bookmark int2:bookmarkName="_Int_VRM5m6Jp" int2:invalidationBookmarkName="" int2:hashCode="Iro59UONPwuC2v" int2:id="zWUfnb7T"/>
    <int2:bookmark int2:bookmarkName="_Int_8CKwN6Kf" int2:invalidationBookmarkName="" int2:hashCode="QhNbFxSkPCsiGV" int2:id="0OonzYAb"/>
    <int2:bookmark int2:bookmarkName="_Int_bZ1zkLan" int2:invalidationBookmarkName="" int2:hashCode="riFFE6DSESUpHJ" int2:id="3RcDCYsC">
      <int2:state int2:type="LegacyProofing" int2:value="Rejected"/>
    </int2:bookmark>
    <int2:bookmark int2:bookmarkName="_Int_eIBt6Cci" int2:invalidationBookmarkName="" int2:hashCode="oDKeFME1Nby2NZ" int2:id="AaKSY5KJ">
      <int2:state int2:type="AugLoop_Text_Critique" int2:value="Rejected"/>
    </int2:bookmark>
    <int2:bookmark int2:bookmarkName="_Int_Gyz6YIqk" int2:invalidationBookmarkName="" int2:hashCode="5cEnj+BQkBZE21" int2:id="8Ix4YcFD"/>
    <int2:bookmark int2:bookmarkName="_Int_a9FDx9Tg" int2:invalidationBookmarkName="" int2:hashCode="QhNbFxSkPCsiGV" int2:id="bH7KgNgv"/>
    <int2:bookmark int2:bookmarkName="_Int_V3BA8r6F" int2:invalidationBookmarkName="" int2:hashCode="OyNh/LfQo3Xya5" int2:id="Ht78qvqs"/>
    <int2:bookmark int2:bookmarkName="_Int_1oLm3nhn" int2:invalidationBookmarkName="" int2:hashCode="oDKeFME1Nby2NZ" int2:id="rvief5wN"/>
    <int2:bookmark int2:bookmarkName="_Int_cjL1iqOS" int2:invalidationBookmarkName="" int2:hashCode="U14gfXBqLZtzq7" int2:id="w1ujmUB9"/>
    <int2:bookmark int2:bookmarkName="_Int_340XewQr" int2:invalidationBookmarkName="" int2:hashCode="7TbL8sm7c8pEXB" int2:id="RciaBqjt">
      <int2:state int2:type="LegacyProofing" int2:value="Rejected"/>
    </int2:bookmark>
    <int2:bookmark int2:bookmarkName="_Int_5OPjuT33" int2:invalidationBookmarkName="" int2:hashCode="oDKeFME1Nby2NZ" int2:id="XZNP3HSI"/>
    <int2:bookmark int2:bookmarkName="_Int_Acru2N9l" int2:invalidationBookmarkName="" int2:hashCode="oDKeFME1Nby2NZ" int2:id="ou5zq7GD"/>
    <int2:bookmark int2:bookmarkName="_Int_wHDehCcn" int2:invalidationBookmarkName="" int2:hashCode="2YsNGSfhtYPnPL" int2:id="2s4ycprH"/>
    <int2:bookmark int2:bookmarkName="_Int_jQPMIcqE" int2:invalidationBookmarkName="" int2:hashCode="/HJ9PfIV5Q9ZMq" int2:id="syG74I9Q"/>
    <int2:bookmark int2:bookmarkName="_Int_qQhsV9W1" int2:invalidationBookmarkName="" int2:hashCode="yGqrgpy6otVFjS" int2:id="scGeBZq9"/>
    <int2:bookmark int2:bookmarkName="_Int_evFSdP37" int2:invalidationBookmarkName="" int2:hashCode="U14gfXBqLZtzq7" int2:id="XRzh1hYF"/>
    <int2:bookmark int2:bookmarkName="_Int_t6QeudOB" int2:invalidationBookmarkName="" int2:hashCode="2YsNGSfhtYPnPL" int2:id="Xi9loSHc"/>
    <int2:bookmark int2:bookmarkName="_Int_uMtFEqUp" int2:invalidationBookmarkName="" int2:hashCode="oDKeFME1Nby2NZ" int2:id="l4cNyF7q"/>
    <int2:bookmark int2:bookmarkName="_Int_LNJsY2y5" int2:invalidationBookmarkName="" int2:hashCode="Q/k9ld8N+gzN1I" int2:id="xASC9CYJ"/>
    <int2:bookmark int2:bookmarkName="_Int_RDpC7Fbe" int2:invalidationBookmarkName="" int2:hashCode="PYSaN5GBVsub11" int2:id="rFTnLDCB"/>
    <int2:bookmark int2:bookmarkName="_Int_ZaiwSJTF" int2:invalidationBookmarkName="" int2:hashCode="e0dMsLOcF3PXGS" int2:id="8hVfvY90"/>
    <int2:bookmark int2:bookmarkName="_Int_lRIjvoGo" int2:invalidationBookmarkName="" int2:hashCode="2pxICPsh11Tmox" int2:id="GFvMxL9k">
      <int2:state int2:type="AugLoop_Text_Critique" int2:value="Rejected"/>
    </int2:bookmark>
    <int2:bookmark int2:bookmarkName="_Int_uuiNUlGe" int2:invalidationBookmarkName="" int2:hashCode="kciFZTn7AJeqUY" int2:id="4yRVE3yV"/>
    <int2:bookmark int2:bookmarkName="_Int_OZorbTC3" int2:invalidationBookmarkName="" int2:hashCode="RoHRJMxsS3O6q/" int2:id="pb3BMRB5"/>
    <int2:bookmark int2:bookmarkName="_Int_ByA85d9q" int2:invalidationBookmarkName="" int2:hashCode="RoHRJMxsS3O6q/" int2:id="CpnUm9tk"/>
    <int2:bookmark int2:bookmarkName="_Int_seX82aNH" int2:invalidationBookmarkName="" int2:hashCode="gLHF8W6eflWgKS" int2:id="b9L7DKG2">
      <int2:state int2:type="AugLoop_Text_Critique" int2:value="Rejected"/>
    </int2:bookmark>
    <int2:bookmark int2:bookmarkName="_Int_3JZfVv2l" int2:invalidationBookmarkName="" int2:hashCode="mJEKbprnp1Plpj" int2:id="6KaJInKv">
      <int2:state int2:type="LegacyProofing" int2:value="Rejected"/>
    </int2:bookmark>
    <int2:bookmark int2:bookmarkName="_Int_bovCUs5K" int2:invalidationBookmarkName="" int2:hashCode="A4aa0t2ITz7rau" int2:id="sIaisBAx">
      <int2:state int2:type="AugLoop_Text_Critique" int2:value="Rejected"/>
    </int2:bookmark>
    <int2:bookmark int2:bookmarkName="_Int_XxLhC6R4" int2:invalidationBookmarkName="" int2:hashCode="PASCEUKafYh+Rp" int2:id="fmoS1N6x"/>
    <int2:bookmark int2:bookmarkName="_Int_DiCJRxoG" int2:invalidationBookmarkName="" int2:hashCode="RoHRJMxsS3O6q/" int2:id="IC8Ro8DU"/>
    <int2:bookmark int2:bookmarkName="_Int_xiG2nHTZ" int2:invalidationBookmarkName="" int2:hashCode="e0dMsLOcF3PXGS" int2:id="gEzURtpG"/>
    <int2:bookmark int2:bookmarkName="_Int_NagRU7OE" int2:invalidationBookmarkName="" int2:hashCode="+JFbmGiLJJf1FB" int2:id="MclKXzf3"/>
    <int2:bookmark int2:bookmarkName="_Int_7EoNjQ0j" int2:invalidationBookmarkName="" int2:hashCode="pdzoZCXPokLd6D" int2:id="1APewirM"/>
    <int2:bookmark int2:bookmarkName="_Int_SL2lDAY3" int2:invalidationBookmarkName="" int2:hashCode="eL5/+E7jqjQp+w" int2:id="f4jHGrSX">
      <int2:state int2:type="AugLoop_Text_Critique" int2:value="Rejected"/>
    </int2:bookmark>
    <int2:bookmark int2:bookmarkName="_Int_pRU3tk5E" int2:invalidationBookmarkName="" int2:hashCode="YD+82+V1vFecXo" int2:id="DIX4g7u6"/>
    <int2:bookmark int2:bookmarkName="_Int_ddtMCGim" int2:invalidationBookmarkName="" int2:hashCode="W5Z4vmu9anL2GF" int2:id="tk8Fct68"/>
    <int2:bookmark int2:bookmarkName="_Int_VBaS9BlQ" int2:invalidationBookmarkName="" int2:hashCode="RoHRJMxsS3O6q/" int2:id="hOvNcXKZ"/>
    <int2:bookmark int2:bookmarkName="_Int_ep6Arv7I" int2:invalidationBookmarkName="" int2:hashCode="RoHRJMxsS3O6q/" int2:id="mBibnFQe"/>
    <int2:bookmark int2:bookmarkName="_Int_vptIr8up" int2:invalidationBookmarkName="" int2:hashCode="RoHRJMxsS3O6q/" int2:id="6nkJicmr"/>
    <int2:bookmark int2:bookmarkName="_Int_JbwlPPne" int2:invalidationBookmarkName="" int2:hashCode="Q9SZFDf2HbGaom" int2:id="3WgoMz44"/>
    <int2:bookmark int2:bookmarkName="_Int_mzBiEzwQ" int2:invalidationBookmarkName="" int2:hashCode="5cEnj+BQkBZE21" int2:id="bsHofoZn"/>
    <int2:bookmark int2:bookmarkName="_Int_DWP0HjP5" int2:invalidationBookmarkName="" int2:hashCode="RoHRJMxsS3O6q/" int2:id="Lm7Ud2l3"/>
    <int2:bookmark int2:bookmarkName="_Int_qtsCR5Nr" int2:invalidationBookmarkName="" int2:hashCode="RoHRJMxsS3O6q/" int2:id="uzRZ11Ie"/>
    <int2:bookmark int2:bookmarkName="_Int_ltoIMtlQ" int2:invalidationBookmarkName="" int2:hashCode="0GYf/LRGEYcRtn" int2:id="YezOlYDq"/>
    <int2:bookmark int2:bookmarkName="_Int_Tg4c3MEm" int2:invalidationBookmarkName="" int2:hashCode="RoHRJMxsS3O6q/" int2:id="0jBF5ssl"/>
    <int2:bookmark int2:bookmarkName="_Int_Q8N8WHWm" int2:invalidationBookmarkName="" int2:hashCode="RoHRJMxsS3O6q/" int2:id="5fe6aOKY"/>
    <int2:bookmark int2:bookmarkName="_Int_hXAJKTTP" int2:invalidationBookmarkName="" int2:hashCode="RoHRJMxsS3O6q/" int2:id="V0nMtF6J"/>
    <int2:bookmark int2:bookmarkName="_Int_wWlPgiou" int2:invalidationBookmarkName="" int2:hashCode="C8aiBDQs7SbrC+" int2:id="7WGmZTAF"/>
    <int2:bookmark int2:bookmarkName="_Int_fIqRMKog" int2:invalidationBookmarkName="" int2:hashCode="AIGcDlT5xP4AKq" int2:id="9k2PHi90">
      <int2:state int2:type="LegacyProofing" int2:value="Rejected"/>
    </int2:bookmark>
    <int2:bookmark int2:bookmarkName="_Int_vGGDCpeg" int2:invalidationBookmarkName="" int2:hashCode="Rg9J6WEcbw4gpg" int2:id="xfMUf7G8">
      <int2:state int2:type="LegacyProofing" int2:value="Rejected"/>
    </int2:bookmark>
    <int2:bookmark int2:bookmarkName="_Int_dMicwrG1" int2:invalidationBookmarkName="" int2:hashCode="PeUh02GRVekij4" int2:id="S07HBw1f"/>
    <int2:bookmark int2:bookmarkName="_Int_svoasFhh" int2:invalidationBookmarkName="" int2:hashCode="oDKeFME1Nby2NZ" int2:id="RTsUDG46"/>
    <int2:bookmark int2:bookmarkName="_Int_RzeXPlxh" int2:invalidationBookmarkName="" int2:hashCode="oDKeFME1Nby2NZ" int2:id="5DKjoofq"/>
    <int2:bookmark int2:bookmarkName="_Int_3AJBb3K6" int2:invalidationBookmarkName="" int2:hashCode="8xOUXxQ7m0DwNu" int2:id="SArv9Wkg"/>
    <int2:bookmark int2:bookmarkName="_Int_ne4sSlRp" int2:invalidationBookmarkName="" int2:hashCode="oDKeFME1Nby2NZ" int2:id="mekCFxjp">
      <int2:state int2:type="AugLoop_Text_Critique" int2:value="Rejected"/>
      <int2:state int2:type="LegacyProofing" int2:value="Rejected"/>
    </int2:bookmark>
    <int2:bookmark int2:bookmarkName="_Int_H8StjlBU" int2:invalidationBookmarkName="" int2:hashCode="6zxiaQ7JAldF/T" int2:id="0OAHYlI9">
      <int2:state int2:type="LegacyProofing" int2:value="Rejected"/>
    </int2:bookmark>
    <int2:bookmark int2:bookmarkName="_Int_n7xpzaHD" int2:invalidationBookmarkName="" int2:hashCode="m/C6mGJeQTWOW1" int2:id="HAX9Al2l">
      <int2:state int2:type="LegacyProofing" int2:value="Rejected"/>
    </int2:bookmark>
    <int2:entireDocument int2:id="dvQhgLUd">
      <int2:extLst>
        <oel:ext uri="E302BA01-7950-474C-9AD3-286E660C40A8">
          <int2:similaritySummary int2:version="1" int2:runId="1660084454911" int2:tilesCheckedInThisRun="140" int2:totalNumOfTiles="140" int2:similarityAnnotationCount="24" int2:numWords="6164" int2:numFlaggedWords="40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B76D90C-7A05CAAC 20D9773F-1996E57F 41317E7F-061DCEB4 2D4EE7D4-11B3BDAB 7BE75EEE-101E0B8F 672A6659-77777777 0A37501D-77777777 22E0FC93-77777777 75AEBE3D-5929E4F6 441C91D0-329E78C1 619325A0-420D5590 0C070CE5-150BC64D 78D94F34-7A91B35B 5DAB6C7B-77777777 02EB378F-77777777 6A05A809-77777777 5A39BBE3-77777777 32A36C38-77777777 02D34BEB-26D23143 5F7507AB-4117CDA9 1E648249-3F205FF5 770D2579-52BC74EF 758BEBC7-52EB70DB 72AEFEE3-44F1E372 29D8D276-0A804504 68EB2F15-77777777 6E5F6C49-6FA40D44 3FDCECA9-4C7EFFE7 229618EE-034273FD 451D8642-77777777 7537EBD7-77777777 048AB948-7FAFC477 313A790F-77777777 27A90193-788BE7D2 62992189-77777777 09CDE56E-30A4775A 3CEDDF65-77777777 395AF918-7E8B56C0 5BF87DB4-77777777 6BD4C66D-22C3C0C9 475718D3-77777777 620766E9-4C3D767C 4125974A-77777777 19DD571D-3481DFEE 129323C9-77777777 68536FBF-6AF99DE5 431A8D11-77777777 5DA18548-04ED0E47 29D6B04F-77777777 6976D521-77777777 16112A43-77777777 3F72FCB3-4F1EDF52 6704F350-1F515744 3A2E769F-77777777 52D19C0D-70C4963E 368F1462-77777777 00D301B1-4D26C929 5A4340C2-77777777 3108DE76-44B11D1A 48830317-77777777 697A721B-548C0F48 042A7AE0-77777777 7D25FD54-3A1488AD 7A15DB99-77777777 64D55E73-00F710EE 44575807-77777777 2CEC20F2-77777777 711D0C63-57C77226 6551E8F0-45328C8D 2A1A2ADA-0E4AE3EF 04F489EB-77777777 73BE5AD2-59939D68 7096E00F-0D3A7FCD 046EDF22-76B51613 7010C21C-77777777 25D15A56-7E46FA78 2173450F-08313F4B 5360D667-7C7D59FF 637980AD-67055013 3DDF7D1C-36AC00FF 4A93D49E-77777777 7178B02B-77777777 47F7163E-37841241 044A9063-25DA02E9 314E04D5-1C4CCF6C 514C3330-4999976E 5B2EF0A6-6CF3A424 2B21EC5C-14345795 7006EDFB-4F91F97C 6B1B1017-0DCBA84F 51F8B15D-3A22FFFE 1FB0B5FD-6FBDD1E5 72986067-4AA54CDB 4ED027F0-1786B3FC 521EFD1B-3729AEA8 003F3559-1056E4DC 39F2A30B-0661732D 52ECAD08-29C2122A 3B0FDA38-7BAD874F 52E15A4F-6A3E99C4 6F18CB14-2A31226F 1E6675A4-521F01A8 67FD7F0F-5D81AA58 2B2A7A39-177676C9 0B1FA7FC-642773AA 7AF1D79E-5EA43102 3B8E3EB8-1BE288EE 53AB5F4B-4CC3BE20 3AC53C67-0738B95E 071E4E01-77777777 7F71FAFE-77777777 6B69578B-77777777 1FABB049-77777777 7142F1A1-77777777 3C13CAF1-77777777 38FCEE5D-77777777 3A9CA4B4-77777777 5AA4D909-77777777 7D7AB8DD-77777777 4F7CCED4-77777777 78AF0165-77777777 510BC5F2-77777777 7A8DDB41-77777777 217EEFD3-77777777 39038FD8-77777777 0CFCBF0F-77777777 5D621AC8-77193B3E 1384937E-77777777 6E545455-77777777 4CED4319-77777777 3240F36D-77777777 22451C36-77777777 703E9A74-77777777 78D2079E-77777777 160F94A7-77777777 45473BEB-77777777 1CE3ABAB-77777777 4F65C248-77777777 43BB86E2-77777777 1BC58F88-77777777 6AAEF7CC-77777777 2E3E85C4-77777777 2E36481D-77777777 2D989F70-77777777 170033CE-77777777 79324438-77777777 1EA81C24-77777777 014A1D24-77777777 7CACC8D5-77777777 11E742FF-77777777 41C8F396-77777777 72A3D3EC-77777777 0D0B940D-77777777 3D562953-77777777 3DEEC669-77777777"/>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2">
    <w:nsid w:val="5e88bd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D0A7868"/>
    <w:multiLevelType w:val="multilevel"/>
    <w:tmpl w:val="12D4A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68F17C7"/>
    <w:multiLevelType w:val="multilevel"/>
    <w:tmpl w:val="3AFA0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3">
    <w:abstractNumId w:val="2"/>
  </w: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B1A4E"/>
    <w:rsid w:val="000060F5"/>
    <w:rsid w:val="00007731"/>
    <w:rsid w:val="00165B5A"/>
    <w:rsid w:val="001B1A4E"/>
    <w:rsid w:val="002503D4"/>
    <w:rsid w:val="00335B25"/>
    <w:rsid w:val="0084D975"/>
    <w:rsid w:val="0094DAC4"/>
    <w:rsid w:val="0098424F"/>
    <w:rsid w:val="00A2126F"/>
    <w:rsid w:val="00BD52B0"/>
    <w:rsid w:val="00C073F1"/>
    <w:rsid w:val="00C751D8"/>
    <w:rsid w:val="00D654C0"/>
    <w:rsid w:val="00DF9EC2"/>
    <w:rsid w:val="00F4151A"/>
    <w:rsid w:val="00F4151A"/>
    <w:rsid w:val="00F91081"/>
    <w:rsid w:val="0144D5B8"/>
    <w:rsid w:val="015CCA0D"/>
    <w:rsid w:val="01630B73"/>
    <w:rsid w:val="0175F26A"/>
    <w:rsid w:val="01F710EB"/>
    <w:rsid w:val="02160384"/>
    <w:rsid w:val="0220A9D6"/>
    <w:rsid w:val="024A261B"/>
    <w:rsid w:val="025198CF"/>
    <w:rsid w:val="026A5DE8"/>
    <w:rsid w:val="029BC03D"/>
    <w:rsid w:val="02D25F9F"/>
    <w:rsid w:val="02D8ADFB"/>
    <w:rsid w:val="02E8AF4A"/>
    <w:rsid w:val="02F89A6E"/>
    <w:rsid w:val="03CB213B"/>
    <w:rsid w:val="03ED6930"/>
    <w:rsid w:val="03F4F372"/>
    <w:rsid w:val="0437909E"/>
    <w:rsid w:val="04BE5331"/>
    <w:rsid w:val="04CB5CCA"/>
    <w:rsid w:val="04D34A50"/>
    <w:rsid w:val="055A056D"/>
    <w:rsid w:val="0566F19C"/>
    <w:rsid w:val="056CB735"/>
    <w:rsid w:val="0590C3D3"/>
    <w:rsid w:val="0599E788"/>
    <w:rsid w:val="060A0061"/>
    <w:rsid w:val="06963A11"/>
    <w:rsid w:val="06DA0CA8"/>
    <w:rsid w:val="073DCF0B"/>
    <w:rsid w:val="074A2E41"/>
    <w:rsid w:val="075E0CB4"/>
    <w:rsid w:val="07A5D0C2"/>
    <w:rsid w:val="080B72DA"/>
    <w:rsid w:val="08320A72"/>
    <w:rsid w:val="0891A62F"/>
    <w:rsid w:val="08C6EB46"/>
    <w:rsid w:val="093712D4"/>
    <w:rsid w:val="0967DBF2"/>
    <w:rsid w:val="09879431"/>
    <w:rsid w:val="0989D6CE"/>
    <w:rsid w:val="0A0D73F2"/>
    <w:rsid w:val="0A11AD6A"/>
    <w:rsid w:val="0A29A2BA"/>
    <w:rsid w:val="0A2AD5C7"/>
    <w:rsid w:val="0ADE630B"/>
    <w:rsid w:val="0B0B3FCA"/>
    <w:rsid w:val="0B1F7EAE"/>
    <w:rsid w:val="0B25A72F"/>
    <w:rsid w:val="0B886F32"/>
    <w:rsid w:val="0BC5731B"/>
    <w:rsid w:val="0C11402E"/>
    <w:rsid w:val="0CC17790"/>
    <w:rsid w:val="0D2C9C58"/>
    <w:rsid w:val="0D4514B4"/>
    <w:rsid w:val="0D6CBBDC"/>
    <w:rsid w:val="0D72E975"/>
    <w:rsid w:val="0D9A5C69"/>
    <w:rsid w:val="0DCD4E38"/>
    <w:rsid w:val="0DD828A5"/>
    <w:rsid w:val="0E0A83F7"/>
    <w:rsid w:val="0E34E213"/>
    <w:rsid w:val="0E3C0FE8"/>
    <w:rsid w:val="0E4EF481"/>
    <w:rsid w:val="0E8631D6"/>
    <w:rsid w:val="0EB84EC4"/>
    <w:rsid w:val="0EE0E515"/>
    <w:rsid w:val="0EE51E8D"/>
    <w:rsid w:val="0F088C3D"/>
    <w:rsid w:val="0F0EB9D6"/>
    <w:rsid w:val="0F0FF100"/>
    <w:rsid w:val="0FB1D42E"/>
    <w:rsid w:val="107CB576"/>
    <w:rsid w:val="1080EEEE"/>
    <w:rsid w:val="10BE0A65"/>
    <w:rsid w:val="10D3767A"/>
    <w:rsid w:val="10DC9A2F"/>
    <w:rsid w:val="11869543"/>
    <w:rsid w:val="126DCD8C"/>
    <w:rsid w:val="12701446"/>
    <w:rsid w:val="12E7CF4B"/>
    <w:rsid w:val="132D73DD"/>
    <w:rsid w:val="1330B914"/>
    <w:rsid w:val="133422C3"/>
    <w:rsid w:val="134C37DB"/>
    <w:rsid w:val="139B6E9D"/>
    <w:rsid w:val="13B45638"/>
    <w:rsid w:val="13EF9A34"/>
    <w:rsid w:val="146D688A"/>
    <w:rsid w:val="14D045BD"/>
    <w:rsid w:val="151DDD55"/>
    <w:rsid w:val="15502699"/>
    <w:rsid w:val="15528D39"/>
    <w:rsid w:val="159E518C"/>
    <w:rsid w:val="15E1751D"/>
    <w:rsid w:val="160938EB"/>
    <w:rsid w:val="166162EF"/>
    <w:rsid w:val="167994AD"/>
    <w:rsid w:val="1692BD0A"/>
    <w:rsid w:val="1709053B"/>
    <w:rsid w:val="1719CBBB"/>
    <w:rsid w:val="1742B7FE"/>
    <w:rsid w:val="177E9277"/>
    <w:rsid w:val="17E7DBA7"/>
    <w:rsid w:val="17E8BF3D"/>
    <w:rsid w:val="18267649"/>
    <w:rsid w:val="18968F22"/>
    <w:rsid w:val="18A4D59C"/>
    <w:rsid w:val="18C30B57"/>
    <w:rsid w:val="18DA40F6"/>
    <w:rsid w:val="18EF999A"/>
    <w:rsid w:val="18F9641B"/>
    <w:rsid w:val="1977D640"/>
    <w:rsid w:val="19848F9E"/>
    <w:rsid w:val="19A13D55"/>
    <w:rsid w:val="19C246AA"/>
    <w:rsid w:val="19CA5DCC"/>
    <w:rsid w:val="19FBC021"/>
    <w:rsid w:val="1A0AB021"/>
    <w:rsid w:val="1A4BFD9A"/>
    <w:rsid w:val="1A8282B4"/>
    <w:rsid w:val="1AA4F862"/>
    <w:rsid w:val="1AF65E50"/>
    <w:rsid w:val="1B0D2252"/>
    <w:rsid w:val="1B2B211F"/>
    <w:rsid w:val="1B2C7B6A"/>
    <w:rsid w:val="1BC3A195"/>
    <w:rsid w:val="1BDC765E"/>
    <w:rsid w:val="1C0B32D2"/>
    <w:rsid w:val="1C1E5315"/>
    <w:rsid w:val="1C40C8C3"/>
    <w:rsid w:val="1C8EB191"/>
    <w:rsid w:val="1CAF7702"/>
    <w:rsid w:val="1D1AD0F9"/>
    <w:rsid w:val="1D44AB6A"/>
    <w:rsid w:val="1D91EB51"/>
    <w:rsid w:val="1DD78115"/>
    <w:rsid w:val="1E14D6B5"/>
    <w:rsid w:val="1E541ADD"/>
    <w:rsid w:val="1E76A299"/>
    <w:rsid w:val="1E772803"/>
    <w:rsid w:val="1EDE2144"/>
    <w:rsid w:val="1EFB4257"/>
    <w:rsid w:val="1F2D877E"/>
    <w:rsid w:val="1F2DBBB2"/>
    <w:rsid w:val="1FB0A716"/>
    <w:rsid w:val="1FC65253"/>
    <w:rsid w:val="1FE09375"/>
    <w:rsid w:val="205271BB"/>
    <w:rsid w:val="205F35B1"/>
    <w:rsid w:val="209AC6C6"/>
    <w:rsid w:val="20C26DEE"/>
    <w:rsid w:val="20C957DF"/>
    <w:rsid w:val="20C98C13"/>
    <w:rsid w:val="20F1C438"/>
    <w:rsid w:val="216AEA9B"/>
    <w:rsid w:val="2171AD4E"/>
    <w:rsid w:val="218A9425"/>
    <w:rsid w:val="21AEC8C5"/>
    <w:rsid w:val="226B99BD"/>
    <w:rsid w:val="22AAF238"/>
    <w:rsid w:val="22E847D8"/>
    <w:rsid w:val="235817B5"/>
    <w:rsid w:val="2374E62F"/>
    <w:rsid w:val="237D9F48"/>
    <w:rsid w:val="23D941C9"/>
    <w:rsid w:val="24324C41"/>
    <w:rsid w:val="243E5C19"/>
    <w:rsid w:val="2499C376"/>
    <w:rsid w:val="24B28CAC"/>
    <w:rsid w:val="24DB22FD"/>
    <w:rsid w:val="24DC4755"/>
    <w:rsid w:val="24FBD59C"/>
    <w:rsid w:val="24FD08A9"/>
    <w:rsid w:val="256A83DB"/>
    <w:rsid w:val="25D54CD5"/>
    <w:rsid w:val="25D8C69C"/>
    <w:rsid w:val="25DF9F7A"/>
    <w:rsid w:val="2643EB64"/>
    <w:rsid w:val="26A0C9B2"/>
    <w:rsid w:val="26A1E9ED"/>
    <w:rsid w:val="272C23E9"/>
    <w:rsid w:val="274427EE"/>
    <w:rsid w:val="27D16438"/>
    <w:rsid w:val="27F9D5A9"/>
    <w:rsid w:val="281E0A49"/>
    <w:rsid w:val="2825F7CF"/>
    <w:rsid w:val="2833765E"/>
    <w:rsid w:val="2841A86C"/>
    <w:rsid w:val="28DFF84F"/>
    <w:rsid w:val="290F53B1"/>
    <w:rsid w:val="291A428A"/>
    <w:rsid w:val="297B8C26"/>
    <w:rsid w:val="29AE9420"/>
    <w:rsid w:val="29CDCD70"/>
    <w:rsid w:val="2A71EA62"/>
    <w:rsid w:val="2A76ABA2"/>
    <w:rsid w:val="2A79FE2B"/>
    <w:rsid w:val="2B3E714F"/>
    <w:rsid w:val="2BFCC7ED"/>
    <w:rsid w:val="2CB28D1D"/>
    <w:rsid w:val="2CE067D3"/>
    <w:rsid w:val="2CFFD811"/>
    <w:rsid w:val="2D5BD6E6"/>
    <w:rsid w:val="2D9B656D"/>
    <w:rsid w:val="2DD04740"/>
    <w:rsid w:val="2E69051F"/>
    <w:rsid w:val="2EF7A747"/>
    <w:rsid w:val="2F565D10"/>
    <w:rsid w:val="2F7FB475"/>
    <w:rsid w:val="2FEA2DDF"/>
    <w:rsid w:val="2FEC00B7"/>
    <w:rsid w:val="3011E272"/>
    <w:rsid w:val="304F997E"/>
    <w:rsid w:val="3151CA29"/>
    <w:rsid w:val="316AB005"/>
    <w:rsid w:val="3214E624"/>
    <w:rsid w:val="321EFDBE"/>
    <w:rsid w:val="3255CD37"/>
    <w:rsid w:val="3263D3EA"/>
    <w:rsid w:val="32BF372A"/>
    <w:rsid w:val="33C0479A"/>
    <w:rsid w:val="33C0B3B7"/>
    <w:rsid w:val="33D1FE3E"/>
    <w:rsid w:val="340A2802"/>
    <w:rsid w:val="341D8DE8"/>
    <w:rsid w:val="343677E1"/>
    <w:rsid w:val="34FC8D51"/>
    <w:rsid w:val="35047AD7"/>
    <w:rsid w:val="35230AA1"/>
    <w:rsid w:val="35A4C2F8"/>
    <w:rsid w:val="35A67752"/>
    <w:rsid w:val="3661FCB4"/>
    <w:rsid w:val="36985DB2"/>
    <w:rsid w:val="36BEDB02"/>
    <w:rsid w:val="36F26EE1"/>
    <w:rsid w:val="3792A84D"/>
    <w:rsid w:val="38379E3D"/>
    <w:rsid w:val="385AAB63"/>
    <w:rsid w:val="390E433F"/>
    <w:rsid w:val="392E78AE"/>
    <w:rsid w:val="39781C71"/>
    <w:rsid w:val="39940DD0"/>
    <w:rsid w:val="39999D76"/>
    <w:rsid w:val="3A5DF2F9"/>
    <w:rsid w:val="3A6EE5CF"/>
    <w:rsid w:val="3B11924B"/>
    <w:rsid w:val="3B72E0FF"/>
    <w:rsid w:val="3B8CD2AA"/>
    <w:rsid w:val="3C5A5C31"/>
    <w:rsid w:val="3CF0536C"/>
    <w:rsid w:val="3DF62C92"/>
    <w:rsid w:val="3E6C6ECE"/>
    <w:rsid w:val="3E8956AE"/>
    <w:rsid w:val="3EB5D2E3"/>
    <w:rsid w:val="3F85F7B3"/>
    <w:rsid w:val="3FA4B119"/>
    <w:rsid w:val="4005D88F"/>
    <w:rsid w:val="400A1207"/>
    <w:rsid w:val="40472D7E"/>
    <w:rsid w:val="40DC7D91"/>
    <w:rsid w:val="40E3A0CE"/>
    <w:rsid w:val="410FB85C"/>
    <w:rsid w:val="4140817A"/>
    <w:rsid w:val="4180C501"/>
    <w:rsid w:val="41D6AB86"/>
    <w:rsid w:val="41ED73A5"/>
    <w:rsid w:val="427496C2"/>
    <w:rsid w:val="43445392"/>
    <w:rsid w:val="439476C3"/>
    <w:rsid w:val="441B4190"/>
    <w:rsid w:val="444502B4"/>
    <w:rsid w:val="44D949B2"/>
    <w:rsid w:val="451A9EA1"/>
    <w:rsid w:val="45D22C11"/>
    <w:rsid w:val="462054A6"/>
    <w:rsid w:val="467780B3"/>
    <w:rsid w:val="4678207E"/>
    <w:rsid w:val="46A17C00"/>
    <w:rsid w:val="46A2EED4"/>
    <w:rsid w:val="46D4050B"/>
    <w:rsid w:val="47A71E1F"/>
    <w:rsid w:val="481523EC"/>
    <w:rsid w:val="481CD989"/>
    <w:rsid w:val="482CC4AD"/>
    <w:rsid w:val="485ED703"/>
    <w:rsid w:val="49AF2175"/>
    <w:rsid w:val="49C8950E"/>
    <w:rsid w:val="4A03B847"/>
    <w:rsid w:val="4A4820F3"/>
    <w:rsid w:val="4A9CF356"/>
    <w:rsid w:val="4AA59D34"/>
    <w:rsid w:val="4ACBCD6B"/>
    <w:rsid w:val="4AD628E9"/>
    <w:rsid w:val="4B522E79"/>
    <w:rsid w:val="4B758B16"/>
    <w:rsid w:val="4B765FF7"/>
    <w:rsid w:val="4B9F88A8"/>
    <w:rsid w:val="4BB8B105"/>
    <w:rsid w:val="4C71F94A"/>
    <w:rsid w:val="4C7D9E00"/>
    <w:rsid w:val="4D43468F"/>
    <w:rsid w:val="4D56D7D0"/>
    <w:rsid w:val="4D58C576"/>
    <w:rsid w:val="4D7D9904"/>
    <w:rsid w:val="4E461FAC"/>
    <w:rsid w:val="4ED7296A"/>
    <w:rsid w:val="4F56D0FA"/>
    <w:rsid w:val="4F683EA2"/>
    <w:rsid w:val="4F7A4E5A"/>
    <w:rsid w:val="4F979E21"/>
    <w:rsid w:val="4FE9BDAD"/>
    <w:rsid w:val="502B39DA"/>
    <w:rsid w:val="50331552"/>
    <w:rsid w:val="5051B72A"/>
    <w:rsid w:val="5052AF2C"/>
    <w:rsid w:val="50AE8465"/>
    <w:rsid w:val="50B1484F"/>
    <w:rsid w:val="50D50993"/>
    <w:rsid w:val="50F99D5A"/>
    <w:rsid w:val="51040F03"/>
    <w:rsid w:val="511E3E17"/>
    <w:rsid w:val="51C70A3B"/>
    <w:rsid w:val="51E4D2FC"/>
    <w:rsid w:val="523121D1"/>
    <w:rsid w:val="5296A0C8"/>
    <w:rsid w:val="529A890A"/>
    <w:rsid w:val="535603BB"/>
    <w:rsid w:val="535D93F2"/>
    <w:rsid w:val="537DA640"/>
    <w:rsid w:val="53AEDE9D"/>
    <w:rsid w:val="53B28813"/>
    <w:rsid w:val="540CAA55"/>
    <w:rsid w:val="542BAE76"/>
    <w:rsid w:val="54322FA3"/>
    <w:rsid w:val="545238BC"/>
    <w:rsid w:val="546F8CA0"/>
    <w:rsid w:val="54C0D32E"/>
    <w:rsid w:val="54FEAAFD"/>
    <w:rsid w:val="5561E9B5"/>
    <w:rsid w:val="55CD0E7D"/>
    <w:rsid w:val="56210584"/>
    <w:rsid w:val="569A7B5E"/>
    <w:rsid w:val="56B54702"/>
    <w:rsid w:val="56E67F5F"/>
    <w:rsid w:val="56FDBA16"/>
    <w:rsid w:val="570D16F7"/>
    <w:rsid w:val="57785AC3"/>
    <w:rsid w:val="57E4F164"/>
    <w:rsid w:val="58511763"/>
    <w:rsid w:val="5904AF3F"/>
    <w:rsid w:val="5905A0C6"/>
    <w:rsid w:val="5969A4AF"/>
    <w:rsid w:val="59ECE7C4"/>
    <w:rsid w:val="5A21C997"/>
    <w:rsid w:val="5ADECE24"/>
    <w:rsid w:val="5BA4B99C"/>
    <w:rsid w:val="5C3912A8"/>
    <w:rsid w:val="5C562F9E"/>
    <w:rsid w:val="5C78154A"/>
    <w:rsid w:val="5C85144B"/>
    <w:rsid w:val="5CD7EF6B"/>
    <w:rsid w:val="5D0C102A"/>
    <w:rsid w:val="5D16599A"/>
    <w:rsid w:val="5D248886"/>
    <w:rsid w:val="5D517CD3"/>
    <w:rsid w:val="5D596A59"/>
    <w:rsid w:val="5D631AEE"/>
    <w:rsid w:val="5DD4E309"/>
    <w:rsid w:val="5E442B1E"/>
    <w:rsid w:val="5E6430FC"/>
    <w:rsid w:val="5EA4B95D"/>
    <w:rsid w:val="5EC058E7"/>
    <w:rsid w:val="5EED4D34"/>
    <w:rsid w:val="5F0FC2E2"/>
    <w:rsid w:val="5F5BFB73"/>
    <w:rsid w:val="5FAE82FF"/>
    <w:rsid w:val="5FBCB50D"/>
    <w:rsid w:val="5FD35012"/>
    <w:rsid w:val="605C2948"/>
    <w:rsid w:val="609348FC"/>
    <w:rsid w:val="60A6D203"/>
    <w:rsid w:val="60CF599F"/>
    <w:rsid w:val="6116AD73"/>
    <w:rsid w:val="613A8F7A"/>
    <w:rsid w:val="6148DA11"/>
    <w:rsid w:val="619BC3E6"/>
    <w:rsid w:val="61A820D7"/>
    <w:rsid w:val="61C6802E"/>
    <w:rsid w:val="6208AE1B"/>
    <w:rsid w:val="6224EDF6"/>
    <w:rsid w:val="622CDB7C"/>
    <w:rsid w:val="626B2A00"/>
    <w:rsid w:val="62B47A2F"/>
    <w:rsid w:val="62BD377E"/>
    <w:rsid w:val="62EA4093"/>
    <w:rsid w:val="62F2C496"/>
    <w:rsid w:val="62FE325E"/>
    <w:rsid w:val="635EAC31"/>
    <w:rsid w:val="63774F24"/>
    <w:rsid w:val="6446C21B"/>
    <w:rsid w:val="648C1B6C"/>
    <w:rsid w:val="65131F85"/>
    <w:rsid w:val="65295905"/>
    <w:rsid w:val="655C8EB8"/>
    <w:rsid w:val="659FC457"/>
    <w:rsid w:val="65AC1D2B"/>
    <w:rsid w:val="65CB3CF7"/>
    <w:rsid w:val="65EC1AF1"/>
    <w:rsid w:val="65F4D840"/>
    <w:rsid w:val="661C4B34"/>
    <w:rsid w:val="661DC483"/>
    <w:rsid w:val="66964CF3"/>
    <w:rsid w:val="66C52966"/>
    <w:rsid w:val="67153EA6"/>
    <w:rsid w:val="6749EC45"/>
    <w:rsid w:val="677E62DD"/>
    <w:rsid w:val="67B994E4"/>
    <w:rsid w:val="68114833"/>
    <w:rsid w:val="68321D54"/>
    <w:rsid w:val="685EB88D"/>
    <w:rsid w:val="68942F7A"/>
    <w:rsid w:val="68A5CD95"/>
    <w:rsid w:val="68BE92AE"/>
    <w:rsid w:val="6923BBB3"/>
    <w:rsid w:val="69269465"/>
    <w:rsid w:val="6939E83D"/>
    <w:rsid w:val="6941D5C3"/>
    <w:rsid w:val="695D8F39"/>
    <w:rsid w:val="6976B796"/>
    <w:rsid w:val="699121B5"/>
    <w:rsid w:val="69EFDDF9"/>
    <w:rsid w:val="6A062DA4"/>
    <w:rsid w:val="6A37ED61"/>
    <w:rsid w:val="6A7990B3"/>
    <w:rsid w:val="6A9EAE1A"/>
    <w:rsid w:val="6AB6039F"/>
    <w:rsid w:val="6ABF8C14"/>
    <w:rsid w:val="6B12CFF8"/>
    <w:rsid w:val="6B14C1BB"/>
    <w:rsid w:val="6B523B5E"/>
    <w:rsid w:val="6B6E212A"/>
    <w:rsid w:val="6B989A89"/>
    <w:rsid w:val="6BCB0F28"/>
    <w:rsid w:val="6BE9BB98"/>
    <w:rsid w:val="6C2EC495"/>
    <w:rsid w:val="6C450CCA"/>
    <w:rsid w:val="6C5B5C75"/>
    <w:rsid w:val="6CCBC4C5"/>
    <w:rsid w:val="6D092407"/>
    <w:rsid w:val="6D66DF89"/>
    <w:rsid w:val="6DFA0588"/>
    <w:rsid w:val="6DFFEA25"/>
    <w:rsid w:val="6E6B52D1"/>
    <w:rsid w:val="6E724438"/>
    <w:rsid w:val="6EA4F468"/>
    <w:rsid w:val="6F14ABD5"/>
    <w:rsid w:val="6F3A3368"/>
    <w:rsid w:val="6F54FE2A"/>
    <w:rsid w:val="6F666557"/>
    <w:rsid w:val="6F721F3D"/>
    <w:rsid w:val="6F7CAD8C"/>
    <w:rsid w:val="6F8AF406"/>
    <w:rsid w:val="6F8EC4BA"/>
    <w:rsid w:val="6FFE0CCF"/>
    <w:rsid w:val="70006DD1"/>
    <w:rsid w:val="70072332"/>
    <w:rsid w:val="7057705B"/>
    <w:rsid w:val="70A72EE5"/>
    <w:rsid w:val="70C6A245"/>
    <w:rsid w:val="70FE091D"/>
    <w:rsid w:val="7126C467"/>
    <w:rsid w:val="71521D3F"/>
    <w:rsid w:val="7179DBF5"/>
    <w:rsid w:val="71D4E2C8"/>
    <w:rsid w:val="7233877E"/>
    <w:rsid w:val="723B11C0"/>
    <w:rsid w:val="72813BBC"/>
    <w:rsid w:val="72E276A3"/>
    <w:rsid w:val="72EDEDA0"/>
    <w:rsid w:val="739C4FE5"/>
    <w:rsid w:val="73E28BEF"/>
    <w:rsid w:val="741AAA20"/>
    <w:rsid w:val="74785059"/>
    <w:rsid w:val="74E2C9DC"/>
    <w:rsid w:val="750C838A"/>
    <w:rsid w:val="7510A05C"/>
    <w:rsid w:val="75617BC8"/>
    <w:rsid w:val="7562EE9C"/>
    <w:rsid w:val="75766ECA"/>
    <w:rsid w:val="757AA008"/>
    <w:rsid w:val="757E5C50"/>
    <w:rsid w:val="7583ED59"/>
    <w:rsid w:val="75A42B02"/>
    <w:rsid w:val="75FA358A"/>
    <w:rsid w:val="766FAF55"/>
    <w:rsid w:val="767828C0"/>
    <w:rsid w:val="76FD4C29"/>
    <w:rsid w:val="771A2CB1"/>
    <w:rsid w:val="7745541B"/>
    <w:rsid w:val="780E776C"/>
    <w:rsid w:val="7848411E"/>
    <w:rsid w:val="7870B28F"/>
    <w:rsid w:val="7896D5D0"/>
    <w:rsid w:val="78AE0F8C"/>
    <w:rsid w:val="78B240CA"/>
    <w:rsid w:val="78B5FD12"/>
    <w:rsid w:val="78FBD1A2"/>
    <w:rsid w:val="7939C3D2"/>
    <w:rsid w:val="793C0411"/>
    <w:rsid w:val="7941CD03"/>
    <w:rsid w:val="794DDCDB"/>
    <w:rsid w:val="7951B827"/>
    <w:rsid w:val="79577A9E"/>
    <w:rsid w:val="79688046"/>
    <w:rsid w:val="7973B303"/>
    <w:rsid w:val="7983CA7D"/>
    <w:rsid w:val="7A49DFED"/>
    <w:rsid w:val="7A779C25"/>
    <w:rsid w:val="7A9F6FA3"/>
    <w:rsid w:val="7AB4D1E4"/>
    <w:rsid w:val="7AD59433"/>
    <w:rsid w:val="7AE9AD3C"/>
    <w:rsid w:val="7B0F8364"/>
    <w:rsid w:val="7B1BE7CB"/>
    <w:rsid w:val="7B49D476"/>
    <w:rsid w:val="7B704CAE"/>
    <w:rsid w:val="7B7FE1E0"/>
    <w:rsid w:val="7B8F2AF4"/>
    <w:rsid w:val="7BA85351"/>
    <w:rsid w:val="7BE9E18C"/>
    <w:rsid w:val="7BF32EDD"/>
    <w:rsid w:val="7C3B4004"/>
    <w:rsid w:val="7C796DC5"/>
    <w:rsid w:val="7CBB6B3F"/>
    <w:rsid w:val="7CC8C032"/>
    <w:rsid w:val="7CDFFAE9"/>
    <w:rsid w:val="7D8A653C"/>
    <w:rsid w:val="7DCF42C5"/>
    <w:rsid w:val="7E573BA0"/>
    <w:rsid w:val="7E817538"/>
    <w:rsid w:val="7EDE62C1"/>
    <w:rsid w:val="7F21824E"/>
    <w:rsid w:val="7F253E96"/>
    <w:rsid w:val="7F77623F"/>
    <w:rsid w:val="7FBC3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B366E"/>
  <w15:docId w15:val="{61ADA2C2-0CBF-44C8-A1B0-C311E13AF4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C2238"/>
    <w:rPr>
      <w:color w:val="000000" w:themeColor="text1"/>
    </w:rPr>
  </w:style>
  <w:style w:type="paragraph" w:styleId="Heading1">
    <w:name w:val="heading 1"/>
    <w:basedOn w:val="Normal"/>
    <w:next w:val="Normal"/>
    <w:link w:val="Heading1Char"/>
    <w:autoRedefine/>
    <w:uiPriority w:val="1"/>
    <w:qFormat/>
    <w:rsid w:val="002C2238"/>
    <w:pPr>
      <w:spacing w:before="480" w:after="0"/>
      <w:contextualSpacing/>
      <w:outlineLvl w:val="0"/>
    </w:pPr>
    <w:rPr>
      <w:rFonts w:eastAsiaTheme="majorEastAsia" w:cstheme="majorBidi"/>
      <w:b/>
      <w:bCs/>
      <w:sz w:val="32"/>
      <w:szCs w:val="28"/>
    </w:rPr>
  </w:style>
  <w:style w:type="paragraph" w:styleId="Heading2">
    <w:name w:val="heading 2"/>
    <w:basedOn w:val="Normal"/>
    <w:next w:val="Normal"/>
    <w:link w:val="Heading2Char"/>
    <w:autoRedefine/>
    <w:uiPriority w:val="2"/>
    <w:qFormat/>
    <w:rsid w:val="002C2238"/>
    <w:p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2C2238"/>
    <w:pPr>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2C2238"/>
    <w:pPr>
      <w:spacing w:before="200" w:after="0"/>
      <w:outlineLvl w:val="3"/>
    </w:pPr>
    <w:rPr>
      <w:rFonts w:asciiTheme="majorHAnsi" w:hAnsiTheme="majorHAnsi" w:eastAsiaTheme="majorEastAsia" w:cstheme="majorBidi"/>
      <w:b/>
      <w:bCs/>
      <w:i/>
      <w:iCs/>
      <w:color w:val="auto"/>
    </w:rPr>
  </w:style>
  <w:style w:type="paragraph" w:styleId="Heading5">
    <w:name w:val="heading 5"/>
    <w:basedOn w:val="Normal"/>
    <w:next w:val="Normal"/>
    <w:link w:val="Heading5Char"/>
    <w:uiPriority w:val="9"/>
    <w:unhideWhenUsed/>
    <w:qFormat/>
    <w:rsid w:val="002C2238"/>
    <w:pPr>
      <w:spacing w:before="200" w:after="0"/>
      <w:outlineLvl w:val="4"/>
    </w:pPr>
    <w:rPr>
      <w:rFonts w:asciiTheme="majorHAnsi" w:hAnsiTheme="majorHAnsi" w:eastAsiaTheme="majorEastAsia" w:cstheme="majorBidi"/>
      <w:b/>
      <w:bCs/>
      <w:color w:val="7F7F7F" w:themeColor="text1" w:themeTint="80"/>
    </w:rPr>
  </w:style>
  <w:style w:type="paragraph" w:styleId="Heading6">
    <w:name w:val="heading 6"/>
    <w:basedOn w:val="Normal"/>
    <w:next w:val="Normal"/>
    <w:link w:val="Heading6Char"/>
    <w:uiPriority w:val="9"/>
    <w:unhideWhenUsed/>
    <w:qFormat/>
    <w:rsid w:val="002C2238"/>
    <w:pPr>
      <w:spacing w:after="0" w:line="271" w:lineRule="auto"/>
      <w:outlineLvl w:val="5"/>
    </w:pPr>
    <w:rPr>
      <w:rFonts w:asciiTheme="majorHAnsi" w:hAnsiTheme="majorHAnsi" w:eastAsiaTheme="majorEastAsia"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2C2238"/>
    <w:pPr>
      <w:spacing w:after="0"/>
      <w:outlineLvl w:val="6"/>
    </w:pPr>
    <w:rPr>
      <w:rFonts w:asciiTheme="majorHAnsi" w:hAnsiTheme="majorHAnsi" w:eastAsiaTheme="majorEastAsia" w:cstheme="majorBidi"/>
      <w:i/>
      <w:iCs/>
      <w:color w:val="auto"/>
    </w:rPr>
  </w:style>
  <w:style w:type="paragraph" w:styleId="Heading8">
    <w:name w:val="heading 8"/>
    <w:basedOn w:val="Normal"/>
    <w:next w:val="Normal"/>
    <w:link w:val="Heading8Char"/>
    <w:uiPriority w:val="9"/>
    <w:semiHidden/>
    <w:unhideWhenUsed/>
    <w:qFormat/>
    <w:rsid w:val="002C2238"/>
    <w:pPr>
      <w:spacing w:after="0"/>
      <w:outlineLvl w:val="7"/>
    </w:pPr>
    <w:rPr>
      <w:rFonts w:asciiTheme="majorHAnsi" w:hAnsiTheme="majorHAnsi" w:eastAsiaTheme="majorEastAsia" w:cstheme="majorBidi"/>
      <w:color w:val="auto"/>
      <w:sz w:val="20"/>
      <w:szCs w:val="20"/>
    </w:rPr>
  </w:style>
  <w:style w:type="paragraph" w:styleId="Heading9">
    <w:name w:val="heading 9"/>
    <w:basedOn w:val="Normal"/>
    <w:next w:val="Normal"/>
    <w:link w:val="Heading9Char"/>
    <w:uiPriority w:val="9"/>
    <w:semiHidden/>
    <w:unhideWhenUsed/>
    <w:qFormat/>
    <w:rsid w:val="002C2238"/>
    <w:pPr>
      <w:spacing w:after="0"/>
      <w:outlineLvl w:val="8"/>
    </w:pPr>
    <w:rPr>
      <w:rFonts w:asciiTheme="majorHAnsi" w:hAnsiTheme="majorHAnsi" w:eastAsiaTheme="majorEastAsia" w:cstheme="majorBidi"/>
      <w:i/>
      <w:iCs/>
      <w:color w:val="auto"/>
      <w:spacing w:val="5"/>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1B1A4E"/>
  </w:style>
  <w:style w:type="paragraph" w:styleId="Title">
    <w:name w:val="Title"/>
    <w:basedOn w:val="Normal"/>
    <w:next w:val="Normal"/>
    <w:link w:val="TitleChar"/>
    <w:autoRedefine/>
    <w:uiPriority w:val="3"/>
    <w:qFormat/>
    <w:rsid w:val="002C2238"/>
    <w:pPr>
      <w:contextualSpacing/>
      <w:jc w:val="center"/>
    </w:pPr>
    <w:rPr>
      <w:rFonts w:eastAsiaTheme="majorEastAsia" w:cstheme="majorBidi"/>
      <w:b/>
      <w:spacing w:val="5"/>
      <w:sz w:val="40"/>
      <w:szCs w:val="52"/>
    </w:rPr>
  </w:style>
  <w:style w:type="paragraph" w:styleId="Normal2" w:customStyle="1">
    <w:name w:val="Normal2"/>
    <w:rsid w:val="00C70F49"/>
  </w:style>
  <w:style w:type="paragraph" w:styleId="Normal3" w:customStyle="1">
    <w:name w:val="Normal3"/>
    <w:rsid w:val="0069598E"/>
  </w:style>
  <w:style w:type="paragraph" w:styleId="Subtitle">
    <w:name w:val="Subtitle"/>
    <w:basedOn w:val="Normal"/>
    <w:next w:val="Normal"/>
    <w:link w:val="SubtitleChar"/>
    <w:rsid w:val="001B1A4E"/>
    <w:pPr>
      <w:spacing w:after="600"/>
    </w:pPr>
    <w:rPr>
      <w:b/>
      <w:sz w:val="36"/>
      <w:szCs w:val="36"/>
    </w:rPr>
  </w:style>
  <w:style w:type="paragraph" w:styleId="BalloonText">
    <w:name w:val="Balloon Text"/>
    <w:basedOn w:val="Normal"/>
    <w:link w:val="BalloonTextChar"/>
    <w:uiPriority w:val="99"/>
    <w:semiHidden/>
    <w:unhideWhenUsed/>
    <w:rsid w:val="008F79C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F79C9"/>
    <w:rPr>
      <w:rFonts w:ascii="Tahoma" w:hAnsi="Tahoma" w:cs="Tahoma"/>
      <w:sz w:val="16"/>
      <w:szCs w:val="16"/>
    </w:rPr>
  </w:style>
  <w:style w:type="paragraph" w:styleId="Header">
    <w:name w:val="header"/>
    <w:basedOn w:val="Normal"/>
    <w:link w:val="HeaderChar"/>
    <w:uiPriority w:val="99"/>
    <w:semiHidden/>
    <w:unhideWhenUsed/>
    <w:rsid w:val="008F79C9"/>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8F79C9"/>
    <w:rPr>
      <w:lang w:val="en-GB"/>
    </w:rPr>
  </w:style>
  <w:style w:type="paragraph" w:styleId="Footer">
    <w:name w:val="footer"/>
    <w:basedOn w:val="Normal"/>
    <w:link w:val="FooterChar"/>
    <w:uiPriority w:val="99"/>
    <w:unhideWhenUsed/>
    <w:rsid w:val="008F79C9"/>
    <w:pPr>
      <w:tabs>
        <w:tab w:val="center" w:pos="4513"/>
        <w:tab w:val="right" w:pos="9026"/>
      </w:tabs>
      <w:spacing w:line="240" w:lineRule="auto"/>
    </w:pPr>
  </w:style>
  <w:style w:type="character" w:styleId="FooterChar" w:customStyle="1">
    <w:name w:val="Footer Char"/>
    <w:basedOn w:val="DefaultParagraphFont"/>
    <w:link w:val="Footer"/>
    <w:uiPriority w:val="99"/>
    <w:rsid w:val="008F79C9"/>
    <w:rPr>
      <w:lang w:val="en-GB"/>
    </w:rPr>
  </w:style>
  <w:style w:type="paragraph" w:styleId="TOCHeading">
    <w:name w:val="TOC Heading"/>
    <w:basedOn w:val="Heading1"/>
    <w:next w:val="Normal"/>
    <w:uiPriority w:val="39"/>
    <w:semiHidden/>
    <w:unhideWhenUsed/>
    <w:qFormat/>
    <w:rsid w:val="002C2238"/>
    <w:pPr>
      <w:outlineLvl w:val="9"/>
    </w:pPr>
  </w:style>
  <w:style w:type="paragraph" w:styleId="TOC1">
    <w:name w:val="toc 1"/>
    <w:basedOn w:val="Normal"/>
    <w:next w:val="Normal"/>
    <w:autoRedefine/>
    <w:uiPriority w:val="39"/>
    <w:unhideWhenUsed/>
    <w:rsid w:val="009F099B"/>
    <w:pPr>
      <w:spacing w:after="100"/>
    </w:pPr>
  </w:style>
  <w:style w:type="paragraph" w:styleId="TOC2">
    <w:name w:val="toc 2"/>
    <w:basedOn w:val="Normal"/>
    <w:next w:val="Normal"/>
    <w:autoRedefine/>
    <w:uiPriority w:val="39"/>
    <w:unhideWhenUsed/>
    <w:rsid w:val="009F099B"/>
    <w:pPr>
      <w:spacing w:after="100"/>
      <w:ind w:left="240"/>
    </w:pPr>
  </w:style>
  <w:style w:type="character" w:styleId="Hyperlink">
    <w:name w:val="Hyperlink"/>
    <w:basedOn w:val="DefaultParagraphFont"/>
    <w:uiPriority w:val="99"/>
    <w:unhideWhenUsed/>
    <w:rsid w:val="009F099B"/>
    <w:rPr>
      <w:color w:val="0000FF" w:themeColor="hyperlink"/>
      <w:u w:val="single"/>
    </w:rPr>
  </w:style>
  <w:style w:type="character" w:styleId="Heading1Char" w:customStyle="1">
    <w:name w:val="Heading 1 Char"/>
    <w:basedOn w:val="DefaultParagraphFont"/>
    <w:link w:val="Heading1"/>
    <w:uiPriority w:val="1"/>
    <w:rsid w:val="002C2238"/>
    <w:rPr>
      <w:rFonts w:eastAsiaTheme="majorEastAsia" w:cstheme="majorBidi"/>
      <w:b/>
      <w:bCs/>
      <w:color w:val="000000" w:themeColor="text1"/>
      <w:sz w:val="32"/>
      <w:szCs w:val="28"/>
    </w:rPr>
  </w:style>
  <w:style w:type="character" w:styleId="Heading2Char" w:customStyle="1">
    <w:name w:val="Heading 2 Char"/>
    <w:basedOn w:val="DefaultParagraphFont"/>
    <w:link w:val="Heading2"/>
    <w:uiPriority w:val="2"/>
    <w:rsid w:val="002C2238"/>
    <w:rPr>
      <w:rFonts w:eastAsiaTheme="majorEastAsia" w:cstheme="majorBidi"/>
      <w:b/>
      <w:bCs/>
      <w:color w:val="000000" w:themeColor="text1"/>
      <w:sz w:val="28"/>
      <w:szCs w:val="26"/>
    </w:rPr>
  </w:style>
  <w:style w:type="character" w:styleId="Heading3Char" w:customStyle="1">
    <w:name w:val="Heading 3 Char"/>
    <w:basedOn w:val="DefaultParagraphFont"/>
    <w:link w:val="Heading3"/>
    <w:uiPriority w:val="9"/>
    <w:rsid w:val="002C2238"/>
    <w:rPr>
      <w:rFonts w:eastAsiaTheme="majorEastAsia" w:cstheme="majorBidi"/>
      <w:b/>
      <w:bCs/>
      <w:color w:val="000000" w:themeColor="text1"/>
    </w:rPr>
  </w:style>
  <w:style w:type="character" w:styleId="Heading4Char" w:customStyle="1">
    <w:name w:val="Heading 4 Char"/>
    <w:basedOn w:val="DefaultParagraphFont"/>
    <w:link w:val="Heading4"/>
    <w:uiPriority w:val="9"/>
    <w:rsid w:val="002C2238"/>
    <w:rPr>
      <w:rFonts w:asciiTheme="majorHAnsi" w:hAnsiTheme="majorHAnsi" w:eastAsiaTheme="majorEastAsia" w:cstheme="majorBidi"/>
      <w:b/>
      <w:bCs/>
      <w:i/>
      <w:iCs/>
    </w:rPr>
  </w:style>
  <w:style w:type="character" w:styleId="Heading5Char" w:customStyle="1">
    <w:name w:val="Heading 5 Char"/>
    <w:basedOn w:val="DefaultParagraphFont"/>
    <w:link w:val="Heading5"/>
    <w:uiPriority w:val="9"/>
    <w:rsid w:val="002C2238"/>
    <w:rPr>
      <w:rFonts w:asciiTheme="majorHAnsi" w:hAnsiTheme="majorHAnsi" w:eastAsiaTheme="majorEastAsia" w:cstheme="majorBidi"/>
      <w:b/>
      <w:bCs/>
      <w:color w:val="7F7F7F" w:themeColor="text1" w:themeTint="80"/>
    </w:rPr>
  </w:style>
  <w:style w:type="character" w:styleId="Heading6Char" w:customStyle="1">
    <w:name w:val="Heading 6 Char"/>
    <w:basedOn w:val="DefaultParagraphFont"/>
    <w:link w:val="Heading6"/>
    <w:uiPriority w:val="9"/>
    <w:rsid w:val="002C2238"/>
    <w:rPr>
      <w:rFonts w:asciiTheme="majorHAnsi" w:hAnsiTheme="majorHAnsi" w:eastAsiaTheme="majorEastAsia" w:cstheme="majorBidi"/>
      <w:b/>
      <w:bCs/>
      <w:i/>
      <w:iCs/>
      <w:color w:val="7F7F7F" w:themeColor="text1" w:themeTint="80"/>
    </w:rPr>
  </w:style>
  <w:style w:type="character" w:styleId="Heading7Char" w:customStyle="1">
    <w:name w:val="Heading 7 Char"/>
    <w:basedOn w:val="DefaultParagraphFont"/>
    <w:link w:val="Heading7"/>
    <w:uiPriority w:val="9"/>
    <w:semiHidden/>
    <w:rsid w:val="002C2238"/>
    <w:rPr>
      <w:rFonts w:asciiTheme="majorHAnsi" w:hAnsiTheme="majorHAnsi" w:eastAsiaTheme="majorEastAsia" w:cstheme="majorBidi"/>
      <w:i/>
      <w:iCs/>
    </w:rPr>
  </w:style>
  <w:style w:type="character" w:styleId="Heading8Char" w:customStyle="1">
    <w:name w:val="Heading 8 Char"/>
    <w:basedOn w:val="DefaultParagraphFont"/>
    <w:link w:val="Heading8"/>
    <w:uiPriority w:val="9"/>
    <w:semiHidden/>
    <w:rsid w:val="002C2238"/>
    <w:rPr>
      <w:rFonts w:asciiTheme="majorHAnsi" w:hAnsiTheme="majorHAnsi" w:eastAsiaTheme="majorEastAsia" w:cstheme="majorBidi"/>
      <w:sz w:val="20"/>
      <w:szCs w:val="20"/>
    </w:rPr>
  </w:style>
  <w:style w:type="character" w:styleId="Heading9Char" w:customStyle="1">
    <w:name w:val="Heading 9 Char"/>
    <w:basedOn w:val="DefaultParagraphFont"/>
    <w:link w:val="Heading9"/>
    <w:uiPriority w:val="9"/>
    <w:semiHidden/>
    <w:rsid w:val="002C2238"/>
    <w:rPr>
      <w:rFonts w:asciiTheme="majorHAnsi" w:hAnsiTheme="majorHAnsi" w:eastAsiaTheme="majorEastAsia" w:cstheme="majorBidi"/>
      <w:i/>
      <w:iCs/>
      <w:spacing w:val="5"/>
      <w:sz w:val="20"/>
      <w:szCs w:val="20"/>
    </w:rPr>
  </w:style>
  <w:style w:type="character" w:styleId="TitleChar" w:customStyle="1">
    <w:name w:val="Title Char"/>
    <w:basedOn w:val="DefaultParagraphFont"/>
    <w:link w:val="Title"/>
    <w:uiPriority w:val="3"/>
    <w:rsid w:val="002C2238"/>
    <w:rPr>
      <w:rFonts w:eastAsiaTheme="majorEastAsia" w:cstheme="majorBidi"/>
      <w:b/>
      <w:color w:val="000000" w:themeColor="text1"/>
      <w:spacing w:val="5"/>
      <w:sz w:val="40"/>
      <w:szCs w:val="52"/>
    </w:rPr>
  </w:style>
  <w:style w:type="character" w:styleId="SubtitleChar" w:customStyle="1">
    <w:name w:val="Subtitle Char"/>
    <w:basedOn w:val="DefaultParagraphFont"/>
    <w:link w:val="Subtitle"/>
    <w:uiPriority w:val="4"/>
    <w:rsid w:val="002C2238"/>
    <w:rPr>
      <w:rFonts w:eastAsiaTheme="majorEastAsia" w:cstheme="majorBidi"/>
      <w:b/>
      <w:iCs/>
      <w:color w:val="000000" w:themeColor="text1"/>
      <w:spacing w:val="13"/>
      <w:sz w:val="36"/>
    </w:rPr>
  </w:style>
  <w:style w:type="paragraph" w:styleId="NoSpacing">
    <w:name w:val="No Spacing"/>
    <w:aliases w:val="Table of Content"/>
    <w:basedOn w:val="Normal"/>
    <w:autoRedefine/>
    <w:uiPriority w:val="13"/>
    <w:qFormat/>
    <w:rsid w:val="002C2238"/>
    <w:pPr>
      <w:spacing w:after="0"/>
      <w:jc w:val="center"/>
    </w:pPr>
    <w:rPr>
      <w:b/>
    </w:rPr>
  </w:style>
  <w:style w:type="paragraph" w:styleId="ListParagraph">
    <w:name w:val="List Paragraph"/>
    <w:basedOn w:val="Normal"/>
    <w:uiPriority w:val="34"/>
    <w:qFormat/>
    <w:rsid w:val="00165B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www.thesun.co.uk/money/19033589/post-office-strike-location-branch-open/" TargetMode="External" Id="Rc62f2f155ec748ea" /><Relationship Type="http://schemas.openxmlformats.org/officeDocument/2006/relationships/glossaryDocument" Target="glossary/document.xml" Id="Re937ad90faef4759" /><Relationship Type="http://schemas.microsoft.com/office/2020/10/relationships/intelligence" Target="intelligence2.xml" Id="Rd7fc7a22286a4ac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4170ef3-cf28-4b21-9fc3-b3b041af1d3f}"/>
      </w:docPartPr>
      <w:docPartBody>
        <w:p w14:paraId="2E111BB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6i149nIjt9om/patag2CyFBqQ==">AMUW2mVzLZRTXHDwhTtGBqcJQtrGZ3PLrI9P15gy79717/ZN0ymFwmlcWgwzENWkGFqUVjcUThkQOFGLj0wrP0LV5uo5ooHgsgnOZCyUNpvdFxfF3VpWFjTLpOFcVkXQkZd8fXtQm0vA0reWcXbF9v/eV3rBIKgEX5KCq6YGW6fL6f9XQ3eug/oBWfFPu2MAoL+WETc1qJ0e0Q+AVShN9XL0ebtvsqW75RmueL7NtAJikJx6/B9YcPtpzjKBRKrL8xm71PUumwQjzNm6mxWDYXzNgjyXtM+cE4+dQA+QqIqUkgzB7onRFUCGXl64B6UbAh29GTVb1spq5POjq7bmjFzR1ntRnp57KNEe59iNbJwHYOOb5tZTfw6oDTBbkmxJ2jpSx3PlCxstSFKASr8f4Cmgm8mqaW2DdfWSeBISZInZoPdgUwnIpLdOBmwjwoZoAQz6W/m5zuD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1153A5C-7EE0-456D-A34C-5EA55A65AD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Rashid Ali</dc:creator>
  <lastModifiedBy>Rashid Ali (1912549)</lastModifiedBy>
  <revision>3</revision>
  <dcterms:created xsi:type="dcterms:W3CDTF">2022-06-14T14:06:00.0000000Z</dcterms:created>
  <dcterms:modified xsi:type="dcterms:W3CDTF">2022-08-10T00:23:22.5710055Z</dcterms:modified>
</coreProperties>
</file>