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F27" w:rsidRPr="00056F27" w:rsidRDefault="00056F27" w:rsidP="00056F27">
      <w:pPr>
        <w:rPr>
          <w:rFonts w:ascii="Times New Roman" w:hAnsi="Times New Roman"/>
          <w:b/>
          <w:sz w:val="28"/>
        </w:rPr>
      </w:pPr>
      <w:r w:rsidRPr="00056F27">
        <w:rPr>
          <w:rFonts w:ascii="Times New Roman" w:hAnsi="Times New Roman"/>
          <w:b/>
          <w:sz w:val="28"/>
        </w:rPr>
        <w:t xml:space="preserve">ECAD 4011 – Curriculum Matters </w:t>
      </w:r>
    </w:p>
    <w:p w:rsidR="00056F27" w:rsidRDefault="00056F27" w:rsidP="00056F27">
      <w:pPr>
        <w:rPr>
          <w:rFonts w:ascii="Times New Roman" w:hAnsi="Times New Roman"/>
          <w:b/>
          <w:sz w:val="24"/>
        </w:rPr>
      </w:pPr>
    </w:p>
    <w:p w:rsidR="00056F27" w:rsidRPr="00056F27" w:rsidRDefault="00056F27" w:rsidP="00056F27">
      <w:pPr>
        <w:spacing w:after="30"/>
        <w:rPr>
          <w:rFonts w:ascii="Times New Roman" w:hAnsi="Times New Roman"/>
          <w:sz w:val="24"/>
        </w:rPr>
      </w:pPr>
      <w:r w:rsidRPr="00056F27">
        <w:rPr>
          <w:rFonts w:ascii="Times New Roman" w:hAnsi="Times New Roman"/>
          <w:b/>
          <w:sz w:val="24"/>
        </w:rPr>
        <w:t xml:space="preserve">TITLE: </w:t>
      </w:r>
      <w:r w:rsidRPr="00056F27">
        <w:rPr>
          <w:rFonts w:ascii="Times New Roman" w:hAnsi="Times New Roman"/>
          <w:sz w:val="24"/>
        </w:rPr>
        <w:t xml:space="preserve">Using a theme or traditional tale as a stimulus, consider how you might embed the six areas of learning and experience and the four purposes (Donaldson) in an integrated, cross-curricula approach. </w:t>
      </w:r>
    </w:p>
    <w:p w:rsidR="00056F27" w:rsidRDefault="00056F27" w:rsidP="00056F27">
      <w:pPr>
        <w:spacing w:after="30"/>
        <w:rPr>
          <w:rFonts w:ascii="Times New Roman" w:hAnsi="Times New Roman"/>
          <w:sz w:val="24"/>
        </w:rPr>
      </w:pPr>
    </w:p>
    <w:p w:rsidR="00056F27" w:rsidRDefault="00056F27" w:rsidP="00056F27">
      <w:pPr>
        <w:spacing w:after="30"/>
        <w:rPr>
          <w:rFonts w:ascii="Times New Roman" w:hAnsi="Times New Roman"/>
          <w:sz w:val="24"/>
        </w:rPr>
      </w:pPr>
      <w:r>
        <w:rPr>
          <w:rFonts w:ascii="Times New Roman" w:hAnsi="Times New Roman"/>
          <w:sz w:val="24"/>
        </w:rPr>
        <w:t>Throughout this essay, World War 2 is the theme that the activities will be linked to. The theme is for a year 6 class in Key Stage 2. An integrated, cross-curricula approach will be discussed throughout the essay along with how the six areas of learning and experience and the four purposes will be embedded into the activities.</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“‘Cross-curricular’ is a term used to describe knowledge, activities, skills or initiatives that are applied across the curriculum and not confined to one subject (Barnes, 2007; Wallace, 2009)”. (Grigg, R. &amp; Hughes, S. 2013, p.46). Barnes, (2015a), also agrees with this as he states that ‘cross-curricular learning occurs when the skills, knowledge and attitudes of a number of different disciplines are applied to a single theme, problem, idea or experience.’  This approach ensures that children have broad experiences during each activity which enables them to gain a wider knowledge of skills from more than one subject. ‘The world beyond the classroom is cross-curricular’ (Barnes, 2015b, p.260) Everyone interprets everyday life in many different ways as everyone has different views and opinions. ‘Cross-curricular learning recognises these multiple viewpoints and seeks to build more knowledge, lasting and transferable understandings of the world around us.’ (Barnes, 2015b, p.261). Therefore, it is essential for teachers to adopt a cross-curricula approach when teaching children inside or outside of the classroom. This is important as this will ensure that children are experiencing life in school as they will outside of the school environment.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The new curriculum which is called Successful Futures, has four main purposes that will enable each child to be ‘ambitious capable learners’, ‘healthy confident individuals’, ‘enterprising, creative contributors’ and ‘ethical informed citizens’. (Donaldson, G, 2015, p.29) It is essential that the four purposes are embedded into all aspects of cross-curricular activities where possible to ensure that children have broad educational experiences.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During one activity, the children will be learning about the lives of evacuees during World War 2. As the class will have already read the first chapter of ‘Goodnight Mister Tom’, they will be recapping what happened in the first chapter. The children will be thinking in pairs about why children were evacuated in World War 2 and this will then be discussed as a class. The children will be shown an example of a diary entry from an evacuee during World War 2. Using word mats with appropriate vocabulary on related to World War 2 and other resources such as iPads, the children will be given the opportunity to research any information that they may want to find out such as; what food evacuees ate, what clothes they wore. They will then write a diary entry independently from the viewpoint of an evacuee during World War 2. The children will be encouraged to use different sentence structures in their work to add effect, this will enhance their literacy skills. They will also have to think about different factors when writing their entries. This could include; how they would feel about leaving their families, what food they may have to eat. When they have completed the diary entries, tell the children to write a few sentences (half a page) comparing their life now to how life would have been for evacuees in World War 2. The children could swap their diary entries with a partner to gain an insight of how others may have felt as an evacuee.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lastRenderedPageBreak/>
        <w:t xml:space="preserve">During the activity, the children will ‘identify differences between ways of life at different times’ which is a History skill. They will also ‘select suitable information and make simple judgements about sources of information’ which is an ICT skill and they will ‘express their views and ideas confidently through a range of appropriate methods’ which is a PSE skill. The children will also ‘use varied and appropriate vocabulary, including subject-specific words and phrases’ (Welsh Government, 2016). which is an English writing skill. Within the new curriculum, there are six areas of learning and experience, the above activity has included; health and well-being, humanities, language literacy and communication. These areas of learning and experience combined in one activity, will enable the children to learn through an integrated cross-curricular approach, rather than a subject approach which will enable them to make links to numerous aspects of their learning. The language, literacy and communication area of learning and experience, would help the children to become healthy, confident individuals as they would be communicating their views and thoughts to others by writing a diary entry as a World War 2 evacuee. Two of the cross-curricular responsibilities which are literacy and digital competence were also included in the activity. To ensure that the Curriculum </w:t>
      </w:r>
      <w:proofErr w:type="spellStart"/>
      <w:r>
        <w:rPr>
          <w:rFonts w:ascii="Times New Roman" w:hAnsi="Times New Roman"/>
          <w:sz w:val="24"/>
        </w:rPr>
        <w:t>Cymreig</w:t>
      </w:r>
      <w:proofErr w:type="spellEnd"/>
      <w:r>
        <w:rPr>
          <w:rFonts w:ascii="Times New Roman" w:hAnsi="Times New Roman"/>
          <w:sz w:val="24"/>
        </w:rPr>
        <w:t xml:space="preserve"> is covered, the children would look at where children may have been evacuated to in Wales and look at the difference between how things have evolved in Wales since World War Two. This would be a historical part of the Curriculum </w:t>
      </w:r>
      <w:proofErr w:type="spellStart"/>
      <w:r>
        <w:rPr>
          <w:rFonts w:ascii="Times New Roman" w:hAnsi="Times New Roman"/>
          <w:sz w:val="24"/>
        </w:rPr>
        <w:t>Cymreig</w:t>
      </w:r>
      <w:proofErr w:type="spellEnd"/>
      <w:r>
        <w:rPr>
          <w:rFonts w:ascii="Times New Roman" w:hAnsi="Times New Roman"/>
          <w:sz w:val="24"/>
        </w:rPr>
        <w:t xml:space="preserve"> as the children would be ‘understanding how lives and localities have been shaped by the past through learning about the history of Wales, its political, economic, social and cultural aspects.’ (Qualifications, Curriculum and Assessment Authority for Wales (ACCAC), 2003).</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In the second activity, the children will be designing and making an Anderson shelter in groups. The children will be aware of what Anderson shelters are as they will have learnt about them during previous lessons. Model Anderson shelters will be on display for the children to look at for them to have some inspiration and insight regarding what they will be designing and making. The children would be taught numerous designing skills that are essential in the design and technology part of the curriculum such as to ‘use a range of information sources to generate ideas for products’, ‘develop and communicate their design ideas in a variety of ways, using ICT and models where appropriate’, ‘consider the safety, reliability and sustainability of their activities/products’ and ‘evaluate their design ideas as they develop, considering the needs of the user.’ (Welsh Government, 2016) The children will then be given the opportunity, with support to develop their making skills which would include them being able to ‘work to their specification/recipe to make products’, ‘choose appropriate materials’, ‘measure, mark out, cut, shape, join, weigh and mix a range of materials and ingredients, using appropriate tools/utensils, equipment and techniques’ and to ‘find alternative ways of making if the first attempt fails’. (Welsh Government, 2016) </w:t>
      </w:r>
    </w:p>
    <w:p w:rsidR="00056F27" w:rsidRDefault="00056F27" w:rsidP="00056F27">
      <w:pPr>
        <w:rPr>
          <w:rFonts w:ascii="Times New Roman" w:hAnsi="Times New Roman"/>
          <w:sz w:val="24"/>
        </w:rPr>
      </w:pPr>
    </w:p>
    <w:p w:rsidR="00056F27" w:rsidRPr="00CA61B8" w:rsidRDefault="00056F27" w:rsidP="00056F27">
      <w:pPr>
        <w:rPr>
          <w:rFonts w:ascii="Times New Roman" w:hAnsi="Times New Roman"/>
          <w:sz w:val="24"/>
        </w:rPr>
      </w:pPr>
      <w:r>
        <w:rPr>
          <w:rFonts w:ascii="Times New Roman" w:hAnsi="Times New Roman"/>
          <w:sz w:val="24"/>
        </w:rPr>
        <w:t xml:space="preserve">This activity would cover a range of subjects such as History, Design and Technology, Geography and Mathematics. The children would be given opportunities to ‘ask and answer relevant questions about the past’ demonstrating a History skill. This would link to why people had Anderson shelters and how they kept people safe. The children will be given the opportunity to ‘describe the causes and consequences of how places and environments change, e.g. </w:t>
      </w:r>
      <w:r>
        <w:rPr>
          <w:rFonts w:ascii="Times New Roman" w:hAnsi="Times New Roman"/>
          <w:i/>
          <w:sz w:val="24"/>
        </w:rPr>
        <w:t xml:space="preserve">by season; from past to present; the need for sustainability’, </w:t>
      </w:r>
      <w:r>
        <w:rPr>
          <w:rFonts w:ascii="Times New Roman" w:hAnsi="Times New Roman"/>
          <w:sz w:val="24"/>
        </w:rPr>
        <w:t>this a geography skill.</w:t>
      </w:r>
      <w:r>
        <w:rPr>
          <w:rFonts w:ascii="Times New Roman" w:hAnsi="Times New Roman"/>
          <w:i/>
          <w:sz w:val="24"/>
        </w:rPr>
        <w:t xml:space="preserve"> </w:t>
      </w:r>
      <w:r>
        <w:rPr>
          <w:rFonts w:ascii="Times New Roman" w:hAnsi="Times New Roman"/>
          <w:sz w:val="24"/>
        </w:rPr>
        <w:t xml:space="preserve">The children should be able to ‘make estimates of length, weight/mass and capacity based on knowledge of the size of real life objects, recognising the appropriateness of units in different contexts’, this is a mathematics skill. (Welsh Government, 2016). Within this activity, several areas of learning and experience are covered. Expressive arts cover one area which will enable the children to become healthy, confident learners as they will be able to develop resilience when designing and making their Anderson shelter as they may need to </w:t>
      </w:r>
      <w:r>
        <w:rPr>
          <w:rFonts w:ascii="Times New Roman" w:hAnsi="Times New Roman"/>
          <w:sz w:val="24"/>
        </w:rPr>
        <w:lastRenderedPageBreak/>
        <w:t xml:space="preserve">make adjustments or even change the design to make their Anderson shelter. Health and well-being is another area that is included as this will enable the children to become enterprising, creative contributors as they will be developing skills to work as part of a team and to support others. Humanities is included in the activity as there are History and Geography elements in the activity.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The children could think about why Anderson shelters were built using certain materials, what measurements were used for the Anderson shelters. The children could also think about the economic divide regarding who was eligible to have a free Anderson shelter and who had to pay for Anderson shelters. They could also think about if an Anderson shelter would be sustainable to build nowadays. This could enable the children to discuss ESDGC themes which could include the natural environment. It is very important that children are aware of ESDGC issues when designing and making models. The children could also reflect on the jobs people had and the income of families during World War Two and how it affected them socially. The health and well-being area of learning and experience would help the children to become enterprising, creative contributors as they will be developing their skills to work as part of a team and to support others whilst designing and making the Anderson shelter.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Throughout both activities, the LNF will be evident throughout as the children will be learning numerous skills. Literacy skills include the children being able to ‘express issues and ideas clearly, using specialist vocabulary and examples’ (Welsh Government, 2016b). Numeracy skills include the children being able to ‘use the language of imperial units in daily use, e.g. miles, pints’ (Welsh Government, 2016b).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There are eight cross-curricular learning approaches which include tokenistic, hierarchical, single transferable subject, theme based, multi-disciplinary, inter-disciplinary, opportunistic and double-focus. A theme based cross-curricular approach has been used in both activities as the activities were both linked to the theme and the children would be able to develop multiple skills through one activity and build on their knowledge of the theme. There are many different views on cross-curricular teaching as everyone has their own opinion. ‘The Scottish inspectorate reports that thematic and topic work motivates pupils and enables them to take a more active part in their learning’ (Grigg, R. &amp; Hughes, S. 2013, p.52) However, it is difficult to measure this as these reports are often based on informal observations rather than formal observation and recordings. “Knight (1993: 134-5) suggests that more successful outcomes occur when teachers pair subjects together, with one as a main focal point – ‘more is not always better’” (Grigg, R. &amp; Hughes, S. 2013, p.52).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There are many people who will support the integrated cross-curricular approach in education however, there are many critics who have raised concerns about the approach. One concern stated is “it lacks rigour and pupils may not develop essential subject-specific skills” (</w:t>
      </w:r>
      <w:proofErr w:type="spellStart"/>
      <w:r>
        <w:rPr>
          <w:rFonts w:ascii="Times New Roman" w:hAnsi="Times New Roman"/>
          <w:sz w:val="24"/>
        </w:rPr>
        <w:t>Muijs</w:t>
      </w:r>
      <w:proofErr w:type="spellEnd"/>
      <w:r>
        <w:rPr>
          <w:rFonts w:ascii="Times New Roman" w:hAnsi="Times New Roman"/>
          <w:sz w:val="24"/>
        </w:rPr>
        <w:t xml:space="preserve"> and Reynolds, 2011) (Kelly, L, 2013, p.5) ‘Studies by both </w:t>
      </w:r>
      <w:proofErr w:type="spellStart"/>
      <w:r>
        <w:rPr>
          <w:rFonts w:ascii="Times New Roman" w:hAnsi="Times New Roman"/>
          <w:sz w:val="24"/>
        </w:rPr>
        <w:t>Venville</w:t>
      </w:r>
      <w:proofErr w:type="spellEnd"/>
      <w:r>
        <w:rPr>
          <w:rFonts w:ascii="Times New Roman" w:hAnsi="Times New Roman"/>
          <w:sz w:val="24"/>
        </w:rPr>
        <w:t xml:space="preserve"> et al. (2002) and Rennie et al. (2011) discuss the difficulty of assessing children’s learning when using a cross-curricular approach.’ (Kelly, L. 2013, p.9-10) However, if the teacher has planned the activities correctly and has set learning objectives and </w:t>
      </w:r>
      <w:proofErr w:type="gramStart"/>
      <w:r>
        <w:rPr>
          <w:rFonts w:ascii="Times New Roman" w:hAnsi="Times New Roman"/>
          <w:sz w:val="24"/>
        </w:rPr>
        <w:t>a success criteria</w:t>
      </w:r>
      <w:proofErr w:type="gramEnd"/>
      <w:r>
        <w:rPr>
          <w:rFonts w:ascii="Times New Roman" w:hAnsi="Times New Roman"/>
          <w:sz w:val="24"/>
        </w:rPr>
        <w:t xml:space="preserve"> for certain aspects of the curriculum, this should not be a problem. There are many people such as Kerry (2011) who do not agree with critics of an integrated cross-curricular approach as Kerry ‘who is a strong advocate for cross-curricular work, argues that individual subject disciplines only give a partial insight into a particular topic’ and also believes that ‘children need to be encouraged to draw together insights from different subjects.’ (Kelly, L, 2013, p.6) Dewey (1902) had a ‘belief that there is no benefit in creating a false opposition between ‘subjects’ and ‘child’ as </w:t>
      </w:r>
      <w:r>
        <w:rPr>
          <w:rFonts w:ascii="Times New Roman" w:hAnsi="Times New Roman"/>
          <w:sz w:val="24"/>
        </w:rPr>
        <w:lastRenderedPageBreak/>
        <w:t xml:space="preserve">a focus for curriculum.’ (Rowley, C &amp; Cooper, H, 2009, p.2) Rowley, C &amp; Cooper, H (2009) agree with Dewey and state that they ‘see them as mutually interdependent in an educational sense.’ </w:t>
      </w:r>
    </w:p>
    <w:p w:rsidR="00056F27" w:rsidRDefault="00056F27" w:rsidP="00056F27">
      <w:pPr>
        <w:rPr>
          <w:rFonts w:ascii="Times New Roman" w:hAnsi="Times New Roman"/>
          <w:sz w:val="24"/>
        </w:rPr>
      </w:pPr>
    </w:p>
    <w:p w:rsidR="00056F27" w:rsidRPr="00A125B7" w:rsidRDefault="00056F27" w:rsidP="00056F27">
      <w:pPr>
        <w:rPr>
          <w:rFonts w:ascii="Times New Roman" w:hAnsi="Times New Roman"/>
          <w:sz w:val="24"/>
        </w:rPr>
      </w:pPr>
      <w:r>
        <w:rPr>
          <w:rFonts w:ascii="Times New Roman" w:hAnsi="Times New Roman"/>
          <w:sz w:val="24"/>
        </w:rPr>
        <w:t xml:space="preserve">To conclude, I do believe that it is achievable to embed elements of the four purposes and the six areas of learning and experience into the curriculum through an integrated, cross-curricular approach. I agree with the individuals who believe that a cross-curricular approach is beneficial to children in a learning environment. Gardner (1999, 2004, 2006) ‘sees the frequent integration as essential for profound and transferable learning.’ (Barnes, J, (2015b) It is very important that children are able to develop and gain transferable skills and knowledge throughout education in order to achieve their targets in life. I disagree with people who are critical of the integrated cross-curricular approach to teaching, as I believe that children will have more opportunities to build on their prior knowledge and develop more skills by having a cross-curricular learning environment.  </w:t>
      </w: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u w:val="single"/>
        </w:rPr>
      </w:pPr>
    </w:p>
    <w:p w:rsidR="00056F27" w:rsidRPr="00DC1240" w:rsidRDefault="00DC1240" w:rsidP="00056F27">
      <w:pPr>
        <w:rPr>
          <w:rFonts w:ascii="Times New Roman" w:hAnsi="Times New Roman"/>
          <w:sz w:val="24"/>
        </w:rPr>
      </w:pPr>
      <w:r>
        <w:rPr>
          <w:rFonts w:ascii="Times New Roman" w:hAnsi="Times New Roman"/>
          <w:sz w:val="24"/>
        </w:rPr>
        <w:t>Word Count = 2039</w:t>
      </w:r>
      <w:bookmarkStart w:id="0" w:name="_GoBack"/>
      <w:bookmarkEnd w:id="0"/>
      <w:r>
        <w:rPr>
          <w:rFonts w:ascii="Times New Roman" w:hAnsi="Times New Roman"/>
          <w:sz w:val="24"/>
        </w:rPr>
        <w:t xml:space="preserve"> words.</w:t>
      </w:r>
    </w:p>
    <w:p w:rsidR="00056F27" w:rsidRPr="00056F27" w:rsidRDefault="00056F27" w:rsidP="00056F27">
      <w:pPr>
        <w:rPr>
          <w:rFonts w:ascii="Times New Roman" w:hAnsi="Times New Roman"/>
          <w:sz w:val="28"/>
          <w:u w:val="single"/>
        </w:rPr>
      </w:pPr>
      <w:r w:rsidRPr="00056F27">
        <w:rPr>
          <w:rFonts w:ascii="Times New Roman" w:hAnsi="Times New Roman"/>
          <w:sz w:val="28"/>
          <w:u w:val="single"/>
        </w:rPr>
        <w:lastRenderedPageBreak/>
        <w:t>Reference List</w:t>
      </w:r>
    </w:p>
    <w:p w:rsidR="00056F27" w:rsidRDefault="00056F27" w:rsidP="00056F27">
      <w:pPr>
        <w:rPr>
          <w:rFonts w:ascii="Times New Roman" w:hAnsi="Times New Roman"/>
          <w:sz w:val="24"/>
          <w:u w:val="single"/>
        </w:rPr>
      </w:pPr>
    </w:p>
    <w:p w:rsidR="00056F27" w:rsidRPr="008B387A" w:rsidRDefault="00056F27" w:rsidP="00056F27">
      <w:pPr>
        <w:rPr>
          <w:rFonts w:ascii="Times New Roman" w:hAnsi="Times New Roman"/>
          <w:sz w:val="24"/>
        </w:rPr>
      </w:pPr>
      <w:r>
        <w:rPr>
          <w:rFonts w:ascii="Times New Roman" w:hAnsi="Times New Roman"/>
          <w:sz w:val="24"/>
        </w:rPr>
        <w:t xml:space="preserve">Barnes, J. (2015a) </w:t>
      </w:r>
      <w:r>
        <w:rPr>
          <w:rFonts w:ascii="Times New Roman" w:hAnsi="Times New Roman"/>
          <w:i/>
          <w:sz w:val="24"/>
        </w:rPr>
        <w:t xml:space="preserve">Cross-Curricular Learning 3-14. </w:t>
      </w:r>
      <w:r>
        <w:rPr>
          <w:rFonts w:ascii="Times New Roman" w:hAnsi="Times New Roman"/>
          <w:sz w:val="24"/>
        </w:rPr>
        <w:t>3</w:t>
      </w:r>
      <w:r w:rsidRPr="008B387A">
        <w:rPr>
          <w:rFonts w:ascii="Times New Roman" w:hAnsi="Times New Roman"/>
          <w:sz w:val="24"/>
          <w:vertAlign w:val="superscript"/>
        </w:rPr>
        <w:t>rd</w:t>
      </w:r>
      <w:r>
        <w:rPr>
          <w:rFonts w:ascii="Times New Roman" w:hAnsi="Times New Roman"/>
          <w:sz w:val="24"/>
        </w:rPr>
        <w:t xml:space="preserve"> Ed. Sage Publications Ltd. </w:t>
      </w:r>
    </w:p>
    <w:p w:rsidR="00056F27" w:rsidRDefault="00056F27" w:rsidP="00056F27">
      <w:pPr>
        <w:rPr>
          <w:rFonts w:ascii="Times New Roman" w:hAnsi="Times New Roman"/>
          <w:sz w:val="24"/>
          <w:u w:val="single"/>
        </w:rPr>
      </w:pPr>
    </w:p>
    <w:p w:rsidR="00056F27" w:rsidRDefault="00056F27" w:rsidP="00056F27">
      <w:pPr>
        <w:rPr>
          <w:rFonts w:ascii="Times New Roman" w:hAnsi="Times New Roman"/>
          <w:sz w:val="24"/>
        </w:rPr>
      </w:pPr>
      <w:r>
        <w:rPr>
          <w:rFonts w:ascii="Times New Roman" w:hAnsi="Times New Roman"/>
          <w:sz w:val="24"/>
        </w:rPr>
        <w:t xml:space="preserve">Barnes, J. (2015b) </w:t>
      </w:r>
      <w:r w:rsidRPr="00DA729F">
        <w:rPr>
          <w:rFonts w:ascii="Times New Roman" w:hAnsi="Times New Roman"/>
          <w:i/>
          <w:sz w:val="24"/>
        </w:rPr>
        <w:t>An Introduction to Cross-Curricular Learning.</w:t>
      </w:r>
      <w:r>
        <w:rPr>
          <w:rFonts w:ascii="Times New Roman" w:hAnsi="Times New Roman"/>
          <w:sz w:val="24"/>
        </w:rPr>
        <w:t xml:space="preserve"> 2</w:t>
      </w:r>
      <w:r w:rsidRPr="00DA729F">
        <w:rPr>
          <w:rFonts w:ascii="Times New Roman" w:hAnsi="Times New Roman"/>
          <w:sz w:val="24"/>
          <w:vertAlign w:val="superscript"/>
        </w:rPr>
        <w:t>nd</w:t>
      </w:r>
      <w:r>
        <w:rPr>
          <w:rFonts w:ascii="Times New Roman" w:hAnsi="Times New Roman"/>
          <w:sz w:val="24"/>
        </w:rPr>
        <w:t xml:space="preserve"> Ed. Sage Publications.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Donaldson, G. (2015) </w:t>
      </w:r>
      <w:r>
        <w:rPr>
          <w:rFonts w:ascii="Times New Roman" w:hAnsi="Times New Roman"/>
          <w:i/>
          <w:sz w:val="24"/>
        </w:rPr>
        <w:t xml:space="preserve">Successful Futures – Independent Review of Curriculum and Assessment Arrangements in Wales. </w:t>
      </w:r>
      <w:r>
        <w:rPr>
          <w:rFonts w:ascii="Times New Roman" w:hAnsi="Times New Roman"/>
          <w:sz w:val="24"/>
        </w:rPr>
        <w:t xml:space="preserve">Cardiff: Welsh Government. Available at: </w:t>
      </w:r>
      <w:hyperlink r:id="rId7" w:history="1">
        <w:r w:rsidRPr="00B84D01">
          <w:rPr>
            <w:rStyle w:val="Hyperlink"/>
            <w:rFonts w:ascii="Times New Roman" w:hAnsi="Times New Roman"/>
            <w:sz w:val="24"/>
          </w:rPr>
          <w:t>https://gov.wales/docs/dcells/publications/150225-successful-futures-en.pdf</w:t>
        </w:r>
      </w:hyperlink>
      <w:r>
        <w:rPr>
          <w:rFonts w:ascii="Times New Roman" w:hAnsi="Times New Roman"/>
          <w:sz w:val="24"/>
        </w:rPr>
        <w:t xml:space="preserve"> (Accessed on: 3 January 2019)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Grigg, R. &amp; Hughes, S. (2013) </w:t>
      </w:r>
      <w:r>
        <w:rPr>
          <w:rFonts w:ascii="Times New Roman" w:hAnsi="Times New Roman"/>
          <w:i/>
          <w:sz w:val="24"/>
        </w:rPr>
        <w:t xml:space="preserve">Teaching Primary Humanities. </w:t>
      </w:r>
      <w:r>
        <w:rPr>
          <w:rFonts w:ascii="Times New Roman" w:hAnsi="Times New Roman"/>
          <w:sz w:val="24"/>
        </w:rPr>
        <w:t xml:space="preserve">Harlow: Pearson Education.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Kelly, L. (2013) </w:t>
      </w:r>
      <w:r>
        <w:rPr>
          <w:rFonts w:ascii="Times New Roman" w:hAnsi="Times New Roman"/>
          <w:i/>
          <w:sz w:val="24"/>
        </w:rPr>
        <w:t xml:space="preserve">Why use a cross-curricular approach to teaching and learning? </w:t>
      </w:r>
      <w:r>
        <w:rPr>
          <w:rFonts w:ascii="Times New Roman" w:hAnsi="Times New Roman"/>
          <w:sz w:val="24"/>
        </w:rPr>
        <w:t xml:space="preserve">In Kelly, L and Stead, D. Enhancing Primary Science: Developing Effective Cross-Curricular Links. New York. Open University. </w:t>
      </w:r>
    </w:p>
    <w:p w:rsidR="00056F27" w:rsidRDefault="00056F27" w:rsidP="00056F27">
      <w:pPr>
        <w:rPr>
          <w:rFonts w:ascii="Times New Roman" w:hAnsi="Times New Roman"/>
          <w:sz w:val="24"/>
        </w:rPr>
      </w:pPr>
    </w:p>
    <w:p w:rsidR="00056F27" w:rsidRDefault="00056F27" w:rsidP="00056F27">
      <w:pPr>
        <w:rPr>
          <w:rFonts w:ascii="Times New Roman" w:hAnsi="Times New Roman"/>
          <w:sz w:val="24"/>
        </w:rPr>
      </w:pPr>
      <w:r>
        <w:rPr>
          <w:rFonts w:ascii="Times New Roman" w:hAnsi="Times New Roman"/>
          <w:sz w:val="24"/>
        </w:rPr>
        <w:t xml:space="preserve">Qualifications, Curriculum and Assessment Authority for Wales (ACCAC), 2003. </w:t>
      </w:r>
      <w:r>
        <w:rPr>
          <w:rFonts w:ascii="Times New Roman" w:hAnsi="Times New Roman"/>
          <w:i/>
          <w:sz w:val="24"/>
        </w:rPr>
        <w:t xml:space="preserve">Developing the Curriculum </w:t>
      </w:r>
      <w:proofErr w:type="spellStart"/>
      <w:r>
        <w:rPr>
          <w:rFonts w:ascii="Times New Roman" w:hAnsi="Times New Roman"/>
          <w:i/>
          <w:sz w:val="24"/>
        </w:rPr>
        <w:t>Cymreig</w:t>
      </w:r>
      <w:proofErr w:type="spellEnd"/>
      <w:r>
        <w:rPr>
          <w:rFonts w:ascii="Times New Roman" w:hAnsi="Times New Roman"/>
          <w:i/>
          <w:sz w:val="24"/>
        </w:rPr>
        <w:t xml:space="preserve">. </w:t>
      </w:r>
      <w:r>
        <w:rPr>
          <w:rFonts w:ascii="Times New Roman" w:hAnsi="Times New Roman"/>
          <w:sz w:val="24"/>
        </w:rPr>
        <w:t xml:space="preserve">Available at: </w:t>
      </w:r>
      <w:hyperlink r:id="rId8" w:history="1">
        <w:r w:rsidRPr="00E55A1B">
          <w:rPr>
            <w:rStyle w:val="Hyperlink"/>
            <w:rFonts w:ascii="Times New Roman" w:hAnsi="Times New Roman"/>
            <w:sz w:val="24"/>
          </w:rPr>
          <w:t>http://learning.gov.wales/docs/learningwales/publications/130424-developing-the-curriculum-cymreig-en.pdf</w:t>
        </w:r>
      </w:hyperlink>
      <w:r>
        <w:rPr>
          <w:rFonts w:ascii="Times New Roman" w:hAnsi="Times New Roman"/>
          <w:sz w:val="24"/>
        </w:rPr>
        <w:t xml:space="preserve">  (Accessed on 6 January 2019) </w:t>
      </w:r>
    </w:p>
    <w:p w:rsidR="00056F27" w:rsidRDefault="00056F27" w:rsidP="00056F27">
      <w:pPr>
        <w:rPr>
          <w:rFonts w:ascii="Times New Roman" w:hAnsi="Times New Roman"/>
          <w:sz w:val="24"/>
        </w:rPr>
      </w:pPr>
    </w:p>
    <w:p w:rsidR="00056F27" w:rsidRPr="007E00AD" w:rsidRDefault="00056F27" w:rsidP="00056F27">
      <w:pPr>
        <w:rPr>
          <w:rFonts w:ascii="Times New Roman" w:hAnsi="Times New Roman"/>
          <w:sz w:val="24"/>
        </w:rPr>
      </w:pPr>
      <w:r>
        <w:rPr>
          <w:rFonts w:ascii="Times New Roman" w:hAnsi="Times New Roman"/>
          <w:sz w:val="24"/>
        </w:rPr>
        <w:t xml:space="preserve">Rowley, C. &amp; Cooper, h. (2009) </w:t>
      </w:r>
      <w:r>
        <w:rPr>
          <w:rFonts w:ascii="Times New Roman" w:hAnsi="Times New Roman"/>
          <w:i/>
          <w:sz w:val="24"/>
        </w:rPr>
        <w:t xml:space="preserve">Cross-curricular Approaches to Teaching and Learning. </w:t>
      </w:r>
      <w:r>
        <w:rPr>
          <w:rFonts w:ascii="Times New Roman" w:hAnsi="Times New Roman"/>
          <w:sz w:val="24"/>
        </w:rPr>
        <w:t>London: Sage Publications.</w:t>
      </w:r>
    </w:p>
    <w:p w:rsidR="00056F27" w:rsidRDefault="00056F27" w:rsidP="00056F27">
      <w:pPr>
        <w:rPr>
          <w:rFonts w:ascii="Times New Roman" w:hAnsi="Times New Roman"/>
          <w:sz w:val="24"/>
        </w:rPr>
      </w:pPr>
    </w:p>
    <w:p w:rsidR="00056F27" w:rsidRPr="00DA33C8" w:rsidRDefault="00056F27" w:rsidP="00056F27">
      <w:pPr>
        <w:rPr>
          <w:rFonts w:ascii="Times New Roman" w:hAnsi="Times New Roman"/>
          <w:sz w:val="24"/>
        </w:rPr>
      </w:pPr>
      <w:r>
        <w:rPr>
          <w:rFonts w:ascii="Times New Roman" w:hAnsi="Times New Roman"/>
          <w:sz w:val="24"/>
        </w:rPr>
        <w:t xml:space="preserve">Welsh Government. (2016) </w:t>
      </w:r>
      <w:r>
        <w:rPr>
          <w:rFonts w:ascii="Times New Roman" w:hAnsi="Times New Roman"/>
          <w:i/>
          <w:sz w:val="24"/>
        </w:rPr>
        <w:t xml:space="preserve">Key Stages 2-4. Curriculum. </w:t>
      </w:r>
      <w:r>
        <w:rPr>
          <w:rFonts w:ascii="Times New Roman" w:hAnsi="Times New Roman"/>
          <w:sz w:val="24"/>
        </w:rPr>
        <w:t xml:space="preserve">Available at: </w:t>
      </w:r>
      <w:hyperlink r:id="rId9" w:history="1">
        <w:r w:rsidRPr="008A7C89">
          <w:rPr>
            <w:rStyle w:val="Hyperlink"/>
            <w:rFonts w:ascii="Times New Roman" w:hAnsi="Times New Roman"/>
            <w:sz w:val="24"/>
          </w:rPr>
          <w:t>http://learning.gov.wales/resources/collections/key-stages-2-4?lang=en</w:t>
        </w:r>
      </w:hyperlink>
      <w:r>
        <w:rPr>
          <w:rFonts w:ascii="Times New Roman" w:hAnsi="Times New Roman"/>
          <w:sz w:val="24"/>
        </w:rPr>
        <w:t xml:space="preserve"> (Accessed on 5 January 2019) </w:t>
      </w:r>
    </w:p>
    <w:p w:rsidR="00056F27" w:rsidRDefault="00056F27" w:rsidP="00056F27">
      <w:pPr>
        <w:rPr>
          <w:rFonts w:ascii="Times New Roman" w:hAnsi="Times New Roman"/>
          <w:sz w:val="24"/>
        </w:rPr>
      </w:pPr>
    </w:p>
    <w:p w:rsidR="00056F27" w:rsidRPr="00FA5646" w:rsidRDefault="00056F27" w:rsidP="00056F27">
      <w:pPr>
        <w:rPr>
          <w:rFonts w:ascii="Times New Roman" w:hAnsi="Times New Roman"/>
          <w:sz w:val="24"/>
        </w:rPr>
      </w:pPr>
      <w:r>
        <w:rPr>
          <w:rFonts w:ascii="Times New Roman" w:hAnsi="Times New Roman"/>
          <w:sz w:val="24"/>
        </w:rPr>
        <w:t xml:space="preserve">Welsh Government. (2016b) </w:t>
      </w:r>
      <w:r>
        <w:rPr>
          <w:rFonts w:ascii="Times New Roman" w:hAnsi="Times New Roman"/>
          <w:i/>
          <w:sz w:val="24"/>
        </w:rPr>
        <w:t xml:space="preserve">National Literacy and Numeracy Framework. </w:t>
      </w:r>
      <w:r>
        <w:rPr>
          <w:rFonts w:ascii="Times New Roman" w:hAnsi="Times New Roman"/>
          <w:sz w:val="24"/>
        </w:rPr>
        <w:t xml:space="preserve">Available at: </w:t>
      </w:r>
      <w:hyperlink r:id="rId10" w:history="1">
        <w:r w:rsidRPr="00E55A1B">
          <w:rPr>
            <w:rStyle w:val="Hyperlink"/>
            <w:rFonts w:ascii="Times New Roman" w:hAnsi="Times New Roman"/>
            <w:sz w:val="24"/>
          </w:rPr>
          <w:t>http://learning.gov.wales/resources/browse-all/nlnf/framework?lang=en</w:t>
        </w:r>
      </w:hyperlink>
      <w:r>
        <w:rPr>
          <w:rFonts w:ascii="Times New Roman" w:hAnsi="Times New Roman"/>
          <w:sz w:val="24"/>
        </w:rPr>
        <w:t xml:space="preserve"> (Accessed on 6 January 2019) </w:t>
      </w:r>
    </w:p>
    <w:p w:rsidR="006C0895" w:rsidRPr="00056F27" w:rsidRDefault="006C0895">
      <w:pPr>
        <w:rPr>
          <w:rFonts w:ascii="Times New Roman" w:hAnsi="Times New Roman"/>
          <w:sz w:val="24"/>
        </w:rPr>
      </w:pPr>
    </w:p>
    <w:sectPr w:rsidR="006C0895" w:rsidRPr="00056F27" w:rsidSect="00056F27">
      <w:headerReference w:type="default" r:id="rId11"/>
      <w:footerReference w:type="even" r:id="rId12"/>
      <w:footerReference w:type="default" r:id="rId13"/>
      <w:pgSz w:w="11900" w:h="16840"/>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6F27" w:rsidRDefault="00056F27" w:rsidP="00056F27">
      <w:r>
        <w:separator/>
      </w:r>
    </w:p>
  </w:endnote>
  <w:endnote w:type="continuationSeparator" w:id="0">
    <w:p w:rsidR="00056F27" w:rsidRDefault="00056F27" w:rsidP="00056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7196907"/>
      <w:docPartObj>
        <w:docPartGallery w:val="Page Numbers (Bottom of Page)"/>
        <w:docPartUnique/>
      </w:docPartObj>
    </w:sdtPr>
    <w:sdtContent>
      <w:p w:rsidR="00056F27" w:rsidRDefault="00056F27" w:rsidP="00E55A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6F27" w:rsidRDefault="00056F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85004178"/>
      <w:docPartObj>
        <w:docPartGallery w:val="Page Numbers (Bottom of Page)"/>
        <w:docPartUnique/>
      </w:docPartObj>
    </w:sdtPr>
    <w:sdtContent>
      <w:p w:rsidR="00056F27" w:rsidRDefault="00056F27" w:rsidP="00E55A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56F27" w:rsidRDefault="00056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6F27" w:rsidRDefault="00056F27" w:rsidP="00056F27">
      <w:r>
        <w:separator/>
      </w:r>
    </w:p>
  </w:footnote>
  <w:footnote w:type="continuationSeparator" w:id="0">
    <w:p w:rsidR="00056F27" w:rsidRDefault="00056F27" w:rsidP="00056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F27" w:rsidRPr="00056F27" w:rsidRDefault="00056F27" w:rsidP="00056F27">
    <w:pPr>
      <w:pStyle w:val="Header"/>
      <w:jc w:val="right"/>
      <w:rPr>
        <w:rFonts w:ascii="Times New Roman" w:hAnsi="Times New Roman"/>
        <w:sz w:val="28"/>
      </w:rPr>
    </w:pPr>
    <w:r>
      <w:rPr>
        <w:rFonts w:ascii="Times New Roman" w:hAnsi="Times New Roman"/>
        <w:sz w:val="28"/>
      </w:rPr>
      <w:t>Student Number: 1800077</w:t>
    </w:r>
  </w:p>
  <w:p w:rsidR="00056F27" w:rsidRDefault="00056F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F27"/>
    <w:rsid w:val="00056F27"/>
    <w:rsid w:val="000B403F"/>
    <w:rsid w:val="006C0895"/>
    <w:rsid w:val="008779DF"/>
    <w:rsid w:val="009E0021"/>
    <w:rsid w:val="00DC1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15493"/>
  <w14:defaultImageDpi w14:val="32767"/>
  <w15:chartTrackingRefBased/>
  <w15:docId w15:val="{6A010C60-509B-504F-9831-BD4398110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6F27"/>
    <w:pPr>
      <w:adjustRightInd w:val="0"/>
    </w:pPr>
    <w:rPr>
      <w:rFonts w:ascii="Arial" w:hAnsi="Arial" w:cs="Times New Roman"/>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F27"/>
    <w:pPr>
      <w:tabs>
        <w:tab w:val="center" w:pos="4680"/>
        <w:tab w:val="right" w:pos="9360"/>
      </w:tabs>
    </w:pPr>
  </w:style>
  <w:style w:type="character" w:customStyle="1" w:styleId="HeaderChar">
    <w:name w:val="Header Char"/>
    <w:basedOn w:val="DefaultParagraphFont"/>
    <w:link w:val="Header"/>
    <w:uiPriority w:val="99"/>
    <w:rsid w:val="00056F27"/>
    <w:rPr>
      <w:rFonts w:ascii="Arial" w:hAnsi="Arial" w:cs="Times New Roman"/>
      <w:sz w:val="20"/>
      <w:lang w:val="en-GB"/>
    </w:rPr>
  </w:style>
  <w:style w:type="paragraph" w:styleId="Footer">
    <w:name w:val="footer"/>
    <w:basedOn w:val="Normal"/>
    <w:link w:val="FooterChar"/>
    <w:uiPriority w:val="99"/>
    <w:unhideWhenUsed/>
    <w:rsid w:val="00056F27"/>
    <w:pPr>
      <w:tabs>
        <w:tab w:val="center" w:pos="4680"/>
        <w:tab w:val="right" w:pos="9360"/>
      </w:tabs>
    </w:pPr>
  </w:style>
  <w:style w:type="character" w:customStyle="1" w:styleId="FooterChar">
    <w:name w:val="Footer Char"/>
    <w:basedOn w:val="DefaultParagraphFont"/>
    <w:link w:val="Footer"/>
    <w:uiPriority w:val="99"/>
    <w:rsid w:val="00056F27"/>
    <w:rPr>
      <w:rFonts w:ascii="Arial" w:hAnsi="Arial" w:cs="Times New Roman"/>
      <w:sz w:val="20"/>
      <w:lang w:val="en-GB"/>
    </w:rPr>
  </w:style>
  <w:style w:type="character" w:styleId="Hyperlink">
    <w:name w:val="Hyperlink"/>
    <w:basedOn w:val="DefaultParagraphFont"/>
    <w:uiPriority w:val="99"/>
    <w:unhideWhenUsed/>
    <w:rsid w:val="00056F27"/>
    <w:rPr>
      <w:color w:val="0563C1" w:themeColor="hyperlink"/>
      <w:u w:val="single"/>
    </w:rPr>
  </w:style>
  <w:style w:type="character" w:styleId="PageNumber">
    <w:name w:val="page number"/>
    <w:basedOn w:val="DefaultParagraphFont"/>
    <w:uiPriority w:val="99"/>
    <w:semiHidden/>
    <w:unhideWhenUsed/>
    <w:rsid w:val="00056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gov.wales/docs/dcells/publications/150225-successful-futures-en.pdf"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learning.gov.wales/resources/browse-all/nlnf/framework?lang=en" TargetMode="External"/><Relationship Id="rId4" Type="http://schemas.openxmlformats.org/officeDocument/2006/relationships/webSettings" Target="webSettings.xml"/><Relationship Id="rId9" Type="http://schemas.openxmlformats.org/officeDocument/2006/relationships/hyperlink" Target="http://learning.gov.wales/resources/collections/key-stages-2-4?lang=e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93"/>
    <w:rsid w:val="00C96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58A99C21A2744B83F8D673B49F291E">
    <w:name w:val="D658A99C21A2744B83F8D673B49F291E"/>
    <w:rsid w:val="00C96B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EA41B-0364-804F-84EB-0DFFF6D56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2</cp:revision>
  <dcterms:created xsi:type="dcterms:W3CDTF">2019-01-06T14:34:00Z</dcterms:created>
  <dcterms:modified xsi:type="dcterms:W3CDTF">2019-01-06T14:46:00Z</dcterms:modified>
</cp:coreProperties>
</file>