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180" w:right="-334"/>
        <w:spacing w:before="0" w:after="0" w:beforeAutospacing="0" w:afterAutospacing="0"/>
      </w:pPr>
      <w:r>
        <w:rPr>
          <w:noProof/>
        </w:rPr>
        <w:drawing>
          <wp:inline distT="0" distB="0" distL="0" distR="0">
            <wp:extent cx="1906270" cy="638175"/>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
                          <sm:smNativeData xmlns:sm="sm" val="SMDATA_17_ouEMaR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BAAAAAAAAAAAAAAAeAAAAAQAAACMAAAAjAAAAIwAAAB4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ugsAAO0DAAAAAAAAAAAAAAAAAAAoAAAACAAAAAEAAAABAAAAMAAAABQAAAAAAAAAAAD//wAAAQAAAP//AAABAA=="/>
                        </a:ext>
                      </a:extLst>
                    </pic:cNvPicPr>
                  </pic:nvPicPr>
                  <pic:blipFill>
                    <a:blip r:embed="rId8"/>
                    <a:stretch>
                      <a:fillRect/>
                    </a:stretch>
                  </pic:blipFill>
                  <pic:spPr>
                    <a:xfrm>
                      <a:off x="0" y="0"/>
                      <a:ext cx="1906270" cy="638175"/>
                    </a:xfrm>
                    <a:prstGeom prst="rect">
                      <a:avLst/>
                    </a:prstGeom>
                    <a:noFill/>
                    <a:ln w="19050">
                      <a:solidFill>
                        <a:srgbClr val="000000"/>
                      </a:solid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lang w:val="cy-gb"/>
        </w:rPr>
      </w:pPr>
      <w:r>
        <w:rPr>
          <w:rFonts w:ascii="Arial" w:hAnsi="Arial" w:cs="Arial"/>
          <w:b/>
          <w:sz w:val="28"/>
          <w:szCs w:val="28"/>
          <w:lang w:val="cy-gb"/>
        </w:rPr>
        <w:t xml:space="preserve">Postgraduate/Distance Learning </w:t>
      </w:r>
      <w:r>
        <w:rPr>
          <w:rFonts w:ascii="Arial" w:hAnsi="Arial" w:cs="Arial"/>
          <w:b/>
          <w:sz w:val="28"/>
          <w:szCs w:val="28"/>
          <w:lang w:val="cy-gb"/>
        </w:rPr>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Assignment coversheet &amp; feedback form</w:t>
      </w:r>
      <w:r>
        <w:rPr>
          <w:rFonts w:ascii="Arial" w:hAnsi="Arial" w:cs="Arial"/>
          <w:b/>
          <w:sz w:val="28"/>
          <w:szCs w:val="28"/>
        </w:rPr>
      </w:r>
    </w:p>
    <w:p>
      <w:pPr>
        <w:pStyle w:val="para1"/>
        <w:spacing/>
        <w:jc w:val="center"/>
        <w:rPr>
          <w:lang w:val="cy-gb"/>
        </w:rPr>
      </w:pPr>
      <w:r>
        <w:rPr>
          <w:lang w:val="cy-gb"/>
        </w:rPr>
      </w:r>
    </w:p>
    <w:p>
      <w:pPr>
        <w:pStyle w:val="para1"/>
        <w:spacing/>
        <w:jc w:val="center"/>
        <w:rPr>
          <w:lang w:val="cy-gb"/>
        </w:rPr>
      </w:pPr>
      <w:r>
        <w:rPr>
          <w:lang w:val="cy-gb"/>
        </w:rPr>
        <w:t>THIS SHEET MUST BE THE FIRST PAGE OF THE ASSIGNMENT YOU ARE SUBMITTING  (DO NOT SEND AS A SEPARATE FILE)</w:t>
      </w:r>
      <w:r>
        <w:rPr>
          <w:lang w:val="cy-gb"/>
        </w:rPr>
      </w:r>
    </w:p>
    <w:p>
      <w:pPr>
        <w:pStyle w:val="para1"/>
        <w:spacing/>
        <w:jc w:val="center"/>
        <w:rPr>
          <w:rFonts w:ascii="Trebuchet MS" w:hAnsi="Trebuchet MS"/>
        </w:rPr>
      </w:pPr>
      <w:r>
        <w:rPr>
          <w:rFonts w:ascii="Trebuchet MS" w:hAnsi="Trebuchet MS"/>
        </w:rPr>
      </w:r>
    </w:p>
    <w:tbl>
      <w:tblPr>
        <w:tblStyle w:val="TableNormal"/>
        <w:name w:val="Table2"/>
        <w:tabOrder w:val="0"/>
        <w:jc w:val="left"/>
        <w:tblInd w:w="0" w:type="dxa"/>
        <w:tblW w:w="8856" w:type="dxa"/>
        <w:pPr>
          <w:spacing/>
          <w:jc w:val="left"/>
        </w:pPr>
        <w:tblLook w:val="04A0" w:firstRow="1" w:lastRow="0" w:firstColumn="1" w:lastColumn="0" w:noHBand="0" w:noVBand="1"/>
      </w:tblPr>
      <w:tblGrid>
        <w:gridCol w:w="4788"/>
        <w:gridCol w:w="423"/>
        <w:gridCol w:w="33"/>
        <w:gridCol w:w="1810"/>
        <w:gridCol w:w="1802"/>
      </w:tblGrid>
      <w:tr>
        <w:trPr>
          <w:tblHeader w:val="0"/>
          <w:cantSplit w:val="0"/>
          <w:trHeight w:val="614" w:hRule="atLeast"/>
        </w:trPr>
        <w:tc>
          <w:tcPr>
            <w:tcW w:w="8856"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r>
              <w:rPr>
                <w:rFonts w:ascii="Arial" w:hAnsi="Arial" w:cs="Arial"/>
                <w:sz w:val="22"/>
                <w:szCs w:val="22"/>
              </w:rPr>
            </w:r>
          </w:p>
        </w:tc>
      </w:tr>
      <w:tr>
        <w:trPr>
          <w:tblHeader w:val="0"/>
          <w:cantSplit w:val="0"/>
          <w:trHeight w:val="718" w:hRule="atLeast"/>
        </w:trPr>
        <w:tc>
          <w:tcPr>
            <w:tcW w:w="8856"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r>
              <w:rPr>
                <w:rFonts w:ascii="Arial" w:hAnsi="Arial" w:cs="Arial"/>
                <w:sz w:val="22"/>
                <w:szCs w:val="22"/>
              </w:rPr>
            </w:r>
          </w:p>
        </w:tc>
      </w:tr>
      <w:tr>
        <w:trPr>
          <w:tblHeader w:val="0"/>
          <w:cantSplit w:val="0"/>
          <w:trHeight w:val="849" w:hRule="atLeast"/>
        </w:trPr>
        <w:tc>
          <w:tcPr>
            <w:tcW w:w="4788"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HPCA7014</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Sacred Geography</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6" w:type="dxa"/>
            <w:gridSpan w:val="3"/>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ID number: </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2409122</w:t>
            </w:r>
          </w:p>
        </w:tc>
        <w:tc>
          <w:tcPr>
            <w:tcW w:w="1802"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None</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r>
      <w:tr>
        <w:trPr>
          <w:tblHeader w:val="0"/>
          <w:cantSplit w:val="0"/>
          <w:trHeight w:val="1139" w:hRule="atLeast"/>
        </w:trPr>
        <w:tc>
          <w:tcPr>
            <w:tcW w:w="8856"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title: Compare and critically contrast Mircea Eliade and Emile Durkheim’s views of sacred space.</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Word Count: 2,244</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  17</w:t>
            </w:r>
            <w:r>
              <w:rPr>
                <w:rFonts w:ascii="Arial" w:hAnsi="Arial" w:cs="Arial"/>
                <w:sz w:val="22"/>
                <w:szCs w:val="22"/>
                <w:vertAlign w:val="superscript"/>
              </w:rPr>
              <w:t>th</w:t>
            </w:r>
            <w:r>
              <w:rPr>
                <w:rFonts w:ascii="Arial" w:hAnsi="Arial" w:cs="Arial"/>
                <w:sz w:val="22"/>
                <w:szCs w:val="22"/>
              </w:rPr>
              <w:t xml:space="preserve"> November 2025</w:t>
            </w:r>
            <w:r>
              <w:rPr>
                <w:rFonts w:ascii="Arial" w:hAnsi="Arial" w:cs="Arial"/>
                <w:sz w:val="22"/>
                <w:szCs w:val="22"/>
              </w:rPr>
            </w:r>
          </w:p>
        </w:tc>
      </w:tr>
      <w:tr>
        <w:trPr>
          <w:tblHeader w:val="0"/>
          <w:cantSplit w:val="0"/>
          <w:trHeight w:val="978" w:hRule="atLeast"/>
        </w:trPr>
        <w:tc>
          <w:tcPr>
            <w:tcW w:w="8856"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cs="Arial"/>
              </w:rPr>
            </w:pPr>
            <w:r>
              <w:rPr>
                <w:rFonts w:ascii="Arial" w:hAnsi="Arial" w:cs="Arial"/>
              </w:rPr>
              <w:t>This assignment is for the       1</w:t>
            </w:r>
            <w:r>
              <w:rPr>
                <w:rFonts w:ascii="Arial" w:hAnsi="Arial" w:cs="Arial"/>
                <w:vertAlign w:val="superscript"/>
              </w:rPr>
              <w:t xml:space="preserve">st  </w:t>
            </w:r>
            <w:r/>
            <w:bookmarkStart w:id="0" w:name="Check14"/>
            <w:r/>
            <w:r>
              <w:rPr>
                <w:rFonts w:ascii="Arial" w:hAnsi="Arial" w:cs="Arial"/>
              </w:rPr>
            </w:r>
            <w:r>
              <w:rPr>
                <w:rFonts w:ascii="Arial" w:hAnsi="Arial" w:cs="Arial"/>
              </w:rPr>
              <w:fldChar w:fldCharType="begin">
                <w:ffData>
                  <w:name w:val="Check14"/>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0"/>
            <w:r/>
            <w:r>
              <w:rPr>
                <w:rFonts w:ascii="Arial" w:hAnsi="Arial" w:cs="Arial"/>
              </w:rPr>
              <w:t xml:space="preserve"> 2</w:t>
            </w:r>
            <w:r>
              <w:rPr>
                <w:rFonts w:ascii="Arial" w:hAnsi="Arial" w:cs="Arial"/>
                <w:vertAlign w:val="superscript"/>
              </w:rPr>
              <w:t>nd</w:t>
            </w:r>
            <w:r>
              <w:rPr>
                <w:rFonts w:ascii="Arial" w:hAnsi="Arial" w:cs="Arial"/>
              </w:rPr>
              <w:t xml:space="preserve">   </w:t>
            </w:r>
            <w:r/>
            <w:bookmarkStart w:id="1" w:name="Check15_1"/>
            <w:r/>
            <w:r>
              <w:rPr>
                <w:rFonts w:ascii="Arial" w:hAnsi="Arial" w:cs="Arial"/>
              </w:rPr>
            </w:r>
            <w:r>
              <w:rPr>
                <w:rFonts w:ascii="Arial" w:hAnsi="Arial" w:cs="Arial"/>
              </w:rPr>
              <w:fldChar w:fldCharType="begin">
                <w:ffData>
                  <w:name w:val="Check15"/>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1"/>
            <w:r/>
            <w:r>
              <w:rPr>
                <w:rFonts w:ascii="Arial" w:hAnsi="Arial" w:cs="Arial"/>
              </w:rPr>
              <w:t xml:space="preserve">    3</w:t>
            </w:r>
            <w:r>
              <w:rPr>
                <w:rFonts w:ascii="Arial" w:hAnsi="Arial" w:cs="Arial"/>
                <w:vertAlign w:val="superscript"/>
              </w:rPr>
              <w:t>rd</w:t>
            </w:r>
            <w:r>
              <w:rPr>
                <w:rFonts w:ascii="Arial" w:hAnsi="Arial" w:cs="Arial"/>
              </w:rPr>
              <w:t xml:space="preserve">  </w:t>
            </w:r>
            <w:r/>
            <w:bookmarkStart w:id="2" w:name="Check15"/>
            <w:r/>
            <w:r>
              <w:rPr>
                <w:rFonts w:ascii="Arial" w:hAnsi="Arial" w:cs="Arial"/>
              </w:rPr>
            </w:r>
            <w:r>
              <w:rPr>
                <w:rFonts w:ascii="Arial" w:hAnsi="Arial" w:cs="Arial"/>
              </w:rPr>
              <w:fldChar w:fldCharType="begin">
                <w:ffData>
                  <w:name w:val="Check 16"/>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2"/>
            <w:r/>
            <w:r>
              <w:rPr>
                <w:rFonts w:ascii="Arial" w:hAnsi="Arial" w:cs="Arial"/>
              </w:rPr>
              <w:t xml:space="preserve">      4</w:t>
            </w:r>
            <w:r>
              <w:rPr>
                <w:rFonts w:ascii="Arial" w:hAnsi="Arial" w:cs="Arial"/>
                <w:vertAlign w:val="superscript"/>
              </w:rPr>
              <w:t>th</w:t>
            </w:r>
            <w:r>
              <w:rPr>
                <w:rFonts w:ascii="Arial" w:hAnsi="Arial" w:cs="Arial"/>
              </w:rPr>
              <w:t xml:space="preserve"> </w:t>
            </w:r>
            <w:r/>
            <w:bookmarkStart w:id="3" w:name="Check16"/>
            <w:r/>
            <w:r>
              <w:rPr>
                <w:rFonts w:ascii="Arial" w:hAnsi="Arial" w:cs="Arial"/>
              </w:rPr>
            </w:r>
            <w:r>
              <w:rPr>
                <w:rFonts w:ascii="Arial" w:hAnsi="Arial" w:cs="Arial"/>
              </w:rPr>
              <w:fldChar w:fldCharType="begin">
                <w:ffData>
                  <w:name w:val="Check16"/>
                  <w:enabled/>
                  <w:calcOnExit w:val="0"/>
                  <w:checkBox>
                    <w:sizeAuto/>
                    <w:checked w:val="1"/>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3"/>
            <w:r/>
            <w:r>
              <w:rPr>
                <w:rFonts w:ascii="Arial" w:hAnsi="Arial" w:cs="Arial"/>
              </w:rPr>
              <w:t xml:space="preserve">      5</w:t>
            </w:r>
            <w:r>
              <w:rPr>
                <w:rFonts w:ascii="Arial" w:hAnsi="Arial" w:cs="Arial"/>
                <w:vertAlign w:val="superscript"/>
              </w:rPr>
              <w:t>th</w:t>
            </w:r>
            <w:r>
              <w:rPr>
                <w:rFonts w:ascii="Arial" w:hAnsi="Arial" w:cs="Arial"/>
              </w:rPr>
              <w:t xml:space="preserve"> </w:t>
            </w:r>
            <w:r/>
            <w:bookmarkStart w:id="4" w:name="Check17"/>
            <w:r/>
            <w:r>
              <w:rPr>
                <w:rFonts w:ascii="Arial" w:hAnsi="Arial" w:cs="Arial"/>
              </w:rPr>
            </w:r>
            <w:r>
              <w:rPr>
                <w:rFonts w:ascii="Arial" w:hAnsi="Arial" w:cs="Arial"/>
              </w:rPr>
              <w:fldChar w:fldCharType="begin">
                <w:ffData>
                  <w:name w:val="Check17"/>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4"/>
            <w:r/>
            <w:r>
              <w:rPr>
                <w:rFonts w:ascii="Arial" w:hAnsi="Arial" w:cs="Arial"/>
              </w:rPr>
              <w:t xml:space="preserve">      6</w:t>
            </w:r>
            <w:r>
              <w:rPr>
                <w:rFonts w:ascii="Arial" w:hAnsi="Arial" w:cs="Arial"/>
                <w:vertAlign w:val="superscript"/>
              </w:rPr>
              <w:t>th</w:t>
            </w:r>
            <w:r>
              <w:rPr>
                <w:rFonts w:ascii="Arial" w:hAnsi="Arial" w:cs="Arial"/>
              </w:rPr>
              <w:t xml:space="preserve"> </w:t>
            </w:r>
            <w:r/>
            <w:bookmarkStart w:id="5" w:name="Check18"/>
            <w:r/>
            <w:r>
              <w:rPr>
                <w:rFonts w:ascii="Arial" w:hAnsi="Arial" w:cs="Arial"/>
              </w:rPr>
            </w:r>
            <w:r>
              <w:rPr>
                <w:rFonts w:ascii="Arial" w:hAnsi="Arial" w:cs="Arial"/>
              </w:rPr>
              <w:fldChar w:fldCharType="begin">
                <w:ffData>
                  <w:name w:val="Check18"/>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5"/>
            <w:r/>
            <w:r>
              <w:rPr>
                <w:rFonts w:ascii="Arial" w:hAnsi="Arial" w:cs="Arial"/>
                <w:b/>
              </w:rPr>
              <w:t xml:space="preserve">   </w:t>
            </w:r>
            <w:r>
              <w:rPr>
                <w:rFonts w:ascii="Arial" w:hAnsi="Arial" w:cs="Arial"/>
              </w:rPr>
              <w:t>module of the degre</w:t>
            </w:r>
            <w:r>
              <w:rPr>
                <w:rFonts w:ascii="Arial" w:hAnsi="Arial" w:cs="Arial"/>
              </w:rPr>
              <w:t>e</w:t>
            </w:r>
            <w:r>
              <w:rPr>
                <w:rFonts w:ascii="Arial" w:hAnsi="Arial" w:cs="Arial"/>
              </w:rPr>
            </w:r>
          </w:p>
        </w:tc>
      </w:tr>
      <w:tr>
        <w:trPr>
          <w:tblHeader w:val="0"/>
          <w:cantSplit w:val="0"/>
          <w:trHeight w:val="978" w:hRule="atLeast"/>
        </w:trPr>
        <w:tc>
          <w:tcPr>
            <w:tcW w:w="8856" w:type="dxa"/>
            <w:gridSpan w:val="5"/>
            <w:shd w:val="solid" w:color="D9D9D9" tmshd="1677721856, 0, 14277081"/>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Plagiarism declaration</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Artificial Intelligence (AI) declaration</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For this assessment, you can use Generative AI to check your own text/creation for grammatical and syntactical mistakes, including rephrasing of your own work within specific standards.*</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Times New Roman" w:hAnsi="Times New Roman"/>
                <w:sz w:val="22"/>
                <w:szCs w:val="22"/>
              </w:rPr>
            </w:pPr>
            <w:r>
              <w:rPr>
                <w:rFonts w:ascii="Times New Roman" w:hAnsi="Times New Roman"/>
                <w:sz w:val="22"/>
                <w:szCs w:val="22"/>
              </w:rPr>
              <w:t>*See separate guidance in the MA Writing Guidelines</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I have not used any AI tools in the research and creation of this assignment, except as permitted above.</w:t>
            </w:r>
            <w:r>
              <w:rPr>
                <w:rFonts w:ascii="Arial" w:hAnsi="Arial" w:cs="Arial"/>
                <w:color w:val="ee0000"/>
                <w:sz w:val="22"/>
                <w:szCs w:val="22"/>
              </w:rPr>
              <w:t xml:space="preserve"> </w:t>
            </w:r>
            <w:r>
              <w:rPr>
                <w:rFonts w:ascii="Arial" w:hAnsi="Arial" w:cs="Arial"/>
                <w:sz w:val="22"/>
                <w:szCs w:val="22"/>
              </w:rPr>
              <w:t>I confirm that I have not presented any AI generated materials as my own work. I confirm I have copies of my drafts, notes, and other resources I used, which I may be asked to provide in evidence.</w:t>
            </w: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r>
      <w:tr>
        <w:trPr>
          <w:tblHeader w:val="0"/>
          <w:cantSplit w:val="0"/>
          <w:trHeight w:val="3972" w:hRule="atLeast"/>
        </w:trPr>
        <w:tc>
          <w:tcPr>
            <w:tcW w:w="8856"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b/>
              </w:rPr>
            </w:pPr>
            <w:r>
              <w:rPr>
                <w:rFonts w:ascii="Arial" w:hAnsi="Arial"/>
                <w:b/>
              </w:rPr>
            </w:r>
          </w:p>
          <w:p>
            <w:pPr>
              <w:ind w:firstLine="0"/>
              <w:rPr>
                <w:rFonts w:ascii="Arial" w:hAnsi="Arial"/>
              </w:rPr>
            </w:pPr>
            <w:r>
              <w:rPr>
                <w:rFonts w:ascii="Arial" w:hAnsi="Arial"/>
                <w:b/>
              </w:rPr>
              <w:t>Assignment Mark</w:t>
            </w:r>
            <w:r>
              <w:rPr>
                <w:rFonts w:ascii="Arial" w:hAnsi="Arial"/>
              </w:rPr>
            </w:r>
          </w:p>
          <w:tbl>
            <w:tblPr>
              <w:tblStyle w:val="TableNormal"/>
              <w:name w:val="Table1"/>
              <w:tabOrder w:val="0"/>
              <w:jc w:val="left"/>
              <w:tblInd w:w="0" w:type="dxa"/>
              <w:tblW w:w="8630" w:type="dxa"/>
              <w:tblLook w:val="01E0" w:firstRow="1" w:lastRow="1" w:firstColumn="1" w:lastColumn="1" w:noHBand="0" w:noVBand="0"/>
            </w:tblPr>
            <w:tblGrid>
              <w:gridCol w:w="6994"/>
              <w:gridCol w:w="1636"/>
            </w:tblGrid>
            <w:tr>
              <w:trPr>
                <w:tblHeader w:val="0"/>
                <w:cantSplit w:val="0"/>
                <w:trHeight w:val="0" w:hRule="auto"/>
              </w:trPr>
              <w:tc>
                <w:tcPr>
                  <w:tcW w:w="6994"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36"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rPr>
                      <w:rFonts w:ascii="Arial" w:hAnsi="Arial"/>
                      <w:sz w:val="20"/>
                      <w:szCs w:val="20"/>
                    </w:rPr>
                  </w:pPr>
                  <w:r>
                    <w:rPr>
                      <w:rFonts w:ascii="Arial" w:hAnsi="Arial"/>
                      <w:sz w:val="20"/>
                      <w:szCs w:val="20"/>
                    </w:rPr>
                  </w:r>
                </w:p>
              </w:tc>
            </w:tr>
            <w:tr>
              <w:trPr>
                <w:tblHeader w:val="0"/>
                <w:cantSplit w:val="0"/>
                <w:trHeight w:val="0" w:hRule="auto"/>
              </w:trPr>
              <w:tc>
                <w:tcPr>
                  <w:tcW w:w="6994"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36"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rPr>
                      <w:rFonts w:ascii="Arial" w:hAnsi="Arial"/>
                      <w:sz w:val="20"/>
                      <w:szCs w:val="20"/>
                    </w:rPr>
                  </w:pPr>
                  <w:r>
                    <w:rPr>
                      <w:rFonts w:ascii="Arial" w:hAnsi="Arial"/>
                      <w:sz w:val="20"/>
                      <w:szCs w:val="20"/>
                    </w:rPr>
                  </w:r>
                </w:p>
              </w:tc>
            </w:tr>
            <w:tr>
              <w:trPr>
                <w:tblHeader w:val="0"/>
                <w:cantSplit w:val="0"/>
                <w:trHeight w:val="0" w:hRule="auto"/>
              </w:trPr>
              <w:tc>
                <w:tcPr>
                  <w:tcW w:w="6994"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sz w:val="20"/>
                      <w:szCs w:val="20"/>
                    </w:rPr>
                  </w:pPr>
                  <w:r>
                    <w:rPr>
                      <w:rFonts w:ascii="Arial" w:hAnsi="Arial"/>
                      <w:sz w:val="20"/>
                      <w:szCs w:val="20"/>
                    </w:rPr>
                    <w:t>External Examiner’s mark (if relevant)</w:t>
                  </w:r>
                </w:p>
              </w:tc>
              <w:tc>
                <w:tcPr>
                  <w:tcW w:w="1636"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rPr>
                      <w:rFonts w:ascii="Arial" w:hAnsi="Arial"/>
                      <w:sz w:val="20"/>
                      <w:szCs w:val="20"/>
                    </w:rPr>
                  </w:pPr>
                  <w:r>
                    <w:rPr>
                      <w:rFonts w:ascii="Arial" w:hAnsi="Arial"/>
                      <w:sz w:val="20"/>
                      <w:szCs w:val="20"/>
                    </w:rPr>
                  </w:r>
                </w:p>
              </w:tc>
            </w:tr>
            <w:tr>
              <w:trPr>
                <w:tblHeader w:val="0"/>
                <w:cantSplit w:val="0"/>
                <w:trHeight w:val="0" w:hRule="auto"/>
              </w:trPr>
              <w:tc>
                <w:tcPr>
                  <w:tcW w:w="6994"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b/>
                      <w:sz w:val="20"/>
                      <w:szCs w:val="20"/>
                    </w:rPr>
                  </w:pPr>
                  <w:r>
                    <w:rPr>
                      <w:rFonts w:ascii="Arial" w:hAnsi="Arial"/>
                      <w:b/>
                      <w:sz w:val="20"/>
                      <w:szCs w:val="20"/>
                    </w:rPr>
                    <w:t>Final Mark</w:t>
                  </w:r>
                </w:p>
                <w:p>
                  <w:pPr>
                    <w:rPr>
                      <w:rFonts w:ascii="Arial" w:hAnsi="Arial"/>
                      <w:sz w:val="20"/>
                      <w:szCs w:val="20"/>
                    </w:rPr>
                  </w:pPr>
                  <w:r>
                    <w:rPr>
                      <w:rFonts w:ascii="Arial" w:hAnsi="Arial"/>
                      <w:sz w:val="20"/>
                      <w:szCs w:val="20"/>
                    </w:rPr>
                  </w:r>
                </w:p>
              </w:tc>
              <w:tc>
                <w:tcPr>
                  <w:tcW w:w="1636"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rPr>
                      <w:rFonts w:ascii="Arial" w:hAnsi="Arial"/>
                      <w:sz w:val="20"/>
                      <w:szCs w:val="20"/>
                    </w:rPr>
                  </w:pPr>
                  <w:r>
                    <w:rPr>
                      <w:rFonts w:ascii="Arial" w:hAnsi="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0"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tc>
      </w:tr>
      <w:tr>
        <w:trPr>
          <w:tblHeader w:val="0"/>
          <w:cantSplit w:val="0"/>
          <w:trHeight w:val="492" w:hRule="atLeast"/>
        </w:trPr>
        <w:tc>
          <w:tcPr>
            <w:tcW w:w="5244" w:type="dxa"/>
            <w:gridSpan w:val="3"/>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left="0" w:right="34" w:firstLine="0"/>
              <w:rPr>
                <w:rFonts w:ascii="Arial" w:hAnsi="Arial" w:cs="Arial"/>
                <w:sz w:val="22"/>
                <w:szCs w:val="22"/>
              </w:rPr>
            </w:pPr>
            <w:r>
              <w:rPr>
                <w:rFonts w:ascii="Arial" w:hAnsi="Arial" w:cs="Arial"/>
                <w:sz w:val="22"/>
                <w:szCs w:val="22"/>
              </w:rPr>
              <w:t>Marker’s signature:</w:t>
            </w:r>
          </w:p>
          <w:p>
            <w:pPr>
              <w:pStyle w:val="para4"/>
              <w:ind w:left="0" w:right="34" w:firstLine="0"/>
              <w:rPr>
                <w:rFonts w:ascii="Arial" w:hAnsi="Arial" w:cs="Arial"/>
                <w:sz w:val="22"/>
                <w:szCs w:val="22"/>
              </w:rPr>
            </w:pPr>
            <w:r>
              <w:rPr>
                <w:rFonts w:ascii="Arial" w:hAnsi="Arial" w:cs="Arial"/>
                <w:sz w:val="22"/>
                <w:szCs w:val="22"/>
              </w:rPr>
            </w:r>
          </w:p>
        </w:tc>
        <w:tc>
          <w:tcPr>
            <w:tcW w:w="3612"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left="0" w:right="34" w:firstLine="0"/>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8856"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spacing w:before="0" w:after="0" w:beforeAutospacing="0" w:afterAutospacing="0"/>
              <w:rPr>
                <w:rFonts w:ascii="Arial" w:hAnsi="Arial" w:cs="Arial"/>
                <w:b/>
                <w:bCs/>
                <w:sz w:val="22"/>
                <w:szCs w:val="22"/>
              </w:rPr>
            </w:pPr>
            <w:r>
              <w:rPr>
                <w:rFonts w:ascii="Arial" w:hAnsi="Arial" w:cs="Arial"/>
                <w:b/>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11"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8856"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cs="Arial"/>
                <w:b/>
              </w:rPr>
            </w:pPr>
            <w:r>
              <w:rPr>
                <w:rFonts w:ascii="Arial" w:hAnsi="Arial" w:cs="Arial"/>
                <w:b/>
              </w:rPr>
              <w:t>External Examiner’s comments (if relevant)</w:t>
            </w:r>
          </w:p>
          <w:p>
            <w:pPr>
              <w:ind w:firstLine="0"/>
              <w:rPr>
                <w:rFonts w:ascii="Arial" w:hAnsi="Arial" w:cs="Arial"/>
                <w:b/>
              </w:rPr>
            </w:pPr>
            <w:r>
              <w:rPr>
                <w:rFonts w:ascii="Arial" w:hAnsi="Arial" w:cs="Arial"/>
                <w:b/>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11"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cs="Arial"/>
              </w:rPr>
            </w:pPr>
            <w:r>
              <w:rPr>
                <w:rFonts w:ascii="Arial" w:hAnsi="Arial" w:cs="Arial"/>
              </w:rPr>
              <w:t>External Examiner’s Signature:</w:t>
            </w:r>
          </w:p>
          <w:p>
            <w:pPr>
              <w:ind w:firstLine="0"/>
              <w:rPr>
                <w:rFonts w:ascii="Arial" w:hAnsi="Arial" w:cs="Arial"/>
              </w:rPr>
            </w:pPr>
            <w:r>
              <w:rPr>
                <w:rFonts w:ascii="Arial" w:hAnsi="Arial" w:cs="Arial"/>
              </w:rPr>
            </w:r>
          </w:p>
        </w:tc>
        <w:tc>
          <w:tcPr>
            <w:tcW w:w="3645" w:type="dxa"/>
            <w:gridSpan w:val="3"/>
            <w:tcBorders>
              <w:top w:val="single" w:sz="4" w:space="0" w:color="000000" tmln="10, 20, 20, 0, 0"/>
              <w:left w:val="single" w:sz="4" w:space="0" w:color="000000" tmln="10, 20, 20, 0, 0"/>
              <w:bottom w:val="single" w:sz="4" w:space="0" w:color="000000" tmln="10, 20, 20, 0, 0"/>
              <w:right w:val="single" w:sz="4" w:space="0" w:color="000000" tmln="10, 20, 20, 0, 0"/>
            </w:tcBorders>
            <w:tmTcPr id="1762451874" protected="0"/>
          </w:tcPr>
          <w:p>
            <w:pPr>
              <w:ind w:firstLine="0"/>
              <w:rPr>
                <w:rFonts w:ascii="Arial" w:hAnsi="Arial" w:cs="Arial"/>
              </w:rPr>
            </w:pPr>
            <w:r>
              <w:rPr>
                <w:rFonts w:ascii="Arial" w:hAnsi="Arial" w:cs="Arial"/>
              </w:rPr>
              <w:t>Date:</w:t>
            </w:r>
          </w:p>
        </w:tc>
      </w:tr>
    </w:tbl>
    <w:p>
      <w:r/>
    </w:p>
    <w:p>
      <w:pPr>
        <w:pStyle w:val="para7"/>
      </w:pPr>
      <w:r>
        <w:br w:type="page"/>
      </w:r>
      <w:r>
        <w:t xml:space="preserve">A Critical Comparison of Mircea Eliade and </w:t>
      </w:r>
      <w:r>
        <w:rPr>
          <w:lang w:bidi="ar-sa"/>
        </w:rPr>
        <w:t>Émile</w:t>
      </w:r>
      <w:r>
        <w:t xml:space="preserve"> Durkheim’s Views of Sacred Space</w:t>
      </w:r>
    </w:p>
    <w:p>
      <w:pPr>
        <w:pStyle w:val="para8"/>
      </w:pPr>
      <w:r>
        <w:t>Introduction</w:t>
      </w:r>
    </w:p>
    <w:p>
      <w:pPr>
        <w:ind w:firstLine="0"/>
      </w:pPr>
      <w:r>
        <w:t xml:space="preserve">This paper will critically compare and contrast the views of Sacred Space of Mircea Eliade (1907-1986) and </w:t>
      </w:r>
      <w:r>
        <w:rPr>
          <w:sz w:val="20"/>
          <w:szCs w:val="20"/>
        </w:rPr>
        <w:t>Émile</w:t>
      </w:r>
      <w:r>
        <w:t xml:space="preserve"> Durkheim (1858-1817) contained within the following: ‘The Sacred and the Profane’</w:t>
      </w:r>
      <w:r>
        <w:rPr>
          <w:rStyle w:val="char3"/>
        </w:rPr>
      </w:r>
      <w:r>
        <w:rPr>
          <w:rStyle w:val="char3"/>
        </w:rPr>
        <w:footnoteReference w:id="7"/>
      </w:r>
      <w:r>
        <w:t>, and ‘The Elementary Forms Of The Religious Life’</w:t>
      </w:r>
      <w:r>
        <w:rPr>
          <w:rStyle w:val="char3"/>
        </w:rPr>
      </w:r>
      <w:r>
        <w:rPr>
          <w:rStyle w:val="char3"/>
        </w:rPr>
        <w:footnoteReference w:id="8"/>
      </w:r>
      <w:r>
        <w:t>, respectively.</w:t>
      </w:r>
    </w:p>
    <w:p>
      <w:r>
        <w:t>Durkheim was Chair of Science of Education and Sociology at the Sorbonne. His major works are The Division of Labor in Society (1893); The Rules of Sociological Method (1895); Suicide (1897), and The Elementary Forms of the Religious Life (1912)</w:t>
      </w:r>
      <w:r>
        <w:rPr>
          <w:rStyle w:val="char3"/>
        </w:rPr>
      </w:r>
      <w:r>
        <w:rPr>
          <w:rStyle w:val="char3"/>
        </w:rPr>
        <w:footnoteReference w:id="9"/>
      </w:r>
      <w:r>
        <w:t xml:space="preserve">. </w:t>
      </w:r>
    </w:p>
    <w:p>
      <w:r>
        <w:t>Eliade was Professor of Divinity School at the University of Chicago</w:t>
      </w:r>
      <w:r>
        <w:rPr>
          <w:rStyle w:val="char3"/>
        </w:rPr>
      </w:r>
      <w:r>
        <w:rPr>
          <w:rStyle w:val="char3"/>
        </w:rPr>
        <w:footnoteReference w:id="10"/>
      </w:r>
      <w:r>
        <w:t>. His most relevant works include Patterns in Comparative Religion (1956); The Sacred and The Profane: The Nature of Religion (1957); A History of Religious Ideas Vol 1. (1978),  2. (1982) and 3 (1985).</w:t>
      </w:r>
    </w:p>
    <w:p>
      <w:r>
        <w:t xml:space="preserve">This essay will consider three topics: 1. the definitions of ‘Sacred’ and ‘Space’, 2. how these definitions form the concept of ‘sacred space’, and 3. the duality that underpins such thinking. </w:t>
      </w:r>
    </w:p>
    <w:p>
      <w:pPr>
        <w:pStyle w:val="para8"/>
      </w:pPr>
      <w:r>
        <w:t>Discussion</w:t>
      </w:r>
    </w:p>
    <w:p>
      <w:pPr>
        <w:ind w:firstLine="0"/>
      </w:pPr>
      <w:r>
        <w:t>Language is not universal in the sense that words used day-to-day acquire different meanings depending on the person wielding them and why they are using them. An understanding of the definitions applied by Durkheim and Eliade to the concepts used in their works is essential to understanding their attitudes and academic approach to the nature of sacred space as words may cause confusion if it is assumed the theorists apply similar and consistent meanings in their works.</w:t>
      </w:r>
    </w:p>
    <w:p>
      <w:pPr>
        <w:pStyle w:val="para1"/>
      </w:pPr>
      <w:r>
        <w:t>Language of the Sacred</w:t>
      </w:r>
    </w:p>
    <w:p>
      <w:r>
        <w:t>The Oxford English Dictionary defines the word Sacred as ’</w:t>
      </w:r>
      <w:r>
        <w:rPr>
          <w:i/>
          <w:iCs/>
        </w:rPr>
        <w:t>1. connected with a god or goddess and treated as holy. 2 (of writings) relating to the teachings of a religion. 3. religious: sacred music</w:t>
      </w:r>
      <w:r>
        <w:t>’</w:t>
      </w:r>
      <w:r>
        <w:rPr>
          <w:rStyle w:val="char3"/>
        </w:rPr>
      </w:r>
      <w:r>
        <w:rPr>
          <w:rStyle w:val="char3"/>
        </w:rPr>
        <w:footnoteReference w:id="11"/>
      </w:r>
      <w:r>
        <w:t>. Likewise, Profane in the same volume is given to mean ’</w:t>
      </w:r>
      <w:r>
        <w:rPr>
          <w:i/>
          <w:iCs/>
        </w:rPr>
        <w:t>1 not holy or religious: topics both sacred and profane. 2 not showing respect for God or holy things.</w:t>
      </w:r>
      <w:r>
        <w:rPr>
          <w:rStyle w:val="char3"/>
        </w:rPr>
      </w:r>
      <w:r>
        <w:rPr>
          <w:rStyle w:val="char3"/>
        </w:rPr>
        <w:footnoteReference w:id="12"/>
      </w:r>
      <w:r>
        <w:t>’. Each of these definitions assumes the reader has an understanding of a supreme being called God or Goddess and which is assumed to be ‘holy’.</w:t>
      </w:r>
    </w:p>
    <w:p>
      <w:r>
        <w:t>Initially, Eliade defines sacred as ‘the opposite of the profane’</w:t>
      </w:r>
      <w:r>
        <w:rPr>
          <w:rStyle w:val="char3"/>
        </w:rPr>
      </w:r>
      <w:r>
        <w:rPr>
          <w:rStyle w:val="char3"/>
        </w:rPr>
        <w:footnoteReference w:id="13"/>
      </w:r>
      <w:r>
        <w:t xml:space="preserve"> (and vice versa) which is hardly a definition more a simple oppositional statement. It is In his ‘Ordeal by Labyrinth’, that Eliade </w:t>
      </w:r>
      <w:r>
        <w:rPr>
          <w:i/>
          <w:iCs/>
        </w:rPr>
        <w:t xml:space="preserve">explicitly </w:t>
      </w:r>
      <w:r>
        <w:t xml:space="preserve">defines the sacred as </w:t>
      </w:r>
      <w:r>
        <w:rPr>
          <w:i/>
          <w:iCs/>
        </w:rPr>
        <w:t>’[..] the revelation of the real, an encounter with that which saves us by giving meaning to our existence.’</w:t>
      </w:r>
      <w:r>
        <w:rPr>
          <w:rStyle w:val="char3"/>
        </w:rPr>
      </w:r>
      <w:r>
        <w:rPr>
          <w:rStyle w:val="char3"/>
        </w:rPr>
        <w:footnoteReference w:id="14"/>
      </w:r>
      <w:r>
        <w:t>. In this definition he rejects the dictionary definitions that have the sacred connected to a divine deity.</w:t>
      </w:r>
    </w:p>
    <w:p>
      <w:r>
        <w:t>In The Sacred and Profane, Eliade offers four descriptions of the sacred. The first is that it is the opposite of the profane; the second is that it is the experience of a break (in the homogenous nature of space) which differentiates it from the mass by some sacred liminal experience he terms the ‘</w:t>
      </w:r>
      <w:r>
        <w:rPr>
          <w:i/>
          <w:iCs/>
        </w:rPr>
        <w:t>hierophany</w:t>
      </w:r>
      <w:r>
        <w:t>’</w:t>
      </w:r>
      <w:r>
        <w:rPr>
          <w:rStyle w:val="char3"/>
        </w:rPr>
      </w:r>
      <w:r>
        <w:rPr>
          <w:rStyle w:val="char3"/>
        </w:rPr>
        <w:footnoteReference w:id="15"/>
      </w:r>
      <w:r>
        <w:t xml:space="preserve">; his third is that it presents as an </w:t>
      </w:r>
      <w:r>
        <w:rPr>
          <w:i/>
          <w:iCs/>
        </w:rPr>
        <w:t>‘absolute fixed point, a center’</w:t>
      </w:r>
      <w:r>
        <w:rPr>
          <w:rStyle w:val="char3"/>
        </w:rPr>
      </w:r>
      <w:r>
        <w:rPr>
          <w:rStyle w:val="char3"/>
        </w:rPr>
        <w:footnoteReference w:id="16"/>
      </w:r>
      <w:r>
        <w:t xml:space="preserve">; and finally, as </w:t>
      </w:r>
      <w:r>
        <w:rPr>
          <w:i/>
          <w:iCs/>
        </w:rPr>
        <w:t>‘[..] the only real and real-ly existing space</w:t>
      </w:r>
      <w:r>
        <w:t>.’</w:t>
      </w:r>
      <w:r>
        <w:rPr>
          <w:rStyle w:val="char3"/>
        </w:rPr>
      </w:r>
      <w:r>
        <w:rPr>
          <w:rStyle w:val="char3"/>
        </w:rPr>
        <w:footnoteReference w:id="17"/>
      </w:r>
      <w:r>
        <w:t>.</w:t>
      </w:r>
    </w:p>
    <w:p>
      <w:r>
        <w:t xml:space="preserve">Durkheim acknowledges that a lack of definitions is likely to result in </w:t>
      </w:r>
      <w:r>
        <w:rPr>
          <w:i/>
          <w:iCs/>
        </w:rPr>
        <w:t>’[..] giving the name (religion) to a system of ideas and practices which has nothing at all religious about it, or else leaving to one side many religious facts, without perceiving their true nature.’</w:t>
      </w:r>
      <w:r>
        <w:rPr>
          <w:rStyle w:val="char3"/>
        </w:rPr>
      </w:r>
      <w:r>
        <w:rPr>
          <w:rStyle w:val="char3"/>
        </w:rPr>
        <w:footnoteReference w:id="18"/>
      </w:r>
      <w:r>
        <w:t xml:space="preserve"> as a result his definition of the sacred is given as</w:t>
      </w:r>
    </w:p>
    <w:p>
      <w:pPr>
        <w:pStyle w:val="para10"/>
      </w:pPr>
      <w:r>
        <w:t xml:space="preserve"> ’.. the beliefs, myths, dogmas and legends are either representations or systems of representations which express the nature of sacred things, the virtues and powers which are attributed to them, or their relations with each other and with profane things.’</w:t>
      </w:r>
      <w:r>
        <w:rPr>
          <w:rStyle w:val="char3"/>
          <w:i w:val="0"/>
          <w:iCs w:val="0"/>
        </w:rPr>
      </w:r>
      <w:r>
        <w:rPr>
          <w:rStyle w:val="char3"/>
          <w:i w:val="0"/>
          <w:iCs w:val="0"/>
        </w:rPr>
        <w:footnoteReference w:id="19"/>
      </w:r>
      <w:r>
        <w:t xml:space="preserve"> </w:t>
      </w:r>
    </w:p>
    <w:p>
      <w:r>
        <w:t>Like Eliade, Durkheim also refers to the duality present in religious beliefs and was the first to use the terms sacred and profane to describe this separation. He says ‘</w:t>
      </w:r>
      <w:r>
        <w:rPr>
          <w:i/>
          <w:iCs/>
        </w:rPr>
        <w:t>This division of the world into two domains, the one containing all that is sacred, the other all that is profane, is the distinctive trait of religious thought</w:t>
      </w:r>
      <w:r>
        <w:t>’</w:t>
      </w:r>
      <w:r>
        <w:rPr>
          <w:rStyle w:val="char3"/>
        </w:rPr>
      </w:r>
      <w:r>
        <w:rPr>
          <w:rStyle w:val="char3"/>
        </w:rPr>
        <w:footnoteReference w:id="20"/>
      </w:r>
      <w:r>
        <w:t xml:space="preserve"> this statement layers onto an object a religious or sacred quality</w:t>
      </w:r>
      <w:r>
        <w:rPr>
          <w:rStyle w:val="char3"/>
        </w:rPr>
      </w:r>
      <w:r>
        <w:rPr>
          <w:rStyle w:val="char3"/>
        </w:rPr>
        <w:footnoteReference w:id="21"/>
      </w:r>
      <w:r>
        <w:t>. However, unlike Eliade he believes that the sacred arises as a ‘</w:t>
      </w:r>
      <w:r>
        <w:rPr>
          <w:i/>
          <w:iCs/>
        </w:rPr>
        <w:t>[..] sensation of the divine in minds [..]</w:t>
      </w:r>
      <w:r>
        <w:rPr>
          <w:rStyle w:val="char3"/>
        </w:rPr>
      </w:r>
      <w:r>
        <w:rPr>
          <w:rStyle w:val="char3"/>
        </w:rPr>
        <w:footnoteReference w:id="22"/>
      </w:r>
      <w:r>
        <w:t xml:space="preserve">. In other words it is not ‘real’, it is a human construct. According to Robert Nisbet (1913-96) in the introduction to his translation of </w:t>
      </w:r>
      <w:r>
        <w:rPr>
          <w:i/>
          <w:iCs/>
        </w:rPr>
        <w:t>Forms</w:t>
      </w:r>
      <w:r>
        <w:t>, a nascent form of this idea had first appeared in ‘</w:t>
      </w:r>
      <w:r>
        <w:rPr>
          <w:i/>
          <w:iCs/>
        </w:rPr>
        <w:t>The Division of Labour in Society</w:t>
      </w:r>
      <w:r>
        <w:t xml:space="preserve">’ where Durkheim </w:t>
      </w:r>
      <w:r>
        <w:rPr>
          <w:i/>
          <w:iCs/>
        </w:rPr>
        <w:t>‘had declared religion a necessary and vital force in social stability, an indispensable means of social constraint’</w:t>
      </w:r>
      <w:r>
        <w:rPr>
          <w:rStyle w:val="char3"/>
        </w:rPr>
      </w:r>
      <w:r>
        <w:rPr>
          <w:rStyle w:val="char3"/>
        </w:rPr>
        <w:footnoteReference w:id="23"/>
      </w:r>
      <w:r>
        <w:t>.</w:t>
      </w:r>
    </w:p>
    <w:p>
      <w:r>
        <w:t>This concept is reflected contemporaneously in the words of researchers such as Paul Devereux who, in an introduction to Sacred Geography discusses the nature of neo-paganism and neo-shamanism as:</w:t>
      </w:r>
    </w:p>
    <w:p>
      <w:pPr>
        <w:pStyle w:val="para10"/>
      </w:pPr>
      <w:r>
        <w:t>’[..] ‘neo’ because no-one today, certainly no Westerner, can quite recover the state of mind, sociological structuring and environmental conditions that occurred in authentic, traditional forms of paganism and shamanism’</w:t>
      </w:r>
      <w:r>
        <w:rPr>
          <w:rStyle w:val="char3"/>
          <w:i w:val="0"/>
          <w:iCs w:val="0"/>
        </w:rPr>
      </w:r>
      <w:r>
        <w:rPr>
          <w:rStyle w:val="char3"/>
          <w:i w:val="0"/>
          <w:iCs w:val="0"/>
        </w:rPr>
        <w:footnoteReference w:id="24"/>
      </w:r>
      <w:r>
        <w:t>.</w:t>
      </w:r>
    </w:p>
    <w:p>
      <w:r>
        <w:t>He goes on to explain that this renders contemporary (Western) attempts at such acts as ‘</w:t>
      </w:r>
      <w:r>
        <w:rPr>
          <w:i/>
          <w:iCs/>
        </w:rPr>
        <w:t>wish fulfillment and theatrics</w:t>
      </w:r>
      <w:r>
        <w:t>’</w:t>
      </w:r>
      <w:r>
        <w:rPr>
          <w:rStyle w:val="char3"/>
        </w:rPr>
      </w:r>
      <w:r>
        <w:rPr>
          <w:rStyle w:val="char3"/>
        </w:rPr>
        <w:footnoteReference w:id="25"/>
      </w:r>
      <w:r>
        <w:t>. However, it would be misleading to assume that Devereux is fully Durkheimian as he is clear that in the truly shamanic cultures the ‘</w:t>
      </w:r>
      <w:r>
        <w:rPr>
          <w:i/>
          <w:iCs/>
        </w:rPr>
        <w:t xml:space="preserve">geomantic omphalos </w:t>
      </w:r>
      <w:r>
        <w:t>[Eliade’s world centre]</w:t>
      </w:r>
      <w:r>
        <w:rPr>
          <w:i/>
          <w:iCs/>
        </w:rPr>
        <w:t xml:space="preserve"> was simultaneously a physical and mental location</w:t>
      </w:r>
      <w:r>
        <w:t>’</w:t>
      </w:r>
      <w:r>
        <w:rPr>
          <w:rStyle w:val="char3"/>
        </w:rPr>
      </w:r>
      <w:r>
        <w:rPr>
          <w:rStyle w:val="char3"/>
        </w:rPr>
        <w:footnoteReference w:id="26"/>
      </w:r>
      <w:r>
        <w:t>, thereby demonstrating a fusion of both theoretical concepts into his work.</w:t>
      </w:r>
    </w:p>
    <w:p>
      <w:r>
        <w:t>Neither author appears to agree with the dictionary definition of sacred yet their definitions, such as they are, are profoundly different. It seems clear that Eliade understands the sacred to be something other than human, ‘the real’; whilst for Durkheim it is explicitly human oriented.</w:t>
      </w:r>
    </w:p>
    <w:p>
      <w:pPr>
        <w:pStyle w:val="para1"/>
      </w:pPr>
      <w:r>
        <w:t>Language of Space</w:t>
      </w:r>
    </w:p>
    <w:p>
      <w:pPr>
        <w:ind w:firstLine="0"/>
      </w:pPr>
      <w:r>
        <w:t>According to the Paperback Oxford English Dictionary, Space is defined as:</w:t>
      </w:r>
    </w:p>
    <w:p>
      <w:pPr>
        <w:pStyle w:val="para10"/>
      </w:pPr>
      <w:r>
        <w:t>“1. a continuous area that is free or unoccupied. 2 the dimensions height, depth and width within which all things exist and move. 3 (also outer space) the physical universe beyond the earth’s atmosphere. 4 an interval of time. 5 the freedom to live and develop as you wish.”</w:t>
      </w:r>
      <w:r>
        <w:rPr>
          <w:rStyle w:val="char3"/>
          <w:i w:val="0"/>
          <w:iCs w:val="0"/>
        </w:rPr>
      </w:r>
      <w:r>
        <w:rPr>
          <w:rStyle w:val="char3"/>
          <w:i w:val="0"/>
          <w:iCs w:val="0"/>
        </w:rPr>
        <w:footnoteReference w:id="27"/>
      </w:r>
      <w:r/>
    </w:p>
    <w:p>
      <w:r>
        <w:t xml:space="preserve">These definitions present a complexity that becomes apparent when we consider the works of Eliade and Durkheim. This complexity is described by Ilaria Christofaro as ‘ </w:t>
      </w:r>
      <w:r>
        <w:rPr>
          <w:i/>
          <w:iCs/>
        </w:rPr>
        <w:t>[..] ‘space’ firstly involves both the notion of physical place, that is a site that the individual can access materially, and any abstract dimension, like the inner world.’</w:t>
      </w:r>
      <w:r>
        <w:rPr>
          <w:rStyle w:val="char3"/>
        </w:rPr>
      </w:r>
      <w:r>
        <w:rPr>
          <w:rStyle w:val="char3"/>
        </w:rPr>
        <w:footnoteReference w:id="28"/>
      </w:r>
      <w:r>
        <w:t>. Therefore space is anything and everything, it is not discrete and as a result cannot be definitively agreed upon. Indeed, this lack of discretion is evidenced across specialisms where for example, the fantasy author Alan Garner, in his autobiography, introduces the idea of ‘</w:t>
      </w:r>
      <w:r>
        <w:rPr>
          <w:i/>
          <w:iCs/>
        </w:rPr>
        <w:t>mythic space</w:t>
      </w:r>
      <w:r>
        <w:t>’ as a way of seeing multiple realities not bound by the idea of time and space as linear</w:t>
      </w:r>
      <w:r>
        <w:rPr>
          <w:rStyle w:val="char3"/>
        </w:rPr>
      </w:r>
      <w:r>
        <w:rPr>
          <w:rStyle w:val="char3"/>
        </w:rPr>
        <w:footnoteReference w:id="29"/>
      </w:r>
      <w:r>
        <w:t>. This reflects the way in which Eliade conceives of space evidenced by the index of ‘The Sacred and The Profane’ which offers the idea that space is ‘</w:t>
      </w:r>
      <w:r>
        <w:rPr>
          <w:i/>
          <w:iCs/>
        </w:rPr>
        <w:t>amorphous, geometric, homogeneous, nonhomogeneous, relative and sacred</w:t>
      </w:r>
      <w:r>
        <w:t>’</w:t>
      </w:r>
      <w:r>
        <w:rPr>
          <w:rStyle w:val="char3"/>
        </w:rPr>
      </w:r>
      <w:r>
        <w:rPr>
          <w:rStyle w:val="char3"/>
        </w:rPr>
        <w:footnoteReference w:id="30"/>
      </w:r>
      <w:r>
        <w:t xml:space="preserve">. Each of these correlates in some way with the dictionary definition offered above, and yet when examined more closely these words reflect an essential element of Eliade’s interpretation of the concept of space, which is that it is dualistic and can be experienced in two very different ways. </w:t>
      </w:r>
    </w:p>
    <w:p>
      <w:r>
        <w:t>For example, he considers space that is ‘</w:t>
      </w:r>
      <w:r>
        <w:rPr>
          <w:i/>
          <w:iCs/>
        </w:rPr>
        <w:t xml:space="preserve">homogenous and neutral; </w:t>
      </w:r>
      <w:r>
        <w:t>[with]</w:t>
      </w:r>
      <w:r>
        <w:rPr>
          <w:i/>
          <w:iCs/>
        </w:rPr>
        <w:t xml:space="preserve"> no break </w:t>
      </w:r>
      <w:r>
        <w:t>[that]</w:t>
      </w:r>
      <w:r>
        <w:rPr>
          <w:i/>
          <w:iCs/>
        </w:rPr>
        <w:t xml:space="preserve"> qualitatively differentiates the various parts of its mass</w:t>
      </w:r>
      <w:r>
        <w:t>’</w:t>
      </w:r>
      <w:r>
        <w:rPr>
          <w:rStyle w:val="char3"/>
        </w:rPr>
      </w:r>
      <w:r>
        <w:rPr>
          <w:rStyle w:val="char3"/>
        </w:rPr>
        <w:footnoteReference w:id="31"/>
      </w:r>
      <w:r>
        <w:t xml:space="preserve"> to be profane. He also considers this type of space to be the ‘amorphous mass’ through which humanity experiences and obeys the demands associated with the machine like existence of industrial society</w:t>
      </w:r>
      <w:r>
        <w:rPr>
          <w:rStyle w:val="char3"/>
        </w:rPr>
      </w:r>
      <w:r>
        <w:rPr>
          <w:rStyle w:val="char3"/>
        </w:rPr>
        <w:footnoteReference w:id="32"/>
      </w:r>
      <w:r>
        <w:t xml:space="preserve">. </w:t>
      </w:r>
    </w:p>
    <w:p>
      <w:r>
        <w:t xml:space="preserve">Although he accepts that an area of space can be </w:t>
      </w:r>
      <w:r>
        <w:rPr>
          <w:i/>
          <w:iCs/>
        </w:rPr>
        <w:t>‘cut and delimited in any direction’</w:t>
      </w:r>
      <w:r>
        <w:rPr>
          <w:rStyle w:val="char3"/>
        </w:rPr>
      </w:r>
      <w:r>
        <w:rPr>
          <w:rStyle w:val="char3"/>
        </w:rPr>
        <w:footnoteReference w:id="33"/>
      </w:r>
      <w:r>
        <w:t>, a subtle nod to the geometric aspects of space humanity has come to associate with buildings, for example; he believes this concept offers no differentiation and thus it too becomes homogenous</w:t>
      </w:r>
      <w:r>
        <w:rPr>
          <w:rStyle w:val="char3"/>
        </w:rPr>
      </w:r>
      <w:r>
        <w:rPr>
          <w:rStyle w:val="char3"/>
        </w:rPr>
        <w:footnoteReference w:id="34"/>
      </w:r>
      <w:r>
        <w:t>.</w:t>
      </w:r>
    </w:p>
    <w:p>
      <w:r>
        <w:t>Instead, it appears that Eliade associates the nonhomogeneous space with the sacred precisely because it cannot be ordered by the human world</w:t>
      </w:r>
      <w:r>
        <w:rPr>
          <w:rStyle w:val="char3"/>
        </w:rPr>
      </w:r>
      <w:r>
        <w:rPr>
          <w:rStyle w:val="char3"/>
        </w:rPr>
        <w:footnoteReference w:id="35"/>
      </w:r>
      <w:r>
        <w:t xml:space="preserve">. Despite this, he does acknowledge that some parts of profane space may have a </w:t>
      </w:r>
      <w:r>
        <w:rPr>
          <w:i/>
          <w:iCs/>
        </w:rPr>
        <w:t>religiosity</w:t>
      </w:r>
      <w:r>
        <w:t xml:space="preserve"> about them which is acquired as a result of being associated with some special circumstance that is particular to one or more individuals</w:t>
      </w:r>
      <w:r>
        <w:rPr>
          <w:rStyle w:val="char3"/>
        </w:rPr>
      </w:r>
      <w:r>
        <w:rPr>
          <w:rStyle w:val="char3"/>
        </w:rPr>
        <w:footnoteReference w:id="36"/>
      </w:r>
      <w:r>
        <w:t xml:space="preserve">. </w:t>
      </w:r>
    </w:p>
    <w:p>
      <w:r>
        <w:t>Durkheim’s index by contrast to Eliade contains a single entry for space making its social construct clear, it is listed as ‘</w:t>
      </w:r>
      <w:r>
        <w:rPr>
          <w:i/>
          <w:iCs/>
        </w:rPr>
        <w:t>Space, category of, religious and social origin of</w:t>
      </w:r>
      <w:r>
        <w:t>, [..].</w:t>
      </w:r>
      <w:r>
        <w:rPr>
          <w:rStyle w:val="char3"/>
        </w:rPr>
      </w:r>
      <w:r>
        <w:rPr>
          <w:rStyle w:val="char3"/>
        </w:rPr>
        <w:footnoteReference w:id="37"/>
      </w:r>
      <w:r>
        <w:t>. Reviewing this listing demonstrates that he believes space to be ‘</w:t>
      </w:r>
      <w:r>
        <w:rPr>
          <w:i/>
          <w:iCs/>
        </w:rPr>
        <w:t>a primary co-ordination of the data of sensuous experience</w:t>
      </w:r>
      <w:r>
        <w:t>’</w:t>
      </w:r>
      <w:r>
        <w:rPr>
          <w:rStyle w:val="char3"/>
        </w:rPr>
      </w:r>
      <w:r>
        <w:rPr>
          <w:rStyle w:val="char3"/>
        </w:rPr>
        <w:footnoteReference w:id="38"/>
      </w:r>
      <w:r>
        <w:t>, going on to explain this is only possible if it can be divided into something like the dimensions referred to in the dictionary definition above</w:t>
      </w:r>
      <w:r>
        <w:rPr>
          <w:rStyle w:val="char3"/>
        </w:rPr>
      </w:r>
      <w:r>
        <w:rPr>
          <w:rStyle w:val="char3"/>
        </w:rPr>
        <w:footnoteReference w:id="39"/>
      </w:r>
      <w:r>
        <w:t xml:space="preserve"> rendering some spaces qualitatively different and not interchangeable</w:t>
      </w:r>
      <w:r>
        <w:rPr>
          <w:rStyle w:val="char3"/>
        </w:rPr>
      </w:r>
      <w:r>
        <w:rPr>
          <w:rStyle w:val="char3"/>
        </w:rPr>
        <w:footnoteReference w:id="40"/>
      </w:r>
      <w:r>
        <w:t>.</w:t>
      </w:r>
    </w:p>
    <w:p>
      <w:pPr>
        <w:pStyle w:val="para1"/>
      </w:pPr>
      <w:r>
        <w:t>The nature of ‘Sacred Space’</w:t>
      </w:r>
    </w:p>
    <w:p>
      <w:pPr>
        <w:ind w:firstLine="0"/>
      </w:pPr>
      <w:r>
        <w:t>Bringing the two sets of definitions together the reader is able to sense what is meant by the term ‘sacred space’ for each theorist. Both are representative of Clifford Geertz’s (1926-2006) ‘</w:t>
      </w:r>
      <w:r>
        <w:rPr>
          <w:i/>
          <w:iCs/>
        </w:rPr>
        <w:t>thick description</w:t>
      </w:r>
      <w:r>
        <w:t>’ of the ‘</w:t>
      </w:r>
      <w:r>
        <w:rPr>
          <w:i/>
          <w:iCs/>
        </w:rPr>
        <w:t>[..] multiplicity of complex conceptual structures, many of them superimposed upon or knotted into one another, which are at once strange, irregular, and inexplicit [..]</w:t>
      </w:r>
      <w:r>
        <w:t>’</w:t>
      </w:r>
      <w:r>
        <w:rPr>
          <w:rStyle w:val="char3"/>
        </w:rPr>
      </w:r>
      <w:r>
        <w:rPr>
          <w:rStyle w:val="char3"/>
        </w:rPr>
        <w:footnoteReference w:id="41"/>
      </w:r>
      <w:r>
        <w:t>.</w:t>
      </w:r>
    </w:p>
    <w:p>
      <w:r>
        <w:t>For Eliade, it is clear that the sacred is something other than human, it is qualitatively different from ordinary life and is experienced as a moment of ‘hierophany’, where the veil is ripped away and something liminal is sensed. These experiences, he explains, frequently occur at the threshold between the two modes of being he has identified as sacred and profane and is summed up in the following statement: ‘</w:t>
      </w:r>
      <w:r>
        <w:rPr>
          <w:i/>
          <w:iCs/>
        </w:rPr>
        <w:t>Every sacred space implies a hierophany, an irruption of the sacred that results in detaching a territory from the surrounding cosmic milieu and making it qualitatively different’</w:t>
      </w:r>
      <w:r>
        <w:rPr>
          <w:rStyle w:val="char3"/>
        </w:rPr>
      </w:r>
      <w:r>
        <w:rPr>
          <w:rStyle w:val="char3"/>
        </w:rPr>
        <w:footnoteReference w:id="42"/>
      </w:r>
      <w:r>
        <w:t>.</w:t>
      </w:r>
    </w:p>
    <w:p>
      <w:r>
        <w:t>According to Christofario, Eliade’s conception of ‘</w:t>
      </w:r>
      <w:r>
        <w:rPr>
          <w:i/>
          <w:iCs/>
        </w:rPr>
        <w:t>sacred space found its maximum expression in the symbolism of the ‘centre’</w:t>
      </w:r>
      <w:r>
        <w:t>’ to which all humans gravitate because it contains the sum of all things</w:t>
      </w:r>
      <w:r>
        <w:rPr>
          <w:rStyle w:val="char3"/>
        </w:rPr>
      </w:r>
      <w:r>
        <w:rPr>
          <w:rStyle w:val="char3"/>
        </w:rPr>
        <w:footnoteReference w:id="43"/>
      </w:r>
      <w:r>
        <w:t>. Alan Garner also offers a description of what may be the hierophany when he describes ‘</w:t>
      </w:r>
      <w:r>
        <w:rPr>
          <w:i/>
          <w:iCs/>
        </w:rPr>
        <w:t>[..] liminal places are where space and time are weakened and other dimensions may break through.’</w:t>
      </w:r>
      <w:r>
        <w:rPr>
          <w:rStyle w:val="char3"/>
        </w:rPr>
      </w:r>
      <w:r>
        <w:rPr>
          <w:rStyle w:val="char3"/>
        </w:rPr>
        <w:footnoteReference w:id="44"/>
      </w:r>
      <w:r>
        <w:t>. As Belden Lane puts it, ‘</w:t>
      </w:r>
      <w:r>
        <w:rPr>
          <w:i/>
          <w:iCs/>
        </w:rPr>
        <w:t>The sacredness of a place may be highly ephemeral, subjective and hard to define. A special experience that one has at a place perceived to be sacred usually proves to be unrepeatable</w:t>
      </w:r>
      <w:r>
        <w:t>’</w:t>
      </w:r>
      <w:r>
        <w:rPr>
          <w:rStyle w:val="char3"/>
        </w:rPr>
      </w:r>
      <w:r>
        <w:rPr>
          <w:rStyle w:val="char3"/>
        </w:rPr>
        <w:footnoteReference w:id="45"/>
      </w:r>
      <w:r>
        <w:t>.</w:t>
      </w:r>
    </w:p>
    <w:p>
      <w:r>
        <w:t>Durkheim by contrast, proposes that space is limited to a set of physical properties and dimensions into which the sacred is inserted by man to achieve the objective of social cohesion</w:t>
      </w:r>
      <w:r>
        <w:rPr>
          <w:rStyle w:val="char3"/>
        </w:rPr>
      </w:r>
      <w:r>
        <w:rPr>
          <w:rStyle w:val="char3"/>
        </w:rPr>
        <w:footnoteReference w:id="46"/>
      </w:r>
      <w:r>
        <w:t>. Sacred Space becomes therefore, the place in which a series of behaviours and beliefs are conducted and experienced which are consistent with the ideas of the people to whom they are relevant</w:t>
      </w:r>
      <w:r>
        <w:rPr>
          <w:rStyle w:val="char3"/>
        </w:rPr>
      </w:r>
      <w:r>
        <w:rPr>
          <w:rStyle w:val="char3"/>
        </w:rPr>
        <w:footnoteReference w:id="47"/>
      </w:r>
      <w:r>
        <w:t xml:space="preserve">. And yet, there are also echoes of Eliade in his assertion that the space he occupies holds him at its core; and whilst this is not the same </w:t>
      </w:r>
      <w:r>
        <w:rPr>
          <w:i/>
          <w:iCs/>
        </w:rPr>
        <w:t>sacred space</w:t>
      </w:r>
      <w:r>
        <w:t xml:space="preserve"> that Eliade believes to be the centre of the world, it is however an acknowledgement of importance, that somehow what passes through his life in </w:t>
      </w:r>
      <w:r>
        <w:rPr>
          <w:i/>
          <w:iCs/>
        </w:rPr>
        <w:t>his space</w:t>
      </w:r>
      <w:r>
        <w:t xml:space="preserve"> has personal meaning</w:t>
      </w:r>
      <w:r>
        <w:rPr>
          <w:rStyle w:val="char3"/>
        </w:rPr>
      </w:r>
      <w:r>
        <w:rPr>
          <w:rStyle w:val="char3"/>
        </w:rPr>
        <w:footnoteReference w:id="48"/>
      </w:r>
      <w:r>
        <w:t>. As a result, researchers following the Durkheimian tradition, have suggested that for some places, their sacrality is an objective part of their character which is enabled by the usage and attitude of humanity</w:t>
      </w:r>
      <w:r>
        <w:rPr>
          <w:rStyle w:val="char3"/>
        </w:rPr>
      </w:r>
      <w:r>
        <w:rPr>
          <w:rStyle w:val="char3"/>
        </w:rPr>
        <w:footnoteReference w:id="49"/>
      </w:r>
      <w:r>
        <w:t xml:space="preserve">. </w:t>
      </w:r>
    </w:p>
    <w:p>
      <w:pPr>
        <w:pStyle w:val="para1"/>
      </w:pPr>
      <w:r>
        <w:t>Inherent duality of thinking</w:t>
      </w:r>
    </w:p>
    <w:p>
      <w:pPr>
        <w:ind w:firstLine="0"/>
      </w:pPr>
      <w:r>
        <w:t>It is through the language of Sacred and Profane it becomes apparent that that which separates Durkheim and Eliade, is not as great as that which connects them. Both rely on the same fundamental assumption that the world can be divided into fragments, in this case labeled ‘sacred’ and ‘profane’. This separation can be traced back to Rene Descartes, who, according to Rupert Sheldrake ‘</w:t>
      </w:r>
      <w:r>
        <w:rPr>
          <w:i/>
          <w:iCs/>
        </w:rPr>
        <w:t xml:space="preserve">defined matter as unconscious </w:t>
      </w:r>
      <w:r>
        <w:t>[..]</w:t>
      </w:r>
      <w:r>
        <w:rPr>
          <w:i/>
          <w:iCs/>
        </w:rPr>
        <w:t xml:space="preserve"> and separated consciousness into the realm of spirit, which he defined as immaterial</w:t>
      </w:r>
      <w:r>
        <w:t>’</w:t>
      </w:r>
      <w:r>
        <w:rPr>
          <w:rStyle w:val="char3"/>
        </w:rPr>
      </w:r>
      <w:r>
        <w:rPr>
          <w:rStyle w:val="char3"/>
        </w:rPr>
        <w:footnoteReference w:id="50"/>
      </w:r>
      <w:r>
        <w:t xml:space="preserve">. As a result, all that was immaterial belongs to the realm labeled ‘sacred’ by both theorists, and the material now belongs to that labeled ‘profane’. </w:t>
      </w:r>
    </w:p>
    <w:p>
      <w:pPr>
        <w:ind w:firstLine="0"/>
      </w:pPr>
      <w:r>
        <w:t>As David Bohm (1917-92) points out, ’</w:t>
      </w:r>
      <w:r>
        <w:rPr>
          <w:i/>
          <w:iCs/>
        </w:rPr>
        <w:t>Being guided by a fragmentary self-world view, man then acts in such a way as to try to break himself and the world up, so that all corresponds to his way of thinking</w:t>
      </w:r>
      <w:r>
        <w:t>’</w:t>
      </w:r>
      <w:r>
        <w:rPr>
          <w:rStyle w:val="char3"/>
        </w:rPr>
      </w:r>
      <w:r>
        <w:rPr>
          <w:rStyle w:val="char3"/>
        </w:rPr>
        <w:footnoteReference w:id="51"/>
      </w:r>
      <w:r>
        <w:t>. It appears to be impossible then for Durkheim and Eliade to have conceived of a world in which sacred space was not somehow inherently different, regardless of how they each determined its manifestation.</w:t>
      </w:r>
    </w:p>
    <w:p>
      <w:pPr>
        <w:ind w:firstLine="0"/>
        <w:rPr>
          <w:b/>
          <w:bCs/>
          <w:sz w:val="32"/>
          <w:szCs w:val="32"/>
          <w:lang w:bidi="en-us"/>
        </w:rPr>
      </w:pPr>
      <w:r>
        <w:rPr>
          <w:b/>
          <w:bCs/>
          <w:sz w:val="32"/>
          <w:szCs w:val="32"/>
          <w:lang w:bidi="en-us"/>
        </w:rPr>
        <w:t>Conclusion</w:t>
      </w:r>
    </w:p>
    <w:p>
      <w:pPr>
        <w:ind w:firstLine="0"/>
      </w:pPr>
      <w:r>
        <w:t>This essay set out to compare and contrast the idea of Sacred Space according to two theorists, Mircea Eliade and Émile Durkheim. It has considered the definitions for each word in that phrase, combined those definitions to gain insight into what Sacred Space means for each, and finally noted that their perception of a duality in the experience of sacredness is driven to some degree by the underlying Western assumption of dualism.</w:t>
      </w:r>
    </w:p>
    <w:p>
      <w:r>
        <w:t xml:space="preserve">It is unfortunate that the language used by Eliade and Durkheim combines to create the illusion of a similarity which in practice does not exist. The fact that they both reference the duality of Sacred and Profane does not mean that these terms are understood to be the same thing because they represent wholly different ways of understanding the world, one which is purely human oriented, whilst the other recognises that the human exists within a larger construct. Eliade alludes to this dichotomy when he explains the differences in approach to the history of religion </w:t>
      </w:r>
      <w:r>
        <w:rPr>
          <w:i/>
          <w:iCs/>
        </w:rPr>
        <w:t>’The former seek to understand the essence of religion, the latter to discover and communicate its history’</w:t>
      </w:r>
      <w:r>
        <w:rPr>
          <w:rStyle w:val="char3"/>
        </w:rPr>
      </w:r>
      <w:r>
        <w:rPr>
          <w:rStyle w:val="char3"/>
        </w:rPr>
        <w:footnoteReference w:id="52"/>
      </w:r>
      <w:r>
        <w:t>.</w:t>
      </w:r>
    </w:p>
    <w:p>
      <w:r>
        <w:t>If it is possible to summarise the concept of Sacred Space in a single sentence we might say that for Émile Durkheim the sacred is a bestowal of that attribute upon a location by humanity, whilst Mircea Eliade would suggest it is an intrinsic feature of a location we might refer to as a space.</w:t>
      </w:r>
    </w:p>
    <w:p>
      <w:pPr>
        <w:pStyle w:val="para8"/>
      </w:pPr>
      <w:r>
        <w:br w:type="page"/>
      </w:r>
      <w:r>
        <w:t>Bibliography</w:t>
      </w:r>
    </w:p>
    <w:p>
      <w:pPr>
        <w:pStyle w:val="para9"/>
      </w:pPr>
      <w:r>
        <w:t xml:space="preserve">Bohm, </w:t>
      </w:r>
      <w:r>
        <w:rPr>
          <w:i/>
          <w:iCs/>
        </w:rPr>
        <w:t xml:space="preserve"> D. Wholeness and the Implicate Order</w:t>
      </w:r>
      <w:r>
        <w:t xml:space="preserve"> (London, Routledge Classics, 2009)</w:t>
      </w:r>
    </w:p>
    <w:p>
      <w:pPr>
        <w:pStyle w:val="para9"/>
      </w:pPr>
      <w:r>
        <w:t xml:space="preserve">Christofaro, I. ‘Time and Eternity: Can sacred space change perception of time?’, </w:t>
      </w:r>
      <w:r>
        <w:rPr>
          <w:i/>
          <w:iCs/>
        </w:rPr>
        <w:t>Spica</w:t>
      </w:r>
      <w:r>
        <w:t>, Vol. 3, No. 1, Spring 2015</w:t>
      </w:r>
    </w:p>
    <w:p>
      <w:pPr>
        <w:pStyle w:val="para9"/>
      </w:pPr>
      <w:r>
        <w:t xml:space="preserve">Deveraux, P. </w:t>
      </w:r>
      <w:r>
        <w:rPr>
          <w:i/>
          <w:iCs/>
        </w:rPr>
        <w:t>Secrets of Ancient and Sacred Places</w:t>
      </w:r>
      <w:r>
        <w:t xml:space="preserve">, (London, Brockhampton Press, 1998) </w:t>
      </w:r>
    </w:p>
    <w:p>
      <w:pPr>
        <w:pStyle w:val="para9"/>
      </w:pPr>
      <w:r>
        <w:t xml:space="preserve">Durkheim, E. </w:t>
      </w:r>
      <w:r>
        <w:rPr>
          <w:i/>
          <w:iCs/>
        </w:rPr>
        <w:t>The Elementary Forms Of The Religious Life</w:t>
      </w:r>
      <w:r>
        <w:t>, trans. By Joseph Ward Swain, 2</w:t>
      </w:r>
      <w:r>
        <w:rPr>
          <w:vertAlign w:val="superscript"/>
        </w:rPr>
        <w:t>nd</w:t>
      </w:r>
      <w:r>
        <w:t xml:space="preserve"> edn. (London, George Allen and Unwin Ltd, 1976).</w:t>
      </w:r>
    </w:p>
    <w:p>
      <w:pPr>
        <w:pStyle w:val="para9"/>
      </w:pPr>
      <w:r>
        <w:t xml:space="preserve">Eliade, M. </w:t>
      </w:r>
      <w:r>
        <w:rPr>
          <w:i/>
          <w:iCs/>
        </w:rPr>
        <w:t>The Sacred and The Profane</w:t>
      </w:r>
      <w:r>
        <w:t xml:space="preserve">, trans. By Willard R. Trask (New York, Harcourt Inc, 1959).Mircea Eliade, M. </w:t>
      </w:r>
      <w:r>
        <w:rPr>
          <w:i/>
          <w:iCs/>
        </w:rPr>
        <w:t>Ordeal by Labyrinth: Conversations with Claude-Henri Rocquet</w:t>
      </w:r>
      <w:r>
        <w:t>, trans. Derek Coltman (London, University of Chicago Press,  1982).</w:t>
      </w:r>
    </w:p>
    <w:p>
      <w:pPr>
        <w:pStyle w:val="para9"/>
      </w:pPr>
      <w:r>
        <w:t xml:space="preserve">Garner, A. </w:t>
      </w:r>
      <w:r>
        <w:rPr>
          <w:i/>
          <w:iCs/>
        </w:rPr>
        <w:t>Powsels and Thrums</w:t>
      </w:r>
      <w:r>
        <w:t>, (London, 4</w:t>
      </w:r>
      <w:r>
        <w:rPr>
          <w:vertAlign w:val="superscript"/>
        </w:rPr>
        <w:t>th</w:t>
      </w:r>
      <w:r>
        <w:t xml:space="preserve"> Estate, 2024) </w:t>
      </w:r>
    </w:p>
    <w:p>
      <w:pPr>
        <w:pStyle w:val="para9"/>
      </w:pPr>
      <w:r>
        <w:t>Geertz, G.</w:t>
      </w:r>
      <w:r>
        <w:rPr>
          <w:i/>
          <w:iCs/>
        </w:rPr>
        <w:t xml:space="preserve"> The Interpretation of Cultures : Selected Essays</w:t>
      </w:r>
      <w:r>
        <w:t xml:space="preserve">, 3rd ed. (New York: Basic Books, 1973) </w:t>
      </w:r>
    </w:p>
    <w:p>
      <w:pPr>
        <w:pStyle w:val="para9"/>
      </w:pPr>
      <w:r>
        <w:t xml:space="preserve">Jones, R. A. Barberis, D. </w:t>
      </w:r>
      <w:r>
        <w:rPr>
          <w:i/>
          <w:iCs/>
        </w:rPr>
        <w:t>The Durkheim Pages</w:t>
      </w:r>
      <w:r>
        <w:t>, &lt;https://durkheim.uchicago.edu/index.html&gt;</w:t>
      </w:r>
    </w:p>
    <w:p>
      <w:pPr>
        <w:pStyle w:val="para9"/>
      </w:pPr>
      <w:r>
        <w:t xml:space="preserve">Lane, Beldin C. </w:t>
      </w:r>
      <w:r>
        <w:rPr>
          <w:i/>
          <w:iCs/>
        </w:rPr>
        <w:t>Landscapes of the Sacred: Geography and Narrative in American Spirituality</w:t>
      </w:r>
      <w:r>
        <w:t xml:space="preserve"> (Baltimore, The John Hopkins University Press, 2002) </w:t>
      </w:r>
    </w:p>
    <w:p>
      <w:pPr>
        <w:pStyle w:val="para9"/>
      </w:pPr>
      <w:r>
        <w:t xml:space="preserve">Nisbet, R. ‘Introduction’, in Émile Durkheim, </w:t>
      </w:r>
      <w:r>
        <w:rPr>
          <w:i/>
          <w:iCs/>
        </w:rPr>
        <w:t>The Elementary Forms of the Religious Life</w:t>
      </w:r>
      <w:r>
        <w:t>, trans. By Joseph Ward Swain, 2</w:t>
      </w:r>
      <w:r>
        <w:rPr>
          <w:vertAlign w:val="superscript"/>
        </w:rPr>
        <w:t>nd</w:t>
      </w:r>
      <w:r>
        <w:t xml:space="preserve"> edn. (London, George Allen and Unwin Ltd, 1976).</w:t>
      </w:r>
    </w:p>
    <w:p>
      <w:pPr>
        <w:pStyle w:val="para9"/>
      </w:pPr>
      <w:r>
        <w:t>Paperback Oxford English Dictionary 7</w:t>
      </w:r>
      <w:r>
        <w:rPr>
          <w:vertAlign w:val="superscript"/>
        </w:rPr>
        <w:t>th</w:t>
      </w:r>
      <w:r>
        <w:t xml:space="preserve"> edn. (Oxford, Oxford University Press, 2012)</w:t>
      </w:r>
    </w:p>
    <w:p>
      <w:pPr>
        <w:pStyle w:val="para9"/>
      </w:pPr>
      <w:r>
        <w:t xml:space="preserve">Sheldrake, </w:t>
      </w:r>
      <w:r>
        <w:rPr>
          <w:i/>
          <w:iCs/>
        </w:rPr>
        <w:t xml:space="preserve"> R. Science and Spiritual Practices: Reconnecting Through Direct Experience</w:t>
      </w:r>
      <w:r>
        <w:t xml:space="preserve"> (London, Coronet, 2018)</w:t>
      </w:r>
    </w:p>
    <w:p>
      <w:pPr>
        <w:pStyle w:val="para9"/>
      </w:pPr>
      <w:r>
        <w:t xml:space="preserve">University of Chicago Library, Mircea Eliade. Papers, Hanna Holborn Gray Special Collections Research Center, University of Chicago Library [2008] &lt;https://www.lib.uchicago.edu/e/scrc/findingaids/view.php?eadid=ICU.SPCL.ELIADEM&gt; </w:t>
      </w:r>
    </w:p>
    <w:p>
      <w:pPr>
        <w:pStyle w:val="para3"/>
      </w:pPr>
      <w:r/>
    </w:p>
    <w:p>
      <w:r/>
    </w:p>
    <w:p>
      <w:r/>
    </w:p>
    <w:p>
      <w:r/>
    </w:p>
    <w:p>
      <w:r/>
    </w:p>
    <w:p>
      <w:r/>
    </w:p>
    <w:p>
      <w:r/>
    </w:p>
    <w:sectPr>
      <w:footnotePr>
        <w:pos w:val="pageBottom"/>
        <w:numFmt w:val="decimal"/>
        <w:numStart w:val="1"/>
        <w:numRestart w:val="continuous"/>
      </w:footnotePr>
      <w:endnotePr>
        <w:pos w:val="docEnd"/>
        <w:numFmt w:val="lowerRoman"/>
        <w:numStart w:val="1"/>
        <w:numRestart w:val="continuous"/>
      </w:endnotePr>
      <w:headerReference w:type="default" r:id="rId10"/>
      <w:footerReference w:type="default" r:id="rId11"/>
      <w:type w:val="nextPage"/>
      <w:pgSz w:h="15840" w:w="12240"/>
      <w:pgMar w:left="1134" w:top="1134" w:right="1134" w:bottom="1134"/>
      <w:paperSrc w:first="0" w:other="0" a="0" b="0"/>
      <w:pgNumType w:fmt="decimal" w:start="1"/>
      <w:tmGutter w:val="1"/>
      <w:mirrorMargins w:val="0"/>
      <w:tmSection w:h="-2">
        <w:tmHeader w:id="0" w:h="0" edge="720" text="0">
          <w:shd w:val="none"/>
        </w:tmHeader>
        <w:tmFooter w:id="0" w:h="0" edge="720" text="0">
          <w:shd w:val="none"/>
        </w:tmFooter>
      </w:tmSection>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Tahoma">
    <w:panose1 w:val="020B0604030504040204"/>
    <w:charset w:val="00"/>
    <w:family w:val="swiss"/>
    <w:pitch w:val="default"/>
  </w:font>
  <w:font w:name="Segoe UI">
    <w:panose1 w:val="020B0502040204020203"/>
    <w:charset w:val="00"/>
    <w:family w:val="swiss"/>
    <w:pitch w:val="default"/>
  </w:font>
  <w:font w:name="Georgia">
    <w:panose1 w:val="02040502050405020303"/>
    <w:charset w:val="00"/>
    <w:family w:val="roman"/>
    <w:pitch w:val="default"/>
  </w:font>
  <w:font w:name="Trebuchet MS">
    <w:panose1 w:val="020B0603020202020204"/>
    <w:charset w:val="00"/>
    <w:family w:val="swiss"/>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spacing/>
      <w:jc w:val="center"/>
    </w:pPr>
    <w:r>
      <w:t xml:space="preserve">Page </w:t>
    </w:r>
    <w:r>
      <w:fldChar w:fldCharType="begin"/>
      <w:instrText xml:space="preserve"> PAGE </w:instrText>
      <w:fldChar w:fldCharType="separate"/>
      <w:t>7</w:t>
      <w:fldChar w:fldCharType="end"/>
    </w:r>
    <w:r>
      <w:t xml:space="preserve"> of </w:t>
    </w:r>
    <w:r>
      <w:fldChar w:fldCharType="begin"/>
      <w:instrText xml:space="preserve"> NUMPAGES \* Arabic </w:instrText>
      <w:fldChar w:fldCharType="separate"/>
      <w:t>9</w:t>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3"/>
      </w:pPr>
      <w:r>
        <w:rPr>
          <w:rStyle w:val="char3"/>
        </w:rPr>
      </w:r>
      <w:r>
        <w:rPr>
          <w:rStyle w:val="char3"/>
        </w:rPr>
        <w:footnoteRef/>
      </w:r>
      <w:r>
        <w:t xml:space="preserve"> Mircea Eliade, </w:t>
      </w:r>
      <w:r>
        <w:rPr>
          <w:i/>
          <w:iCs/>
        </w:rPr>
        <w:t>The Sacred and The Profane</w:t>
      </w:r>
      <w:r>
        <w:t>, trans. By Willard R. Trask (New York, Harcourt Inc, 1959).</w:t>
      </w:r>
    </w:p>
  </w:footnote>
  <w:footnote w:id="8">
    <w:p>
      <w:pPr>
        <w:pStyle w:val="para3"/>
      </w:pPr>
      <w:r>
        <w:rPr>
          <w:rStyle w:val="char3"/>
        </w:rPr>
      </w:r>
      <w:r>
        <w:rPr>
          <w:rStyle w:val="char3"/>
        </w:rPr>
        <w:footnoteRef/>
      </w:r>
      <w:r>
        <w:t xml:space="preserve"> Émile Durkheim, </w:t>
      </w:r>
      <w:r>
        <w:rPr>
          <w:i/>
          <w:iCs/>
        </w:rPr>
        <w:t>The Elementary Forms of the Religious Life</w:t>
      </w:r>
      <w:r>
        <w:t>, trans. By Joseph Ward Swain, 2</w:t>
      </w:r>
      <w:r>
        <w:rPr>
          <w:vertAlign w:val="superscript"/>
        </w:rPr>
        <w:t>nd</w:t>
      </w:r>
      <w:r>
        <w:t xml:space="preserve"> edn. (London, George Allen and Unwin Ltd, 1976).</w:t>
      </w:r>
    </w:p>
  </w:footnote>
  <w:footnote w:id="9">
    <w:p>
      <w:pPr>
        <w:pStyle w:val="para3"/>
      </w:pPr>
      <w:r>
        <w:rPr>
          <w:rStyle w:val="char3"/>
        </w:rPr>
      </w:r>
      <w:r>
        <w:rPr>
          <w:rStyle w:val="char3"/>
        </w:rPr>
        <w:footnoteRef/>
      </w:r>
      <w:r>
        <w:t xml:space="preserve"> Robert Alun Jones, Daniela Barberis, </w:t>
      </w:r>
      <w:r>
        <w:rPr>
          <w:i/>
          <w:iCs/>
        </w:rPr>
        <w:t>The Durkheim Pages</w:t>
      </w:r>
      <w:r>
        <w:t>, &lt;https://durkheim.uchicago.edu/index.html&gt; [accessed 21 October 2025].</w:t>
      </w:r>
    </w:p>
  </w:footnote>
  <w:footnote w:id="10">
    <w:p>
      <w:pPr>
        <w:pStyle w:val="para3"/>
      </w:pPr>
      <w:r>
        <w:rPr>
          <w:rStyle w:val="char3"/>
        </w:rPr>
      </w:r>
      <w:r>
        <w:rPr>
          <w:rStyle w:val="char3"/>
        </w:rPr>
        <w:footnoteRef/>
      </w:r>
      <w:r>
        <w:t xml:space="preserve"> University of Chicago Library, Mircea Eliade. Papers, Hanna Holborn Gray Special Collections Research Center, University of Chicago Library [2008] &lt;https://www.lib.uchicago.edu/e/scrc/findingaids/view.php?eadid=ICU.SPCL.ELIADEM&gt; [accessed 21 October 2025]</w:t>
      </w:r>
    </w:p>
  </w:footnote>
  <w:footnote w:id="11">
    <w:p>
      <w:pPr>
        <w:pStyle w:val="para3"/>
      </w:pPr>
      <w:r>
        <w:rPr>
          <w:rStyle w:val="char3"/>
        </w:rPr>
      </w:r>
      <w:r>
        <w:rPr>
          <w:rStyle w:val="char3"/>
        </w:rPr>
        <w:footnoteRef/>
      </w:r>
      <w:r>
        <w:t xml:space="preserve"> Paperback Oxford English Dictionary, 7</w:t>
      </w:r>
      <w:r>
        <w:rPr>
          <w:vertAlign w:val="superscript"/>
        </w:rPr>
        <w:t>th</w:t>
      </w:r>
      <w:r>
        <w:t xml:space="preserve"> edn. (Oxford, Oxford University Press, 2012) p. 637.</w:t>
      </w:r>
    </w:p>
  </w:footnote>
  <w:footnote w:id="12">
    <w:p>
      <w:pPr>
        <w:pStyle w:val="para3"/>
      </w:pPr>
      <w:r>
        <w:rPr>
          <w:rStyle w:val="char3"/>
        </w:rPr>
      </w:r>
      <w:r>
        <w:rPr>
          <w:rStyle w:val="char3"/>
        </w:rPr>
        <w:footnoteRef/>
      </w:r>
      <w:r>
        <w:t xml:space="preserve"> Oxford English Dictionary, p. 574.</w:t>
      </w:r>
    </w:p>
  </w:footnote>
  <w:footnote w:id="13">
    <w:p>
      <w:pPr>
        <w:pStyle w:val="para3"/>
      </w:pPr>
      <w:r>
        <w:rPr>
          <w:rStyle w:val="char3"/>
        </w:rPr>
      </w:r>
      <w:r>
        <w:rPr>
          <w:rStyle w:val="char3"/>
        </w:rPr>
        <w:footnoteRef/>
      </w:r>
      <w:r>
        <w:t xml:space="preserve"> Eliade, </w:t>
      </w:r>
      <w:r>
        <w:rPr>
          <w:i/>
          <w:iCs/>
        </w:rPr>
        <w:t>Sacred and Profane</w:t>
      </w:r>
      <w:r>
        <w:t>, p. 10.</w:t>
      </w:r>
    </w:p>
  </w:footnote>
  <w:footnote w:id="14">
    <w:p>
      <w:pPr>
        <w:pStyle w:val="para3"/>
      </w:pPr>
      <w:r>
        <w:rPr>
          <w:rStyle w:val="char3"/>
        </w:rPr>
      </w:r>
      <w:r>
        <w:rPr>
          <w:rStyle w:val="char3"/>
        </w:rPr>
        <w:footnoteRef/>
      </w:r>
      <w:r>
        <w:t xml:space="preserve"> Mircea Eliade, </w:t>
      </w:r>
      <w:r>
        <w:rPr>
          <w:i/>
          <w:iCs/>
        </w:rPr>
        <w:t>Ordeal by Labyrinth: Conversations with Claude-Henri Rocquet,</w:t>
      </w:r>
      <w:r>
        <w:t xml:space="preserve"> trans. Derek Coltman (London, University of Chicago Press,  1982) p. 162.</w:t>
      </w:r>
    </w:p>
  </w:footnote>
  <w:footnote w:id="15">
    <w:p>
      <w:pPr>
        <w:pStyle w:val="para3"/>
      </w:pPr>
      <w:r>
        <w:rPr>
          <w:rStyle w:val="char3"/>
        </w:rPr>
      </w:r>
      <w:r>
        <w:rPr>
          <w:rStyle w:val="char3"/>
        </w:rPr>
        <w:footnoteRef/>
      </w:r>
      <w:r>
        <w:t xml:space="preserve"> Eliade, </w:t>
      </w:r>
      <w:r>
        <w:rPr>
          <w:i/>
          <w:iCs/>
        </w:rPr>
        <w:t>Sacred and Profane,</w:t>
      </w:r>
      <w:r>
        <w:t xml:space="preserve"> p. 11.</w:t>
      </w:r>
    </w:p>
  </w:footnote>
  <w:footnote w:id="16">
    <w:p>
      <w:pPr>
        <w:pStyle w:val="para3"/>
      </w:pPr>
      <w:r>
        <w:rPr>
          <w:rStyle w:val="char3"/>
        </w:rPr>
      </w:r>
      <w:r>
        <w:rPr>
          <w:rStyle w:val="char3"/>
        </w:rPr>
        <w:footnoteRef/>
      </w:r>
      <w:r>
        <w:t xml:space="preserve"> Eliade, </w:t>
      </w:r>
      <w:r>
        <w:rPr>
          <w:i/>
          <w:iCs/>
        </w:rPr>
        <w:t>Sacred and Profane,</w:t>
      </w:r>
      <w:r>
        <w:t xml:space="preserve"> p. 21</w:t>
      </w:r>
    </w:p>
  </w:footnote>
  <w:footnote w:id="17">
    <w:p>
      <w:pPr>
        <w:pStyle w:val="para3"/>
      </w:pPr>
      <w:r>
        <w:rPr>
          <w:rStyle w:val="char3"/>
        </w:rPr>
      </w:r>
      <w:r>
        <w:rPr>
          <w:rStyle w:val="char3"/>
        </w:rPr>
        <w:footnoteRef/>
      </w:r>
      <w:r>
        <w:t xml:space="preserve"> Eliade, </w:t>
      </w:r>
      <w:r>
        <w:rPr>
          <w:i/>
          <w:iCs/>
        </w:rPr>
        <w:t>Sacred and Profane,</w:t>
      </w:r>
      <w:r>
        <w:t xml:space="preserve"> p.20.</w:t>
      </w:r>
    </w:p>
  </w:footnote>
  <w:footnote w:id="18">
    <w:p>
      <w:pPr>
        <w:pStyle w:val="para3"/>
      </w:pPr>
      <w:r>
        <w:rPr>
          <w:rStyle w:val="char3"/>
        </w:rPr>
      </w:r>
      <w:r>
        <w:rPr>
          <w:rStyle w:val="char3"/>
        </w:rPr>
        <w:footnoteRef/>
      </w:r>
      <w:r>
        <w:t xml:space="preserve"> Durkheim, </w:t>
      </w:r>
      <w:r>
        <w:rPr>
          <w:i/>
          <w:iCs/>
        </w:rPr>
        <w:t>Forms</w:t>
      </w:r>
      <w:r>
        <w:t>, p. 23.</w:t>
      </w:r>
    </w:p>
  </w:footnote>
  <w:footnote w:id="19">
    <w:p>
      <w:pPr>
        <w:pStyle w:val="para3"/>
      </w:pPr>
      <w:r>
        <w:rPr>
          <w:rStyle w:val="char3"/>
        </w:rPr>
      </w:r>
      <w:r>
        <w:rPr>
          <w:rStyle w:val="char3"/>
        </w:rPr>
        <w:footnoteRef/>
      </w:r>
      <w:r>
        <w:t xml:space="preserve"> Durkheim, </w:t>
      </w:r>
      <w:r>
        <w:rPr>
          <w:i/>
          <w:iCs/>
        </w:rPr>
        <w:t>Forms</w:t>
      </w:r>
      <w:r>
        <w:t>, p. 37.</w:t>
      </w:r>
    </w:p>
  </w:footnote>
  <w:footnote w:id="20">
    <w:p>
      <w:pPr>
        <w:pStyle w:val="para3"/>
      </w:pPr>
      <w:r>
        <w:rPr>
          <w:rStyle w:val="char3"/>
        </w:rPr>
      </w:r>
      <w:r>
        <w:rPr>
          <w:rStyle w:val="char3"/>
        </w:rPr>
        <w:footnoteRef/>
      </w:r>
      <w:r>
        <w:t xml:space="preserve"> Durkheim, </w:t>
      </w:r>
      <w:r>
        <w:rPr>
          <w:i/>
          <w:iCs/>
        </w:rPr>
        <w:t>Forms</w:t>
      </w:r>
      <w:r>
        <w:t>, p. 37.</w:t>
      </w:r>
    </w:p>
  </w:footnote>
  <w:footnote w:id="21">
    <w:p>
      <w:pPr>
        <w:pStyle w:val="para3"/>
      </w:pPr>
      <w:r>
        <w:rPr>
          <w:rStyle w:val="char3"/>
        </w:rPr>
      </w:r>
      <w:r>
        <w:rPr>
          <w:rStyle w:val="char3"/>
        </w:rPr>
        <w:footnoteRef/>
      </w:r>
      <w:r>
        <w:t xml:space="preserve"> Durkheim, </w:t>
      </w:r>
      <w:r>
        <w:rPr>
          <w:i/>
          <w:iCs/>
        </w:rPr>
        <w:t>Forms</w:t>
      </w:r>
      <w:r>
        <w:t>, p. 229.</w:t>
      </w:r>
    </w:p>
  </w:footnote>
  <w:footnote w:id="22">
    <w:p>
      <w:pPr>
        <w:pStyle w:val="para3"/>
      </w:pPr>
      <w:r>
        <w:rPr>
          <w:rStyle w:val="char3"/>
        </w:rPr>
      </w:r>
      <w:r>
        <w:rPr>
          <w:rStyle w:val="char3"/>
        </w:rPr>
        <w:footnoteRef/>
      </w:r>
      <w:r>
        <w:t xml:space="preserve"> Durkheim, </w:t>
      </w:r>
      <w:r>
        <w:rPr>
          <w:i/>
          <w:iCs/>
        </w:rPr>
        <w:t>Forms</w:t>
      </w:r>
      <w:r>
        <w:t>, p. 206.</w:t>
      </w:r>
    </w:p>
  </w:footnote>
  <w:footnote w:id="23">
    <w:p>
      <w:pPr>
        <w:pStyle w:val="para3"/>
      </w:pPr>
      <w:r>
        <w:rPr>
          <w:rStyle w:val="char3"/>
        </w:rPr>
      </w:r>
      <w:r>
        <w:rPr>
          <w:rStyle w:val="char3"/>
        </w:rPr>
        <w:footnoteRef/>
      </w:r>
      <w:r>
        <w:t xml:space="preserve"> Robert Nisbet, ‘Introduction’, in Émile Durkheim, </w:t>
      </w:r>
      <w:r>
        <w:rPr>
          <w:i/>
          <w:iCs/>
        </w:rPr>
        <w:t>The Elementary Forms of the Religious Life</w:t>
      </w:r>
      <w:r>
        <w:t>, trans. By Joseph Ward Swain, 2</w:t>
      </w:r>
      <w:r>
        <w:rPr>
          <w:vertAlign w:val="superscript"/>
        </w:rPr>
        <w:t>nd</w:t>
      </w:r>
      <w:r>
        <w:t xml:space="preserve"> edn. (London, George Allen and Unwin Ltd, 1976). p. vi.</w:t>
      </w:r>
    </w:p>
  </w:footnote>
  <w:footnote w:id="24">
    <w:p>
      <w:pPr>
        <w:pStyle w:val="para3"/>
      </w:pPr>
      <w:r>
        <w:rPr>
          <w:rStyle w:val="char3"/>
        </w:rPr>
      </w:r>
      <w:r>
        <w:rPr>
          <w:rStyle w:val="char3"/>
        </w:rPr>
        <w:footnoteRef/>
      </w:r>
      <w:r>
        <w:t xml:space="preserve"> Paul  Deveraux, </w:t>
      </w:r>
      <w:r>
        <w:rPr>
          <w:i/>
          <w:iCs/>
        </w:rPr>
        <w:t>Secrets of Ancient and Sacred Places</w:t>
      </w:r>
      <w:r>
        <w:t>, (London, Brockhampton Press, 1998) p. 9.</w:t>
      </w:r>
    </w:p>
  </w:footnote>
  <w:footnote w:id="25">
    <w:p>
      <w:pPr>
        <w:pStyle w:val="para3"/>
      </w:pPr>
      <w:r>
        <w:rPr>
          <w:rStyle w:val="char3"/>
        </w:rPr>
      </w:r>
      <w:r>
        <w:rPr>
          <w:rStyle w:val="char3"/>
        </w:rPr>
        <w:footnoteRef/>
      </w:r>
      <w:r>
        <w:t xml:space="preserve"> Devereux, </w:t>
      </w:r>
      <w:r>
        <w:rPr>
          <w:i/>
          <w:iCs/>
        </w:rPr>
        <w:t>Ancient and Sacred Places</w:t>
      </w:r>
      <w:r>
        <w:t>, p. 9.</w:t>
      </w:r>
    </w:p>
  </w:footnote>
  <w:footnote w:id="26">
    <w:p>
      <w:pPr>
        <w:pStyle w:val="para3"/>
      </w:pPr>
      <w:r>
        <w:rPr>
          <w:rStyle w:val="char3"/>
        </w:rPr>
      </w:r>
      <w:r>
        <w:rPr>
          <w:rStyle w:val="char3"/>
        </w:rPr>
        <w:footnoteRef/>
      </w:r>
      <w:r>
        <w:t xml:space="preserve"> Devereux, </w:t>
      </w:r>
      <w:r>
        <w:rPr>
          <w:i/>
          <w:iCs/>
        </w:rPr>
        <w:t>Ancient and Sacred Places</w:t>
      </w:r>
      <w:r>
        <w:t>, P. 18.</w:t>
      </w:r>
    </w:p>
  </w:footnote>
  <w:footnote w:id="27">
    <w:p>
      <w:pPr>
        <w:pStyle w:val="para3"/>
      </w:pPr>
      <w:r>
        <w:rPr>
          <w:rStyle w:val="char3"/>
        </w:rPr>
      </w:r>
      <w:r>
        <w:rPr>
          <w:rStyle w:val="char3"/>
        </w:rPr>
        <w:footnoteRef/>
      </w:r>
      <w:r>
        <w:t xml:space="preserve"> Oxford English Dictionary, p. 697.</w:t>
      </w:r>
    </w:p>
  </w:footnote>
  <w:footnote w:id="28">
    <w:p>
      <w:pPr>
        <w:pStyle w:val="para3"/>
      </w:pPr>
      <w:r>
        <w:rPr>
          <w:rStyle w:val="char3"/>
        </w:rPr>
      </w:r>
      <w:r>
        <w:rPr>
          <w:rStyle w:val="char3"/>
        </w:rPr>
        <w:footnoteRef/>
      </w:r>
      <w:r>
        <w:t xml:space="preserve"> Ilaria Christofaro, ‘Time and Eternity: Can sacred space change perception of time?’, </w:t>
      </w:r>
      <w:r>
        <w:rPr>
          <w:i/>
          <w:iCs/>
        </w:rPr>
        <w:t>Spica</w:t>
      </w:r>
      <w:r>
        <w:t>, Vol. 3, No. 1, Spring 2015, p.  45.</w:t>
      </w:r>
    </w:p>
  </w:footnote>
  <w:footnote w:id="29">
    <w:p>
      <w:pPr>
        <w:pStyle w:val="para3"/>
      </w:pPr>
      <w:r>
        <w:rPr>
          <w:rStyle w:val="char3"/>
        </w:rPr>
      </w:r>
      <w:r>
        <w:rPr>
          <w:rStyle w:val="char3"/>
        </w:rPr>
        <w:footnoteRef/>
      </w:r>
      <w:r>
        <w:t xml:space="preserve"> Alan Garner, </w:t>
      </w:r>
      <w:r>
        <w:rPr>
          <w:i/>
          <w:iCs/>
        </w:rPr>
        <w:t>Powsels and Thrums</w:t>
      </w:r>
      <w:r>
        <w:t>, (London, 4</w:t>
      </w:r>
      <w:r>
        <w:rPr>
          <w:vertAlign w:val="superscript"/>
        </w:rPr>
        <w:t>th</w:t>
      </w:r>
      <w:r>
        <w:t xml:space="preserve"> Estate, 2024) p. 210.</w:t>
      </w:r>
    </w:p>
  </w:footnote>
  <w:footnote w:id="30">
    <w:p>
      <w:pPr>
        <w:pStyle w:val="para3"/>
      </w:pPr>
      <w:r>
        <w:rPr>
          <w:rStyle w:val="char3"/>
        </w:rPr>
      </w:r>
      <w:r>
        <w:rPr>
          <w:rStyle w:val="char3"/>
        </w:rPr>
        <w:footnoteRef/>
      </w:r>
      <w:r>
        <w:t xml:space="preserve"> Eliade, </w:t>
      </w:r>
      <w:r>
        <w:rPr>
          <w:i/>
          <w:iCs/>
        </w:rPr>
        <w:t>Sacred and Profane,</w:t>
      </w:r>
      <w:r>
        <w:t xml:space="preserve"> p. 254.</w:t>
      </w:r>
    </w:p>
  </w:footnote>
  <w:footnote w:id="31">
    <w:p>
      <w:pPr>
        <w:pStyle w:val="para3"/>
      </w:pPr>
      <w:r>
        <w:rPr>
          <w:rStyle w:val="char3"/>
        </w:rPr>
      </w:r>
      <w:r>
        <w:rPr>
          <w:rStyle w:val="char3"/>
        </w:rPr>
        <w:footnoteRef/>
      </w:r>
      <w:r>
        <w:t xml:space="preserve"> Eliade, </w:t>
      </w:r>
      <w:r>
        <w:rPr>
          <w:i/>
          <w:iCs/>
        </w:rPr>
        <w:t>Sacred and Profane,</w:t>
      </w:r>
      <w:r>
        <w:t xml:space="preserve"> p. 22.</w:t>
      </w:r>
    </w:p>
  </w:footnote>
  <w:footnote w:id="32">
    <w:p>
      <w:pPr>
        <w:pStyle w:val="para3"/>
      </w:pPr>
      <w:r>
        <w:rPr>
          <w:rStyle w:val="char3"/>
        </w:rPr>
      </w:r>
      <w:r>
        <w:rPr>
          <w:rStyle w:val="char3"/>
        </w:rPr>
        <w:footnoteRef/>
      </w:r>
      <w:r>
        <w:t xml:space="preserve"> Eliade, </w:t>
      </w:r>
      <w:r>
        <w:rPr>
          <w:i/>
          <w:iCs/>
        </w:rPr>
        <w:t>Sacred and Profane,</w:t>
      </w:r>
      <w:r>
        <w:t>p. 24.</w:t>
      </w:r>
    </w:p>
  </w:footnote>
  <w:footnote w:id="33">
    <w:p>
      <w:pPr>
        <w:pStyle w:val="para3"/>
      </w:pPr>
      <w:r>
        <w:rPr>
          <w:rStyle w:val="char3"/>
        </w:rPr>
      </w:r>
      <w:r>
        <w:rPr>
          <w:rStyle w:val="char3"/>
        </w:rPr>
        <w:footnoteRef/>
      </w:r>
      <w:r>
        <w:t xml:space="preserve"> Eliade, </w:t>
      </w:r>
      <w:r>
        <w:rPr>
          <w:i/>
          <w:iCs/>
        </w:rPr>
        <w:t>Sacred and Profane,</w:t>
      </w:r>
      <w:r>
        <w:t xml:space="preserve"> p. 22.</w:t>
      </w:r>
    </w:p>
  </w:footnote>
  <w:footnote w:id="34">
    <w:p>
      <w:pPr>
        <w:pStyle w:val="para3"/>
      </w:pPr>
      <w:r>
        <w:rPr>
          <w:rStyle w:val="char3"/>
        </w:rPr>
      </w:r>
      <w:r>
        <w:rPr>
          <w:rStyle w:val="char3"/>
        </w:rPr>
        <w:footnoteRef/>
      </w:r>
      <w:r>
        <w:t xml:space="preserve"> Eliade, </w:t>
      </w:r>
      <w:r>
        <w:rPr>
          <w:i/>
          <w:iCs/>
        </w:rPr>
        <w:t>Sacred and Profane,</w:t>
      </w:r>
      <w:r>
        <w:t xml:space="preserve"> p. 22.</w:t>
      </w:r>
    </w:p>
  </w:footnote>
  <w:footnote w:id="35">
    <w:p>
      <w:pPr>
        <w:pStyle w:val="para3"/>
      </w:pPr>
      <w:r>
        <w:rPr>
          <w:rStyle w:val="char3"/>
        </w:rPr>
      </w:r>
      <w:r>
        <w:rPr>
          <w:rStyle w:val="char3"/>
        </w:rPr>
        <w:footnoteRef/>
      </w:r>
      <w:r>
        <w:t xml:space="preserve"> Eliade, </w:t>
      </w:r>
      <w:r>
        <w:rPr>
          <w:i/>
          <w:iCs/>
        </w:rPr>
        <w:t>Sacred and Profane,</w:t>
      </w:r>
      <w:r>
        <w:t xml:space="preserve"> p. 22.</w:t>
      </w:r>
    </w:p>
  </w:footnote>
  <w:footnote w:id="36">
    <w:p>
      <w:pPr>
        <w:pStyle w:val="para3"/>
      </w:pPr>
      <w:r>
        <w:rPr>
          <w:rStyle w:val="char3"/>
        </w:rPr>
      </w:r>
      <w:r>
        <w:rPr>
          <w:rStyle w:val="char3"/>
        </w:rPr>
        <w:footnoteRef/>
      </w:r>
      <w:r>
        <w:t xml:space="preserve"> Eliade, </w:t>
      </w:r>
      <w:r>
        <w:rPr>
          <w:i/>
          <w:iCs/>
        </w:rPr>
        <w:t>Sacred and Profane,</w:t>
      </w:r>
      <w:r>
        <w:t xml:space="preserve"> p. 56.</w:t>
      </w:r>
    </w:p>
  </w:footnote>
  <w:footnote w:id="37">
    <w:p>
      <w:pPr>
        <w:pStyle w:val="para3"/>
      </w:pPr>
      <w:r>
        <w:rPr>
          <w:rStyle w:val="char3"/>
        </w:rPr>
      </w:r>
      <w:r>
        <w:rPr>
          <w:rStyle w:val="char3"/>
        </w:rPr>
        <w:footnoteRef/>
      </w:r>
      <w:r>
        <w:t xml:space="preserve"> Durkheim, </w:t>
      </w:r>
      <w:r>
        <w:rPr>
          <w:i/>
          <w:iCs/>
        </w:rPr>
        <w:t>Forms</w:t>
      </w:r>
      <w:r>
        <w:t>, p. 454.</w:t>
      </w:r>
    </w:p>
  </w:footnote>
  <w:footnote w:id="38">
    <w:p>
      <w:pPr>
        <w:pStyle w:val="para3"/>
      </w:pPr>
      <w:r>
        <w:rPr>
          <w:rStyle w:val="char3"/>
        </w:rPr>
      </w:r>
      <w:r>
        <w:rPr>
          <w:rStyle w:val="char3"/>
        </w:rPr>
        <w:footnoteRef/>
      </w:r>
      <w:r>
        <w:t xml:space="preserve"> Durkheim, </w:t>
      </w:r>
      <w:r>
        <w:rPr>
          <w:i/>
          <w:iCs/>
        </w:rPr>
        <w:t>Forms</w:t>
      </w:r>
      <w:r>
        <w:t>, p. 11.</w:t>
      </w:r>
    </w:p>
  </w:footnote>
  <w:footnote w:id="39">
    <w:p>
      <w:pPr>
        <w:pStyle w:val="para3"/>
      </w:pPr>
      <w:r>
        <w:rPr>
          <w:rStyle w:val="char3"/>
        </w:rPr>
      </w:r>
      <w:r>
        <w:rPr>
          <w:rStyle w:val="char3"/>
        </w:rPr>
        <w:footnoteRef/>
      </w:r>
      <w:r>
        <w:t xml:space="preserve"> Durkheim, </w:t>
      </w:r>
      <w:r>
        <w:rPr>
          <w:i/>
          <w:iCs/>
        </w:rPr>
        <w:t>Forms</w:t>
      </w:r>
      <w:r>
        <w:t>, p. 11.</w:t>
      </w:r>
    </w:p>
  </w:footnote>
  <w:footnote w:id="40">
    <w:p>
      <w:pPr>
        <w:pStyle w:val="para3"/>
      </w:pPr>
      <w:r>
        <w:rPr>
          <w:rStyle w:val="char3"/>
        </w:rPr>
      </w:r>
      <w:r>
        <w:rPr>
          <w:rStyle w:val="char3"/>
        </w:rPr>
        <w:footnoteRef/>
      </w:r>
      <w:r>
        <w:t xml:space="preserve"> Durkheim, </w:t>
      </w:r>
      <w:r>
        <w:rPr>
          <w:i/>
          <w:iCs/>
        </w:rPr>
        <w:t>Forms</w:t>
      </w:r>
      <w:r>
        <w:t>, p. 11.</w:t>
      </w:r>
    </w:p>
  </w:footnote>
  <w:footnote w:id="41">
    <w:p>
      <w:pPr>
        <w:pStyle w:val="para3"/>
      </w:pPr>
      <w:r>
        <w:rPr>
          <w:rStyle w:val="char3"/>
        </w:rPr>
      </w:r>
      <w:r>
        <w:rPr>
          <w:rStyle w:val="char3"/>
        </w:rPr>
        <w:footnoteRef/>
      </w:r>
      <w:r>
        <w:t xml:space="preserve"> Clifford Geertz, </w:t>
      </w:r>
      <w:r>
        <w:rPr>
          <w:i/>
          <w:iCs/>
        </w:rPr>
        <w:t>The Interpretation of Cultures : Selected Essays</w:t>
      </w:r>
      <w:r>
        <w:t>, 3rd ed. (New York: Basic Books, 1973) p. 10.</w:t>
      </w:r>
    </w:p>
  </w:footnote>
  <w:footnote w:id="42">
    <w:p>
      <w:pPr>
        <w:pStyle w:val="para3"/>
      </w:pPr>
      <w:r>
        <w:rPr>
          <w:rStyle w:val="char3"/>
        </w:rPr>
      </w:r>
      <w:r>
        <w:rPr>
          <w:rStyle w:val="char3"/>
        </w:rPr>
        <w:footnoteRef/>
      </w:r>
      <w:r>
        <w:t xml:space="preserve"> Eliade, </w:t>
      </w:r>
      <w:r>
        <w:rPr>
          <w:i/>
          <w:iCs/>
        </w:rPr>
        <w:t>Sacred and Profane,</w:t>
      </w:r>
      <w:r>
        <w:t xml:space="preserve"> p. 26</w:t>
      </w:r>
    </w:p>
  </w:footnote>
  <w:footnote w:id="43">
    <w:p>
      <w:pPr>
        <w:pStyle w:val="para3"/>
      </w:pPr>
      <w:r>
        <w:rPr>
          <w:rStyle w:val="char3"/>
        </w:rPr>
      </w:r>
      <w:r>
        <w:rPr>
          <w:rStyle w:val="char3"/>
        </w:rPr>
        <w:footnoteRef/>
      </w:r>
      <w:r>
        <w:t xml:space="preserve"> Christofario, </w:t>
      </w:r>
      <w:r>
        <w:rPr>
          <w:i/>
          <w:iCs/>
        </w:rPr>
        <w:t>Time and Eternity</w:t>
      </w:r>
      <w:r>
        <w:t>, p. 47.</w:t>
      </w:r>
    </w:p>
  </w:footnote>
  <w:footnote w:id="44">
    <w:p>
      <w:pPr>
        <w:pStyle w:val="para3"/>
      </w:pPr>
      <w:r>
        <w:rPr>
          <w:rStyle w:val="char3"/>
        </w:rPr>
      </w:r>
      <w:r>
        <w:rPr>
          <w:rStyle w:val="char3"/>
        </w:rPr>
        <w:footnoteRef/>
      </w:r>
      <w:r>
        <w:t xml:space="preserve"> Garner, </w:t>
      </w:r>
      <w:r>
        <w:rPr>
          <w:i/>
          <w:iCs/>
        </w:rPr>
        <w:t>Powsels and Thrums,</w:t>
      </w:r>
      <w:r>
        <w:t xml:space="preserve"> p. 210.</w:t>
      </w:r>
    </w:p>
  </w:footnote>
  <w:footnote w:id="45">
    <w:p>
      <w:pPr>
        <w:pStyle w:val="para3"/>
      </w:pPr>
      <w:r>
        <w:rPr>
          <w:rStyle w:val="char3"/>
        </w:rPr>
      </w:r>
      <w:r>
        <w:rPr>
          <w:rStyle w:val="char3"/>
        </w:rPr>
        <w:footnoteRef/>
      </w:r>
      <w:r>
        <w:t xml:space="preserve"> Belden C. Lane, </w:t>
      </w:r>
      <w:r>
        <w:rPr>
          <w:i/>
          <w:iCs/>
        </w:rPr>
        <w:t>Landscapes of the Sacred: Geography and Narrative in American Spirituality</w:t>
      </w:r>
      <w:r>
        <w:t xml:space="preserve"> (Baltimore, The John Hopkins University Press, 2002) p. 217.</w:t>
      </w:r>
    </w:p>
  </w:footnote>
  <w:footnote w:id="46">
    <w:p>
      <w:pPr>
        <w:pStyle w:val="para3"/>
      </w:pPr>
      <w:r>
        <w:rPr>
          <w:rStyle w:val="char3"/>
        </w:rPr>
      </w:r>
      <w:r>
        <w:rPr>
          <w:rStyle w:val="char3"/>
        </w:rPr>
        <w:footnoteRef/>
      </w:r>
      <w:r>
        <w:t xml:space="preserve"> Nisbet, p. vi.</w:t>
      </w:r>
    </w:p>
  </w:footnote>
  <w:footnote w:id="47">
    <w:p>
      <w:pPr>
        <w:pStyle w:val="para3"/>
      </w:pPr>
      <w:r>
        <w:rPr>
          <w:rStyle w:val="char3"/>
        </w:rPr>
      </w:r>
      <w:r>
        <w:rPr>
          <w:rStyle w:val="char3"/>
        </w:rPr>
        <w:footnoteRef/>
      </w:r>
      <w:r>
        <w:t xml:space="preserve"> Durkheim, </w:t>
      </w:r>
      <w:r>
        <w:rPr>
          <w:i/>
          <w:iCs/>
        </w:rPr>
        <w:t>Forms</w:t>
      </w:r>
      <w:r>
        <w:t>, p. 206.</w:t>
      </w:r>
    </w:p>
  </w:footnote>
  <w:footnote w:id="48">
    <w:p>
      <w:pPr>
        <w:pStyle w:val="para3"/>
      </w:pPr>
      <w:r>
        <w:rPr>
          <w:rStyle w:val="char3"/>
        </w:rPr>
      </w:r>
      <w:r>
        <w:rPr>
          <w:rStyle w:val="char3"/>
        </w:rPr>
        <w:footnoteRef/>
      </w:r>
      <w:r>
        <w:t xml:space="preserve"> Durkheim, </w:t>
      </w:r>
      <w:r>
        <w:rPr>
          <w:i/>
          <w:iCs/>
        </w:rPr>
        <w:t>Forms</w:t>
      </w:r>
      <w:r>
        <w:t>, p. 441.</w:t>
      </w:r>
    </w:p>
  </w:footnote>
  <w:footnote w:id="49">
    <w:p>
      <w:pPr>
        <w:pStyle w:val="para3"/>
      </w:pPr>
      <w:r>
        <w:rPr>
          <w:rStyle w:val="char3"/>
        </w:rPr>
      </w:r>
      <w:r>
        <w:rPr>
          <w:rStyle w:val="char3"/>
        </w:rPr>
        <w:footnoteRef/>
      </w:r>
      <w:r>
        <w:t xml:space="preserve"> Christofario, </w:t>
      </w:r>
      <w:r>
        <w:rPr>
          <w:i/>
          <w:iCs/>
        </w:rPr>
        <w:t>Time and Eternity</w:t>
      </w:r>
      <w:r>
        <w:t>, p. 46.</w:t>
      </w:r>
    </w:p>
  </w:footnote>
  <w:footnote w:id="50">
    <w:p>
      <w:pPr>
        <w:pStyle w:val="para3"/>
      </w:pPr>
      <w:r>
        <w:rPr>
          <w:rStyle w:val="char3"/>
        </w:rPr>
      </w:r>
      <w:r>
        <w:rPr>
          <w:rStyle w:val="char3"/>
        </w:rPr>
        <w:footnoteRef/>
      </w:r>
      <w:r>
        <w:t xml:space="preserve"> Rupert Sheldrake, </w:t>
      </w:r>
      <w:r>
        <w:rPr>
          <w:i/>
          <w:iCs/>
        </w:rPr>
        <w:t>Science and Spiritual Practices: Reconnecting Through Direct Experience</w:t>
      </w:r>
      <w:r>
        <w:t xml:space="preserve"> (London, Coronet, 2018) p.87.</w:t>
      </w:r>
    </w:p>
  </w:footnote>
  <w:footnote w:id="51">
    <w:p>
      <w:pPr>
        <w:pStyle w:val="para3"/>
      </w:pPr>
      <w:r>
        <w:rPr>
          <w:rStyle w:val="char3"/>
        </w:rPr>
      </w:r>
      <w:r>
        <w:rPr>
          <w:rStyle w:val="char3"/>
        </w:rPr>
        <w:footnoteRef/>
      </w:r>
      <w:r>
        <w:t xml:space="preserve"> David Bohm, </w:t>
      </w:r>
      <w:r>
        <w:rPr>
          <w:i/>
          <w:iCs/>
        </w:rPr>
        <w:t>Wholeness and the Implicate Order</w:t>
      </w:r>
      <w:r>
        <w:t xml:space="preserve"> (London, Routledge Classics, 2009), p. 3.</w:t>
      </w:r>
    </w:p>
  </w:footnote>
  <w:footnote w:id="52">
    <w:p>
      <w:pPr>
        <w:pStyle w:val="para3"/>
      </w:pPr>
      <w:r>
        <w:rPr>
          <w:rStyle w:val="char3"/>
        </w:rPr>
      </w:r>
      <w:r>
        <w:rPr>
          <w:rStyle w:val="char3"/>
        </w:rPr>
        <w:footnoteRef/>
      </w:r>
      <w:r>
        <w:t xml:space="preserve"> Eliade, </w:t>
      </w:r>
      <w:r>
        <w:rPr>
          <w:i/>
          <w:iCs/>
        </w:rPr>
        <w:t>Sacred and Profane</w:t>
      </w:r>
      <w:r>
        <w:t>, p. 232.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spacing/>
      <w:jc w:val="right"/>
      <w:rPr>
        <w:rFonts w:ascii="Arial" w:hAnsi="Arial" w:eastAsia="SimSun" w:cs="Arial"/>
        <w:i/>
        <w:iCs/>
        <w:color w:val="000000"/>
        <w:lang w:val="en-gb" w:eastAsia="zh-cn"/>
      </w:rPr>
    </w:pPr>
    <w:r>
      <w:rPr>
        <w:i/>
        <w:iCs/>
      </w:rPr>
      <w:t xml:space="preserve">Linda Parkinson-Hardman, </w:t>
    </w:r>
    <w:r>
      <w:rPr>
        <w:i/>
        <w:iCs/>
        <w:color w:val="000000"/>
        <w:lang w:val="en-gb" w:eastAsia="zh-cn"/>
      </w:rPr>
      <w:t>HPCA7014, Essay1</w:t>
    </w:r>
    <w:r>
      <w:rPr>
        <w:rFonts w:ascii="Arial" w:hAnsi="Arial" w:eastAsia="SimSun" w:cs="Arial"/>
        <w:i/>
        <w:iCs/>
        <w:color w:val="000000"/>
        <w:lang w:val="en-gb" w:eastAsia="zh-cn"/>
      </w:rPr>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singleLevel"/>
    <w:name w:val="Bullet 1"/>
    <w:lvl w:ilvl="0">
      <w:numFmt w:val="bullet"/>
      <w:suff w:val="tab"/>
      <w:lvlText w:val=""/>
      <w:lvlJc w:val="left"/>
      <w:pPr>
        <w:ind w:left="0" w:hanging="0"/>
      </w:pPr>
      <w:rPr>
        <w:rFonts w:ascii="Wingdings" w:hAnsi="Wingdings" w:eastAsia="Wingdings" w:cs="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view w:val="print"/>
  <w:defaultTabStop w:val="720"/>
  <w:autoHyphenation w:val="0"/>
  <w:doNotShadeFormData w:val="0"/>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3073"/>
    <o:shapelayout v:ext="edit">
      <o:rules v:ext="edit"/>
    </o:shapelayout>
  </w:shapeDefaults>
  <w:tmPrefOne w:val="17"/>
  <w:tmPrefTwo w:val="1"/>
  <w:tmFmtPref w:val="55090283"/>
  <w:tmCommentsPr>
    <w:tmCommentsPlace w:val="0"/>
    <w:tmCommentsWidth w:val="3119"/>
    <w:tmCommentsColor w:val="-1"/>
  </w:tmCommentsPr>
  <w:tmReviewPr>
    <w:tmReviewEnabled w:val="0"/>
    <w:tmReviewShow w:val="1"/>
    <w:tmReviewPrint w:val="0"/>
    <w:tmRevisionNum w:val="14"/>
    <w:tmReviewMarkIns w:val="4"/>
    <w:tmReviewColorIns w:val="-1"/>
    <w:tmReviewMarkDel w:val="7"/>
    <w:tmReviewColorDel w:val="-1"/>
    <w:tmReviewMarkFmt w:val="7"/>
    <w:tmReviewColorFmt w:val="-1"/>
    <w:tmReviewMarkLn w:val="1"/>
    <w:tmReviewColorLn w:val="0"/>
    <w:tmReviewToolTip w:val="1"/>
  </w:tmReviewPr>
  <w:tmLastPos>
    <w:tmLastPosPage w:val="6"/>
    <w:tmLastPosSelect w:val="0"/>
    <w:tmLastPosFrameIdx w:val="0"/>
    <w:tmLastPosCaret>
      <w:tmLastPosPgfIdx w:val="42"/>
      <w:tmLastPosIdx w:val="522"/>
    </w:tmLastPosCaret>
    <w:tmLastPosAnchor>
      <w:tmLastPosPgfIdx w:val="0"/>
      <w:tmLastPosIdx w:val="0"/>
    </w:tmLastPosAnchor>
    <w:tmLastPosTblRect w:left="0" w:top="0" w:right="0" w:bottom="0"/>
  </w:tmLastPos>
  <w:tmAppRevision w:date="1762451874" w:val="1228"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hAnsi="Calibri" w:eastAsia="Calibri" w:cs="Calibri"/>
        <w:sz w:val="22"/>
        <w:szCs w:val="22"/>
        <w:lang w:val="en-us" w:eastAsia="en-us" w:bidi="ar-sa"/>
      </w:rPr>
    </w:rPrDefault>
    <w:pPrDefault>
      <w:pPr>
        <w:ind w:firstLine="283"/>
        <w:spacing w:before="120" w:after="120" w:line="276" w:lineRule="auto"/>
        <w:jc w:val="both"/>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style>
  <w:style w:type="paragraph" w:styleId="para1">
    <w:name w:val="heading 3"/>
    <w:qFormat/>
    <w:basedOn w:val="para0"/>
    <w:pPr>
      <w:ind w:firstLine="0"/>
      <w:spacing w:line="240" w:lineRule="auto"/>
      <w:keepNext/>
      <w:outlineLvl w:val="2"/>
    </w:pPr>
    <w:rPr>
      <w:b/>
      <w:bCs/>
      <w:sz w:val="28"/>
      <w:szCs w:val="28"/>
      <w:lang w:val="en-gb" w:eastAsia="en-gb" w:bidi="en-gb"/>
    </w:rPr>
  </w:style>
  <w:style w:type="paragraph" w:styleId="para2">
    <w:name w:val="Balloon Text"/>
    <w:qFormat/>
    <w:basedOn w:val="para0"/>
    <w:pPr>
      <w:spacing w:after="0" w:line="240" w:lineRule="auto"/>
    </w:pPr>
    <w:rPr>
      <w:rFonts w:ascii="Segoe UI" w:hAnsi="Segoe UI" w:cs="Segoe UI"/>
      <w:sz w:val="18"/>
      <w:szCs w:val="18"/>
    </w:rPr>
  </w:style>
  <w:style w:type="paragraph" w:styleId="para3">
    <w:name w:val="Footnote Text"/>
    <w:qFormat/>
    <w:basedOn w:val="para0"/>
    <w:pPr>
      <w:ind w:firstLine="0"/>
      <w:spacing w:after="0" w:line="240" w:lineRule="auto"/>
      <w:jc w:val="left"/>
    </w:pPr>
    <w:rPr>
      <w:sz w:val="20"/>
      <w:szCs w:val="20"/>
    </w:rPr>
  </w:style>
  <w:style w:type="paragraph" w:styleId="para4">
    <w:name w:val="Normal (Web)"/>
    <w:qFormat/>
    <w:basedOn w:val="para0"/>
    <w:pPr>
      <w:spacing w:before="100" w:after="100" w:beforeAutospacing="1" w:afterAutospacing="1" w:line="240" w:lineRule="auto"/>
    </w:pPr>
    <w:rPr>
      <w:rFonts w:ascii="Georgia" w:hAnsi="Georgia" w:eastAsia="SimSun" w:cs="Times New Roman"/>
      <w:color w:val="000000"/>
      <w:sz w:val="21"/>
      <w:szCs w:val="21"/>
      <w:lang w:val="en-gb" w:eastAsia="zh-cn"/>
    </w:rPr>
  </w:style>
  <w:style w:type="paragraph" w:styleId="para5">
    <w:name w:val="Header"/>
    <w:qFormat/>
    <w:basedOn w:val="para0"/>
    <w:pPr>
      <w:spacing w:after="0" w:line="240" w:lineRule="auto"/>
      <w:tabs defTabSz="720">
        <w:tab w:val="center" w:pos="4680" w:leader="none"/>
        <w:tab w:val="right" w:pos="9360" w:leader="none"/>
      </w:tabs>
    </w:pPr>
  </w:style>
  <w:style w:type="paragraph" w:styleId="para6">
    <w:name w:val="Footer"/>
    <w:qFormat/>
    <w:basedOn w:val="para0"/>
    <w:pPr>
      <w:spacing w:after="0" w:line="240" w:lineRule="auto"/>
      <w:tabs defTabSz="720">
        <w:tab w:val="center" w:pos="4680" w:leader="none"/>
        <w:tab w:val="right" w:pos="9360" w:leader="none"/>
      </w:tabs>
    </w:pPr>
  </w:style>
  <w:style w:type="paragraph" w:styleId="para7">
    <w:name w:val="heading 1"/>
    <w:qFormat/>
    <w:basedOn w:val="para0"/>
    <w:next w:val="para0"/>
    <w:pPr>
      <w:ind w:firstLine="0"/>
      <w:spacing w:before="240" w:after="240" w:line="240" w:lineRule="auto"/>
      <w:jc w:val="center"/>
      <w:keepNext/>
      <w:outlineLvl w:val="0"/>
      <w:keepLines/>
    </w:pPr>
    <w:rPr>
      <w:b/>
      <w:bCs/>
      <w:sz w:val="36"/>
      <w:szCs w:val="36"/>
      <w:lang w:bidi="en-us"/>
    </w:rPr>
    <w:key w:val="1073"/>
  </w:style>
  <w:style w:type="paragraph" w:styleId="para8">
    <w:name w:val="heading 2"/>
    <w:qFormat/>
    <w:basedOn w:val="para7"/>
    <w:next w:val="para0"/>
    <w:pPr>
      <w:spacing w:before="160" w:after="160"/>
      <w:jc w:val="left"/>
      <w:outlineLvl w:val="1"/>
    </w:pPr>
    <w:rPr>
      <w:sz w:val="32"/>
      <w:szCs w:val="32"/>
    </w:rPr>
    <w:key w:val="1074"/>
  </w:style>
  <w:style w:type="paragraph" w:styleId="para9">
    <w:name w:val="Bibliography"/>
    <w:qFormat/>
    <w:basedOn w:val="para0"/>
    <w:next w:val="para0"/>
    <w:pPr>
      <w:ind w:firstLine="0"/>
      <w:spacing w:before="0" w:after="0"/>
      <w:jc w:val="left"/>
    </w:pPr>
  </w:style>
  <w:style w:type="paragraph" w:styleId="para10">
    <w:name w:val="Quote"/>
    <w:qFormat/>
    <w:basedOn w:val="para0"/>
    <w:next w:val="para0"/>
    <w:pPr>
      <w:ind w:left="283" w:right="283" w:firstLine="0"/>
      <w:spacing/>
      <w:jc w:val="center"/>
    </w:pPr>
    <w:rPr>
      <w:i/>
      <w:iCs/>
    </w:rPr>
  </w:style>
  <w:style w:type="character" w:styleId="char0" w:default="1">
    <w:name w:val="Default Paragraph Font"/>
  </w:style>
  <w:style w:type="character" w:styleId="char1" w:customStyle="1">
    <w:name w:val="Balloon Text Char"/>
    <w:basedOn w:val="char0"/>
    <w:rPr>
      <w:rFonts w:ascii="Segoe UI" w:hAnsi="Segoe UI" w:cs="Segoe UI"/>
      <w:sz w:val="18"/>
      <w:szCs w:val="18"/>
    </w:rPr>
  </w:style>
  <w:style w:type="character" w:styleId="char2" w:customStyle="1">
    <w:name w:val="Footnote Text Char"/>
    <w:basedOn w:val="char0"/>
    <w:rPr>
      <w:sz w:val="20"/>
      <w:szCs w:val="20"/>
    </w:rPr>
  </w:style>
  <w:style w:type="character" w:styleId="char3">
    <w:name w:val="Footnote Reference"/>
    <w:basedOn w:val="char0"/>
    <w:rPr>
      <w:vertAlign w:val="superscript"/>
    </w:rPr>
  </w:style>
  <w:style w:type="character" w:styleId="char4">
    <w:name w:val="Hyperlink"/>
    <w:rPr>
      <w:color w:val="0000ff"/>
      <w:u w:color="auto" w:val="single"/>
    </w:rPr>
  </w:style>
  <w:style w:type="character" w:styleId="char5" w:customStyle="1">
    <w:name w:val="Heading 3 Char"/>
    <w:basedOn w:val="char0"/>
    <w:rPr>
      <w:rFonts w:ascii="Tahoma" w:hAnsi="Tahoma" w:eastAsia="Times New Roman" w:cs="Tahoma"/>
      <w:b/>
      <w:bCs/>
      <w:sz w:val="20"/>
      <w:szCs w:val="20"/>
      <w:lang w:val="en-gb" w:eastAsia="zh-cn"/>
    </w:rPr>
  </w:style>
  <w:style w:type="character" w:styleId="char6" w:customStyle="1">
    <w:name w:val="Header Char"/>
    <w:basedOn w:val="char0"/>
  </w:style>
  <w:style w:type="character" w:styleId="char7" w:customStyle="1">
    <w:name w:val="Footer Char"/>
    <w:basedOn w:val="char0"/>
  </w:style>
  <w:style w:type="character" w:styleId="char8" w:customStyle="1">
    <w:name w:val="Unresolved Mention1"/>
    <w:basedOn w:val="char0"/>
    <w:rPr>
      <w:color w:val="605e5c"/>
      <w:shd w:val="clear" w:fill="e1dfdd"/>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Calibri" w:hAnsi="Calibri" w:eastAsia="Calibri" w:cs="Calibri"/>
        <w:sz w:val="22"/>
        <w:szCs w:val="22"/>
        <w:lang w:val="en-us" w:eastAsia="en-us" w:bidi="ar-sa"/>
      </w:rPr>
    </w:rPrDefault>
    <w:pPrDefault>
      <w:pPr>
        <w:ind w:firstLine="283"/>
        <w:spacing w:before="120" w:after="120" w:line="276" w:lineRule="auto"/>
        <w:jc w:val="both"/>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style>
  <w:style w:type="paragraph" w:styleId="para1">
    <w:name w:val="heading 3"/>
    <w:qFormat/>
    <w:basedOn w:val="para0"/>
    <w:pPr>
      <w:ind w:firstLine="0"/>
      <w:spacing w:line="240" w:lineRule="auto"/>
      <w:keepNext/>
      <w:outlineLvl w:val="2"/>
    </w:pPr>
    <w:rPr>
      <w:b/>
      <w:bCs/>
      <w:sz w:val="28"/>
      <w:szCs w:val="28"/>
      <w:lang w:val="en-gb" w:eastAsia="en-gb" w:bidi="en-gb"/>
    </w:rPr>
  </w:style>
  <w:style w:type="paragraph" w:styleId="para2">
    <w:name w:val="Balloon Text"/>
    <w:qFormat/>
    <w:basedOn w:val="para0"/>
    <w:pPr>
      <w:spacing w:after="0" w:line="240" w:lineRule="auto"/>
    </w:pPr>
    <w:rPr>
      <w:rFonts w:ascii="Segoe UI" w:hAnsi="Segoe UI" w:cs="Segoe UI"/>
      <w:sz w:val="18"/>
      <w:szCs w:val="18"/>
    </w:rPr>
  </w:style>
  <w:style w:type="paragraph" w:styleId="para3">
    <w:name w:val="Footnote Text"/>
    <w:qFormat/>
    <w:basedOn w:val="para0"/>
    <w:pPr>
      <w:ind w:firstLine="0"/>
      <w:spacing w:after="0" w:line="240" w:lineRule="auto"/>
      <w:jc w:val="left"/>
    </w:pPr>
    <w:rPr>
      <w:sz w:val="20"/>
      <w:szCs w:val="20"/>
    </w:rPr>
  </w:style>
  <w:style w:type="paragraph" w:styleId="para4">
    <w:name w:val="Normal (Web)"/>
    <w:qFormat/>
    <w:basedOn w:val="para0"/>
    <w:pPr>
      <w:spacing w:before="100" w:after="100" w:beforeAutospacing="1" w:afterAutospacing="1" w:line="240" w:lineRule="auto"/>
    </w:pPr>
    <w:rPr>
      <w:rFonts w:ascii="Georgia" w:hAnsi="Georgia" w:eastAsia="SimSun" w:cs="Times New Roman"/>
      <w:color w:val="000000"/>
      <w:sz w:val="21"/>
      <w:szCs w:val="21"/>
      <w:lang w:val="en-gb" w:eastAsia="zh-cn"/>
    </w:rPr>
  </w:style>
  <w:style w:type="paragraph" w:styleId="para5">
    <w:name w:val="Header"/>
    <w:qFormat/>
    <w:basedOn w:val="para0"/>
    <w:pPr>
      <w:spacing w:after="0" w:line="240" w:lineRule="auto"/>
      <w:tabs defTabSz="720">
        <w:tab w:val="center" w:pos="4680" w:leader="none"/>
        <w:tab w:val="right" w:pos="9360" w:leader="none"/>
      </w:tabs>
    </w:pPr>
  </w:style>
  <w:style w:type="paragraph" w:styleId="para6">
    <w:name w:val="Footer"/>
    <w:qFormat/>
    <w:basedOn w:val="para0"/>
    <w:pPr>
      <w:spacing w:after="0" w:line="240" w:lineRule="auto"/>
      <w:tabs defTabSz="720">
        <w:tab w:val="center" w:pos="4680" w:leader="none"/>
        <w:tab w:val="right" w:pos="9360" w:leader="none"/>
      </w:tabs>
    </w:pPr>
  </w:style>
  <w:style w:type="paragraph" w:styleId="para7">
    <w:name w:val="heading 1"/>
    <w:qFormat/>
    <w:basedOn w:val="para0"/>
    <w:next w:val="para0"/>
    <w:pPr>
      <w:ind w:firstLine="0"/>
      <w:spacing w:before="240" w:after="240" w:line="240" w:lineRule="auto"/>
      <w:jc w:val="center"/>
      <w:keepNext/>
      <w:outlineLvl w:val="0"/>
      <w:keepLines/>
    </w:pPr>
    <w:rPr>
      <w:b/>
      <w:bCs/>
      <w:sz w:val="36"/>
      <w:szCs w:val="36"/>
      <w:lang w:bidi="en-us"/>
    </w:rPr>
    <w:key w:val="1073"/>
  </w:style>
  <w:style w:type="paragraph" w:styleId="para8">
    <w:name w:val="heading 2"/>
    <w:qFormat/>
    <w:basedOn w:val="para7"/>
    <w:next w:val="para0"/>
    <w:pPr>
      <w:spacing w:before="160" w:after="160"/>
      <w:jc w:val="left"/>
      <w:outlineLvl w:val="1"/>
    </w:pPr>
    <w:rPr>
      <w:sz w:val="32"/>
      <w:szCs w:val="32"/>
    </w:rPr>
    <w:key w:val="1074"/>
  </w:style>
  <w:style w:type="paragraph" w:styleId="para9">
    <w:name w:val="Bibliography"/>
    <w:qFormat/>
    <w:basedOn w:val="para0"/>
    <w:next w:val="para0"/>
    <w:pPr>
      <w:ind w:firstLine="0"/>
      <w:spacing w:before="0" w:after="0"/>
      <w:jc w:val="left"/>
    </w:pPr>
  </w:style>
  <w:style w:type="paragraph" w:styleId="para10">
    <w:name w:val="Quote"/>
    <w:qFormat/>
    <w:basedOn w:val="para0"/>
    <w:next w:val="para0"/>
    <w:pPr>
      <w:ind w:left="283" w:right="283" w:firstLine="0"/>
      <w:spacing/>
      <w:jc w:val="center"/>
    </w:pPr>
    <w:rPr>
      <w:i/>
      <w:iCs/>
    </w:rPr>
  </w:style>
  <w:style w:type="character" w:styleId="char0" w:default="1">
    <w:name w:val="Default Paragraph Font"/>
  </w:style>
  <w:style w:type="character" w:styleId="char1" w:customStyle="1">
    <w:name w:val="Balloon Text Char"/>
    <w:basedOn w:val="char0"/>
    <w:rPr>
      <w:rFonts w:ascii="Segoe UI" w:hAnsi="Segoe UI" w:cs="Segoe UI"/>
      <w:sz w:val="18"/>
      <w:szCs w:val="18"/>
    </w:rPr>
  </w:style>
  <w:style w:type="character" w:styleId="char2" w:customStyle="1">
    <w:name w:val="Footnote Text Char"/>
    <w:basedOn w:val="char0"/>
    <w:rPr>
      <w:sz w:val="20"/>
      <w:szCs w:val="20"/>
    </w:rPr>
  </w:style>
  <w:style w:type="character" w:styleId="char3">
    <w:name w:val="Footnote Reference"/>
    <w:basedOn w:val="char0"/>
    <w:rPr>
      <w:vertAlign w:val="superscript"/>
    </w:rPr>
  </w:style>
  <w:style w:type="character" w:styleId="char4">
    <w:name w:val="Hyperlink"/>
    <w:rPr>
      <w:color w:val="0000ff"/>
      <w:u w:color="auto" w:val="single"/>
    </w:rPr>
  </w:style>
  <w:style w:type="character" w:styleId="char5" w:customStyle="1">
    <w:name w:val="Heading 3 Char"/>
    <w:basedOn w:val="char0"/>
    <w:rPr>
      <w:rFonts w:ascii="Tahoma" w:hAnsi="Tahoma" w:eastAsia="Times New Roman" w:cs="Tahoma"/>
      <w:b/>
      <w:bCs/>
      <w:sz w:val="20"/>
      <w:szCs w:val="20"/>
      <w:lang w:val="en-gb" w:eastAsia="zh-cn"/>
    </w:rPr>
  </w:style>
  <w:style w:type="character" w:styleId="char6" w:customStyle="1">
    <w:name w:val="Header Char"/>
    <w:basedOn w:val="char0"/>
  </w:style>
  <w:style w:type="character" w:styleId="char7" w:customStyle="1">
    <w:name w:val="Footer Char"/>
    <w:basedOn w:val="char0"/>
  </w:style>
  <w:style w:type="character" w:styleId="char8" w:customStyle="1">
    <w:name w:val="Unresolved Mention1"/>
    <w:basedOn w:val="char0"/>
    <w:rPr>
      <w:color w:val="605e5c"/>
      <w:shd w:val="clear" w:fill="e1dfdd"/>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image" Target="media/image1.png"/><Relationship Id="rId9" Type="http://schemas.openxmlformats.org/officeDocument/2006/relationships/footnotes" Target="footnotes.xml"/><Relationship Id="rId10" Type="http://schemas.openxmlformats.org/officeDocument/2006/relationships/header" Target="header1.xml"/><Relationship Id="rId1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Calibri"/>
        <a:cs typeface="Calibri"/>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rev.1228</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dc:description/>
  <cp:lastModifiedBy>Linda</cp:lastModifiedBy>
  <cp:revision>14</cp:revision>
  <cp:lastPrinted>2025-11-04T15:26:21Z</cp:lastPrinted>
  <dcterms:created xsi:type="dcterms:W3CDTF">2025-07-12T17:58:00Z</dcterms:created>
  <dcterms:modified xsi:type="dcterms:W3CDTF">2025-11-06T17:57:54Z</dcterms:modified>
</cp:coreProperties>
</file>